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2384425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4"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2384425</wp:posOffset>
            </wp:positionH>
            <wp:positionV relativeFrom="paragraph">
              <wp:posOffset>179070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9239"/>
          </w:cols>
          <w:pgMar w:left="1220" w:top="349" w:right="1440" w:bottom="1440" w:gutter="0" w:footer="0" w:header="0"/>
        </w:sectPr>
      </w:pPr>
    </w:p>
    <w:p>
      <w:pPr>
        <w:spacing w:after="0" w:line="119"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52-0782497</w:t>
      </w:r>
    </w:p>
    <w:p>
      <w:pPr>
        <w:spacing w:after="0" w:line="37" w:lineRule="exact"/>
        <w:rPr>
          <w:sz w:val="24"/>
          <w:szCs w:val="24"/>
          <w:color w:val="auto"/>
        </w:rPr>
      </w:pPr>
    </w:p>
    <w:p>
      <w:pPr>
        <w:sectPr>
          <w:pgSz w:w="11900" w:h="16838" w:orient="portrait"/>
          <w:cols w:equalWidth="0" w:num="3">
            <w:col w:w="3740" w:space="720"/>
            <w:col w:w="3020" w:space="720"/>
            <w:col w:w="1039"/>
          </w:cols>
          <w:pgMar w:left="1220" w:top="349" w:right="1440" w:bottom="1440" w:gutter="0" w:footer="0" w:header="0"/>
          <w:type w:val="continuous"/>
        </w:sectPr>
      </w:pPr>
    </w:p>
    <w:p>
      <w:pPr>
        <w:spacing w:after="0" w:line="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41" w:lineRule="exact"/>
        <w:rPr>
          <w:sz w:val="24"/>
          <w:szCs w:val="24"/>
          <w:color w:val="auto"/>
        </w:rPr>
      </w:pPr>
    </w:p>
    <w:p>
      <w:pPr>
        <w:sectPr>
          <w:pgSz w:w="11900" w:h="16838" w:orient="portrait"/>
          <w:cols w:equalWidth="0" w:num="3">
            <w:col w:w="3640" w:space="720"/>
            <w:col w:w="3000" w:space="720"/>
            <w:col w:w="1159"/>
          </w:cols>
          <w:pgMar w:left="1220" w:top="34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20852-4041</w:t>
      </w:r>
    </w:p>
    <w:p>
      <w:pPr>
        <w:spacing w:after="0" w:line="46" w:lineRule="exact"/>
        <w:rPr>
          <w:sz w:val="24"/>
          <w:szCs w:val="24"/>
          <w:color w:val="auto"/>
        </w:rPr>
      </w:pPr>
    </w:p>
    <w:p>
      <w:pPr>
        <w:sectPr>
          <w:pgSz w:w="11900" w:h="16838" w:orient="portrait"/>
          <w:cols w:equalWidth="0" w:num="2">
            <w:col w:w="6520" w:space="720"/>
            <w:col w:w="1999"/>
          </w:cols>
          <w:pgMar w:left="1220" w:top="349" w:right="1440"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45" w:lineRule="exact"/>
        <w:rPr>
          <w:sz w:val="24"/>
          <w:szCs w:val="24"/>
          <w:color w:val="auto"/>
        </w:rPr>
      </w:pPr>
    </w:p>
    <w:p>
      <w:pPr>
        <w:sectPr>
          <w:pgSz w:w="11900" w:h="16838" w:orient="portrait"/>
          <w:cols w:equalWidth="0" w:num="2">
            <w:col w:w="6640" w:space="720"/>
            <w:col w:w="1879"/>
          </w:cols>
          <w:pgMar w:left="1220" w:top="349" w:right="1440"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-618490</wp:posOffset>
            </wp:positionH>
            <wp:positionV relativeFrom="paragraph">
              <wp:posOffset>140335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239"/>
          </w:cols>
          <w:pgMar w:left="1220" w:top="349" w:right="1440"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79" w:lineRule="exact"/>
        <w:rPr>
          <w:sz w:val="20"/>
          <w:szCs w:val="20"/>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7"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Supplemental portfolio information at September 30, 2003 (including press release dated November 3, 2003)</w:t>
      </w:r>
    </w:p>
    <w:p>
      <w:pPr>
        <w:spacing w:after="0" w:line="15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7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2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On November 3, 2003, Federal Realty Investment Trust issued supplemental data pertaining to its operations as well as a press release to report its financial results for the quarter ended September 30, 2003. The supplemental data and press release are furnished as Exhibit 99.1 hereto.</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7" w:lineRule="exact"/>
        <w:rPr>
          <w:sz w:val="20"/>
          <w:szCs w:val="20"/>
          <w:color w:val="auto"/>
        </w:rPr>
      </w:pPr>
    </w:p>
    <w:p>
      <w:pPr>
        <w:spacing w:after="0"/>
        <w:tabs>
          <w:tab w:leader="none" w:pos="6380" w:val="left"/>
        </w:tabs>
        <w:rPr>
          <w:sz w:val="20"/>
          <w:szCs w:val="20"/>
          <w:color w:val="auto"/>
        </w:rPr>
      </w:pPr>
      <w:r>
        <w:rPr>
          <w:rFonts w:ascii="Times New Roman" w:cs="Times New Roman" w:eastAsia="Times New Roman" w:hAnsi="Times New Roman"/>
          <w:sz w:val="18"/>
          <w:szCs w:val="18"/>
          <w:color w:val="auto"/>
        </w:rPr>
        <w:t>Date: November 3, 2003</w:t>
      </w:r>
      <w:r>
        <w:rPr>
          <w:sz w:val="20"/>
          <w:szCs w:val="20"/>
          <w:color w:val="auto"/>
        </w:rPr>
        <w:tab/>
      </w:r>
      <w:r>
        <w:rPr>
          <w:rFonts w:ascii="Times New Roman" w:cs="Times New Roman" w:eastAsia="Times New Roman" w:hAnsi="Times New Roman"/>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83820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Larry E. Finger</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580" w:type="dxa"/>
            <w:vAlign w:val="bottom"/>
            <w:gridSpan w:val="2"/>
          </w:tcPr>
          <w:p>
            <w:pPr>
              <w:jc w:val="center"/>
              <w:ind w:right="4772"/>
              <w:spacing w:after="0"/>
              <w:rPr>
                <w:sz w:val="20"/>
                <w:szCs w:val="20"/>
                <w:color w:val="auto"/>
              </w:rPr>
            </w:pPr>
            <w:r>
              <w:rPr>
                <w:rFonts w:ascii="Times New Roman" w:cs="Times New Roman" w:eastAsia="Times New Roman" w:hAnsi="Times New Roman"/>
                <w:sz w:val="18"/>
                <w:szCs w:val="18"/>
                <w:color w:val="auto"/>
                <w:w w:val="98"/>
              </w:rPr>
              <w:t>EXHIBIT INDEX</w:t>
            </w:r>
          </w:p>
        </w:tc>
      </w:tr>
      <w:tr>
        <w:trPr>
          <w:trHeight w:val="312"/>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Exh No.</w:t>
            </w:r>
          </w:p>
        </w:tc>
        <w:tc>
          <w:tcPr>
            <w:tcW w:w="42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Page No.</w:t>
            </w:r>
          </w:p>
        </w:tc>
      </w:tr>
      <w:tr>
        <w:trPr>
          <w:trHeight w:val="95"/>
        </w:trPr>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60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316"/>
        </w:trPr>
        <w:tc>
          <w:tcPr>
            <w:tcW w:w="64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99</w:t>
            </w:r>
          </w:p>
        </w:tc>
        <w:tc>
          <w:tcPr>
            <w:tcW w:w="42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Supplemental information at September 30, 2003</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65"/>
        </w:trPr>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060" w:type="dxa"/>
            <w:vAlign w:val="bottom"/>
          </w:tcPr>
          <w:p>
            <w:pPr>
              <w:jc w:val="right"/>
              <w:ind w:right="4992"/>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tc>
      </w:tr>
      <w:tr>
        <w:trPr>
          <w:trHeight w:val="365"/>
        </w:trPr>
        <w:tc>
          <w:tcPr>
            <w:tcW w:w="8980" w:type="dxa"/>
            <w:vAlign w:val="bottom"/>
          </w:tcPr>
          <w:p>
            <w:pPr>
              <w:jc w:val="center"/>
              <w:ind w:left="2352"/>
              <w:spacing w:after="0"/>
              <w:rPr>
                <w:sz w:val="20"/>
                <w:szCs w:val="20"/>
                <w:color w:val="auto"/>
              </w:rPr>
            </w:pPr>
            <w:r>
              <w:rPr>
                <w:rFonts w:ascii="Times New Roman" w:cs="Times New Roman" w:eastAsia="Times New Roman" w:hAnsi="Times New Roman"/>
                <w:sz w:val="18"/>
                <w:szCs w:val="18"/>
                <w:b w:val="1"/>
                <w:bCs w:val="1"/>
                <w:color w:val="auto"/>
                <w:w w:val="97"/>
              </w:rPr>
              <w:t>FEDERAL REALTY INVESTMENT TRUST</w:t>
            </w:r>
          </w:p>
        </w:tc>
        <w:tc>
          <w:tcPr>
            <w:tcW w:w="2440" w:type="dxa"/>
            <w:vAlign w:val="bottom"/>
          </w:tcPr>
          <w:p>
            <w:pPr>
              <w:spacing w:after="0"/>
              <w:rPr>
                <w:sz w:val="24"/>
                <w:szCs w:val="24"/>
                <w:color w:val="auto"/>
              </w:rPr>
            </w:pPr>
          </w:p>
        </w:tc>
      </w:tr>
      <w:tr>
        <w:trPr>
          <w:trHeight w:val="352"/>
        </w:trPr>
        <w:tc>
          <w:tcPr>
            <w:tcW w:w="8980" w:type="dxa"/>
            <w:vAlign w:val="bottom"/>
          </w:tcPr>
          <w:p>
            <w:pPr>
              <w:jc w:val="center"/>
              <w:ind w:left="2372"/>
              <w:spacing w:after="0"/>
              <w:rPr>
                <w:sz w:val="20"/>
                <w:szCs w:val="20"/>
                <w:color w:val="auto"/>
              </w:rPr>
            </w:pPr>
            <w:r>
              <w:rPr>
                <w:rFonts w:ascii="Times New Roman" w:cs="Times New Roman" w:eastAsia="Times New Roman" w:hAnsi="Times New Roman"/>
                <w:sz w:val="18"/>
                <w:szCs w:val="18"/>
                <w:color w:val="auto"/>
                <w:w w:val="97"/>
              </w:rPr>
              <w:t>Supplemental Information</w:t>
            </w:r>
          </w:p>
        </w:tc>
        <w:tc>
          <w:tcPr>
            <w:tcW w:w="2440" w:type="dxa"/>
            <w:vAlign w:val="bottom"/>
          </w:tcPr>
          <w:p>
            <w:pPr>
              <w:spacing w:after="0"/>
              <w:rPr>
                <w:sz w:val="24"/>
                <w:szCs w:val="24"/>
                <w:color w:val="auto"/>
              </w:rPr>
            </w:pPr>
          </w:p>
        </w:tc>
      </w:tr>
      <w:tr>
        <w:trPr>
          <w:trHeight w:val="228"/>
        </w:trPr>
        <w:tc>
          <w:tcPr>
            <w:tcW w:w="8980" w:type="dxa"/>
            <w:vAlign w:val="bottom"/>
          </w:tcPr>
          <w:p>
            <w:pPr>
              <w:jc w:val="center"/>
              <w:ind w:left="2352"/>
              <w:spacing w:after="0"/>
              <w:rPr>
                <w:sz w:val="20"/>
                <w:szCs w:val="20"/>
                <w:color w:val="auto"/>
              </w:rPr>
            </w:pPr>
            <w:r>
              <w:rPr>
                <w:rFonts w:ascii="Times New Roman" w:cs="Times New Roman" w:eastAsia="Times New Roman" w:hAnsi="Times New Roman"/>
                <w:sz w:val="18"/>
                <w:szCs w:val="18"/>
                <w:color w:val="auto"/>
                <w:w w:val="98"/>
              </w:rPr>
              <w:t>September 30, 2003</w:t>
            </w:r>
          </w:p>
        </w:tc>
        <w:tc>
          <w:tcPr>
            <w:tcW w:w="2440" w:type="dxa"/>
            <w:vAlign w:val="bottom"/>
          </w:tcPr>
          <w:p>
            <w:pPr>
              <w:spacing w:after="0"/>
              <w:rPr>
                <w:sz w:val="19"/>
                <w:szCs w:val="19"/>
                <w:color w:val="auto"/>
              </w:rPr>
            </w:pPr>
          </w:p>
        </w:tc>
      </w:tr>
      <w:tr>
        <w:trPr>
          <w:trHeight w:val="365"/>
        </w:trPr>
        <w:tc>
          <w:tcPr>
            <w:tcW w:w="8980" w:type="dxa"/>
            <w:vAlign w:val="bottom"/>
          </w:tcPr>
          <w:p>
            <w:pPr>
              <w:jc w:val="center"/>
              <w:ind w:left="237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440" w:type="dxa"/>
            <w:vAlign w:val="bottom"/>
          </w:tcPr>
          <w:p>
            <w:pPr>
              <w:spacing w:after="0"/>
              <w:rPr>
                <w:sz w:val="24"/>
                <w:szCs w:val="24"/>
                <w:color w:val="auto"/>
              </w:rPr>
            </w:pPr>
          </w:p>
        </w:tc>
      </w:tr>
      <w:tr>
        <w:trPr>
          <w:trHeight w:val="365"/>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1.    Third Quarter 2003 Earnings Press Release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2"/>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Summarized Operating Results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9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Summarized Balance Sheet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9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Funds From Operations / Funds Available for Distribution / Summary of Capital Expenditures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89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Market Data / Capital Availability / Operational Statistics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96"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340" w:type="dxa"/>
            <w:vAlign w:val="bottom"/>
          </w:tcPr>
          <w:p>
            <w:pPr>
              <w:spacing w:after="0"/>
              <w:rPr>
                <w:sz w:val="19"/>
                <w:szCs w:val="19"/>
                <w:color w:val="auto"/>
              </w:rPr>
            </w:pP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Summary of Debt Maturities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Summary of Current and Future Redevelopment Opportunities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Santana Row Summary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Acquisitions and Dispositions – Year to Date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 Status Report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Shopping Center / Street Retail Summary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Leasing Summary</w:t>
            </w:r>
          </w:p>
        </w:tc>
        <w:tc>
          <w:tcPr>
            <w:tcW w:w="33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Retail Leasing Summary – Comparable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340" w:type="dxa"/>
            <w:vAlign w:val="bottom"/>
          </w:tcPr>
          <w:p>
            <w:pPr>
              <w:spacing w:after="0"/>
              <w:rPr>
                <w:sz w:val="19"/>
                <w:szCs w:val="19"/>
                <w:color w:val="auto"/>
              </w:rPr>
            </w:pP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Retail Leasing Summary – Non-comparable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Expirations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96"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Summary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Occupancy Summary – Overall</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340" w:type="dxa"/>
            <w:vAlign w:val="bottom"/>
          </w:tcPr>
          <w:p>
            <w:pPr>
              <w:spacing w:after="0"/>
              <w:rPr>
                <w:sz w:val="19"/>
                <w:szCs w:val="19"/>
                <w:color w:val="auto"/>
              </w:rPr>
            </w:pPr>
          </w:p>
        </w:tc>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Occupancy Summary – Same Center</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12.</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Summary of Top 25 Tenants – Prospective</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13.</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Reconciliation of Non-GAAP Disclosures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14.</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Glossary of Terms</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301/998-8100</w:t>
      </w:r>
    </w:p>
    <w:p>
      <w:pPr>
        <w:sectPr>
          <w:pgSz w:w="11900" w:h="16838" w:orient="portrait"/>
          <w:cols w:equalWidth="0" w:num="1">
            <w:col w:w="11420"/>
          </w:cols>
          <w:pgMar w:left="240" w:top="123" w:right="239" w:bottom="1440" w:gutter="0" w:footer="0" w:header="0"/>
        </w:sectPr>
      </w:pPr>
    </w:p>
    <w:bookmarkStart w:id="4" w:name="page5"/>
    <w:bookmarkEnd w:id="4"/>
    <w:p>
      <w:pPr>
        <w:ind w:right="140"/>
        <w:spacing w:after="0" w:line="26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matters discussed within this Supplemental Information may be deemed to be forward looking statements within the meaning of the federal securities laws. Although we believe the expectations reflected in the forward looking statements are based on reasonable assumptions, we can give no assurance that our expectations will be attained. The factors that may impact these expectations include:</w:t>
      </w:r>
    </w:p>
    <w:p>
      <w:pPr>
        <w:spacing w:after="0" w:line="114" w:lineRule="exact"/>
        <w:rPr>
          <w:sz w:val="20"/>
          <w:szCs w:val="20"/>
          <w:color w:val="auto"/>
        </w:rPr>
      </w:pPr>
    </w:p>
    <w:p>
      <w:pPr>
        <w:ind w:left="800" w:hanging="346"/>
        <w:spacing w:after="0"/>
        <w:tabs>
          <w:tab w:leader="none" w:pos="8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that growth will be limited if additional capital cannot be obtained;</w:t>
      </w:r>
    </w:p>
    <w:p>
      <w:pPr>
        <w:spacing w:after="0" w:line="23" w:lineRule="exact"/>
        <w:rPr>
          <w:rFonts w:ascii="Times New Roman" w:cs="Times New Roman" w:eastAsia="Times New Roman" w:hAnsi="Times New Roman"/>
          <w:sz w:val="18"/>
          <w:szCs w:val="18"/>
          <w:i w:val="1"/>
          <w:iCs w:val="1"/>
          <w:color w:val="auto"/>
        </w:rPr>
      </w:pPr>
    </w:p>
    <w:p>
      <w:pPr>
        <w:ind w:left="800" w:right="120" w:hanging="346"/>
        <w:spacing w:after="0" w:line="250" w:lineRule="auto"/>
        <w:tabs>
          <w:tab w:leader="none" w:pos="8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w:t>
      </w:r>
    </w:p>
    <w:p>
      <w:pPr>
        <w:ind w:left="800" w:hanging="346"/>
        <w:spacing w:after="0" w:line="250" w:lineRule="auto"/>
        <w:tabs>
          <w:tab w:leader="none" w:pos="8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tenants will not pay rent or that we may be unable to renew leases or relet space at favorable rents as leases expire, that new acquisitions or development, construction and renovation projects, including Santana Row, may fail to perform as expected, that competition for acquisitions could result in increased prices, that there may be environmental risks at our properties,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800" w:right="20" w:hanging="346"/>
        <w:spacing w:after="0" w:line="281" w:lineRule="auto"/>
        <w:tabs>
          <w:tab w:leader="none" w:pos="80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6"/>
          <w:szCs w:val="16"/>
          <w:i w:val="1"/>
          <w:iCs w:val="1"/>
          <w:color w:val="auto"/>
        </w:rPr>
      </w:pPr>
    </w:p>
    <w:p>
      <w:pPr>
        <w:jc w:val="both"/>
        <w:ind w:left="800" w:right="20" w:hanging="346"/>
        <w:spacing w:after="0" w:line="255" w:lineRule="auto"/>
        <w:tabs>
          <w:tab w:leader="none" w:pos="8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those risks detailed from time to time in our SEC reports, including our current report on Form 8-K filed with the SEC on March 25, 2003, our annual report on Form 10-K filed with the SEC on March 26, 2003 and our quarterly reports on Form 10-Q. Federal Realty assumes no obligation to update or supplement forward-looking statements that become untrue because of subsequent events.</w:t>
      </w:r>
    </w:p>
    <w:p>
      <w:pPr>
        <w:sectPr>
          <w:pgSz w:w="11900" w:h="16838" w:orient="portrait"/>
          <w:cols w:equalWidth="0" w:num="1">
            <w:col w:w="11380"/>
          </w:cols>
          <w:pgMar w:left="240" w:top="272"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26"/>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Investor Inquiries</w:t>
            </w:r>
          </w:p>
        </w:tc>
        <w:tc>
          <w:tcPr>
            <w:tcW w:w="3900" w:type="dxa"/>
            <w:vAlign w:val="bottom"/>
            <w:gridSpan w:val="4"/>
          </w:tcPr>
          <w:p>
            <w:pPr>
              <w:ind w:left="1280"/>
              <w:spacing w:after="0"/>
              <w:rPr>
                <w:sz w:val="20"/>
                <w:szCs w:val="20"/>
                <w:color w:val="auto"/>
              </w:rPr>
            </w:pPr>
            <w:r>
              <w:rPr>
                <w:rFonts w:ascii="Times New Roman" w:cs="Times New Roman" w:eastAsia="Times New Roman" w:hAnsi="Times New Roman"/>
                <w:sz w:val="18"/>
                <w:szCs w:val="18"/>
                <w:i w:val="1"/>
                <w:iCs w:val="1"/>
                <w:color w:val="auto"/>
              </w:rPr>
              <w:t>Media Inquiries</w:t>
            </w:r>
          </w:p>
        </w:tc>
      </w:tr>
      <w:tr>
        <w:trPr>
          <w:trHeight w:val="20"/>
        </w:trPr>
        <w:tc>
          <w:tcPr>
            <w:tcW w:w="1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Andrew Blocher</w:t>
            </w:r>
          </w:p>
        </w:tc>
        <w:tc>
          <w:tcPr>
            <w:tcW w:w="376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Kristine Warner</w:t>
            </w:r>
          </w:p>
        </w:tc>
      </w:tr>
      <w:tr>
        <w:trPr>
          <w:trHeight w:val="216"/>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Capital Markets &amp; Investor Relations</w:t>
            </w:r>
          </w:p>
        </w:tc>
        <w:tc>
          <w:tcPr>
            <w:tcW w:w="390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w w:val="96"/>
              </w:rPr>
              <w:t>Director, Corporate Communications</w:t>
            </w:r>
          </w:p>
        </w:tc>
      </w:tr>
      <w:tr>
        <w:trPr>
          <w:trHeight w:val="2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301/998-8166</w:t>
            </w: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301/998-8212</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2"/>
        </w:trPr>
        <w:tc>
          <w:tcPr>
            <w:tcW w:w="502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i w:val="1"/>
                <w:iCs w:val="1"/>
                <w:color w:val="auto"/>
              </w:rPr>
              <w:t>ablocher@federalrealty.com</w:t>
            </w:r>
          </w:p>
        </w:tc>
        <w:tc>
          <w:tcPr>
            <w:tcW w:w="3900" w:type="dxa"/>
            <w:vAlign w:val="bottom"/>
            <w:gridSpan w:val="4"/>
          </w:tcPr>
          <w:p>
            <w:pPr>
              <w:ind w:left="1280"/>
              <w:spacing w:after="0" w:line="192" w:lineRule="exact"/>
              <w:rPr>
                <w:sz w:val="20"/>
                <w:szCs w:val="20"/>
                <w:color w:val="auto"/>
              </w:rPr>
            </w:pPr>
            <w:r>
              <w:rPr>
                <w:rFonts w:ascii="Times New Roman" w:cs="Times New Roman" w:eastAsia="Times New Roman" w:hAnsi="Times New Roman"/>
                <w:sz w:val="18"/>
                <w:szCs w:val="18"/>
                <w:i w:val="1"/>
                <w:iCs w:val="1"/>
                <w:color w:val="auto"/>
              </w:rPr>
              <w:t>kwarner@federalrealty.com</w:t>
            </w:r>
          </w:p>
        </w:tc>
      </w:tr>
      <w:tr>
        <w:trPr>
          <w:trHeight w:val="20"/>
        </w:trPr>
        <w:tc>
          <w:tcPr>
            <w:tcW w:w="1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FEDERAL REALTY INVESTMENT TRUST ANNOUNCES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THIRD QUARTER 2003 OPERATING RESULTS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Board of Trustees Approves Residential Rebuild 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Santana Row’s Building 7</w:t>
      </w:r>
    </w:p>
    <w:p>
      <w:pPr>
        <w:spacing w:after="0" w:line="14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ROCKVILLE, Md. (November 3, 2003) – Federal Realty Investment Trust (NYSE:FRT) today reported operating results for the quarter ended September 30, 2003.</w:t>
      </w:r>
    </w:p>
    <w:p>
      <w:pPr>
        <w:spacing w:after="0" w:line="23" w:lineRule="exact"/>
        <w:rPr>
          <w:sz w:val="20"/>
          <w:szCs w:val="20"/>
          <w:color w:val="auto"/>
        </w:rPr>
      </w:pPr>
    </w:p>
    <w:p>
      <w:pPr>
        <w:ind w:left="800" w:hanging="346"/>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Funds from operations (FFO) was $0.66 per diluted share for the third quarter and net income per diluted share was $0.44.</w:t>
      </w:r>
    </w:p>
    <w:p>
      <w:pPr>
        <w:spacing w:after="0" w:line="76" w:lineRule="exact"/>
        <w:rPr>
          <w:rFonts w:ascii="Times New Roman" w:cs="Times New Roman" w:eastAsia="Times New Roman" w:hAnsi="Times New Roman"/>
          <w:sz w:val="18"/>
          <w:szCs w:val="18"/>
          <w:color w:val="auto"/>
        </w:rPr>
      </w:pPr>
    </w:p>
    <w:p>
      <w:pPr>
        <w:ind w:left="800" w:right="560" w:hanging="346"/>
        <w:spacing w:after="0" w:line="277"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When compared to third quarter 2002, same-center property operating income increased 3.1% excluding redevelopment or expansion properties, and 4.1% when redevelopments and expansions are included.</w:t>
      </w:r>
    </w:p>
    <w:p>
      <w:pPr>
        <w:spacing w:after="0" w:line="21"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rent increases on lease rollovers were 14% for the third quarter on 408,000 square feet of comparable retail space.</w:t>
      </w:r>
    </w:p>
    <w:p>
      <w:pPr>
        <w:spacing w:after="0" w:line="76"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 Santana Row, 96% of the residential units and 85% of the Phase I retail square footage were leased as of October 23, 2003.</w:t>
      </w:r>
    </w:p>
    <w:p>
      <w:pPr>
        <w:spacing w:after="0" w:line="76" w:lineRule="exact"/>
        <w:rPr>
          <w:rFonts w:ascii="Times New Roman" w:cs="Times New Roman" w:eastAsia="Times New Roman" w:hAnsi="Times New Roman"/>
          <w:sz w:val="18"/>
          <w:szCs w:val="18"/>
          <w:color w:val="auto"/>
        </w:rPr>
      </w:pPr>
    </w:p>
    <w:p>
      <w:pPr>
        <w:ind w:left="800" w:right="40" w:hanging="346"/>
        <w:spacing w:after="0" w:line="277"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Through October 31, 2003, the Trust acquired four shopping center assets (committing a total of $125.5 million of capital) and completed five dispositions generating net proceeds of $29.0 million.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w:t>
      </w:r>
    </w:p>
    <w:p>
      <w:pPr>
        <w:spacing w:after="0" w:line="7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Federal Realty reported FFO of $33.3 million for the third quarter of 2003, or $0.66 per diluted share. This compares to FFO of $29.7 million for the third quarter of 2002, or $0.67 per diluted share. Net income available for common shareholders was $21.7 million, or $0.44 per diluted share for the quarter ended September 30, 2003. For the third quarter of 2002, the Trust reported net income available for common shareholders of $13.6 million, or $0.31 per diluted share.</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380"/>
          </w:cols>
          <w:pgMar w:left="240" w:top="272" w:right="27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THIRD QUARTER 2003 OPERATING RESULTS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2003</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Portfolio Results</w:t>
      </w:r>
    </w:p>
    <w:p>
      <w:pPr>
        <w:spacing w:after="0" w:line="79"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On a same-center basis, excluding redevelopment or expansion properties, property operating income increased 3.1% over third quarter 2002. When redevelopment or expansion properties are included in the same-center results, property operating income increased 4.1% from third quarter 2002. As of September 30, 2003, retail occupancy on a same-center basis was 95.2% compared to 94.8% on June 30, 2003, and 95.5% on September 30, 2002. Overall occupancy was 93.9% as of September 30, 2003, compared to 93.1% on June 30, 2003, and 95.5% on September 30, 2002.</w:t>
      </w:r>
    </w:p>
    <w:p>
      <w:pPr>
        <w:spacing w:after="0" w:line="12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During the third quarter, the Trust signed 84 leases for over 493,000 square feet of retail space. On a comparable space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spaces for which there was a former tenant), the Trust leased 408,000 square feet at an average cash-basis contractual rent increase per square foot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excluding the impact of straight-line rents) of 14%. The weighted-average contractual rent on this comparable space for the first year of the new lease was $17.56 per square foot compared to the weighted-average contractual rent of $15.36 per square foot for the last year of the prior lease. The previous weighted-average contractual rent is calculated by including both the minimum rent and the percentage rent actually paid during the last year of the lease term for the re-leased space. For the first nine months of 2003, Federal Realty has leased over 1 million square feet of comparable retail space at an average contractual rent increase of 16%. On a GAAP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including the impact of straight-line rents), rent increases per square foot were 24% on the 408,000 square feet of comparable space re-leased during the third quarter, and 27% year-to-date. As of September 30, 2003, Federal Realty’s weighted-average contractual rent for retail space in its portfolio was $17.49 per square foot.</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met or exceeded third quarter expectations for each of our key production and financial measures, including leasing, occupancy and earnings,” stated Donald C. Wood, Federal Realty’s President and Chief Executive Officer. “In addition, we have effectively recycled capital from slower growth assets, including Greenwich Avenue and Coolidge Corner, into higher growth assets, such as Mercer Mall and Plaza del Mercado, as well as a growing number of value-added redevelopment opportunities in our existing portfolio.”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Santana Row</w:t>
      </w:r>
    </w:p>
    <w:p>
      <w:pPr>
        <w:spacing w:after="0" w:line="79"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At Santana Row, Federal Realty’s mixed-use community in San Jose, Calif., 85% of the Phase I retail space was leased as of October 23, 2003, with 90 tenants open and operating, representing 73% of the available Phase I retail space as of that date. In comparison, on July 25, 2003, Santana Row’s Phase I retail space was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380"/>
          </w:cols>
          <w:pgMar w:left="240" w:top="274" w:right="27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THIRD QUARTER 2003 OPERATING RESULTS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2003</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3</w:t>
      </w:r>
    </w:p>
    <w:p>
      <w:pPr>
        <w:spacing w:after="0" w:line="14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81% leased with 80 tenants open, representing 65% of the available retail space. The Container Store, a 32,000 square foot component of Santana Row Phase II opened for business on October 23, ahead of schedule, and Best Buy remains on schedule to open on November 7.</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the residential component of Santana Row, 96% of the 255, Phase I residential units were leased as of October 23, 2003. As a result of continued strong demand for residential units at Santana Row, the Trust’s Board of Trustees recently approved the development of 96 townhomes and 160 flats on the Building 7 podium to replace the units that were destroyed in the August, 2002 fire. Construction is expected to commence shortly, with delivery of the first units expected in early 2005 with the balance delivered later in that year. The Trust will invest nearly $60 million of incremental capital to complete the residential development, and expects to earn an unleveraged return of at least 10.5% on its incremental investment upon stabilization in 2006.</w:t>
      </w:r>
    </w:p>
    <w:p>
      <w:pPr>
        <w:spacing w:after="0" w:line="1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“Phase II of Santana Row, which was 95% pre-leased to Best Buy and The Container Store, is coming on line ahead of schedule, under budget, and above our projected returns,” said Mr. Wood. “Using the knowledge we’ve gained from the lease-up of the 255 residential units in Phase I, and an extensive redesign with a focus on costs, we are confident in our ability to develop these new 256 units on time, on budget and at attractive incremental returns.”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Guidance</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Federal Realty today reconfirmed previous expectations for 2003 FFO per diluted share of $2.60, before the impact of the $3.4 million (or $0.07 per diluted share) change in accounting related to the redemption of preferred shares in the second quarter pursuant to EITF Issue D-42, and increased net income per diluted share expectations to $1.26. In addition, the Trust provided initial guidance for 2004 FFO per diluted share of between $2.72 and $2.76, or $1.06 to $1.10 of net income per diluted share.</w:t>
      </w:r>
    </w:p>
    <w:p>
      <w:pPr>
        <w:spacing w:after="0" w:line="12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“We’re thrilled to return to positive FFO growth for the first time since 2001,” said Larry E. Finger, Federal Realty’s Senior Vice President and Chief Financial Officer. “This demonstrates the quality of our portfolio and the successful execution of our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Other Quarterly Activities and Recent Developments</w:t>
      </w:r>
    </w:p>
    <w:p>
      <w:pPr>
        <w:spacing w:after="0" w:line="79" w:lineRule="exact"/>
        <w:rPr>
          <w:sz w:val="20"/>
          <w:szCs w:val="20"/>
          <w:color w:val="auto"/>
        </w:rPr>
      </w:pPr>
    </w:p>
    <w:p>
      <w:pPr>
        <w:ind w:left="340" w:right="60" w:hanging="332"/>
        <w:spacing w:after="0" w:line="26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3, 2003 – Federal Realty announced the acquisition of Plaza del Mercado, an approximately 96,000 square foot shopping center in Silver Spring, Md. anchored by a CVS Pharmacy and an undersized Giant Food. The Trust acquired the fee interest in the shopping center for $20.0 million in cash in an off-market transaction, representing a capitalization rate of 8.1% based on management’s estimate of projected, cash-basis property operating</w:t>
      </w:r>
    </w:p>
    <w:p>
      <w:pPr>
        <w:spacing w:after="0" w:line="118"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360"/>
          </w:cols>
          <w:pgMar w:left="240" w:top="274" w:right="29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THIRD QUARTER 2003 OPERATING RESULTS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2003</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4</w:t>
      </w:r>
    </w:p>
    <w:p>
      <w:pPr>
        <w:spacing w:after="0" w:line="145"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income over the next 12 months. Redevelopment opportunities, which include a potential grocer expansion and additional gross leaseable area, are projected to increase the yield and value of the property in the next few years, subject to entitlement, leasing and redevelopment risk. In addition, Federal Realty announced the sale of 234 Greenwich Avenue, a 15,000 square foot street retail asset, for $7.95 million, which represented a 5.97% capitalization rate based on management’s estimate of projected, cash-basis property operating income over the next 12 months.</w:t>
      </w:r>
    </w:p>
    <w:p>
      <w:pPr>
        <w:spacing w:after="0" w:line="42" w:lineRule="exact"/>
        <w:rPr>
          <w:sz w:val="20"/>
          <w:szCs w:val="20"/>
          <w:color w:val="auto"/>
        </w:rPr>
      </w:pPr>
    </w:p>
    <w:p>
      <w:pPr>
        <w:ind w:left="340" w:right="100" w:hanging="332"/>
        <w:spacing w:after="0" w:line="25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15, 2003 – Federal Realty announced the acquisition of Mercer Mall, a community shopping center in Mercer County, N.J. The Trust entered into a master lease for the 390,000 square foot primary portion of the shopping center, and acquired a fee interest in 20,000 additional square feet of the Property. The Property is currently 80% occupied, and has significant redevelopment opportunities including the lease-up of vacant anchor spaces, the addition of gross leaseable area, and an upgrade of common areas and facades. Federal Realty expects to increase the yield and value of the property through a redevelopment and expansion of Mercer Mall, subject to entitlement, leasing and redevelopment risk.</w:t>
      </w:r>
    </w:p>
    <w:p>
      <w:pPr>
        <w:spacing w:after="0" w:line="44" w:lineRule="exact"/>
        <w:rPr>
          <w:rFonts w:ascii="Times New Roman" w:cs="Times New Roman" w:eastAsia="Times New Roman" w:hAnsi="Times New Roman"/>
          <w:sz w:val="18"/>
          <w:szCs w:val="18"/>
          <w:color w:val="auto"/>
        </w:rPr>
      </w:pPr>
    </w:p>
    <w:p>
      <w:pPr>
        <w:ind w:left="340" w:hanging="332"/>
        <w:spacing w:after="0" w:line="26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8, 2003 – The Trust closed and funded a new $550 million unsecured credit facility. The new facility, consisting of a $100 million three-year term loan, a $150 million five-year term loan and a $300 million revolving credit facility, replaced Federal Realty’s $300 million revolving credit facility and $125 million term loan, both of which were scheduled to expire on December 19, 2003.</w:t>
      </w:r>
    </w:p>
    <w:p>
      <w:pPr>
        <w:spacing w:after="0" w:line="37" w:lineRule="exact"/>
        <w:rPr>
          <w:rFonts w:ascii="Times New Roman" w:cs="Times New Roman" w:eastAsia="Times New Roman" w:hAnsi="Times New Roman"/>
          <w:sz w:val="18"/>
          <w:szCs w:val="18"/>
          <w:color w:val="auto"/>
        </w:rPr>
      </w:pPr>
    </w:p>
    <w:p>
      <w:pPr>
        <w:ind w:left="340" w:right="20" w:hanging="332"/>
        <w:spacing w:after="0" w:line="25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16, 2003 – Federal Realty announced the sale of Coolidge Corner, a 13,000 square foot Street Retail building in Brookline, Mass., and a 17.7-acre land parcel in Hillsboro, Ore. The sales price for Coolidge Corner represented a 7.4% capitalization rate based on management’s estimate of projected, cash-basis property operating income over the next 12-months. The Trust projected Coolidge Corner would generate a growth rate in annualized property operating income well below Federal Realty’s expectations for its portfolio. Together, the sales generated combined net proceeds of $17.3 million for the Trust.</w:t>
      </w:r>
    </w:p>
    <w:p>
      <w:pPr>
        <w:spacing w:after="0" w:line="44" w:lineRule="exact"/>
        <w:rPr>
          <w:rFonts w:ascii="Times New Roman" w:cs="Times New Roman" w:eastAsia="Times New Roman" w:hAnsi="Times New Roman"/>
          <w:sz w:val="18"/>
          <w:szCs w:val="18"/>
          <w:color w:val="auto"/>
        </w:rPr>
      </w:pPr>
    </w:p>
    <w:p>
      <w:pPr>
        <w:ind w:left="340" w:right="620" w:hanging="332"/>
        <w:spacing w:after="0" w:line="23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11, 2003 – Federal Realty announced that its Board of Trustees increased the common dividend to $0.49 per common share, marking the 36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consecutive year that the Trust has increased its common dividend, the longest such record in the REIT sector.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7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Federal Realty’s management team will present an in-depth discussion of the Trust’s operating performance on its third quarter earnings conference call, which is scheduled for Tuesday, November 4, 2003, at 1 p.m.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420"/>
          </w:cols>
          <w:pgMar w:left="240" w:top="274" w:right="2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THIRD QUARTER 2003 OPERATING RESULTS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2003</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5</w:t>
      </w:r>
    </w:p>
    <w:p>
      <w:pPr>
        <w:spacing w:after="0" w:line="145" w:lineRule="exact"/>
        <w:rPr>
          <w:sz w:val="20"/>
          <w:szCs w:val="20"/>
          <w:color w:val="auto"/>
        </w:rPr>
      </w:pPr>
    </w:p>
    <w:p>
      <w:pPr>
        <w:jc w:val="both"/>
        <w:ind w:right="340"/>
        <w:spacing w:after="0" w:line="310" w:lineRule="auto"/>
        <w:rPr>
          <w:sz w:val="20"/>
          <w:szCs w:val="20"/>
          <w:color w:val="auto"/>
        </w:rPr>
      </w:pPr>
      <w:r>
        <w:rPr>
          <w:rFonts w:ascii="Times New Roman" w:cs="Times New Roman" w:eastAsia="Times New Roman" w:hAnsi="Times New Roman"/>
          <w:sz w:val="16"/>
          <w:szCs w:val="16"/>
          <w:color w:val="auto"/>
        </w:rPr>
        <w:t>EST. To participate, please call (800) 857-7003 five to ten minutes prior to the call’s start time and use the Passcode EARNINGS (required). The conference leader is Andrew Blocher. Federal Realty will also provide an online Web Simulcast on the company’s Web site, www.federalrealty.com, which will remain available for 14 days following the call. A telephone recording of the call will also be available for 14 days by dialing (800) 925-2730.</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Federal Realty Investment Trust is an equity real estate investment trust specializing in the ownership, management, development, and redevelopment of shopping centers and Street Retail properties. Federal Realty’s portfolio contains approximately 16.2 million square feet located primarily in strategic metropolitan markets in the Northeast, Mid-Atlantic, and Western United States. The operating portfolio was 94% occupied by over 2,000 national, regional, and local retailers as of September 30, 2003, with no single tenant accounting for more than 2.5% of rental revenue. Federal Realty has paid quarterly dividends to its shareholders continuously since its founding in 1962, and has increased its dividend rate for 36 consecutive years, the longest consecutive record in the REIT industry.</w:t>
      </w:r>
    </w:p>
    <w:p>
      <w:pPr>
        <w:spacing w:after="0" w:line="126"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auto"/>
        </w:rPr>
        <w:t>Shares of Federal Realty are traded on the NYSE under the symbol FRT. Additional information about Federal Realty can be found on the Internet at www.federalrealty.com.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7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 factors that may impact these expectations include:</w:t>
      </w:r>
    </w:p>
    <w:p>
      <w:pPr>
        <w:spacing w:after="0" w:line="33" w:lineRule="exact"/>
        <w:rPr>
          <w:sz w:val="20"/>
          <w:szCs w:val="20"/>
          <w:color w:val="auto"/>
        </w:rPr>
      </w:pPr>
    </w:p>
    <w:p>
      <w:pPr>
        <w:ind w:left="800" w:right="80" w:hanging="346"/>
        <w:spacing w:after="0" w:line="277" w:lineRule="auto"/>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w:t>
      </w:r>
    </w:p>
    <w:p>
      <w:pPr>
        <w:spacing w:after="0" w:line="21" w:lineRule="exact"/>
        <w:rPr>
          <w:rFonts w:ascii="Times New Roman" w:cs="Times New Roman" w:eastAsia="Times New Roman" w:hAnsi="Times New Roman"/>
          <w:sz w:val="18"/>
          <w:szCs w:val="18"/>
          <w:i w:val="1"/>
          <w:iCs w:val="1"/>
          <w:color w:val="auto"/>
        </w:rPr>
      </w:pPr>
    </w:p>
    <w:p>
      <w:pPr>
        <w:ind w:left="800" w:hanging="346"/>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that our growth will be limited if we cannot obtain additional capital;</w:t>
      </w:r>
    </w:p>
    <w:p>
      <w:pPr>
        <w:spacing w:after="0" w:line="76" w:lineRule="exact"/>
        <w:rPr>
          <w:rFonts w:ascii="Times New Roman" w:cs="Times New Roman" w:eastAsia="Times New Roman" w:hAnsi="Times New Roman"/>
          <w:sz w:val="18"/>
          <w:szCs w:val="18"/>
          <w:i w:val="1"/>
          <w:iCs w:val="1"/>
          <w:color w:val="auto"/>
        </w:rPr>
      </w:pPr>
    </w:p>
    <w:p>
      <w:pPr>
        <w:ind w:left="800" w:right="20" w:hanging="346"/>
        <w:spacing w:after="0" w:line="259" w:lineRule="auto"/>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our tenants will not pay rent or that we may be unable to renew leases or relet space at favorable rents as leases expire, that new acquisitions or our development, construction and renovation projects, including our Santana Row project, may fail to perform as expected, that competition for acquisitions could result in increased prices, that we may have environmental risks at our properties, and, because real estate is illiquid, that we may not be able to sell properties when appropriate;</w:t>
      </w:r>
    </w:p>
    <w:p>
      <w:pPr>
        <w:spacing w:after="0" w:line="38" w:lineRule="exact"/>
        <w:rPr>
          <w:rFonts w:ascii="Times New Roman" w:cs="Times New Roman" w:eastAsia="Times New Roman" w:hAnsi="Times New Roman"/>
          <w:sz w:val="18"/>
          <w:szCs w:val="18"/>
          <w:i w:val="1"/>
          <w:iCs w:val="1"/>
          <w:color w:val="auto"/>
        </w:rPr>
      </w:pPr>
    </w:p>
    <w:p>
      <w:pPr>
        <w:ind w:left="800" w:hanging="346"/>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 of delay and cost overruns in construction of the residential units on Building 7;</w:t>
      </w:r>
    </w:p>
    <w:p>
      <w:pPr>
        <w:spacing w:after="0" w:line="76" w:lineRule="exact"/>
        <w:rPr>
          <w:rFonts w:ascii="Times New Roman" w:cs="Times New Roman" w:eastAsia="Times New Roman" w:hAnsi="Times New Roman"/>
          <w:sz w:val="18"/>
          <w:szCs w:val="18"/>
          <w:i w:val="1"/>
          <w:iCs w:val="1"/>
          <w:color w:val="auto"/>
        </w:rPr>
      </w:pPr>
    </w:p>
    <w:p>
      <w:pPr>
        <w:ind w:left="800" w:hanging="346"/>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that we will be unable to lease the new residential units on Building 7 at the rates, or as quickly, as we have projected;</w:t>
      </w:r>
    </w:p>
    <w:p>
      <w:pPr>
        <w:spacing w:after="0" w:line="159" w:lineRule="exact"/>
        <w:rPr>
          <w:rFonts w:ascii="Times New Roman" w:cs="Times New Roman" w:eastAsia="Times New Roman" w:hAnsi="Times New Roman"/>
          <w:sz w:val="18"/>
          <w:szCs w:val="18"/>
          <w:i w:val="1"/>
          <w:iCs w:val="1"/>
          <w:color w:val="auto"/>
        </w:rPr>
      </w:pPr>
    </w:p>
    <w:p>
      <w:pPr>
        <w:ind w:left="540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340"/>
          </w:cols>
          <w:pgMar w:left="240" w:top="274" w:right="31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THIRD QUARTER 2003 OPERATING RESULTS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2003</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Page 6</w:t>
      </w:r>
    </w:p>
    <w:p>
      <w:pPr>
        <w:spacing w:after="0" w:line="143" w:lineRule="exact"/>
        <w:rPr>
          <w:sz w:val="20"/>
          <w:szCs w:val="20"/>
          <w:color w:val="auto"/>
        </w:rPr>
      </w:pPr>
    </w:p>
    <w:p>
      <w:pPr>
        <w:ind w:left="800" w:hanging="346"/>
        <w:spacing w:after="0"/>
        <w:tabs>
          <w:tab w:leader="none" w:pos="8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that the costs of operating the residential units on Building 7, including real estate taxes and insurance, will be higher than anticipated;</w:t>
      </w:r>
    </w:p>
    <w:p>
      <w:pPr>
        <w:spacing w:after="0" w:line="76" w:lineRule="exact"/>
        <w:rPr>
          <w:rFonts w:ascii="Times New Roman" w:cs="Times New Roman" w:eastAsia="Times New Roman" w:hAnsi="Times New Roman"/>
          <w:sz w:val="18"/>
          <w:szCs w:val="18"/>
          <w:i w:val="1"/>
          <w:iCs w:val="1"/>
          <w:color w:val="auto"/>
        </w:rPr>
      </w:pPr>
    </w:p>
    <w:p>
      <w:pPr>
        <w:ind w:left="800" w:hanging="346"/>
        <w:spacing w:after="0" w:line="325" w:lineRule="auto"/>
        <w:tabs>
          <w:tab w:leader="none" w:pos="80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6"/>
          <w:szCs w:val="16"/>
          <w:i w:val="1"/>
          <w:iCs w:val="1"/>
          <w:color w:val="auto"/>
        </w:rPr>
      </w:pPr>
    </w:p>
    <w:p>
      <w:pPr>
        <w:ind w:left="800" w:right="60" w:hanging="346"/>
        <w:spacing w:after="0" w:line="277" w:lineRule="auto"/>
        <w:tabs>
          <w:tab w:leader="none" w:pos="8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those additional risks detailed from time to time in our SEC reports, including our current report on Form 8-K filed with the SEC on March 25, 2003, our annual report on Form 10-K filed with the SEC on March 26, 2003 and our quarterly reports on Form 10-Q.</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assumes no obligation to update or supplement forward-looking statements that become untrue because of subsequent events.</w:t>
      </w:r>
    </w:p>
    <w:p>
      <w:pPr>
        <w:spacing w:after="0" w:line="16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 More –</w:t>
      </w:r>
    </w:p>
    <w:p>
      <w:pPr>
        <w:sectPr>
          <w:pgSz w:w="11900" w:h="16838" w:orient="portrait"/>
          <w:cols w:equalWidth="0" w:num="1">
            <w:col w:w="11360"/>
          </w:cols>
          <w:pgMar w:left="240" w:top="274" w:right="299" w:bottom="1440" w:gutter="0" w:footer="0" w:header="0"/>
        </w:sectPr>
      </w:pPr>
    </w:p>
    <w:bookmarkStart w:id="11" w:name="page12"/>
    <w:bookmarkEnd w:id="1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820" w:type="dxa"/>
            <w:vAlign w:val="bottom"/>
            <w:gridSpan w:val="5"/>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74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Rental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81,387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72,041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241,482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213,532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property income</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87,229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78,097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258,478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Rental</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19,126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Real estate taxes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operating expenses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28,124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8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59,105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52,834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172,737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156,573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18,719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13,540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Restructuring expenses</w:t>
            </w:r>
          </w:p>
        </w:tc>
        <w:tc>
          <w:tcPr>
            <w:tcW w:w="1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18,710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40,650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33,290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118,415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income before minority interests and discontinued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18,455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Minority interests</w:t>
            </w:r>
          </w:p>
        </w:tc>
        <w:tc>
          <w:tcPr>
            <w:tcW w:w="12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(1,053)</w:t>
            </w: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(1,081)</w:t>
            </w: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Operating income from discontinued operations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on sale of real estate net of loss on abandoned developments held for sale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24,595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Preferred stock redemption – excess of redemption cost over carrying value</w:t>
            </w:r>
          </w:p>
        </w:tc>
        <w:tc>
          <w:tcPr>
            <w:tcW w:w="1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(2,869)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(4,856)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21,726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21,726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13,648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Gain on sale of real estate net of loss on abandoned developments held for sale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(7,172)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16,974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Funds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33,330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29,700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50,216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44,036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Funds from operations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Weighted average number of common shares, basic</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48,935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42,802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-3914140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-3914140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-3914140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-3914140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-3914140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-3914140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-3914140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-3914140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-3914140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-3914140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-3914140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-3914140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-2644775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-2644775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-2644775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-2644775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-2644775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-2644775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-2644775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-2644775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-2644775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-2644775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-2644775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-2644775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-2344420</wp:posOffset>
            </wp:positionV>
            <wp:extent cx="4070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-2344420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-2344420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-2344420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-2344420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-2344420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-2344420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-2344420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-2344420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-2344420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-2044700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-2044700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-2044700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-2044700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-2044700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-2044700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-2044700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-2044700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-2044700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-2044700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-2044700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-2044700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-1186815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-1186815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-1186815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-1186815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-1186815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-1186815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-1186815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-1186815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-1186815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-1186815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-1186815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-1186815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-887095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-887095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-887095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-887095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-887095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-887095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-887095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-887095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-887095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-887095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-887095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-887095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47" w:orient="portrait"/>
          <w:cols w:equalWidth="0" w:num="1">
            <w:col w:w="11420"/>
          </w:cols>
          <w:pgMar w:left="240" w:top="272"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14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44,036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100" w:type="dxa"/>
            <w:vAlign w:val="bottom"/>
            <w:shd w:val="clear" w:color="auto" w:fill="CCEEFF"/>
          </w:tcPr>
          <w:p>
            <w:pPr>
              <w:spacing w:after="0"/>
              <w:rPr>
                <w:sz w:val="18"/>
                <w:szCs w:val="18"/>
                <w:color w:val="auto"/>
              </w:rPr>
            </w:pPr>
          </w:p>
        </w:tc>
      </w:tr>
      <w:tr>
        <w:trPr>
          <w:trHeight w:val="132"/>
        </w:trPr>
        <w:tc>
          <w:tcPr>
            <w:tcW w:w="7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4070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8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BALANCE SHEET DATA</w:t>
            </w:r>
          </w:p>
        </w:tc>
        <w:tc>
          <w:tcPr>
            <w:tcW w:w="71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at cost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2,185,976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1,966,338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2,375,548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2,306,826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2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(499,017)</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(450,697)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1,876,531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1,856,129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Mortgage notes receivable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Cash and investments</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72,357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2,044,044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Obligations under capital leases, mortgages and construction loans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354,914</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line="216" w:lineRule="exact"/>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Convertible subordinated debentures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139,630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1,364,153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1,355,091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and Other Shareholders’ Equity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544,891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7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2,044,044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1,999,378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-2061845</wp:posOffset>
            </wp:positionV>
            <wp:extent cx="56134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-2061845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-2061845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-2061845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 Funds Available for Distribution / Summary of Capital Expenditures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40" w:type="dxa"/>
            <w:vAlign w:val="bottom"/>
            <w:gridSpan w:val="3"/>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 data)</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Funds From Operations (FFO) (1)</w:t>
            </w:r>
          </w:p>
        </w:tc>
        <w:tc>
          <w:tcPr>
            <w:tcW w:w="534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0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on sale of assets</w:t>
            </w: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(7,172)</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FFO</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33,330</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FFO per share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Funds Available for Distribution (FAD)</w:t>
            </w:r>
          </w:p>
        </w:tc>
        <w:tc>
          <w:tcPr>
            <w:tcW w:w="49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FFO</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33,330</w:t>
            </w:r>
          </w:p>
        </w:tc>
        <w:tc>
          <w:tcPr>
            <w:tcW w:w="10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(1,665)</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31,665</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dividends declared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360" w:type="dxa"/>
            <w:vAlign w:val="bottom"/>
          </w:tcPr>
          <w:p>
            <w:pPr>
              <w:spacing w:after="0"/>
              <w:rPr>
                <w:sz w:val="24"/>
                <w:szCs w:val="24"/>
                <w:color w:val="auto"/>
              </w:rPr>
            </w:pPr>
          </w:p>
        </w:tc>
        <w:tc>
          <w:tcPr>
            <w:tcW w:w="18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FAD</w:t>
            </w:r>
          </w:p>
        </w:tc>
        <w:tc>
          <w:tcPr>
            <w:tcW w:w="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84"/>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Summary of Capital Expenditures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Development, net of insurance reimbursements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10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Related (2)</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Redevelopments and Expansions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Tenant Improvements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Non-maintenance Capital Expenditures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31,824</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9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-3922395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-3922395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-3922395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-3922395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-3922395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-3922395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-3416935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-3416935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-3416935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-3416935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-3416935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-3416935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-2773680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-2773680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-2773680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-2773680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-2773680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-2773680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-2473325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-2473325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-2473325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-2473325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-2473325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-2473325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p>
    <w:p>
      <w:pPr>
        <w:spacing w:after="0" w:line="2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Glossary of Terms.</w:t>
      </w:r>
    </w:p>
    <w:p>
      <w:pPr>
        <w:spacing w:after="0" w:line="9"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related to properties acquired in the last two years for which non-maintenance expenditures were planned at the time of the acquisition underwriting.</w:t>
      </w:r>
    </w:p>
    <w:p>
      <w:pPr>
        <w:sectPr>
          <w:pgSz w:w="11900" w:h="16838" w:orient="portrait"/>
          <w:cols w:equalWidth="0" w:num="1">
            <w:col w:w="11420"/>
          </w:cols>
          <w:pgMar w:left="240" w:top="27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Data / Capital Availability / Operational Statistics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43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740" w:type="dxa"/>
            <w:vAlign w:val="bottom"/>
          </w:tcPr>
          <w:p>
            <w:pPr>
              <w:spacing w:after="0"/>
              <w:rPr>
                <w:sz w:val="22"/>
                <w:szCs w:val="22"/>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gridSpan w:val="2"/>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Series A preferred shares outstanding (1)</w:t>
            </w:r>
          </w:p>
        </w:tc>
        <w:tc>
          <w:tcPr>
            <w:tcW w:w="120" w:type="dxa"/>
            <w:vAlign w:val="bottom"/>
          </w:tcPr>
          <w:p>
            <w:pPr>
              <w:spacing w:after="0"/>
              <w:rPr>
                <w:sz w:val="24"/>
                <w:szCs w:val="24"/>
                <w:color w:val="auto"/>
              </w:rPr>
            </w:pPr>
          </w:p>
        </w:tc>
        <w:tc>
          <w:tcPr>
            <w:tcW w:w="126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 price per Series A preferred share</w:t>
            </w: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Series B preferred shares outstanding</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 price per Series B preferred share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Equity market capitalization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1,408,247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debt (2)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1,092,610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market capitalization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3,078,302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2,500,857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debt to market capitalization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availability: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on hand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 deferred exchange escrows</w:t>
            </w: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Available capacity under line of credit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Available capacity under Santana Row construction loan (3)</w:t>
            </w: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Available for issuance under shelf registration statement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535,656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588,771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140" w:type="dxa"/>
            <w:vAlign w:val="bottom"/>
            <w:tcBorders>
              <w:bottom w:val="single" w:sz="8" w:color="auto"/>
            </w:tcBorders>
            <w:gridSpan w:val="3"/>
          </w:tcPr>
          <w:p>
            <w:pPr>
              <w:spacing w:after="0"/>
              <w:rPr>
                <w:sz w:val="11"/>
                <w:szCs w:val="11"/>
                <w:color w:val="auto"/>
              </w:rPr>
            </w:pPr>
          </w:p>
        </w:tc>
        <w:tc>
          <w:tcPr>
            <w:tcW w:w="2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Operational statistics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Ratio of earnings to fixed charges (4)</w:t>
            </w:r>
          </w:p>
        </w:tc>
        <w:tc>
          <w:tcPr>
            <w:tcW w:w="120" w:type="dxa"/>
            <w:vAlign w:val="bottom"/>
          </w:tcPr>
          <w:p>
            <w:pPr>
              <w:spacing w:after="0"/>
              <w:rPr>
                <w:sz w:val="19"/>
                <w:szCs w:val="19"/>
                <w:color w:val="auto"/>
              </w:rPr>
            </w:pPr>
          </w:p>
        </w:tc>
        <w:tc>
          <w:tcPr>
            <w:tcW w:w="12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1.59x</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1.36x(5)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share dividends (4)</w:t>
            </w: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1.34x</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1.11x(5)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Ratio of EBITDA to combined fixed charges and preferred share dividends (4) (6)</w:t>
            </w:r>
          </w:p>
        </w:tc>
        <w:tc>
          <w:tcPr>
            <w:tcW w:w="120" w:type="dxa"/>
            <w:vAlign w:val="bottom"/>
          </w:tcPr>
          <w:p>
            <w:pPr>
              <w:spacing w:after="0"/>
              <w:rPr>
                <w:sz w:val="24"/>
                <w:szCs w:val="24"/>
                <w:color w:val="auto"/>
              </w:rPr>
            </w:pPr>
          </w:p>
        </w:tc>
        <w:tc>
          <w:tcPr>
            <w:tcW w:w="12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2.01x</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1.69x(5)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Administrative expense as a percentage of total revenues</w:t>
            </w: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3.70%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-3122930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-3122930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-3122930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-3122930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-3122930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-3122930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-2822575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-2822575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-2822575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-2822575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-2822575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-2822575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-1553845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-1553845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-1553845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-1553845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-1553845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-1553845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p>
    <w:p>
      <w:pPr>
        <w:spacing w:after="0" w:line="21"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Preferred Shares were redeemed on June 13, 2003.</w:t>
      </w:r>
    </w:p>
    <w:p>
      <w:pPr>
        <w:spacing w:after="0" w:line="9"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includes mortgages and construction loans payable, notes payable, senior notes and debentures. The 5.25% convertible subordinated debentures were redeemed and paid in full in June 2003.</w:t>
      </w: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Santana Row construction loan retired on November 19, 2002.</w:t>
      </w:r>
    </w:p>
    <w:p>
      <w:pPr>
        <w:spacing w:after="0" w:line="9"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and Series B preferred shares.</w:t>
      </w:r>
    </w:p>
    <w:p>
      <w:pPr>
        <w:spacing w:after="0" w:line="1"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$8.5 million restructuring charge incurred in the first quarter of 2002. Excluding this charge the ratio of earnings to fixed charges would have been 1.49x, the ratio of earnings to combined fixed charges and preferred share dividends would have been 1.22x and the ratio of EBITDA to combined fixed charges and preferred share dividends would have been 1.80x.</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Glossary of Terms for reconciliation of EBITDA to net income.</w:t>
      </w:r>
    </w:p>
    <w:p>
      <w:pPr>
        <w:sectPr>
          <w:pgSz w:w="11900" w:h="16838" w:orient="portrait"/>
          <w:cols w:equalWidth="0" w:num="1">
            <w:col w:w="11420"/>
          </w:cols>
          <w:pgMar w:left="240" w:top="27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Outstanding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4"/>
              </w:rPr>
              <w:t>Effective Rate</w:t>
            </w:r>
          </w:p>
        </w:tc>
        <w:tc>
          <w:tcPr>
            <w:tcW w:w="210" w:type="dxa"/>
            <w:vAlign w:val="bottom"/>
          </w:tcPr>
          <w:p>
            <w:pPr>
              <w:spacing w:after="0"/>
              <w:rPr>
                <w:sz w:val="15"/>
                <w:szCs w:val="15"/>
                <w:color w:val="auto"/>
              </w:rPr>
            </w:pPr>
          </w:p>
        </w:tc>
        <w:tc>
          <w:tcPr>
            <w:tcW w:w="133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Mortgage Loans</w:t>
            </w: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0" w:type="dxa"/>
            <w:vAlign w:val="bottom"/>
            <w:tcBorders>
              <w:top w:val="single" w:sz="8" w:color="CCEEFF"/>
            </w:tcBorders>
            <w:shd w:val="clear" w:color="auto" w:fill="CCEEFF"/>
          </w:tcPr>
          <w:p>
            <w:pPr>
              <w:spacing w:after="0" w:line="20" w:lineRule="exact"/>
              <w:rPr>
                <w:sz w:val="1"/>
                <w:szCs w:val="1"/>
                <w:color w:val="auto"/>
              </w:rPr>
            </w:pPr>
          </w:p>
        </w:tc>
        <w:tc>
          <w:tcPr>
            <w:tcW w:w="71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Leesburg Plaza</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10/01/08</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6.510%</w:t>
            </w:r>
          </w:p>
        </w:tc>
        <w:tc>
          <w:tcPr>
            <w:tcW w:w="21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164 E Houston Street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10/06/08</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7.500%</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Federal Plaza</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06/01/11</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6.750%</w:t>
            </w:r>
          </w:p>
        </w:tc>
        <w:tc>
          <w:tcPr>
            <w:tcW w:w="2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35,638</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Tyson’s Station</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09/01/11</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7.400%</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Barracks Road</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11/01/15</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7.950%</w:t>
            </w:r>
          </w:p>
        </w:tc>
        <w:tc>
          <w:tcPr>
            <w:tcW w:w="2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Hauppauge</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11/01/15</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7.950%</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Lawrence Park</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11/01/15</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7.950%</w:t>
            </w:r>
          </w:p>
        </w:tc>
        <w:tc>
          <w:tcPr>
            <w:tcW w:w="2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Wildwood</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11/01/15</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7.950%</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Wynnewood</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11/01/15</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7.950%</w:t>
            </w:r>
          </w:p>
        </w:tc>
        <w:tc>
          <w:tcPr>
            <w:tcW w:w="2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Brick Plaza</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11/01/15</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7.415%</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Mount Vernon</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04/15/28</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5.660%</w:t>
            </w:r>
          </w:p>
        </w:tc>
        <w:tc>
          <w:tcPr>
            <w:tcW w:w="210" w:type="dxa"/>
            <w:vAlign w:val="bottom"/>
          </w:tcPr>
          <w:p>
            <w:pPr>
              <w:spacing w:after="0"/>
              <w:rPr>
                <w:sz w:val="19"/>
                <w:szCs w:val="19"/>
                <w:color w:val="auto"/>
              </w:rPr>
            </w:pPr>
          </w:p>
        </w:tc>
        <w:tc>
          <w:tcPr>
            <w:tcW w:w="133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13,148(a)</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250,708</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0" w:type="dxa"/>
            <w:vAlign w:val="bottom"/>
          </w:tcPr>
          <w:p>
            <w:pPr>
              <w:spacing w:after="0"/>
              <w:rPr>
                <w:sz w:val="9"/>
                <w:szCs w:val="9"/>
                <w:color w:val="auto"/>
              </w:rPr>
            </w:pPr>
          </w:p>
        </w:tc>
        <w:tc>
          <w:tcPr>
            <w:tcW w:w="71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4"/>
              </w:rPr>
              <w:t>Notes payable</w:t>
            </w:r>
          </w:p>
        </w:tc>
        <w:tc>
          <w:tcPr>
            <w:tcW w:w="370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10" w:type="dxa"/>
            <w:vAlign w:val="bottom"/>
            <w:tcBorders>
              <w:bottom w:val="single" w:sz="8" w:color="CCEEFF"/>
            </w:tcBorders>
            <w:shd w:val="clear" w:color="auto" w:fill="CCEEFF"/>
          </w:tcPr>
          <w:p>
            <w:pPr>
              <w:spacing w:after="0"/>
              <w:rPr>
                <w:sz w:val="17"/>
                <w:szCs w:val="17"/>
                <w:color w:val="auto"/>
              </w:rPr>
            </w:pPr>
          </w:p>
        </w:tc>
        <w:tc>
          <w:tcPr>
            <w:tcW w:w="71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12/19/03</w:t>
            </w: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libor + .80%(b)</w:t>
            </w:r>
          </w:p>
        </w:tc>
        <w:tc>
          <w:tcPr>
            <w:tcW w:w="21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Term note with banks</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12/19/03</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6.22%(c)</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6"/>
          </w:tcPr>
          <w:p>
            <w:pPr>
              <w:ind w:left="420"/>
              <w:spacing w:after="0" w:line="201" w:lineRule="exact"/>
              <w:rPr>
                <w:sz w:val="20"/>
                <w:szCs w:val="20"/>
                <w:color w:val="auto"/>
              </w:rPr>
            </w:pPr>
            <w:r>
              <w:rPr>
                <w:rFonts w:ascii="Times New Roman" w:cs="Times New Roman" w:eastAsia="Times New Roman" w:hAnsi="Times New Roman"/>
                <w:sz w:val="18"/>
                <w:szCs w:val="18"/>
                <w:color w:val="auto"/>
              </w:rPr>
              <w:t>Note issued in connection with renovation of Perring</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Plaza</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01/31/13</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10.00%</w:t>
            </w:r>
          </w:p>
        </w:tc>
        <w:tc>
          <w:tcPr>
            <w:tcW w:w="2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Escondido (Municipal bonds)</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10/01/16</w:t>
            </w:r>
          </w:p>
        </w:tc>
        <w:tc>
          <w:tcPr>
            <w:tcW w:w="1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3.060%(d)</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various</w:t>
            </w: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various</w:t>
            </w:r>
          </w:p>
        </w:tc>
        <w:tc>
          <w:tcPr>
            <w:tcW w:w="2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334,609</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0" w:type="dxa"/>
            <w:vAlign w:val="bottom"/>
          </w:tcPr>
          <w:p>
            <w:pPr>
              <w:spacing w:after="0"/>
              <w:rPr>
                <w:sz w:val="9"/>
                <w:szCs w:val="9"/>
                <w:color w:val="auto"/>
              </w:rPr>
            </w:pPr>
          </w:p>
        </w:tc>
        <w:tc>
          <w:tcPr>
            <w:tcW w:w="71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Unsecured Public Debt</w:t>
            </w:r>
          </w:p>
        </w:tc>
        <w:tc>
          <w:tcPr>
            <w:tcW w:w="302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10" w:type="dxa"/>
            <w:vAlign w:val="bottom"/>
            <w:tcBorders>
              <w:bottom w:val="single" w:sz="8" w:color="CCEEFF"/>
            </w:tcBorders>
            <w:shd w:val="clear" w:color="auto" w:fill="CCEEFF"/>
          </w:tcPr>
          <w:p>
            <w:pPr>
              <w:spacing w:after="0"/>
              <w:rPr>
                <w:sz w:val="17"/>
                <w:szCs w:val="17"/>
                <w:color w:val="auto"/>
              </w:rPr>
            </w:pPr>
          </w:p>
        </w:tc>
        <w:tc>
          <w:tcPr>
            <w:tcW w:w="71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7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Notes and Debentures</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71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6.74% Medium Term Notes (e)</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03/10/04</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6.370%</w:t>
            </w:r>
          </w:p>
        </w:tc>
        <w:tc>
          <w:tcPr>
            <w:tcW w:w="21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6.625% Notes (fixed)</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12/01/05</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6.625%</w:t>
            </w:r>
          </w:p>
        </w:tc>
        <w:tc>
          <w:tcPr>
            <w:tcW w:w="2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6.99% Medium Term Notes (e)</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03/10/06</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6.894%</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6.125% Notes (f)</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11/15/07</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6.325%</w:t>
            </w:r>
          </w:p>
        </w:tc>
        <w:tc>
          <w:tcPr>
            <w:tcW w:w="2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8.75% Notes</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12/01/09</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8.750%</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7.48% Debentures</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08/15/26</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7.480%</w:t>
            </w:r>
          </w:p>
        </w:tc>
        <w:tc>
          <w:tcPr>
            <w:tcW w:w="2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6.82% Medium Term Notes</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08/01/27</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6.820%</w:t>
            </w:r>
          </w:p>
        </w:tc>
        <w:tc>
          <w:tcPr>
            <w:tcW w:w="2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Weighted average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interest 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fixed rate debt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912,917</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81.49%</w:t>
            </w: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Total variable rate debt</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207,400</w:t>
            </w:r>
          </w:p>
        </w:tc>
        <w:tc>
          <w:tcPr>
            <w:tcW w:w="62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18.51%</w:t>
            </w:r>
          </w:p>
        </w:tc>
        <w:tc>
          <w:tcPr>
            <w:tcW w:w="14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4"/>
              </w:rPr>
              <w:t>2.07%(g)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debt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1,120,317</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2"/>
              </w:rPr>
              <w:t>100.00%</w:t>
            </w: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0" w:type="dxa"/>
            <w:vAlign w:val="bottom"/>
          </w:tcPr>
          <w:p>
            <w:pPr>
              <w:spacing w:after="0"/>
              <w:rPr>
                <w:sz w:val="9"/>
                <w:szCs w:val="9"/>
                <w:color w:val="auto"/>
              </w:rPr>
            </w:pPr>
          </w:p>
        </w:tc>
        <w:tc>
          <w:tcPr>
            <w:tcW w:w="71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20" w:type="dxa"/>
            <w:vAlign w:val="bottom"/>
            <w:tcBorders>
              <w:bottom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6"/>
              </w:rPr>
              <w:t>Capital lease obligations</w:t>
            </w:r>
          </w:p>
        </w:tc>
        <w:tc>
          <w:tcPr>
            <w:tcW w:w="2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10" w:type="dxa"/>
            <w:vAlign w:val="bottom"/>
            <w:tcBorders>
              <w:bottom w:val="single" w:sz="8" w:color="CCEEFF"/>
            </w:tcBorders>
            <w:shd w:val="clear" w:color="auto" w:fill="CCEEFF"/>
          </w:tcPr>
          <w:p>
            <w:pPr>
              <w:spacing w:after="0"/>
              <w:rPr>
                <w:sz w:val="17"/>
                <w:szCs w:val="17"/>
                <w:color w:val="auto"/>
              </w:rPr>
            </w:pPr>
          </w:p>
        </w:tc>
        <w:tc>
          <w:tcPr>
            <w:tcW w:w="71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Various through 2077 (h)</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104,206</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debt and capital lease obligations</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1,224,523</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-5097780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-5097780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-5097780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-3691255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-3691255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-3691255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-1941830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-1941830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-1941830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-749300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-749300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-749300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-749300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-749300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-749300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-749300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0"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the option to call the loan after year ten.</w:t>
      </w:r>
    </w:p>
    <w:p>
      <w:pPr>
        <w:spacing w:after="0" w:line="21" w:lineRule="exact"/>
        <w:rPr>
          <w:rFonts w:ascii="Times New Roman" w:cs="Times New Roman" w:eastAsia="Times New Roman" w:hAnsi="Times New Roman"/>
          <w:sz w:val="18"/>
          <w:szCs w:val="18"/>
          <w:color w:val="auto"/>
        </w:rPr>
      </w:pPr>
    </w:p>
    <w:p>
      <w:pPr>
        <w:ind w:left="460" w:right="100" w:hanging="452"/>
        <w:spacing w:after="0" w:line="281"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as of September 30, 2003. On October 8, 2003, we closed on a new $550 million unsecured credit facility which replaced our $300 million revolving credit facility and $125 million term loan, both of which were due to mature on December 19, 2003. The new credit facility consists of a $150 million five-year term loan, a $100 million three-year term loan, and a $300 million three-year revolving credit facility, with a one-year extension option. The term loans bear interest at LIBOR plus 95 basis points, while the revolving facility bears interest at LIBOR plus 75 basis points.</w:t>
      </w:r>
    </w:p>
    <w:p>
      <w:pPr>
        <w:spacing w:after="0" w:line="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plus 95 basis points. The Trust purchased interest rate swaps or hedges on this note, thereby locking in the LIBOR interest rate at 5.27%.</w:t>
      </w:r>
    </w:p>
    <w:p>
      <w:pPr>
        <w:spacing w:after="0" w:line="9" w:lineRule="exact"/>
        <w:rPr>
          <w:rFonts w:ascii="Times New Roman" w:cs="Times New Roman" w:eastAsia="Times New Roman" w:hAnsi="Times New Roman"/>
          <w:sz w:val="18"/>
          <w:szCs w:val="18"/>
          <w:color w:val="auto"/>
        </w:rPr>
      </w:pPr>
    </w:p>
    <w:p>
      <w:pPr>
        <w:ind w:left="460" w:right="62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bonds bear interest at a variable rate determined weekly to be the interest rate which would enable the bonds to be remarketed at 100% of their principal amount. The weighted average interest rate for the nine months ended September 30, 2003 was 2.9%.</w:t>
      </w: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purchased interest rate swaps at issuance, thereby reducing the effective interest on these notes.</w:t>
      </w:r>
    </w:p>
    <w:p>
      <w:pPr>
        <w:spacing w:after="0" w:line="9" w:lineRule="exact"/>
        <w:rPr>
          <w:rFonts w:ascii="Times New Roman" w:cs="Times New Roman" w:eastAsia="Times New Roman" w:hAnsi="Times New Roman"/>
          <w:sz w:val="18"/>
          <w:szCs w:val="18"/>
          <w:color w:val="auto"/>
        </w:rPr>
      </w:pPr>
    </w:p>
    <w:p>
      <w:pPr>
        <w:ind w:left="460" w:right="36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purchased an interest rate lock to hedge the note offering. A hedge loss of $1.5 million associated with this hedge is being amortized into the November 2002 note offering thereby increasing the effective interest rate on these notes to 6.325%.</w:t>
      </w: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interest rate on variable rate debt as of September 30, 2003.</w:t>
      </w:r>
    </w:p>
    <w:p>
      <w:pPr>
        <w:spacing w:after="0" w:line="9" w:lineRule="exact"/>
        <w:rPr>
          <w:rFonts w:ascii="Times New Roman" w:cs="Times New Roman" w:eastAsia="Times New Roman" w:hAnsi="Times New Roman"/>
          <w:sz w:val="18"/>
          <w:szCs w:val="18"/>
          <w:color w:val="auto"/>
        </w:rPr>
      </w:pPr>
    </w:p>
    <w:p>
      <w:pPr>
        <w:ind w:left="460" w:right="880" w:hanging="452"/>
        <w:spacing w:after="0" w:line="26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interest rate on capital lease obligations as of September 30, 2003, is 10.1% on a basis of minimum rent and 13.7% including performance based participation rent paid by the Trust.</w:t>
      </w:r>
    </w:p>
    <w:p>
      <w:pPr>
        <w:sectPr>
          <w:pgSz w:w="11900" w:h="16838" w:orient="portrait"/>
          <w:cols w:equalWidth="0" w:num="1">
            <w:col w:w="11420"/>
          </w:cols>
          <w:pgMar w:left="240" w:top="272" w:right="239" w:bottom="114"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Scheduled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60" w:type="dxa"/>
            <w:vAlign w:val="bottom"/>
            <w:gridSpan w:val="2"/>
          </w:tcPr>
          <w:p>
            <w:pPr>
              <w:jc w:val="right"/>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Percent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76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5"/>
              </w:rPr>
              <w:t>Maturities</w:t>
            </w:r>
          </w:p>
        </w:tc>
        <w:tc>
          <w:tcPr>
            <w:tcW w:w="110" w:type="dxa"/>
            <w:vAlign w:val="bottom"/>
          </w:tcPr>
          <w:p>
            <w:pPr>
              <w:spacing w:after="0"/>
              <w:rPr>
                <w:sz w:val="15"/>
                <w:szCs w:val="15"/>
                <w:color w:val="auto"/>
              </w:rPr>
            </w:pPr>
          </w:p>
        </w:tc>
        <w:tc>
          <w:tcPr>
            <w:tcW w:w="1910" w:type="dxa"/>
            <w:vAlign w:val="bottom"/>
            <w:gridSpan w:val="2"/>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6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3"/>
              </w:rPr>
              <w:t>Debt Expiring</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Debt Expiring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2003</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9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323,000(1)</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1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323,389(1)</w:t>
            </w:r>
          </w:p>
        </w:tc>
        <w:tc>
          <w:tcPr>
            <w:tcW w:w="19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29.0%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1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1200" w:type="dxa"/>
            <w:vAlign w:val="bottom"/>
          </w:tcPr>
          <w:p>
            <w:pPr>
              <w:spacing w:after="0"/>
              <w:rPr>
                <w:sz w:val="18"/>
                <w:szCs w:val="18"/>
                <w:color w:val="auto"/>
              </w:rPr>
            </w:pPr>
          </w:p>
        </w:tc>
        <w:tc>
          <w:tcPr>
            <w:tcW w:w="19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43,336</w:t>
            </w:r>
          </w:p>
        </w:tc>
        <w:tc>
          <w:tcPr>
            <w:tcW w:w="1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200" w:type="dxa"/>
            <w:vAlign w:val="bottom"/>
          </w:tcPr>
          <w:p>
            <w:pPr>
              <w:spacing w:after="0"/>
              <w:rPr>
                <w:sz w:val="18"/>
                <w:szCs w:val="18"/>
                <w:color w:val="auto"/>
              </w:rPr>
            </w:pPr>
          </w:p>
        </w:tc>
        <w:tc>
          <w:tcPr>
            <w:tcW w:w="19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153,991</w:t>
            </w:r>
          </w:p>
        </w:tc>
        <w:tc>
          <w:tcPr>
            <w:tcW w:w="1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200" w:type="dxa"/>
            <w:vAlign w:val="bottom"/>
          </w:tcPr>
          <w:p>
            <w:pPr>
              <w:spacing w:after="0"/>
              <w:rPr>
                <w:sz w:val="18"/>
                <w:szCs w:val="18"/>
                <w:color w:val="auto"/>
              </w:rPr>
            </w:pPr>
          </w:p>
        </w:tc>
        <w:tc>
          <w:tcPr>
            <w:tcW w:w="19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2009</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175,045</w:t>
            </w:r>
          </w:p>
        </w:tc>
        <w:tc>
          <w:tcPr>
            <w:tcW w:w="1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179,482</w:t>
            </w:r>
          </w:p>
        </w:tc>
        <w:tc>
          <w:tcPr>
            <w:tcW w:w="1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200" w:type="dxa"/>
            <w:vAlign w:val="bottom"/>
          </w:tcPr>
          <w:p>
            <w:pPr>
              <w:spacing w:after="0"/>
              <w:rPr>
                <w:sz w:val="18"/>
                <w:szCs w:val="18"/>
                <w:color w:val="auto"/>
              </w:rPr>
            </w:pPr>
          </w:p>
        </w:tc>
        <w:tc>
          <w:tcPr>
            <w:tcW w:w="19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37,236</w:t>
            </w:r>
          </w:p>
        </w:tc>
        <w:tc>
          <w:tcPr>
            <w:tcW w:w="1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41,906</w:t>
            </w:r>
          </w:p>
        </w:tc>
        <w:tc>
          <w:tcPr>
            <w:tcW w:w="1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200" w:type="dxa"/>
            <w:vAlign w:val="bottom"/>
          </w:tcPr>
          <w:p>
            <w:pPr>
              <w:spacing w:after="0"/>
              <w:rPr>
                <w:sz w:val="18"/>
                <w:szCs w:val="18"/>
                <w:color w:val="auto"/>
              </w:rPr>
            </w:pPr>
          </w:p>
        </w:tc>
        <w:tc>
          <w:tcPr>
            <w:tcW w:w="19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245,207</w:t>
            </w:r>
          </w:p>
        </w:tc>
        <w:tc>
          <w:tcPr>
            <w:tcW w:w="1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268,236</w:t>
            </w:r>
          </w:p>
        </w:tc>
        <w:tc>
          <w:tcPr>
            <w:tcW w:w="1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23.9%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60,288</w:t>
            </w:r>
          </w:p>
        </w:tc>
        <w:tc>
          <w:tcPr>
            <w:tcW w:w="9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1,060,029</w:t>
            </w:r>
          </w:p>
        </w:tc>
        <w:tc>
          <w:tcPr>
            <w:tcW w:w="12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1,120,317</w:t>
            </w:r>
          </w:p>
        </w:tc>
        <w:tc>
          <w:tcPr>
            <w:tcW w:w="1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-29210</wp:posOffset>
            </wp:positionV>
            <wp:extent cx="49276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Note:</w:t>
      </w:r>
    </w:p>
    <w:p>
      <w:pPr>
        <w:spacing w:after="0" w:line="21" w:lineRule="exact"/>
        <w:rPr>
          <w:sz w:val="20"/>
          <w:szCs w:val="20"/>
          <w:color w:val="auto"/>
        </w:rPr>
      </w:pPr>
    </w:p>
    <w:p>
      <w:pPr>
        <w:ind w:left="460" w:right="40" w:hanging="452"/>
        <w:spacing w:after="0" w:line="253"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$198 million balance on revolving credit facility and $125 million balance on term loan. This information is as of September 30, 2003. On October 8, 2003, we closed on a new $550 million unsecured credit facility which replaced our $300 million revolving credit facility and $125 million term loan, both of which were due to mature on December 19, 2003. The new credit facility consists of a $150 million five-year term loan, a $100 million three-year term loan, and a $300 million three-year revolving credit facility, with a one-year extension option. The term loans bear interest at LIBOR plus 95 basis points, while the revolving facility bears interest at LIBOR plus 75 basis points.</w:t>
      </w:r>
    </w:p>
    <w:p>
      <w:pPr>
        <w:sectPr>
          <w:pgSz w:w="11900" w:h="16838" w:orient="portrait"/>
          <w:cols w:equalWidth="0" w:num="1">
            <w:col w:w="11420"/>
          </w:cols>
          <w:pgMar w:left="240" w:top="272"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Current and Future Redevelopment Opportunities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Redevelopment Opportunities (1) ($ millions)</w:t>
      </w:r>
    </w:p>
    <w:p>
      <w:pPr>
        <w:sectPr>
          <w:pgSz w:w="11900" w:h="16838" w:orient="portrait"/>
          <w:cols w:equalWidth="0" w:num="1">
            <w:col w:w="11420"/>
          </w:cols>
          <w:pgMar w:left="240" w:top="272" w:right="239" w:bottom="0" w:gutter="0" w:footer="0" w:header="0"/>
        </w:sectPr>
      </w:pPr>
    </w:p>
    <w:p>
      <w:pPr>
        <w:spacing w:after="0" w:line="3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85725</wp:posOffset>
            </wp:positionV>
            <wp:extent cx="4286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85725</wp:posOffset>
            </wp:positionV>
            <wp:extent cx="4457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85725</wp:posOffset>
            </wp:positionV>
            <wp:extent cx="6172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Projected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ROI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60325</wp:posOffset>
            </wp:positionV>
            <wp:extent cx="4718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Projected</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60325</wp:posOffset>
            </wp:positionV>
            <wp:extent cx="4718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Cost to</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60325</wp:posOffset>
            </wp:positionV>
            <wp:extent cx="3689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6">
            <w:col w:w="2600" w:space="720"/>
            <w:col w:w="2040" w:space="720"/>
            <w:col w:w="1780" w:space="720"/>
            <w:col w:w="560" w:space="700"/>
            <w:col w:w="560" w:space="540"/>
            <w:col w:w="48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Projects Anticipated to Stabilize in 2003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Congressional Plaza</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Rockville, MD</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 of 146-unit apartment building and</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structured parking in existing parking field</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Bethesda Row</w:t>
            </w:r>
          </w:p>
        </w:tc>
        <w:tc>
          <w:tcPr>
            <w:tcW w:w="2200" w:type="dxa"/>
            <w:vAlign w:val="bottom"/>
            <w:shd w:val="clear" w:color="auto" w:fill="CCEEFF"/>
          </w:tcPr>
          <w:p>
            <w:pPr>
              <w:ind w:left="280"/>
              <w:spacing w:after="0" w:line="204" w:lineRule="exact"/>
              <w:rPr>
                <w:sz w:val="20"/>
                <w:szCs w:val="20"/>
                <w:color w:val="auto"/>
              </w:rPr>
            </w:pPr>
            <w:r>
              <w:rPr>
                <w:rFonts w:ascii="Times New Roman" w:cs="Times New Roman" w:eastAsia="Times New Roman" w:hAnsi="Times New Roman"/>
                <w:sz w:val="18"/>
                <w:szCs w:val="18"/>
                <w:color w:val="auto"/>
              </w:rPr>
              <w:t>Bethesda, MD</w:t>
            </w:r>
          </w:p>
        </w:tc>
        <w:tc>
          <w:tcPr>
            <w:tcW w:w="3820" w:type="dxa"/>
            <w:vAlign w:val="bottom"/>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Grocery expansion, new pad site, GLA</w:t>
            </w:r>
          </w:p>
        </w:tc>
        <w:tc>
          <w:tcPr>
            <w:tcW w:w="1280" w:type="dxa"/>
            <w:vAlign w:val="bottom"/>
            <w:gridSpan w:val="2"/>
            <w:shd w:val="clear" w:color="auto" w:fill="CCEEFF"/>
          </w:tcPr>
          <w:p>
            <w:pPr>
              <w:jc w:val="right"/>
              <w:ind w:right="380"/>
              <w:spacing w:after="0" w:line="204" w:lineRule="exact"/>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5.9</w:t>
            </w:r>
          </w:p>
        </w:tc>
        <w:tc>
          <w:tcPr>
            <w:tcW w:w="540" w:type="dxa"/>
            <w:vAlign w:val="bottom"/>
            <w:gridSpan w:val="4"/>
            <w:shd w:val="clear" w:color="auto" w:fill="CCEEFF"/>
          </w:tcPr>
          <w:p>
            <w:pPr>
              <w:jc w:val="right"/>
              <w:ind w:righ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expansion and re-tenanting (restaurant)</w:t>
            </w: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Ellisburg Circle</w:t>
            </w:r>
          </w:p>
        </w:tc>
        <w:tc>
          <w:tcPr>
            <w:tcW w:w="220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Cherry Hill, NJ</w:t>
            </w:r>
          </w:p>
        </w:tc>
        <w:tc>
          <w:tcPr>
            <w:tcW w:w="38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Re-tenanting (new grocer) and associated</w:t>
            </w:r>
          </w:p>
        </w:tc>
        <w:tc>
          <w:tcPr>
            <w:tcW w:w="128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2.3</w:t>
            </w:r>
          </w:p>
        </w:tc>
        <w:tc>
          <w:tcPr>
            <w:tcW w:w="540" w:type="dxa"/>
            <w:vAlign w:val="bottom"/>
            <w:gridSpan w:val="4"/>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expansion</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Lawrence Park</w:t>
            </w:r>
          </w:p>
        </w:tc>
        <w:tc>
          <w:tcPr>
            <w:tcW w:w="2200" w:type="dxa"/>
            <w:vAlign w:val="bottom"/>
            <w:shd w:val="clear" w:color="auto" w:fill="CCEEFF"/>
          </w:tcPr>
          <w:p>
            <w:pPr>
              <w:ind w:left="280"/>
              <w:spacing w:after="0" w:line="204" w:lineRule="exact"/>
              <w:rPr>
                <w:sz w:val="20"/>
                <w:szCs w:val="20"/>
                <w:color w:val="auto"/>
              </w:rPr>
            </w:pPr>
            <w:r>
              <w:rPr>
                <w:rFonts w:ascii="Times New Roman" w:cs="Times New Roman" w:eastAsia="Times New Roman" w:hAnsi="Times New Roman"/>
                <w:sz w:val="18"/>
                <w:szCs w:val="18"/>
                <w:color w:val="auto"/>
              </w:rPr>
              <w:t>Broomall, PA</w:t>
            </w:r>
          </w:p>
        </w:tc>
        <w:tc>
          <w:tcPr>
            <w:tcW w:w="3820" w:type="dxa"/>
            <w:vAlign w:val="bottom"/>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New pad site (drug store), common area</w:t>
            </w:r>
          </w:p>
        </w:tc>
        <w:tc>
          <w:tcPr>
            <w:tcW w:w="1280" w:type="dxa"/>
            <w:vAlign w:val="bottom"/>
            <w:gridSpan w:val="2"/>
            <w:shd w:val="clear" w:color="auto" w:fill="CCEEFF"/>
          </w:tcPr>
          <w:p>
            <w:pPr>
              <w:jc w:val="right"/>
              <w:ind w:right="380"/>
              <w:spacing w:after="0" w:line="204" w:lineRule="exact"/>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4"/>
            <w:shd w:val="clear" w:color="auto" w:fill="CCEEFF"/>
          </w:tcPr>
          <w:p>
            <w:pPr>
              <w:jc w:val="right"/>
              <w:ind w:righ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improvements</w:t>
            </w: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Dedham Plaza</w:t>
            </w:r>
          </w:p>
        </w:tc>
        <w:tc>
          <w:tcPr>
            <w:tcW w:w="220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Dedham, MA</w:t>
            </w:r>
          </w:p>
        </w:tc>
        <w:tc>
          <w:tcPr>
            <w:tcW w:w="38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Tenant re-location (electronics), parking lot and</w:t>
            </w:r>
          </w:p>
        </w:tc>
        <w:tc>
          <w:tcPr>
            <w:tcW w:w="128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w:t>
            </w:r>
          </w:p>
        </w:tc>
        <w:tc>
          <w:tcPr>
            <w:tcW w:w="540" w:type="dxa"/>
            <w:vAlign w:val="bottom"/>
            <w:gridSpan w:val="4"/>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area improvements</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Finley Square</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Downers Grove, IL</w:t>
            </w: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Re-tenanting (office supply)</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Governor Plaza</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Glen Burnie, MD</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pad sites (furniture and grocer)</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Old Town Center</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 Gatos, CA</w:t>
            </w: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Re-tenanting (office) and site improvements</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Quince Orchard</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Gaithersburg, MD</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Pad site re-tenanting (drug store)</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700" w:type="dxa"/>
            <w:vAlign w:val="bottom"/>
            <w:gridSpan w:val="2"/>
          </w:tcPr>
          <w:p>
            <w:pPr>
              <w:spacing w:after="0"/>
              <w:rPr>
                <w:sz w:val="8"/>
                <w:szCs w:val="8"/>
                <w:color w:val="auto"/>
              </w:rPr>
            </w:pPr>
          </w:p>
        </w:tc>
        <w:tc>
          <w:tcPr>
            <w:tcW w:w="38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Subtotal: Projects Anticipated to Stabilize in 2003 (3) (4)</w:t>
            </w:r>
          </w:p>
        </w:tc>
        <w:tc>
          <w:tcPr>
            <w:tcW w:w="3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700" w:type="dxa"/>
            <w:vAlign w:val="bottom"/>
            <w:gridSpan w:val="2"/>
          </w:tcPr>
          <w:p>
            <w:pPr>
              <w:spacing w:after="0"/>
              <w:rPr>
                <w:sz w:val="11"/>
                <w:szCs w:val="11"/>
                <w:color w:val="auto"/>
              </w:rPr>
            </w:pPr>
          </w:p>
        </w:tc>
        <w:tc>
          <w:tcPr>
            <w:tcW w:w="38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Projects Anticipated to Stabilize in 2004 (3)</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Santana Row Phase II</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Jose, CA</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Two new pad sites (Best Buy and The</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Container Store) and additional parking</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Street Promenade</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Santa Monica, CA</w:t>
            </w: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redevelopment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Andorra</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Philadelphia, PA</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Expansion and re-tenanting (new health club)</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Garden Market</w:t>
            </w:r>
          </w:p>
        </w:tc>
        <w:tc>
          <w:tcPr>
            <w:tcW w:w="2200" w:type="dxa"/>
            <w:vAlign w:val="bottom"/>
            <w:shd w:val="clear" w:color="auto" w:fill="CCEEFF"/>
          </w:tcPr>
          <w:p>
            <w:pPr>
              <w:ind w:left="280"/>
              <w:spacing w:after="0" w:line="201" w:lineRule="exact"/>
              <w:rPr>
                <w:sz w:val="20"/>
                <w:szCs w:val="20"/>
                <w:color w:val="auto"/>
              </w:rPr>
            </w:pPr>
            <w:r>
              <w:rPr>
                <w:rFonts w:ascii="Times New Roman" w:cs="Times New Roman" w:eastAsia="Times New Roman" w:hAnsi="Times New Roman"/>
                <w:sz w:val="18"/>
                <w:szCs w:val="18"/>
                <w:color w:val="auto"/>
              </w:rPr>
              <w:t>Western Springs, IL</w:t>
            </w:r>
          </w:p>
        </w:tc>
        <w:tc>
          <w:tcPr>
            <w:tcW w:w="382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Expansion, re-tenanting (new grocer) and new</w:t>
            </w:r>
          </w:p>
        </w:tc>
        <w:tc>
          <w:tcPr>
            <w:tcW w:w="1280" w:type="dxa"/>
            <w:vAlign w:val="bottom"/>
            <w:gridSpan w:val="2"/>
            <w:shd w:val="clear" w:color="auto" w:fill="CCEEFF"/>
          </w:tcPr>
          <w:p>
            <w:pPr>
              <w:jc w:val="right"/>
              <w:ind w:right="380"/>
              <w:spacing w:after="0" w:line="201" w:lineRule="exact"/>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2.5</w:t>
            </w:r>
          </w:p>
        </w:tc>
        <w:tc>
          <w:tcPr>
            <w:tcW w:w="540" w:type="dxa"/>
            <w:vAlign w:val="bottom"/>
            <w:gridSpan w:val="4"/>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pad site (existing drug store)</w:t>
            </w: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Brick Plaza</w:t>
            </w:r>
          </w:p>
        </w:tc>
        <w:tc>
          <w:tcPr>
            <w:tcW w:w="220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Brick, NJ</w:t>
            </w:r>
          </w:p>
        </w:tc>
        <w:tc>
          <w:tcPr>
            <w:tcW w:w="38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Re-tenanting (office supply and home</w:t>
            </w:r>
          </w:p>
        </w:tc>
        <w:tc>
          <w:tcPr>
            <w:tcW w:w="128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w:t>
            </w:r>
          </w:p>
        </w:tc>
        <w:tc>
          <w:tcPr>
            <w:tcW w:w="540" w:type="dxa"/>
            <w:vAlign w:val="bottom"/>
            <w:gridSpan w:val="4"/>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furnishings)</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Bristol Plaza</w:t>
            </w:r>
          </w:p>
        </w:tc>
        <w:tc>
          <w:tcPr>
            <w:tcW w:w="2200" w:type="dxa"/>
            <w:vAlign w:val="bottom"/>
            <w:shd w:val="clear" w:color="auto" w:fill="CCEEFF"/>
          </w:tcPr>
          <w:p>
            <w:pPr>
              <w:ind w:left="280"/>
              <w:spacing w:after="0" w:line="204" w:lineRule="exact"/>
              <w:rPr>
                <w:sz w:val="20"/>
                <w:szCs w:val="20"/>
                <w:color w:val="auto"/>
              </w:rPr>
            </w:pPr>
            <w:r>
              <w:rPr>
                <w:rFonts w:ascii="Times New Roman" w:cs="Times New Roman" w:eastAsia="Times New Roman" w:hAnsi="Times New Roman"/>
                <w:sz w:val="18"/>
                <w:szCs w:val="18"/>
                <w:color w:val="auto"/>
              </w:rPr>
              <w:t>Bristol, CT</w:t>
            </w:r>
          </w:p>
        </w:tc>
        <w:tc>
          <w:tcPr>
            <w:tcW w:w="3820" w:type="dxa"/>
            <w:vAlign w:val="bottom"/>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Grocer relocation, canopy and façade</w:t>
            </w:r>
          </w:p>
        </w:tc>
        <w:tc>
          <w:tcPr>
            <w:tcW w:w="1280" w:type="dxa"/>
            <w:vAlign w:val="bottom"/>
            <w:gridSpan w:val="2"/>
            <w:shd w:val="clear" w:color="auto" w:fill="CCEEFF"/>
          </w:tcPr>
          <w:p>
            <w:pPr>
              <w:jc w:val="right"/>
              <w:ind w:right="380"/>
              <w:spacing w:after="0" w:line="204" w:lineRule="exact"/>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w:t>
            </w:r>
          </w:p>
        </w:tc>
        <w:tc>
          <w:tcPr>
            <w:tcW w:w="540" w:type="dxa"/>
            <w:vAlign w:val="bottom"/>
            <w:gridSpan w:val="4"/>
            <w:shd w:val="clear" w:color="auto" w:fill="CCEEFF"/>
          </w:tcPr>
          <w:p>
            <w:pPr>
              <w:jc w:val="right"/>
              <w:ind w:righ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renovation</w:t>
            </w: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Bethesda Row</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Bethesda, MD</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pad site (fitness equipment)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Laurel</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Laurel, MD</w:t>
            </w: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Grocery expansion</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Wildwood</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Bethesda, MD</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Pad expansion and re-tenanting (bank)</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Park</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Broomall, PA</w:t>
            </w: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Grocery expansion</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Hauppauge Shopping Center</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Hauppauge, NY</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Pad site re-tenanting (restaurant)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700" w:type="dxa"/>
            <w:vAlign w:val="bottom"/>
            <w:gridSpan w:val="2"/>
          </w:tcPr>
          <w:p>
            <w:pPr>
              <w:spacing w:after="0"/>
              <w:rPr>
                <w:sz w:val="8"/>
                <w:szCs w:val="8"/>
                <w:color w:val="auto"/>
              </w:rPr>
            </w:pPr>
          </w:p>
        </w:tc>
        <w:tc>
          <w:tcPr>
            <w:tcW w:w="38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Subtotal: Projects Anticipated to Stabilize in 2004 (3) (4)</w:t>
            </w:r>
          </w:p>
        </w:tc>
        <w:tc>
          <w:tcPr>
            <w:tcW w:w="3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700" w:type="dxa"/>
            <w:vAlign w:val="bottom"/>
            <w:gridSpan w:val="2"/>
          </w:tcPr>
          <w:p>
            <w:pPr>
              <w:spacing w:after="0"/>
              <w:rPr>
                <w:sz w:val="11"/>
                <w:szCs w:val="11"/>
                <w:color w:val="auto"/>
              </w:rPr>
            </w:pPr>
          </w:p>
        </w:tc>
        <w:tc>
          <w:tcPr>
            <w:tcW w:w="38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w w:val="98"/>
              </w:rPr>
              <w:t>Total: Projects Anticipated to Stabilize in 2003 and 2004 (3) (4)</w:t>
            </w:r>
          </w:p>
        </w:tc>
        <w:tc>
          <w:tcPr>
            <w:tcW w:w="3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5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700" w:type="dxa"/>
            <w:vAlign w:val="bottom"/>
            <w:gridSpan w:val="2"/>
          </w:tcPr>
          <w:p>
            <w:pPr>
              <w:spacing w:after="0"/>
              <w:rPr>
                <w:sz w:val="11"/>
                <w:szCs w:val="11"/>
                <w:color w:val="auto"/>
              </w:rPr>
            </w:pPr>
          </w:p>
        </w:tc>
        <w:tc>
          <w:tcPr>
            <w:tcW w:w="38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Potential Future Redevelopments Stabilizing After 2004 (3) (5)</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 Cynwyd</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Bala Cynwyd, PA</w:t>
            </w:r>
          </w:p>
        </w:tc>
        <w:tc>
          <w:tcPr>
            <w:tcW w:w="3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Bethesda Row - Future Phases</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Bethesda, MD</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Brunswick Shopping Center</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North Brunswick, NJ</w:t>
            </w:r>
          </w:p>
        </w:tc>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Greenlawn Plaza</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Greenlawn, NY</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 Street</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Antonio, TX</w:t>
            </w:r>
          </w:p>
        </w:tc>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Leesburg Plaza</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Leesburg, VA</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Mercer Mall</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Mercer County, NJ</w:t>
            </w:r>
          </w:p>
        </w:tc>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 Vernon/South Valley</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Alexandria, VA</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 Am</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Fairfax, VA</w:t>
            </w:r>
          </w:p>
        </w:tc>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Rockville Town Square</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Rockville, MD</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Rutgers Plaza</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Franklin, NJ</w:t>
            </w:r>
          </w:p>
        </w:tc>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Santana Row - Future Phases</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San Jose, CA</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Village at Shirlington</w:t>
            </w: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Arlington, VA</w:t>
            </w:r>
          </w:p>
        </w:tc>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Willow Lawn</w:t>
            </w:r>
          </w:p>
        </w:tc>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Richmond, VA</w:t>
            </w:r>
          </w:p>
        </w:tc>
        <w:tc>
          <w:tcPr>
            <w:tcW w:w="3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-5309870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-5309870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-5309870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-5309870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-5309870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-5309870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-5309870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-5309870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-2599690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-2599690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-2599690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-2599690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-2599690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-2599690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-2599690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-2599690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-2299970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-2299970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-2299970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-2299970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-2299970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-2299970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-2299970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-2299970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0" w:lineRule="exact"/>
        <w:rPr>
          <w:sz w:val="20"/>
          <w:szCs w:val="20"/>
          <w:color w:val="auto"/>
        </w:rPr>
      </w:pPr>
    </w:p>
    <w:p>
      <w:pPr>
        <w:ind w:left="460" w:right="280" w:hanging="452"/>
        <w:spacing w:after="0" w:line="288" w:lineRule="auto"/>
        <w:tabs>
          <w:tab w:leader="none" w:pos="460" w:val="left"/>
        </w:tabs>
        <w:numPr>
          <w:ilvl w:val="0"/>
          <w:numId w:val="1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Times New Roman" w:cs="Times New Roman" w:eastAsia="Times New Roman" w:hAnsi="Times New Roman"/>
          <w:sz w:val="16"/>
          <w:szCs w:val="16"/>
          <w:b w:val="1"/>
          <w:bCs w:val="1"/>
          <w:i w:val="1"/>
          <w:iCs w:val="1"/>
          <w:color w:val="auto"/>
        </w:rPr>
      </w:pPr>
    </w:p>
    <w:p>
      <w:pPr>
        <w:ind w:left="460" w:right="80" w:hanging="452"/>
        <w:spacing w:after="0" w:line="250" w:lineRule="auto"/>
        <w:tabs>
          <w:tab w:leader="none" w:pos="4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in place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1"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Anticipated Stabilization is the year in which 95% occupancy of the redeveloped space is anticipated to be achieved.</w:t>
      </w:r>
    </w:p>
    <w:p>
      <w:pPr>
        <w:spacing w:after="0" w:line="9"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All subtotals and totals reflect cost weighted-average ROIs.</w:t>
      </w:r>
    </w:p>
    <w:p>
      <w:pPr>
        <w:sectPr>
          <w:pgSz w:w="11900" w:h="16838" w:orient="portrait"/>
          <w:cols w:equalWidth="0" w:num="1">
            <w:col w:w="11420"/>
          </w:cols>
          <w:pgMar w:left="240" w:top="272" w:right="239" w:bottom="0" w:gutter="0" w:footer="0" w:header="0"/>
          <w:type w:val="continuous"/>
        </w:sectPr>
      </w:pPr>
    </w:p>
    <w:bookmarkStart w:id="19" w:name="page20"/>
    <w:bookmarkEnd w:id="19"/>
    <w:p>
      <w:pPr>
        <w:ind w:left="452" w:hanging="452"/>
        <w:spacing w:after="0" w:line="280" w:lineRule="auto"/>
        <w:tabs>
          <w:tab w:leader="none" w:pos="452"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392"/>
          </w:cols>
          <w:pgMar w:left="248" w:top="121"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Santana Row Summary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ind w:left="2160" w:hanging="2146"/>
        <w:spacing w:after="0" w:line="258" w:lineRule="auto"/>
        <w:tabs>
          <w:tab w:leader="none" w:pos="2140" w:val="left"/>
        </w:tabs>
        <w:rPr>
          <w:sz w:val="20"/>
          <w:szCs w:val="20"/>
          <w:color w:val="auto"/>
        </w:rPr>
      </w:pPr>
      <w:r>
        <w:rPr>
          <w:rFonts w:ascii="Times New Roman" w:cs="Times New Roman" w:eastAsia="Times New Roman" w:hAnsi="Times New Roman"/>
          <w:sz w:val="18"/>
          <w:szCs w:val="18"/>
          <w:b w:val="1"/>
          <w:bCs w:val="1"/>
          <w:u w:val="single" w:color="auto"/>
          <w:color w:val="auto"/>
        </w:rPr>
        <w:t>Property Description:</w:t>
      </w:r>
      <w:r>
        <w:rPr>
          <w:sz w:val="20"/>
          <w:szCs w:val="20"/>
          <w:color w:val="auto"/>
        </w:rPr>
        <w:tab/>
      </w:r>
      <w:r>
        <w:rPr>
          <w:rFonts w:ascii="Times New Roman" w:cs="Times New Roman" w:eastAsia="Times New Roman" w:hAnsi="Times New Roman"/>
          <w:sz w:val="18"/>
          <w:szCs w:val="18"/>
          <w:color w:val="auto"/>
        </w:rPr>
        <w:t>A multi-phased, mixed-use development built on 42 acres in San Jose, California, in the heart of the Silicon Valley. Phase I of the property consists of a 1,500 foot long “main street” and eight buildings comprising approximately 444,000 square feet of retail, 255 residential units, and a 213-room boutique hotel. Phase II consists of two pad sites comprising approximately 84,000 square feet of retail space and 275 additional parking spaces. Phase II is 95% leased to Best Buy and The Container Store.</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Retail Summary (1)</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9"/>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Total Retail Square Footage</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Leased (Unoccupied)</w:t>
            </w:r>
          </w:p>
        </w:tc>
        <w:tc>
          <w:tcPr>
            <w:tcW w:w="140" w:type="dxa"/>
            <w:vAlign w:val="bottom"/>
          </w:tcPr>
          <w:p>
            <w:pPr>
              <w:spacing w:after="0"/>
              <w:rPr>
                <w:sz w:val="15"/>
                <w:szCs w:val="15"/>
                <w:color w:val="auto"/>
              </w:rPr>
            </w:pPr>
          </w:p>
        </w:tc>
        <w:tc>
          <w:tcPr>
            <w:tcW w:w="198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Available to Lease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Square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Square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Square</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Building/Description</w:t>
            </w:r>
          </w:p>
        </w:tc>
        <w:tc>
          <w:tcPr>
            <w:tcW w:w="20" w:type="dxa"/>
            <w:vAlign w:val="bottom"/>
          </w:tcPr>
          <w:p>
            <w:pPr>
              <w:spacing w:after="0"/>
              <w:rPr>
                <w:sz w:val="15"/>
                <w:szCs w:val="15"/>
                <w:color w:val="auto"/>
              </w:rPr>
            </w:pPr>
          </w:p>
        </w:tc>
        <w:tc>
          <w:tcPr>
            <w:tcW w:w="6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Feet</w:t>
            </w:r>
          </w:p>
        </w:tc>
        <w:tc>
          <w:tcPr>
            <w:tcW w:w="140" w:type="dxa"/>
            <w:vAlign w:val="bottom"/>
          </w:tcPr>
          <w:p>
            <w:pPr>
              <w:spacing w:after="0"/>
              <w:rPr>
                <w:sz w:val="15"/>
                <w:szCs w:val="15"/>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Leased</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Feet</w:t>
            </w: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Feet</w:t>
            </w:r>
          </w:p>
        </w:tc>
        <w:tc>
          <w:tcPr>
            <w:tcW w:w="16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Feet</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1</w:t>
            </w:r>
          </w:p>
        </w:tc>
        <w:tc>
          <w:tcPr>
            <w:tcW w:w="1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(Crate &amp; Barrel)</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3</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(Primarily luxury)</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tcPr>
          <w:p>
            <w:pPr>
              <w:spacing w:after="0"/>
              <w:rPr>
                <w:sz w:val="18"/>
                <w:szCs w:val="18"/>
                <w:color w:val="auto"/>
              </w:rPr>
            </w:pPr>
          </w:p>
        </w:tc>
        <w:tc>
          <w:tcPr>
            <w:tcW w:w="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4</w:t>
            </w:r>
          </w:p>
        </w:tc>
        <w:tc>
          <w:tcPr>
            <w:tcW w:w="1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(Primarily luxury)</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33,609</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5</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(Hotel and lifestyle)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56,900</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6</w:t>
            </w:r>
          </w:p>
        </w:tc>
        <w:tc>
          <w:tcPr>
            <w:tcW w:w="1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(Lifestyle)</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49,415</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7</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(Lifestyle)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87,106</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8</w:t>
            </w:r>
          </w:p>
        </w:tc>
        <w:tc>
          <w:tcPr>
            <w:tcW w:w="1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(Lifestyle)</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40,631</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98.3%</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5"/>
          </w:tcPr>
          <w:p>
            <w:pPr>
              <w:ind w:left="180"/>
              <w:spacing w:after="0" w:line="201" w:lineRule="exact"/>
              <w:rPr>
                <w:sz w:val="20"/>
                <w:szCs w:val="20"/>
                <w:color w:val="auto"/>
              </w:rPr>
            </w:pPr>
            <w:r>
              <w:rPr>
                <w:rFonts w:ascii="Times New Roman" w:cs="Times New Roman" w:eastAsia="Times New Roman" w:hAnsi="Times New Roman"/>
                <w:sz w:val="18"/>
                <w:szCs w:val="18"/>
                <w:color w:val="auto"/>
              </w:rPr>
              <w:t>13 (Restaurants &amp;</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lifestyle)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95,038</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26,167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29,048</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39,823</w:t>
            </w:r>
          </w:p>
        </w:tc>
        <w:tc>
          <w:tcPr>
            <w:tcW w:w="16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Kiosks and Carts</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Phase I Retail</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443,758</w:t>
            </w: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323,720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72.9%</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51,939</w:t>
            </w:r>
          </w:p>
        </w:tc>
        <w:tc>
          <w:tcPr>
            <w:tcW w:w="11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68,099</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Phase II Retail</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84,171</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95.5%</w:t>
            </w:r>
          </w:p>
        </w:tc>
        <w:tc>
          <w:tcPr>
            <w:tcW w:w="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28,458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33.8%</w:t>
            </w:r>
          </w:p>
        </w:tc>
        <w:tc>
          <w:tcPr>
            <w:tcW w:w="2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51,913</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61.7%</w:t>
            </w:r>
          </w:p>
        </w:tc>
        <w:tc>
          <w:tcPr>
            <w:tcW w:w="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3,800</w:t>
            </w:r>
          </w:p>
        </w:tc>
        <w:tc>
          <w:tcPr>
            <w:tcW w:w="1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Santana Row Retail</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527,929</w:t>
            </w: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352,178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66.7%</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103,852</w:t>
            </w:r>
          </w:p>
        </w:tc>
        <w:tc>
          <w:tcPr>
            <w:tcW w:w="11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19.7%</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71,899</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2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Residential Summary (1)</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228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9"/>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Total Residential Units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Leased (Unoccupied)</w:t>
            </w:r>
          </w:p>
        </w:tc>
        <w:tc>
          <w:tcPr>
            <w:tcW w:w="140" w:type="dxa"/>
            <w:vAlign w:val="bottom"/>
          </w:tcPr>
          <w:p>
            <w:pPr>
              <w:spacing w:after="0"/>
              <w:rPr>
                <w:sz w:val="24"/>
                <w:szCs w:val="24"/>
                <w:color w:val="auto"/>
              </w:rPr>
            </w:pPr>
          </w:p>
        </w:tc>
        <w:tc>
          <w:tcPr>
            <w:tcW w:w="198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Available to Lease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3"/>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gridSpan w:val="3"/>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gridSpan w:val="4"/>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gridSpan w:val="3"/>
          </w:tcPr>
          <w:p>
            <w:pPr>
              <w:spacing w:after="0"/>
              <w:rPr>
                <w:sz w:val="8"/>
                <w:szCs w:val="8"/>
                <w:color w:val="auto"/>
              </w:rPr>
            </w:pPr>
          </w:p>
        </w:tc>
        <w:tc>
          <w:tcPr>
            <w:tcW w:w="620" w:type="dxa"/>
            <w:vAlign w:val="bottom"/>
            <w:tcBorders>
              <w:bottom w:val="single" w:sz="8" w:color="auto"/>
            </w:tcBorders>
            <w:gridSpan w:val="4"/>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Building</w:t>
            </w:r>
          </w:p>
        </w:tc>
        <w:tc>
          <w:tcPr>
            <w:tcW w:w="6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Rent (2)</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140" w:type="dxa"/>
            <w:vAlign w:val="bottom"/>
          </w:tcPr>
          <w:p>
            <w:pPr>
              <w:spacing w:after="0"/>
              <w:rPr>
                <w:sz w:val="22"/>
                <w:szCs w:val="22"/>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Leased</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Rent (3)</w:t>
            </w: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Rent (3)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22"/>
                <w:szCs w:val="22"/>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Rent (4)</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3</w:t>
            </w:r>
          </w:p>
        </w:tc>
        <w:tc>
          <w:tcPr>
            <w:tcW w:w="1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(Lofts)</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$ 1.92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98.0%</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$ 1.92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4</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(Lofts)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$ 2.35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$ 2.21</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$ 2.29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$ 2.06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6</w:t>
            </w:r>
          </w:p>
        </w:tc>
        <w:tc>
          <w:tcPr>
            <w:tcW w:w="1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(Villas)</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$ 2.31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$ 2.49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8</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(Townhouses)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$ 2.20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$ 2.17</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$ 2.23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$ 2.26</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Phase I Residential</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$ 2.09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92.5%</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$ 2.29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1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$ 2.41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-1915795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-1915795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-1915795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-1915795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-1915795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-1915795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-1915795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-1915795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-1915795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-1915795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-1915795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-1915795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-1915795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-1915795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-1915795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-1915795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-1915795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-1915795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-1915795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-1915795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-1915795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-1915795</wp:posOffset>
            </wp:positionV>
            <wp:extent cx="84455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4455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-1915795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-29210</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Hotel Summary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213 room boutique hotel owned and operated by the Valencia Group opened in the second quarter of 2003.</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Summary (as of September 30, 2003):</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Anticipated</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400" w:type="dxa"/>
            <w:vAlign w:val="bottom"/>
            <w:gridSpan w:val="4"/>
          </w:tcPr>
          <w:p>
            <w:pPr>
              <w:ind w:left="1600"/>
              <w:spacing w:after="0" w:line="149"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to</w:t>
            </w:r>
          </w:p>
        </w:tc>
        <w:tc>
          <w:tcPr>
            <w:tcW w:w="2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Stabilized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Date (6)(7)</w:t>
            </w:r>
          </w:p>
        </w:tc>
        <w:tc>
          <w:tcPr>
            <w:tcW w:w="26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Stabilized</w:t>
            </w:r>
          </w:p>
        </w:tc>
        <w:tc>
          <w:tcPr>
            <w:tcW w:w="0" w:type="dxa"/>
            <w:vAlign w:val="bottom"/>
          </w:tcPr>
          <w:p>
            <w:pPr>
              <w:spacing w:after="0"/>
              <w:rPr>
                <w:sz w:val="1"/>
                <w:szCs w:val="1"/>
                <w:color w:val="auto"/>
              </w:rPr>
            </w:pPr>
          </w:p>
        </w:tc>
      </w:tr>
      <w:tr>
        <w:trPr>
          <w:trHeight w:val="95"/>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All amounts $ million</w:t>
            </w: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4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Santana Row Phase I</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Santana Row Phase II</w:t>
            </w:r>
          </w:p>
        </w:tc>
        <w:tc>
          <w:tcPr>
            <w:tcW w:w="17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p>
    <w:p>
      <w:pPr>
        <w:spacing w:after="0" w:line="23"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Retail and residential leasing summaries are as of October 23, 2003.</w:t>
      </w:r>
    </w:p>
    <w:p>
      <w:pPr>
        <w:spacing w:after="0" w:line="9"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Budgeted rents to meet Phase I stabilized yield target.</w:t>
      </w:r>
    </w:p>
    <w:p>
      <w:pPr>
        <w:spacing w:after="0" w:line="9"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Gross rents, though market conditions have dictated concessions of up to one month on a 12 month lease.</w:t>
      </w:r>
    </w:p>
    <w:p>
      <w:pPr>
        <w:spacing w:after="0" w:line="9"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Gross market rents.</w:t>
      </w:r>
    </w:p>
    <w:p>
      <w:pPr>
        <w:spacing w:after="0" w:line="9"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Phase I includes the cost of all land and substantial infrastructure for future phases, net of anticipated insurance proceeds.</w:t>
      </w:r>
    </w:p>
    <w:p>
      <w:pPr>
        <w:spacing w:after="0" w:line="9"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Phase I Cost to Date includes costs associated with the Building 7 fire and clean-up net of related insurance reimbursements.</w:t>
      </w:r>
    </w:p>
    <w:p>
      <w:pPr>
        <w:spacing w:after="0" w:line="9" w:lineRule="exact"/>
        <w:rPr>
          <w:rFonts w:ascii="Times New Roman" w:cs="Times New Roman" w:eastAsia="Times New Roman" w:hAnsi="Times New Roman"/>
          <w:sz w:val="18"/>
          <w:szCs w:val="18"/>
          <w:b w:val="1"/>
          <w:bCs w:val="1"/>
          <w:i w:val="1"/>
          <w:iCs w:val="1"/>
          <w:color w:val="auto"/>
        </w:rPr>
      </w:pPr>
    </w:p>
    <w:p>
      <w:pPr>
        <w:ind w:left="460" w:hanging="452"/>
        <w:spacing w:after="0"/>
        <w:tabs>
          <w:tab w:leader="none" w:pos="460" w:val="left"/>
        </w:tabs>
        <w:numPr>
          <w:ilvl w:val="0"/>
          <w:numId w:val="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Cost to Date of Phase I and II includes real estate of $452 million and other assets of $9 million, such as furniture, amenities, vehicles and equipment.</w:t>
      </w:r>
    </w:p>
    <w:p>
      <w:pPr>
        <w:sectPr>
          <w:pgSz w:w="11900" w:h="16838" w:orient="portrait"/>
          <w:cols w:equalWidth="0" w:num="1">
            <w:col w:w="11420"/>
          </w:cols>
          <w:pgMar w:left="240" w:top="272"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Through 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4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City / State</w:t>
            </w:r>
          </w:p>
        </w:tc>
        <w:tc>
          <w:tcPr>
            <w:tcW w:w="320" w:type="dxa"/>
            <w:vAlign w:val="bottom"/>
          </w:tcPr>
          <w:p>
            <w:pPr>
              <w:spacing w:after="0"/>
              <w:rPr>
                <w:sz w:val="15"/>
                <w:szCs w:val="15"/>
                <w:color w:val="auto"/>
              </w:rPr>
            </w:pP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GLA</w:t>
            </w:r>
          </w:p>
        </w:tc>
        <w:tc>
          <w:tcPr>
            <w:tcW w:w="3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Acquisition price</w:t>
            </w:r>
          </w:p>
        </w:tc>
        <w:tc>
          <w:tcPr>
            <w:tcW w:w="320" w:type="dxa"/>
            <w:vAlign w:val="bottom"/>
          </w:tcPr>
          <w:p>
            <w:pPr>
              <w:spacing w:after="0"/>
              <w:rPr>
                <w:sz w:val="15"/>
                <w:szCs w:val="15"/>
                <w:color w:val="auto"/>
              </w:rPr>
            </w:pPr>
          </w:p>
        </w:tc>
        <w:tc>
          <w:tcPr>
            <w:tcW w:w="21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Anchor tenant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21, 2003</w:t>
            </w:r>
          </w:p>
        </w:tc>
        <w:tc>
          <w:tcPr>
            <w:tcW w:w="34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Valley Shopping Center</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Alexandria, VA</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214,000</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13,700</w:t>
            </w:r>
          </w:p>
        </w:tc>
        <w:tc>
          <w:tcPr>
            <w:tcW w:w="2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Depot, TJ Maxx</w:t>
            </w:r>
          </w:p>
        </w:tc>
        <w:tc>
          <w:tcPr>
            <w:tcW w:w="0" w:type="dxa"/>
            <w:vAlign w:val="bottom"/>
          </w:tcPr>
          <w:p>
            <w:pPr>
              <w:spacing w:after="0"/>
              <w:rPr>
                <w:sz w:val="1"/>
                <w:szCs w:val="1"/>
                <w:color w:val="auto"/>
              </w:rPr>
            </w:pPr>
          </w:p>
        </w:tc>
      </w:tr>
      <w:tr>
        <w:trPr>
          <w:trHeight w:val="32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2003</w:t>
            </w:r>
          </w:p>
        </w:tc>
        <w:tc>
          <w:tcPr>
            <w:tcW w:w="34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Mount Vernon Plaza</w:t>
            </w: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Alexandria, VA</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17,500</w:t>
            </w:r>
          </w:p>
        </w:tc>
        <w:tc>
          <w:tcPr>
            <w:tcW w:w="2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Shoppers Food Warehouse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471,000</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31,200</w:t>
            </w:r>
          </w:p>
        </w:tc>
        <w:tc>
          <w:tcPr>
            <w:tcW w:w="3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Dispositions</w:t>
            </w:r>
          </w:p>
        </w:tc>
        <w:tc>
          <w:tcPr>
            <w:tcW w:w="74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1"/>
        </w:trPr>
        <w:tc>
          <w:tcPr>
            <w:tcW w:w="920" w:type="dxa"/>
            <w:vAlign w:val="bottom"/>
            <w:tcBorders>
              <w:bottom w:val="single" w:sz="8" w:color="auto"/>
            </w:tcBorders>
            <w:gridSpan w:val="3"/>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4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City / State</w:t>
            </w:r>
          </w:p>
        </w:tc>
        <w:tc>
          <w:tcPr>
            <w:tcW w:w="320" w:type="dxa"/>
            <w:vAlign w:val="bottom"/>
          </w:tcPr>
          <w:p>
            <w:pPr>
              <w:spacing w:after="0"/>
              <w:rPr>
                <w:sz w:val="24"/>
                <w:szCs w:val="24"/>
                <w:color w:val="auto"/>
              </w:rPr>
            </w:pP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GLA</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Sales price</w:t>
            </w:r>
          </w:p>
        </w:tc>
        <w:tc>
          <w:tcPr>
            <w:tcW w:w="320" w:type="dxa"/>
            <w:vAlign w:val="bottom"/>
          </w:tcPr>
          <w:p>
            <w:pPr>
              <w:spacing w:after="0"/>
              <w:rPr>
                <w:sz w:val="24"/>
                <w:szCs w:val="24"/>
                <w:color w:val="auto"/>
              </w:rPr>
            </w:pPr>
          </w:p>
        </w:tc>
        <w:tc>
          <w:tcPr>
            <w:tcW w:w="21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Anchor tenant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16, 2003</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4929</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Bethesda Avenue</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Bethesda, MD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2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2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July 31, 2003</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4925</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Bethesda Avenue</w:t>
            </w: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Bethesda, MD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2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12, 2003</w:t>
            </w:r>
          </w:p>
        </w:tc>
        <w:tc>
          <w:tcPr>
            <w:tcW w:w="34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Tanasbourne</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Hillsboro, OR</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9,750</w:t>
            </w:r>
          </w:p>
        </w:tc>
        <w:tc>
          <w:tcPr>
            <w:tcW w:w="2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Land for development</w:t>
            </w:r>
          </w:p>
        </w:tc>
        <w:tc>
          <w:tcPr>
            <w:tcW w:w="0" w:type="dxa"/>
            <w:vAlign w:val="bottom"/>
          </w:tcPr>
          <w:p>
            <w:pPr>
              <w:spacing w:after="0"/>
              <w:rPr>
                <w:sz w:val="1"/>
                <w:szCs w:val="1"/>
                <w:color w:val="auto"/>
              </w:rPr>
            </w:pPr>
          </w:p>
        </w:tc>
      </w:tr>
      <w:tr>
        <w:trPr>
          <w:trHeight w:val="322"/>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15, 2003</w:t>
            </w:r>
          </w:p>
        </w:tc>
        <w:tc>
          <w:tcPr>
            <w:tcW w:w="34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Coolidge Corner</w:t>
            </w: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Brookline, MA</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8,225</w:t>
            </w:r>
          </w:p>
        </w:tc>
        <w:tc>
          <w:tcPr>
            <w:tcW w:w="2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22, 2003</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2106</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 Avenue</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Evanston, IL</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w:t>
            </w:r>
          </w:p>
        </w:tc>
        <w:tc>
          <w:tcPr>
            <w:tcW w:w="2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22,341</w:t>
            </w:r>
          </w:p>
        </w:tc>
        <w:tc>
          <w:tcPr>
            <w:tcW w:w="3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-2181860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-2181860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-2181860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-2181860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-2181860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2" w:name="page23"/>
    <w:bookmarkEnd w:id="2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Mortgage or</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2"/>
              </w:rPr>
              <w:t>Grocery</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87"/>
              </w:rPr>
              <w:t>Year</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Capital Lease</w:t>
            </w:r>
          </w:p>
        </w:tc>
        <w:tc>
          <w:tcPr>
            <w:tcW w:w="12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Anchor</w:t>
            </w: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Grocery</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Other Principal</w:t>
            </w:r>
          </w:p>
        </w:tc>
      </w:tr>
      <w:tr>
        <w:trPr>
          <w:trHeight w:val="178"/>
        </w:trPr>
        <w:tc>
          <w:tcPr>
            <w:tcW w:w="1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60" w:type="dxa"/>
            <w:vAlign w:val="bottom"/>
          </w:tcPr>
          <w:p>
            <w:pPr>
              <w:spacing w:after="0"/>
              <w:rPr>
                <w:sz w:val="15"/>
                <w:szCs w:val="15"/>
                <w:color w:val="auto"/>
              </w:rPr>
            </w:pPr>
          </w:p>
        </w:tc>
        <w:tc>
          <w:tcPr>
            <w:tcW w:w="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89"/>
              </w:rPr>
              <w:t>Type(1)</w:t>
            </w:r>
          </w:p>
        </w:tc>
        <w:tc>
          <w:tcPr>
            <w:tcW w:w="100" w:type="dxa"/>
            <w:vAlign w:val="bottom"/>
          </w:tcPr>
          <w:p>
            <w:pPr>
              <w:spacing w:after="0"/>
              <w:rPr>
                <w:sz w:val="15"/>
                <w:szCs w:val="15"/>
                <w:color w:val="auto"/>
              </w:rPr>
            </w:pPr>
          </w:p>
        </w:tc>
        <w:tc>
          <w:tcPr>
            <w:tcW w:w="17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MSA Description</w:t>
            </w:r>
          </w:p>
        </w:tc>
        <w:tc>
          <w:tcPr>
            <w:tcW w:w="12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Acquired</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GLA (2)</w:t>
            </w: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Leased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Obligation</w:t>
            </w:r>
          </w:p>
        </w:tc>
        <w:tc>
          <w:tcPr>
            <w:tcW w:w="12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1"/>
              </w:rPr>
              <w:t>GLA (3)</w:t>
            </w: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Anchor (3)</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Tenants</w:t>
            </w: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35"/>
        </w:trPr>
        <w:tc>
          <w:tcPr>
            <w:tcW w:w="20" w:type="dxa"/>
            <w:vAlign w:val="bottom"/>
          </w:tcPr>
          <w:p>
            <w:pPr>
              <w:spacing w:after="0"/>
              <w:rPr>
                <w:sz w:val="11"/>
                <w:szCs w:val="11"/>
                <w:color w:val="auto"/>
              </w:rPr>
            </w:pPr>
          </w:p>
        </w:tc>
        <w:tc>
          <w:tcPr>
            <w:tcW w:w="1180" w:type="dxa"/>
            <w:vAlign w:val="bottom"/>
            <w:tcBorders>
              <w:bottom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4"/>
              </w:rPr>
              <w:t>Mid-Atlantic Region</w:t>
            </w:r>
          </w:p>
        </w:tc>
        <w:tc>
          <w:tcPr>
            <w:tcW w:w="2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r>
      <w:tr>
        <w:trPr>
          <w:trHeight w:val="237"/>
        </w:trPr>
        <w:tc>
          <w:tcPr>
            <w:tcW w:w="19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Washington Metropolitan Area</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29"/>
        </w:trPr>
        <w:tc>
          <w:tcPr>
            <w:tcW w:w="20" w:type="dxa"/>
            <w:vAlign w:val="bottom"/>
          </w:tcPr>
          <w:p>
            <w:pPr>
              <w:spacing w:after="0"/>
              <w:rPr>
                <w:sz w:val="11"/>
                <w:szCs w:val="11"/>
                <w:color w:val="auto"/>
              </w:rPr>
            </w:pPr>
          </w:p>
        </w:tc>
        <w:tc>
          <w:tcPr>
            <w:tcW w:w="1420" w:type="dxa"/>
            <w:vAlign w:val="bottom"/>
            <w:tcBorders>
              <w:top w:val="single" w:sz="8" w:color="auto"/>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Bethesda Row</w:t>
            </w:r>
          </w:p>
        </w:tc>
        <w:tc>
          <w:tcPr>
            <w:tcW w:w="380" w:type="dxa"/>
            <w:vAlign w:val="bottom"/>
            <w:tcBorders>
              <w:top w:val="single" w:sz="8" w:color="auto"/>
            </w:tcBorders>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4"/>
                <w:szCs w:val="14"/>
                <w:color w:val="auto"/>
              </w:rPr>
              <w:t>SR</w:t>
            </w:r>
          </w:p>
        </w:tc>
        <w:tc>
          <w:tcPr>
            <w:tcW w:w="12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1993-98</w:t>
            </w:r>
          </w:p>
        </w:tc>
        <w:tc>
          <w:tcPr>
            <w:tcW w:w="1100" w:type="dxa"/>
            <w:vAlign w:val="bottom"/>
            <w:gridSpan w:val="2"/>
            <w:shd w:val="clear" w:color="auto" w:fill="CCEEFF"/>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79,564</w:t>
            </w:r>
          </w:p>
        </w:tc>
        <w:tc>
          <w:tcPr>
            <w:tcW w:w="90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(4)</w:t>
            </w:r>
          </w:p>
        </w:tc>
        <w:tc>
          <w:tcPr>
            <w:tcW w:w="6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424,000</w:t>
            </w: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99%</w:t>
            </w: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12,576</w:t>
            </w:r>
          </w:p>
        </w:tc>
        <w:tc>
          <w:tcPr>
            <w:tcW w:w="680" w:type="dxa"/>
            <w:vAlign w:val="bottom"/>
            <w:gridSpan w:val="3"/>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40,000</w:t>
            </w:r>
          </w:p>
        </w:tc>
        <w:tc>
          <w:tcPr>
            <w:tcW w:w="8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4"/>
                <w:szCs w:val="14"/>
                <w:color w:val="auto"/>
              </w:rPr>
              <w:t>Giant Food</w:t>
            </w:r>
          </w:p>
        </w:tc>
        <w:tc>
          <w:tcPr>
            <w:tcW w:w="116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Barnes &amp; Noble</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4"/>
              </w:rPr>
              <w:t>/Landmark Theater</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Congressional Plaza</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1965</w:t>
            </w:r>
          </w:p>
        </w:tc>
        <w:tc>
          <w:tcPr>
            <w:tcW w:w="110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65,457(5)</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55.8%</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339,000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1"/>
                <w:szCs w:val="11"/>
                <w:color w:val="auto"/>
              </w:rPr>
            </w:pPr>
          </w:p>
        </w:tc>
        <w:tc>
          <w:tcPr>
            <w:tcW w:w="68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28,258</w:t>
            </w:r>
          </w:p>
        </w:tc>
        <w:tc>
          <w:tcPr>
            <w:tcW w:w="8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Whole Foods</w:t>
            </w: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Buy Buy Baby /</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Container Store /</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Tower</w:t>
            </w: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Courthouse Center</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1997</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4,292</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Falls Plaza</w:t>
            </w:r>
          </w:p>
        </w:tc>
        <w:tc>
          <w:tcPr>
            <w:tcW w:w="5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8,157</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73,000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51,385</w:t>
            </w: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Giant Food</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Falls Plaza-East</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1972</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3,352</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CVS / Staples</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Federal Plaza</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1989</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61,904</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247,000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98%</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35,732</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TJ Maxx /</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CompUSA / Ross</w:t>
            </w: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Friendship Center</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2001</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33,305</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119,000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Borders / Linens</w:t>
            </w: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 Things /</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Maggiano’s</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Gaithersburg Square</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1993</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23,822</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216,000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90%</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Bed, Bath &amp;</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6"/>
              </w:rPr>
              <w:t>Beyond / Borders /</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Ross</w:t>
            </w: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Idylwood Plaza</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14,913</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29,556</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Whole Foods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Laurel</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1986</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45,626</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99.9%</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384,000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tcPr>
          <w:p>
            <w:pPr>
              <w:spacing w:after="0"/>
              <w:rPr>
                <w:sz w:val="11"/>
                <w:szCs w:val="11"/>
                <w:color w:val="auto"/>
              </w:rPr>
            </w:pPr>
          </w:p>
        </w:tc>
        <w:tc>
          <w:tcPr>
            <w:tcW w:w="68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39,500</w:t>
            </w:r>
          </w:p>
        </w:tc>
        <w:tc>
          <w:tcPr>
            <w:tcW w:w="8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Giant Food</w:t>
            </w: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w w:val="95"/>
              </w:rPr>
              <w:t>Marshalls / Toys R</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w:t>
            </w: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Leesburg Plaza</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1998</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20,440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247,000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9,900</w:t>
            </w:r>
          </w:p>
        </w:tc>
        <w:tc>
          <w:tcPr>
            <w:tcW w:w="6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55,330</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Giant Food</w:t>
            </w: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Peebles</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Loehmann’s Plaza</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1983</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25,322</w:t>
            </w:r>
          </w:p>
        </w:tc>
        <w:tc>
          <w:tcPr>
            <w:tcW w:w="9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(6)</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242,000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w w:val="97"/>
              </w:rPr>
              <w:t>Bally’s / Linens ‘n</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Things /</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Loehmann’s</w:t>
            </w: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Magruder’s Center</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1997</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10,788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30,750</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Magruders</w:t>
            </w: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Tuesday Morning</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Mid-Pike Plaza</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1982</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17,280</w:t>
            </w:r>
          </w:p>
        </w:tc>
        <w:tc>
          <w:tcPr>
            <w:tcW w:w="9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(7)</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304,000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10,041</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w w:val="98"/>
              </w:rPr>
              <w:t>Linens ‘n Things /</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Toys R Us /</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Bally’s / AC</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Moore</w:t>
            </w: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Mount Vernon</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2003</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19,595</w:t>
            </w:r>
          </w:p>
        </w:tc>
        <w:tc>
          <w:tcPr>
            <w:tcW w:w="90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(7)(6)</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254,000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68%</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13,210</w:t>
            </w:r>
          </w:p>
        </w:tc>
        <w:tc>
          <w:tcPr>
            <w:tcW w:w="68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53,692</w:t>
            </w:r>
          </w:p>
        </w:tc>
        <w:tc>
          <w:tcPr>
            <w:tcW w:w="880" w:type="dxa"/>
            <w:vAlign w:val="bottom"/>
            <w:gridSpan w:val="2"/>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w w:val="94"/>
              </w:rPr>
              <w:t>Shoppers Food</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Warehouse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Old Keene Mill</w:t>
            </w:r>
          </w:p>
        </w:tc>
        <w:tc>
          <w:tcPr>
            <w:tcW w:w="5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1976</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5,149</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92,000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24,060</w:t>
            </w: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Whole Foods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Pan Am</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1993</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25,021</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218,000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99%</w:t>
            </w:r>
          </w:p>
        </w:tc>
        <w:tc>
          <w:tcPr>
            <w:tcW w:w="8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32,725</w:t>
            </w:r>
          </w:p>
        </w:tc>
        <w:tc>
          <w:tcPr>
            <w:tcW w:w="880" w:type="dxa"/>
            <w:vAlign w:val="bottom"/>
            <w:gridSpan w:val="2"/>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Safeway</w:t>
            </w:r>
          </w:p>
        </w:tc>
        <w:tc>
          <w:tcPr>
            <w:tcW w:w="11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Micro Center /</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Michaels</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Pentagon Row</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1999</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87,320</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296,000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98%</w:t>
            </w:r>
          </w:p>
        </w:tc>
        <w:tc>
          <w:tcPr>
            <w:tcW w:w="820" w:type="dxa"/>
            <w:vAlign w:val="bottom"/>
          </w:tcPr>
          <w:p>
            <w:pPr>
              <w:spacing w:after="0"/>
              <w:rPr>
                <w:sz w:val="11"/>
                <w:szCs w:val="11"/>
                <w:color w:val="auto"/>
              </w:rPr>
            </w:pPr>
          </w:p>
        </w:tc>
        <w:tc>
          <w:tcPr>
            <w:tcW w:w="68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44,623</w:t>
            </w:r>
          </w:p>
        </w:tc>
        <w:tc>
          <w:tcPr>
            <w:tcW w:w="8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Harris Teeter</w:t>
            </w: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w w:val="94"/>
              </w:rPr>
              <w:t>Bally’s / Bed, Bath</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4"/>
              </w:rPr>
              <w:t>&amp; Beyond / DSW /</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Plus</w:t>
            </w: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Pike 7</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1997</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33,431</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164,000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Staples / TJ Maxx</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Tower</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Quince Orchard</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1993</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19,078</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252,000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95%</w:t>
            </w:r>
          </w:p>
        </w:tc>
        <w:tc>
          <w:tcPr>
            <w:tcW w:w="820" w:type="dxa"/>
            <w:vAlign w:val="bottom"/>
          </w:tcPr>
          <w:p>
            <w:pPr>
              <w:spacing w:after="0"/>
              <w:rPr>
                <w:sz w:val="11"/>
                <w:szCs w:val="11"/>
                <w:color w:val="auto"/>
              </w:rPr>
            </w:pPr>
          </w:p>
        </w:tc>
        <w:tc>
          <w:tcPr>
            <w:tcW w:w="68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23,640</w:t>
            </w:r>
          </w:p>
        </w:tc>
        <w:tc>
          <w:tcPr>
            <w:tcW w:w="8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Magruders</w:t>
            </w: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Circuit City /</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Staples</w:t>
            </w: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Rollingwood Apartments</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SR</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6,684</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Sam’s Park &amp; Shop</w:t>
            </w:r>
          </w:p>
        </w:tc>
        <w:tc>
          <w:tcPr>
            <w:tcW w:w="5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color w:val="auto"/>
              </w:rPr>
              <w:t>SR</w:t>
            </w:r>
          </w:p>
        </w:tc>
        <w:tc>
          <w:tcPr>
            <w:tcW w:w="10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11,786</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Petco</w:t>
            </w: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South Valley</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2003</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14,195</w:t>
            </w:r>
          </w:p>
        </w:tc>
        <w:tc>
          <w:tcPr>
            <w:tcW w:w="90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(6)</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218,000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85%</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Home Depot / TJ</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Maxx</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Tower</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1998</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18,290</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106,000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w w:val="93"/>
              </w:rPr>
              <w:t>Virginia Fine Wine</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Talbot</w:t>
            </w: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Tyson’s Station</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3,352</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Trader Joes</w:t>
            </w:r>
          </w:p>
        </w:tc>
      </w:tr>
      <w:tr>
        <w:trPr>
          <w:trHeight w:val="149"/>
        </w:trPr>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Village of Shirlington</w:t>
            </w:r>
          </w:p>
        </w:tc>
        <w:tc>
          <w:tcPr>
            <w:tcW w:w="5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color w:val="auto"/>
              </w:rPr>
              <w:t>SR</w:t>
            </w:r>
          </w:p>
        </w:tc>
        <w:tc>
          <w:tcPr>
            <w:tcW w:w="10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32,811</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204,000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Cineplex Odeon</w:t>
            </w: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Wildwood</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Washington, DC-MD-VA-WV</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1969</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16,381</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86,000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98%</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27,600</w:t>
            </w:r>
          </w:p>
        </w:tc>
        <w:tc>
          <w:tcPr>
            <w:tcW w:w="68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20,000</w:t>
            </w:r>
          </w:p>
        </w:tc>
        <w:tc>
          <w:tcPr>
            <w:tcW w:w="880" w:type="dxa"/>
            <w:vAlign w:val="bottom"/>
            <w:gridSpan w:val="2"/>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Sutton Place</w:t>
            </w:r>
          </w:p>
        </w:tc>
        <w:tc>
          <w:tcPr>
            <w:tcW w:w="11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CVS</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Gourmet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707,316</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6"/>
              </w:rPr>
              <w:t>4,875,000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43"/>
        </w:trPr>
        <w:tc>
          <w:tcPr>
            <w:tcW w:w="19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Mid-Atlantic Region - Other</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29"/>
        </w:trPr>
        <w:tc>
          <w:tcPr>
            <w:tcW w:w="20" w:type="dxa"/>
            <w:vAlign w:val="bottom"/>
          </w:tcPr>
          <w:p>
            <w:pPr>
              <w:spacing w:after="0"/>
              <w:rPr>
                <w:sz w:val="11"/>
                <w:szCs w:val="11"/>
                <w:color w:val="auto"/>
              </w:rPr>
            </w:pPr>
          </w:p>
        </w:tc>
        <w:tc>
          <w:tcPr>
            <w:tcW w:w="1420" w:type="dxa"/>
            <w:vAlign w:val="bottom"/>
            <w:tcBorders>
              <w:top w:val="single" w:sz="8" w:color="auto"/>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Governor Plaza</w:t>
            </w:r>
          </w:p>
        </w:tc>
        <w:tc>
          <w:tcPr>
            <w:tcW w:w="220" w:type="dxa"/>
            <w:vAlign w:val="bottom"/>
            <w:tcBorders>
              <w:top w:val="single" w:sz="8" w:color="auto"/>
            </w:tcBorders>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4"/>
                <w:szCs w:val="14"/>
                <w:color w:val="auto"/>
                <w:w w:val="81"/>
              </w:rPr>
              <w:t>SC</w:t>
            </w:r>
          </w:p>
        </w:tc>
        <w:tc>
          <w:tcPr>
            <w:tcW w:w="280" w:type="dxa"/>
            <w:vAlign w:val="bottom"/>
            <w:gridSpan w:val="3"/>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Baltimore, MD</w:t>
            </w:r>
          </w:p>
        </w:tc>
        <w:tc>
          <w:tcPr>
            <w:tcW w:w="78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1985</w:t>
            </w:r>
          </w:p>
        </w:tc>
        <w:tc>
          <w:tcPr>
            <w:tcW w:w="1100" w:type="dxa"/>
            <w:vAlign w:val="bottom"/>
            <w:gridSpan w:val="2"/>
            <w:shd w:val="clear" w:color="auto" w:fill="CCEEFF"/>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18,416</w:t>
            </w:r>
          </w:p>
        </w:tc>
        <w:tc>
          <w:tcPr>
            <w:tcW w:w="90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99.9%</w:t>
            </w:r>
          </w:p>
        </w:tc>
        <w:tc>
          <w:tcPr>
            <w:tcW w:w="6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267,000</w:t>
            </w: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Bally’s / Comp</w:t>
            </w: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USA / Syms /</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Office Depot</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Perring Plaza</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Baltimore, MD</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1985</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23,985</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99.9%</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402,000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90%</w:t>
            </w:r>
          </w:p>
        </w:tc>
        <w:tc>
          <w:tcPr>
            <w:tcW w:w="820" w:type="dxa"/>
            <w:vAlign w:val="bottom"/>
          </w:tcPr>
          <w:p>
            <w:pPr>
              <w:spacing w:after="0"/>
              <w:rPr>
                <w:sz w:val="11"/>
                <w:szCs w:val="11"/>
                <w:color w:val="auto"/>
              </w:rPr>
            </w:pPr>
          </w:p>
        </w:tc>
        <w:tc>
          <w:tcPr>
            <w:tcW w:w="68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57,706</w:t>
            </w:r>
          </w:p>
        </w:tc>
        <w:tc>
          <w:tcPr>
            <w:tcW w:w="8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Metro Foods</w:t>
            </w: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Home Depot /</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Burlington Coat</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Factory</w:t>
            </w: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Barracks Road</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Charlottesville, VA</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1985</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39,563</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483,000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99%</w:t>
            </w: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44,300</w:t>
            </w:r>
          </w:p>
        </w:tc>
        <w:tc>
          <w:tcPr>
            <w:tcW w:w="68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91,032</w:t>
            </w:r>
          </w:p>
        </w:tc>
        <w:tc>
          <w:tcPr>
            <w:tcW w:w="880" w:type="dxa"/>
            <w:vAlign w:val="bottom"/>
            <w:gridSpan w:val="2"/>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w w:val="97"/>
              </w:rPr>
              <w:t>Harris Teeter /</w:t>
            </w:r>
          </w:p>
        </w:tc>
        <w:tc>
          <w:tcPr>
            <w:tcW w:w="11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Bed, Bath &amp;</w:t>
            </w: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Kroger</w:t>
            </w: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4"/>
              </w:rPr>
              <w:t>Beyond / Barnes &amp;</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Noble / Old Navy</w:t>
            </w:r>
          </w:p>
        </w:tc>
      </w:tr>
      <w:tr>
        <w:trPr>
          <w:trHeight w:val="149"/>
        </w:trPr>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Winter Park</w:t>
            </w:r>
          </w:p>
        </w:tc>
        <w:tc>
          <w:tcPr>
            <w:tcW w:w="5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color w:val="auto"/>
              </w:rPr>
              <w:t>SR</w:t>
            </w:r>
          </w:p>
        </w:tc>
        <w:tc>
          <w:tcPr>
            <w:tcW w:w="10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Orlando, FL</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6,878</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Eastgate</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Raleigh-Durham-Chapel Hill,</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1986</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15,492</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159,000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22,938</w:t>
            </w:r>
          </w:p>
        </w:tc>
        <w:tc>
          <w:tcPr>
            <w:tcW w:w="880" w:type="dxa"/>
            <w:vAlign w:val="bottom"/>
            <w:gridSpan w:val="2"/>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Southern</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NC</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Season</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Shops at Willow Lawn</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Richmond-Petersburg, VA</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1983</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63,004</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99.9%</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487,000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88%</w:t>
            </w:r>
          </w:p>
        </w:tc>
        <w:tc>
          <w:tcPr>
            <w:tcW w:w="820" w:type="dxa"/>
            <w:vAlign w:val="bottom"/>
          </w:tcPr>
          <w:p>
            <w:pPr>
              <w:spacing w:after="0"/>
              <w:rPr>
                <w:sz w:val="11"/>
                <w:szCs w:val="11"/>
                <w:color w:val="auto"/>
              </w:rPr>
            </w:pPr>
          </w:p>
        </w:tc>
        <w:tc>
          <w:tcPr>
            <w:tcW w:w="68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59,639</w:t>
            </w:r>
          </w:p>
        </w:tc>
        <w:tc>
          <w:tcPr>
            <w:tcW w:w="8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Kroger</w:t>
            </w: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Dillard’s / Old</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Navy / Tower</w:t>
            </w:r>
          </w:p>
        </w:tc>
      </w:t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Records</w:t>
            </w: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167,337</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6"/>
              </w:rPr>
              <w:t>1,827,000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Mid-Atlantic Region</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874,653</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6"/>
              </w:rPr>
              <w:t>6,702,000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35"/>
        </w:trPr>
        <w:tc>
          <w:tcPr>
            <w:tcW w:w="20" w:type="dxa"/>
            <w:vAlign w:val="bottom"/>
          </w:tcPr>
          <w:p>
            <w:pPr>
              <w:spacing w:after="0"/>
              <w:rPr>
                <w:sz w:val="11"/>
                <w:szCs w:val="11"/>
                <w:color w:val="auto"/>
              </w:rPr>
            </w:pPr>
          </w:p>
        </w:tc>
        <w:tc>
          <w:tcPr>
            <w:tcW w:w="100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3"/>
              </w:rPr>
              <w:t>Northeast Region</w:t>
            </w:r>
          </w:p>
        </w:tc>
        <w:tc>
          <w:tcPr>
            <w:tcW w:w="420" w:type="dxa"/>
            <w:vAlign w:val="bottom"/>
            <w:tcBorders>
              <w:bottom w:val="single" w:sz="8" w:color="CCEEFF"/>
            </w:tcBorders>
            <w:gridSpan w:val="3"/>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r>
      <w:tr>
        <w:trPr>
          <w:trHeight w:val="237"/>
        </w:trPr>
        <w:tc>
          <w:tcPr>
            <w:tcW w:w="19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Philadelphia Metropolitan Area</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1420" w:type="dxa"/>
            <w:vAlign w:val="bottom"/>
            <w:tcBorders>
              <w:top w:val="single" w:sz="8" w:color="auto"/>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Andorra</w:t>
            </w:r>
          </w:p>
        </w:tc>
        <w:tc>
          <w:tcPr>
            <w:tcW w:w="400" w:type="dxa"/>
            <w:vAlign w:val="bottom"/>
            <w:tcBorders>
              <w:top w:val="single" w:sz="8" w:color="auto"/>
            </w:tcBorders>
            <w:gridSpan w:val="4"/>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1988</w:t>
            </w:r>
          </w:p>
        </w:tc>
        <w:tc>
          <w:tcPr>
            <w:tcW w:w="1100" w:type="dxa"/>
            <w:vAlign w:val="bottom"/>
            <w:gridSpan w:val="2"/>
            <w:shd w:val="clear" w:color="auto" w:fill="CCEEFF"/>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19,200</w:t>
            </w:r>
          </w:p>
        </w:tc>
        <w:tc>
          <w:tcPr>
            <w:tcW w:w="9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99.9%</w:t>
            </w:r>
          </w:p>
        </w:tc>
        <w:tc>
          <w:tcPr>
            <w:tcW w:w="6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259,000</w:t>
            </w:r>
          </w:p>
        </w:tc>
        <w:tc>
          <w:tcPr>
            <w:tcW w:w="6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8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23,542</w:t>
            </w:r>
          </w:p>
        </w:tc>
        <w:tc>
          <w:tcPr>
            <w:tcW w:w="88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6"/>
              </w:rPr>
              <w:t>Acme Markets</w:t>
            </w:r>
          </w:p>
        </w:tc>
        <w:tc>
          <w:tcPr>
            <w:tcW w:w="116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Kohl’s</w:t>
            </w:r>
          </w:p>
        </w:tc>
      </w:tr>
      <w:tr>
        <w:trPr>
          <w:trHeight w:val="149"/>
        </w:trPr>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Bala Cynwyd</w:t>
            </w:r>
          </w:p>
        </w:tc>
        <w:tc>
          <w:tcPr>
            <w:tcW w:w="5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1993</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23,976</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281,000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w w:val="96"/>
              </w:rPr>
              <w:t>Acme Markets</w:t>
            </w: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Lord &amp; Taylor</w:t>
            </w: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Ellisburg Circle</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1992</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27,033</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267,000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47,366</w:t>
            </w:r>
          </w:p>
        </w:tc>
        <w:tc>
          <w:tcPr>
            <w:tcW w:w="880" w:type="dxa"/>
            <w:vAlign w:val="bottom"/>
            <w:gridSpan w:val="2"/>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Genuardi’s</w:t>
            </w:r>
          </w:p>
        </w:tc>
        <w:tc>
          <w:tcPr>
            <w:tcW w:w="11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Bed, Bath &amp;</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Beyond / Ross</w:t>
            </w:r>
          </w:p>
        </w:tc>
      </w:tr>
      <w:tr>
        <w:trPr>
          <w:trHeight w:val="149"/>
        </w:trPr>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Feasterville</w:t>
            </w:r>
          </w:p>
        </w:tc>
        <w:tc>
          <w:tcPr>
            <w:tcW w:w="500" w:type="dxa"/>
            <w:vAlign w:val="bottom"/>
            <w:gridSpan w:val="5"/>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11,627</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111,000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52,694</w:t>
            </w: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Genuardi’s</w:t>
            </w: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OfficeMax</w:t>
            </w: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Flourtown</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8,742</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191,000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8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41,511</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Genuardi’s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Langhorne Square</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1985</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17,614</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216,000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93%</w:t>
            </w:r>
          </w:p>
        </w:tc>
        <w:tc>
          <w:tcPr>
            <w:tcW w:w="820" w:type="dxa"/>
            <w:vAlign w:val="bottom"/>
          </w:tcPr>
          <w:p>
            <w:pPr>
              <w:spacing w:after="0"/>
              <w:rPr>
                <w:sz w:val="11"/>
                <w:szCs w:val="11"/>
                <w:color w:val="auto"/>
              </w:rPr>
            </w:pPr>
          </w:p>
        </w:tc>
        <w:tc>
          <w:tcPr>
            <w:tcW w:w="68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55,000</w:t>
            </w:r>
          </w:p>
        </w:tc>
        <w:tc>
          <w:tcPr>
            <w:tcW w:w="8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Redner’s</w:t>
            </w: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Marshalls / Drug</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Warehouse</w:t>
            </w: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Emporium</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Mkts.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Lawrence Park</w:t>
            </w:r>
          </w:p>
        </w:tc>
        <w:tc>
          <w:tcPr>
            <w:tcW w:w="50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24,436</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333,000</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31,400</w:t>
            </w:r>
          </w:p>
        </w:tc>
        <w:tc>
          <w:tcPr>
            <w:tcW w:w="6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43,359</w:t>
            </w:r>
          </w:p>
        </w:tc>
        <w:tc>
          <w:tcPr>
            <w:tcW w:w="8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6"/>
              </w:rPr>
              <w:t>Acme Markets</w:t>
            </w: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CHI / TJ Maxx</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Northeast</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1983</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21,777</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292,000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97%</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Burlington Coat /</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Marshalls / Tower</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Records</w:t>
            </w:r>
          </w:p>
        </w:tc>
      </w:tr>
      <w:tr>
        <w:trPr>
          <w:trHeight w:val="136"/>
        </w:trPr>
        <w:tc>
          <w:tcPr>
            <w:tcW w:w="20" w:type="dxa"/>
            <w:vAlign w:val="bottom"/>
          </w:tcPr>
          <w:p>
            <w:pPr>
              <w:spacing w:after="0"/>
              <w:rPr>
                <w:sz w:val="11"/>
                <w:szCs w:val="11"/>
                <w:color w:val="auto"/>
              </w:rPr>
            </w:pPr>
          </w:p>
        </w:tc>
        <w:tc>
          <w:tcPr>
            <w:tcW w:w="142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Willow Grove</w:t>
            </w:r>
          </w:p>
        </w:tc>
        <w:tc>
          <w:tcPr>
            <w:tcW w:w="500" w:type="dxa"/>
            <w:vAlign w:val="bottom"/>
            <w:gridSpan w:val="5"/>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1984</w:t>
            </w:r>
          </w:p>
        </w:tc>
        <w:tc>
          <w:tcPr>
            <w:tcW w:w="110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26,141</w:t>
            </w:r>
          </w:p>
        </w:tc>
        <w:tc>
          <w:tcPr>
            <w:tcW w:w="9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215,000</w:t>
            </w:r>
          </w:p>
        </w:tc>
        <w:tc>
          <w:tcPr>
            <w:tcW w:w="6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Barnes &amp; Noble /</w:t>
            </w: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Marshalls / Toys R</w:t>
            </w:r>
          </w:p>
        </w:tc>
      </w:tr>
      <w:tr>
        <w:trPr>
          <w:trHeight w:val="161"/>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w:t>
            </w:r>
          </w:p>
        </w:tc>
      </w:tr>
      <w:tr>
        <w:trPr>
          <w:trHeight w:val="136"/>
        </w:trPr>
        <w:tc>
          <w:tcPr>
            <w:tcW w:w="20" w:type="dxa"/>
            <w:vAlign w:val="bottom"/>
          </w:tcPr>
          <w:p>
            <w:pPr>
              <w:spacing w:after="0"/>
              <w:rPr>
                <w:sz w:val="11"/>
                <w:szCs w:val="11"/>
                <w:color w:val="auto"/>
              </w:rPr>
            </w:pPr>
          </w:p>
        </w:tc>
        <w:tc>
          <w:tcPr>
            <w:tcW w:w="1420" w:type="dxa"/>
            <w:vAlign w:val="bottom"/>
            <w:gridSpan w:val="4"/>
          </w:tcPr>
          <w:p>
            <w:pPr>
              <w:spacing w:after="0" w:line="136" w:lineRule="exact"/>
              <w:rPr>
                <w:sz w:val="20"/>
                <w:szCs w:val="20"/>
                <w:color w:val="auto"/>
              </w:rPr>
            </w:pPr>
            <w:r>
              <w:rPr>
                <w:rFonts w:ascii="Times New Roman" w:cs="Times New Roman" w:eastAsia="Times New Roman" w:hAnsi="Times New Roman"/>
                <w:sz w:val="14"/>
                <w:szCs w:val="14"/>
                <w:color w:val="auto"/>
              </w:rPr>
              <w:t>Wynnewood</w:t>
            </w:r>
          </w:p>
        </w:tc>
        <w:tc>
          <w:tcPr>
            <w:tcW w:w="50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0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Philadelphia, PA-NJ</w:t>
            </w:r>
          </w:p>
        </w:tc>
        <w:tc>
          <w:tcPr>
            <w:tcW w:w="78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1996</w:t>
            </w:r>
          </w:p>
        </w:tc>
        <w:tc>
          <w:tcPr>
            <w:tcW w:w="11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4"/>
                <w:szCs w:val="14"/>
                <w:color w:val="auto"/>
              </w:rPr>
              <w:t>35,211</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255,000</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99%</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32,000</w:t>
            </w:r>
          </w:p>
        </w:tc>
        <w:tc>
          <w:tcPr>
            <w:tcW w:w="68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4"/>
                <w:szCs w:val="14"/>
                <w:color w:val="auto"/>
              </w:rPr>
              <w:t>98,000</w:t>
            </w:r>
          </w:p>
        </w:tc>
        <w:tc>
          <w:tcPr>
            <w:tcW w:w="8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Genuardi’s</w:t>
            </w:r>
          </w:p>
        </w:tc>
        <w:tc>
          <w:tcPr>
            <w:tcW w:w="11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Bed, Bath &amp;</w:t>
            </w: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w w:val="96"/>
              </w:rPr>
              <w:t>Beyond / Borders /</w:t>
            </w:r>
          </w:p>
        </w:tc>
      </w:t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Old Navy</w:t>
            </w:r>
          </w:p>
        </w:tc>
      </w:tr>
    </w:tbl>
    <w:p>
      <w:pPr>
        <w:sectPr>
          <w:pgSz w:w="11900" w:h="16910" w:orient="portrait"/>
          <w:cols w:equalWidth="0" w:num="1">
            <w:col w:w="11420"/>
          </w:cols>
          <w:pgMar w:left="240" w:top="272" w:right="239" w:bottom="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3047365</wp:posOffset>
            </wp:positionH>
            <wp:positionV relativeFrom="page">
              <wp:posOffset>88900</wp:posOffset>
            </wp:positionV>
            <wp:extent cx="52324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88900</wp:posOffset>
            </wp:positionV>
            <wp:extent cx="6858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215,756</w:t>
            </w: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2,420,000</w:t>
            </w:r>
          </w:p>
        </w:tc>
        <w:tc>
          <w:tcPr>
            <w:tcW w:w="7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94%</w:t>
            </w:r>
          </w:p>
        </w:tc>
        <w:tc>
          <w:tcPr>
            <w:tcW w:w="7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351"/>
        </w:trPr>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New York / New Jersey</w:t>
            </w: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Allwood</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Bergen-Passaic, NJ</w:t>
            </w:r>
          </w:p>
        </w:tc>
        <w:tc>
          <w:tcPr>
            <w:tcW w:w="980" w:type="dxa"/>
            <w:vAlign w:val="bottom"/>
            <w:shd w:val="clear" w:color="auto" w:fill="CCEEFF"/>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1988</w:t>
            </w:r>
          </w:p>
        </w:tc>
        <w:tc>
          <w:tcPr>
            <w:tcW w:w="1000" w:type="dxa"/>
            <w:vAlign w:val="bottom"/>
            <w:shd w:val="clear" w:color="auto" w:fill="CCEEFF"/>
          </w:tcPr>
          <w:p>
            <w:pPr>
              <w:jc w:val="right"/>
              <w:ind w:right="252"/>
              <w:spacing w:after="0" w:line="142" w:lineRule="exact"/>
              <w:rPr>
                <w:sz w:val="20"/>
                <w:szCs w:val="20"/>
                <w:color w:val="auto"/>
              </w:rPr>
            </w:pPr>
            <w:r>
              <w:rPr>
                <w:rFonts w:ascii="Times New Roman" w:cs="Times New Roman" w:eastAsia="Times New Roman" w:hAnsi="Times New Roman"/>
                <w:sz w:val="14"/>
                <w:szCs w:val="14"/>
                <w:color w:val="auto"/>
              </w:rPr>
              <w:t>4,265</w:t>
            </w:r>
          </w:p>
        </w:tc>
        <w:tc>
          <w:tcPr>
            <w:tcW w:w="800" w:type="dxa"/>
            <w:vAlign w:val="bottom"/>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52,000</w:t>
            </w:r>
          </w:p>
        </w:tc>
        <w:tc>
          <w:tcPr>
            <w:tcW w:w="760" w:type="dxa"/>
            <w:vAlign w:val="bottom"/>
            <w:shd w:val="clear" w:color="auto" w:fill="CCEEFF"/>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shd w:val="clear" w:color="auto" w:fill="CCEEFF"/>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3,507</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25,025</w:t>
            </w:r>
          </w:p>
        </w:tc>
        <w:tc>
          <w:tcPr>
            <w:tcW w:w="94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Stop &amp; Shop</w:t>
            </w:r>
          </w:p>
        </w:tc>
        <w:tc>
          <w:tcPr>
            <w:tcW w:w="110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Mandee Shop</w:t>
            </w:r>
          </w:p>
        </w:tc>
      </w:tr>
      <w:tr>
        <w:trPr>
          <w:trHeight w:val="136"/>
        </w:trPr>
        <w:tc>
          <w:tcPr>
            <w:tcW w:w="20" w:type="dxa"/>
            <w:vAlign w:val="bottom"/>
          </w:tcPr>
          <w:p>
            <w:pPr>
              <w:spacing w:after="0"/>
              <w:rPr>
                <w:sz w:val="11"/>
                <w:szCs w:val="11"/>
                <w:color w:val="auto"/>
              </w:rPr>
            </w:pPr>
          </w:p>
        </w:tc>
        <w:tc>
          <w:tcPr>
            <w:tcW w:w="14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Clifton</w:t>
            </w:r>
          </w:p>
        </w:tc>
        <w:tc>
          <w:tcPr>
            <w:tcW w:w="44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tcPr>
          <w:p>
            <w:pPr>
              <w:ind w:left="180"/>
              <w:spacing w:after="0" w:line="136" w:lineRule="exact"/>
              <w:rPr>
                <w:sz w:val="20"/>
                <w:szCs w:val="20"/>
                <w:color w:val="auto"/>
              </w:rPr>
            </w:pPr>
            <w:r>
              <w:rPr>
                <w:rFonts w:ascii="Times New Roman" w:cs="Times New Roman" w:eastAsia="Times New Roman" w:hAnsi="Times New Roman"/>
                <w:sz w:val="14"/>
                <w:szCs w:val="14"/>
                <w:color w:val="auto"/>
              </w:rPr>
              <w:t>Bergen-Passaic, NJ</w:t>
            </w:r>
          </w:p>
        </w:tc>
        <w:tc>
          <w:tcPr>
            <w:tcW w:w="980" w:type="dxa"/>
            <w:vAlign w:val="bottom"/>
          </w:tcPr>
          <w:p>
            <w:pPr>
              <w:jc w:val="right"/>
              <w:ind w:right="192"/>
              <w:spacing w:after="0" w:line="136" w:lineRule="exact"/>
              <w:rPr>
                <w:sz w:val="20"/>
                <w:szCs w:val="20"/>
                <w:color w:val="auto"/>
              </w:rPr>
            </w:pPr>
            <w:r>
              <w:rPr>
                <w:rFonts w:ascii="Times New Roman" w:cs="Times New Roman" w:eastAsia="Times New Roman" w:hAnsi="Times New Roman"/>
                <w:sz w:val="14"/>
                <w:szCs w:val="14"/>
                <w:color w:val="auto"/>
              </w:rPr>
              <w:t>1988</w:t>
            </w:r>
          </w:p>
        </w:tc>
        <w:tc>
          <w:tcPr>
            <w:tcW w:w="1000" w:type="dxa"/>
            <w:vAlign w:val="bottom"/>
          </w:tcPr>
          <w:p>
            <w:pPr>
              <w:jc w:val="right"/>
              <w:ind w:right="252"/>
              <w:spacing w:after="0" w:line="136" w:lineRule="exact"/>
              <w:rPr>
                <w:sz w:val="20"/>
                <w:szCs w:val="20"/>
                <w:color w:val="auto"/>
              </w:rPr>
            </w:pPr>
            <w:r>
              <w:rPr>
                <w:rFonts w:ascii="Times New Roman" w:cs="Times New Roman" w:eastAsia="Times New Roman" w:hAnsi="Times New Roman"/>
                <w:sz w:val="14"/>
                <w:szCs w:val="14"/>
                <w:color w:val="auto"/>
              </w:rPr>
              <w:t>4,950</w:t>
            </w:r>
          </w:p>
        </w:tc>
        <w:tc>
          <w:tcPr>
            <w:tcW w:w="800" w:type="dxa"/>
            <w:vAlign w:val="bottom"/>
          </w:tcPr>
          <w:p>
            <w:pPr>
              <w:jc w:val="right"/>
              <w:ind w:right="72"/>
              <w:spacing w:after="0" w:line="136"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tcPr>
          <w:p>
            <w:pPr>
              <w:jc w:val="right"/>
              <w:ind w:right="92"/>
              <w:spacing w:after="0" w:line="136" w:lineRule="exact"/>
              <w:rPr>
                <w:sz w:val="20"/>
                <w:szCs w:val="20"/>
                <w:color w:val="auto"/>
              </w:rPr>
            </w:pPr>
            <w:r>
              <w:rPr>
                <w:rFonts w:ascii="Times New Roman" w:cs="Times New Roman" w:eastAsia="Times New Roman" w:hAnsi="Times New Roman"/>
                <w:sz w:val="14"/>
                <w:szCs w:val="14"/>
                <w:color w:val="auto"/>
              </w:rPr>
              <w:t>80,000</w:t>
            </w:r>
          </w:p>
        </w:tc>
        <w:tc>
          <w:tcPr>
            <w:tcW w:w="760" w:type="dxa"/>
            <w:vAlign w:val="bottom"/>
          </w:tcPr>
          <w:p>
            <w:pPr>
              <w:jc w:val="right"/>
              <w:ind w:right="212"/>
              <w:spacing w:after="0" w:line="136" w:lineRule="exact"/>
              <w:rPr>
                <w:sz w:val="20"/>
                <w:szCs w:val="20"/>
                <w:color w:val="auto"/>
              </w:rPr>
            </w:pPr>
            <w:r>
              <w:rPr>
                <w:rFonts w:ascii="Times New Roman" w:cs="Times New Roman" w:eastAsia="Times New Roman" w:hAnsi="Times New Roman"/>
                <w:sz w:val="14"/>
                <w:szCs w:val="14"/>
                <w:color w:val="auto"/>
              </w:rPr>
              <w:t>93%</w:t>
            </w:r>
          </w:p>
        </w:tc>
        <w:tc>
          <w:tcPr>
            <w:tcW w:w="780" w:type="dxa"/>
            <w:vAlign w:val="bottom"/>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3,262</w:t>
            </w: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26,500</w:t>
            </w:r>
          </w:p>
        </w:tc>
        <w:tc>
          <w:tcPr>
            <w:tcW w:w="9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Acme Markets</w:t>
            </w:r>
          </w:p>
        </w:tc>
        <w:tc>
          <w:tcPr>
            <w:tcW w:w="110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Drug Fair / Dollar</w:t>
            </w: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Express</w:t>
            </w:r>
          </w:p>
        </w:tc>
      </w:tr>
      <w:tr>
        <w:trPr>
          <w:trHeight w:val="136"/>
        </w:trPr>
        <w:tc>
          <w:tcPr>
            <w:tcW w:w="20" w:type="dxa"/>
            <w:vAlign w:val="bottom"/>
          </w:tcPr>
          <w:p>
            <w:pPr>
              <w:spacing w:after="0"/>
              <w:rPr>
                <w:sz w:val="11"/>
                <w:szCs w:val="11"/>
                <w:color w:val="auto"/>
              </w:rPr>
            </w:pPr>
          </w:p>
        </w:tc>
        <w:tc>
          <w:tcPr>
            <w:tcW w:w="14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Blue Star</w:t>
            </w:r>
          </w:p>
        </w:tc>
        <w:tc>
          <w:tcPr>
            <w:tcW w:w="440" w:type="dxa"/>
            <w:vAlign w:val="bottom"/>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4"/>
                <w:szCs w:val="14"/>
                <w:color w:val="auto"/>
              </w:rPr>
              <w:t>Middlesex-Somerset-</w:t>
            </w:r>
          </w:p>
        </w:tc>
        <w:tc>
          <w:tcPr>
            <w:tcW w:w="980" w:type="dxa"/>
            <w:vAlign w:val="bottom"/>
            <w:shd w:val="clear" w:color="auto" w:fill="CCEEFF"/>
          </w:tcPr>
          <w:p>
            <w:pPr>
              <w:jc w:val="right"/>
              <w:ind w:right="192"/>
              <w:spacing w:after="0" w:line="136" w:lineRule="exact"/>
              <w:rPr>
                <w:sz w:val="20"/>
                <w:szCs w:val="20"/>
                <w:color w:val="auto"/>
              </w:rPr>
            </w:pPr>
            <w:r>
              <w:rPr>
                <w:rFonts w:ascii="Times New Roman" w:cs="Times New Roman" w:eastAsia="Times New Roman" w:hAnsi="Times New Roman"/>
                <w:sz w:val="14"/>
                <w:szCs w:val="14"/>
                <w:color w:val="auto"/>
              </w:rPr>
              <w:t>1988</w:t>
            </w:r>
          </w:p>
        </w:tc>
        <w:tc>
          <w:tcPr>
            <w:tcW w:w="1000" w:type="dxa"/>
            <w:vAlign w:val="bottom"/>
            <w:shd w:val="clear" w:color="auto" w:fill="CCEEFF"/>
          </w:tcPr>
          <w:p>
            <w:pPr>
              <w:jc w:val="right"/>
              <w:ind w:right="252"/>
              <w:spacing w:after="0" w:line="136" w:lineRule="exact"/>
              <w:rPr>
                <w:sz w:val="20"/>
                <w:szCs w:val="20"/>
                <w:color w:val="auto"/>
              </w:rPr>
            </w:pPr>
            <w:r>
              <w:rPr>
                <w:rFonts w:ascii="Times New Roman" w:cs="Times New Roman" w:eastAsia="Times New Roman" w:hAnsi="Times New Roman"/>
                <w:sz w:val="14"/>
                <w:szCs w:val="14"/>
                <w:color w:val="auto"/>
              </w:rPr>
              <w:t>39,241</w:t>
            </w:r>
          </w:p>
        </w:tc>
        <w:tc>
          <w:tcPr>
            <w:tcW w:w="800" w:type="dxa"/>
            <w:vAlign w:val="bottom"/>
            <w:shd w:val="clear" w:color="auto" w:fill="CCEEFF"/>
          </w:tcPr>
          <w:p>
            <w:pPr>
              <w:jc w:val="right"/>
              <w:ind w:right="72"/>
              <w:spacing w:after="0" w:line="136"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CEEFF"/>
          </w:tcPr>
          <w:p>
            <w:pPr>
              <w:jc w:val="right"/>
              <w:ind w:right="92"/>
              <w:spacing w:after="0" w:line="136" w:lineRule="exact"/>
              <w:rPr>
                <w:sz w:val="20"/>
                <w:szCs w:val="20"/>
                <w:color w:val="auto"/>
              </w:rPr>
            </w:pPr>
            <w:r>
              <w:rPr>
                <w:rFonts w:ascii="Times New Roman" w:cs="Times New Roman" w:eastAsia="Times New Roman" w:hAnsi="Times New Roman"/>
                <w:sz w:val="14"/>
                <w:szCs w:val="14"/>
                <w:color w:val="auto"/>
              </w:rPr>
              <w:t>407,000</w:t>
            </w:r>
          </w:p>
        </w:tc>
        <w:tc>
          <w:tcPr>
            <w:tcW w:w="760" w:type="dxa"/>
            <w:vAlign w:val="bottom"/>
            <w:shd w:val="clear" w:color="auto" w:fill="CCEEFF"/>
          </w:tcPr>
          <w:p>
            <w:pPr>
              <w:jc w:val="right"/>
              <w:ind w:right="212"/>
              <w:spacing w:after="0" w:line="136" w:lineRule="exact"/>
              <w:rPr>
                <w:sz w:val="20"/>
                <w:szCs w:val="20"/>
                <w:color w:val="auto"/>
              </w:rPr>
            </w:pPr>
            <w:r>
              <w:rPr>
                <w:rFonts w:ascii="Times New Roman" w:cs="Times New Roman" w:eastAsia="Times New Roman" w:hAnsi="Times New Roman"/>
                <w:sz w:val="14"/>
                <w:szCs w:val="14"/>
                <w:color w:val="auto"/>
              </w:rPr>
              <w:t>97%</w:t>
            </w:r>
          </w:p>
        </w:tc>
        <w:tc>
          <w:tcPr>
            <w:tcW w:w="780" w:type="dxa"/>
            <w:vAlign w:val="bottom"/>
            <w:shd w:val="clear" w:color="auto" w:fill="CCEEFF"/>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26,769</w:t>
            </w: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43,365</w:t>
            </w:r>
          </w:p>
        </w:tc>
        <w:tc>
          <w:tcPr>
            <w:tcW w:w="94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Shop Rite</w:t>
            </w:r>
          </w:p>
        </w:tc>
        <w:tc>
          <w:tcPr>
            <w:tcW w:w="110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w w:val="94"/>
              </w:rPr>
              <w:t>Kohl’s / Michaels /</w:t>
            </w: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Hunterdon, NJ</w:t>
            </w:r>
          </w:p>
        </w:tc>
        <w:tc>
          <w:tcPr>
            <w:tcW w:w="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Toys R Us /</w:t>
            </w: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Marshalls</w:t>
            </w:r>
          </w:p>
        </w:tc>
      </w:tr>
      <w:tr>
        <w:trPr>
          <w:trHeight w:val="136"/>
        </w:trPr>
        <w:tc>
          <w:tcPr>
            <w:tcW w:w="20" w:type="dxa"/>
            <w:vAlign w:val="bottom"/>
          </w:tcPr>
          <w:p>
            <w:pPr>
              <w:spacing w:after="0"/>
              <w:rPr>
                <w:sz w:val="11"/>
                <w:szCs w:val="11"/>
                <w:color w:val="auto"/>
              </w:rPr>
            </w:pPr>
          </w:p>
        </w:tc>
        <w:tc>
          <w:tcPr>
            <w:tcW w:w="14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Brunswick</w:t>
            </w:r>
          </w:p>
        </w:tc>
        <w:tc>
          <w:tcPr>
            <w:tcW w:w="44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tcPr>
          <w:p>
            <w:pPr>
              <w:ind w:left="180"/>
              <w:spacing w:after="0" w:line="136" w:lineRule="exact"/>
              <w:rPr>
                <w:sz w:val="20"/>
                <w:szCs w:val="20"/>
                <w:color w:val="auto"/>
              </w:rPr>
            </w:pPr>
            <w:r>
              <w:rPr>
                <w:rFonts w:ascii="Times New Roman" w:cs="Times New Roman" w:eastAsia="Times New Roman" w:hAnsi="Times New Roman"/>
                <w:sz w:val="14"/>
                <w:szCs w:val="14"/>
                <w:color w:val="auto"/>
              </w:rPr>
              <w:t>Middlesex-Somerset-</w:t>
            </w:r>
          </w:p>
        </w:tc>
        <w:tc>
          <w:tcPr>
            <w:tcW w:w="980" w:type="dxa"/>
            <w:vAlign w:val="bottom"/>
          </w:tcPr>
          <w:p>
            <w:pPr>
              <w:jc w:val="right"/>
              <w:ind w:right="192"/>
              <w:spacing w:after="0" w:line="136" w:lineRule="exact"/>
              <w:rPr>
                <w:sz w:val="20"/>
                <w:szCs w:val="20"/>
                <w:color w:val="auto"/>
              </w:rPr>
            </w:pPr>
            <w:r>
              <w:rPr>
                <w:rFonts w:ascii="Times New Roman" w:cs="Times New Roman" w:eastAsia="Times New Roman" w:hAnsi="Times New Roman"/>
                <w:sz w:val="14"/>
                <w:szCs w:val="14"/>
                <w:color w:val="auto"/>
              </w:rPr>
              <w:t>1988</w:t>
            </w:r>
          </w:p>
        </w:tc>
        <w:tc>
          <w:tcPr>
            <w:tcW w:w="1000" w:type="dxa"/>
            <w:vAlign w:val="bottom"/>
          </w:tcPr>
          <w:p>
            <w:pPr>
              <w:jc w:val="right"/>
              <w:ind w:right="252"/>
              <w:spacing w:after="0" w:line="136" w:lineRule="exact"/>
              <w:rPr>
                <w:sz w:val="20"/>
                <w:szCs w:val="20"/>
                <w:color w:val="auto"/>
              </w:rPr>
            </w:pPr>
            <w:r>
              <w:rPr>
                <w:rFonts w:ascii="Times New Roman" w:cs="Times New Roman" w:eastAsia="Times New Roman" w:hAnsi="Times New Roman"/>
                <w:sz w:val="14"/>
                <w:szCs w:val="14"/>
                <w:color w:val="auto"/>
              </w:rPr>
              <w:t>21,057</w:t>
            </w:r>
          </w:p>
        </w:tc>
        <w:tc>
          <w:tcPr>
            <w:tcW w:w="800" w:type="dxa"/>
            <w:vAlign w:val="bottom"/>
          </w:tcPr>
          <w:p>
            <w:pPr>
              <w:jc w:val="right"/>
              <w:ind w:right="72"/>
              <w:spacing w:after="0" w:line="136"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tcPr>
          <w:p>
            <w:pPr>
              <w:jc w:val="right"/>
              <w:ind w:right="92"/>
              <w:spacing w:after="0" w:line="136" w:lineRule="exact"/>
              <w:rPr>
                <w:sz w:val="20"/>
                <w:szCs w:val="20"/>
                <w:color w:val="auto"/>
              </w:rPr>
            </w:pPr>
            <w:r>
              <w:rPr>
                <w:rFonts w:ascii="Times New Roman" w:cs="Times New Roman" w:eastAsia="Times New Roman" w:hAnsi="Times New Roman"/>
                <w:sz w:val="14"/>
                <w:szCs w:val="14"/>
                <w:color w:val="auto"/>
              </w:rPr>
              <w:t>303,000</w:t>
            </w:r>
          </w:p>
        </w:tc>
        <w:tc>
          <w:tcPr>
            <w:tcW w:w="760" w:type="dxa"/>
            <w:vAlign w:val="bottom"/>
          </w:tcPr>
          <w:p>
            <w:pPr>
              <w:jc w:val="right"/>
              <w:ind w:right="212"/>
              <w:spacing w:after="0" w:line="136" w:lineRule="exact"/>
              <w:rPr>
                <w:sz w:val="20"/>
                <w:szCs w:val="20"/>
                <w:color w:val="auto"/>
              </w:rPr>
            </w:pPr>
            <w:r>
              <w:rPr>
                <w:rFonts w:ascii="Times New Roman" w:cs="Times New Roman" w:eastAsia="Times New Roman" w:hAnsi="Times New Roman"/>
                <w:sz w:val="14"/>
                <w:szCs w:val="14"/>
                <w:color w:val="auto"/>
              </w:rPr>
              <w:t>99%</w:t>
            </w:r>
          </w:p>
        </w:tc>
        <w:tc>
          <w:tcPr>
            <w:tcW w:w="780" w:type="dxa"/>
            <w:vAlign w:val="bottom"/>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11,144</w:t>
            </w: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55,345</w:t>
            </w:r>
          </w:p>
        </w:tc>
        <w:tc>
          <w:tcPr>
            <w:tcW w:w="9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A&amp;P</w:t>
            </w:r>
          </w:p>
        </w:tc>
        <w:tc>
          <w:tcPr>
            <w:tcW w:w="1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Hunterdon, NJ</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14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Rutgers</w:t>
            </w:r>
          </w:p>
        </w:tc>
        <w:tc>
          <w:tcPr>
            <w:tcW w:w="440" w:type="dxa"/>
            <w:vAlign w:val="bottom"/>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4"/>
                <w:szCs w:val="14"/>
                <w:color w:val="auto"/>
              </w:rPr>
              <w:t>Middlesex-Somerset-</w:t>
            </w:r>
          </w:p>
        </w:tc>
        <w:tc>
          <w:tcPr>
            <w:tcW w:w="980" w:type="dxa"/>
            <w:vAlign w:val="bottom"/>
            <w:shd w:val="clear" w:color="auto" w:fill="CCEEFF"/>
          </w:tcPr>
          <w:p>
            <w:pPr>
              <w:jc w:val="right"/>
              <w:ind w:right="192"/>
              <w:spacing w:after="0" w:line="136" w:lineRule="exact"/>
              <w:rPr>
                <w:sz w:val="20"/>
                <w:szCs w:val="20"/>
                <w:color w:val="auto"/>
              </w:rPr>
            </w:pPr>
            <w:r>
              <w:rPr>
                <w:rFonts w:ascii="Times New Roman" w:cs="Times New Roman" w:eastAsia="Times New Roman" w:hAnsi="Times New Roman"/>
                <w:sz w:val="14"/>
                <w:szCs w:val="14"/>
                <w:color w:val="auto"/>
              </w:rPr>
              <w:t>1988</w:t>
            </w:r>
          </w:p>
        </w:tc>
        <w:tc>
          <w:tcPr>
            <w:tcW w:w="1000" w:type="dxa"/>
            <w:vAlign w:val="bottom"/>
            <w:shd w:val="clear" w:color="auto" w:fill="CCEEFF"/>
          </w:tcPr>
          <w:p>
            <w:pPr>
              <w:jc w:val="right"/>
              <w:ind w:right="252"/>
              <w:spacing w:after="0" w:line="136" w:lineRule="exact"/>
              <w:rPr>
                <w:sz w:val="20"/>
                <w:szCs w:val="20"/>
                <w:color w:val="auto"/>
              </w:rPr>
            </w:pPr>
            <w:r>
              <w:rPr>
                <w:rFonts w:ascii="Times New Roman" w:cs="Times New Roman" w:eastAsia="Times New Roman" w:hAnsi="Times New Roman"/>
                <w:sz w:val="14"/>
                <w:szCs w:val="14"/>
                <w:color w:val="auto"/>
              </w:rPr>
              <w:t>15,921</w:t>
            </w:r>
          </w:p>
        </w:tc>
        <w:tc>
          <w:tcPr>
            <w:tcW w:w="800" w:type="dxa"/>
            <w:vAlign w:val="bottom"/>
            <w:shd w:val="clear" w:color="auto" w:fill="CCEEFF"/>
          </w:tcPr>
          <w:p>
            <w:pPr>
              <w:jc w:val="right"/>
              <w:ind w:right="72"/>
              <w:spacing w:after="0" w:line="136"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CEEFF"/>
          </w:tcPr>
          <w:p>
            <w:pPr>
              <w:jc w:val="right"/>
              <w:ind w:right="92"/>
              <w:spacing w:after="0" w:line="136" w:lineRule="exact"/>
              <w:rPr>
                <w:sz w:val="20"/>
                <w:szCs w:val="20"/>
                <w:color w:val="auto"/>
              </w:rPr>
            </w:pPr>
            <w:r>
              <w:rPr>
                <w:rFonts w:ascii="Times New Roman" w:cs="Times New Roman" w:eastAsia="Times New Roman" w:hAnsi="Times New Roman"/>
                <w:sz w:val="14"/>
                <w:szCs w:val="14"/>
                <w:color w:val="auto"/>
              </w:rPr>
              <w:t>217,000</w:t>
            </w:r>
          </w:p>
        </w:tc>
        <w:tc>
          <w:tcPr>
            <w:tcW w:w="760" w:type="dxa"/>
            <w:vAlign w:val="bottom"/>
            <w:shd w:val="clear" w:color="auto" w:fill="CCEEFF"/>
          </w:tcPr>
          <w:p>
            <w:pPr>
              <w:jc w:val="right"/>
              <w:ind w:right="212"/>
              <w:spacing w:after="0" w:line="136" w:lineRule="exact"/>
              <w:rPr>
                <w:sz w:val="20"/>
                <w:szCs w:val="20"/>
                <w:color w:val="auto"/>
              </w:rPr>
            </w:pPr>
            <w:r>
              <w:rPr>
                <w:rFonts w:ascii="Times New Roman" w:cs="Times New Roman" w:eastAsia="Times New Roman" w:hAnsi="Times New Roman"/>
                <w:sz w:val="14"/>
                <w:szCs w:val="14"/>
                <w:color w:val="auto"/>
              </w:rPr>
              <w:t>99%</w:t>
            </w:r>
          </w:p>
        </w:tc>
        <w:tc>
          <w:tcPr>
            <w:tcW w:w="780" w:type="dxa"/>
            <w:vAlign w:val="bottom"/>
            <w:shd w:val="clear" w:color="auto" w:fill="CCEEFF"/>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12,909</w:t>
            </w:r>
          </w:p>
        </w:tc>
        <w:tc>
          <w:tcPr>
            <w:tcW w:w="5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44,456</w:t>
            </w:r>
          </w:p>
        </w:tc>
        <w:tc>
          <w:tcPr>
            <w:tcW w:w="94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Edwards Super</w:t>
            </w:r>
          </w:p>
        </w:tc>
        <w:tc>
          <w:tcPr>
            <w:tcW w:w="110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Kmart</w:t>
            </w: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Hunterdon, NJ</w:t>
            </w: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Food</w:t>
            </w:r>
          </w:p>
        </w:tc>
        <w:tc>
          <w:tcPr>
            <w:tcW w:w="1100" w:type="dxa"/>
            <w:vAlign w:val="bottom"/>
            <w:shd w:val="clear" w:color="auto" w:fill="CCEEFF"/>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14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Brick Plaza</w:t>
            </w:r>
          </w:p>
        </w:tc>
        <w:tc>
          <w:tcPr>
            <w:tcW w:w="44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tcPr>
          <w:p>
            <w:pPr>
              <w:ind w:left="180"/>
              <w:spacing w:after="0" w:line="136" w:lineRule="exact"/>
              <w:rPr>
                <w:sz w:val="20"/>
                <w:szCs w:val="20"/>
                <w:color w:val="auto"/>
              </w:rPr>
            </w:pPr>
            <w:r>
              <w:rPr>
                <w:rFonts w:ascii="Times New Roman" w:cs="Times New Roman" w:eastAsia="Times New Roman" w:hAnsi="Times New Roman"/>
                <w:sz w:val="14"/>
                <w:szCs w:val="14"/>
                <w:color w:val="auto"/>
              </w:rPr>
              <w:t>Monmouth-Ocean, NJ</w:t>
            </w:r>
          </w:p>
        </w:tc>
        <w:tc>
          <w:tcPr>
            <w:tcW w:w="980" w:type="dxa"/>
            <w:vAlign w:val="bottom"/>
          </w:tcPr>
          <w:p>
            <w:pPr>
              <w:jc w:val="right"/>
              <w:ind w:right="192"/>
              <w:spacing w:after="0" w:line="136" w:lineRule="exact"/>
              <w:rPr>
                <w:sz w:val="20"/>
                <w:szCs w:val="20"/>
                <w:color w:val="auto"/>
              </w:rPr>
            </w:pPr>
            <w:r>
              <w:rPr>
                <w:rFonts w:ascii="Times New Roman" w:cs="Times New Roman" w:eastAsia="Times New Roman" w:hAnsi="Times New Roman"/>
                <w:sz w:val="14"/>
                <w:szCs w:val="14"/>
                <w:color w:val="auto"/>
              </w:rPr>
              <w:t>1989</w:t>
            </w:r>
          </w:p>
        </w:tc>
        <w:tc>
          <w:tcPr>
            <w:tcW w:w="1000" w:type="dxa"/>
            <w:vAlign w:val="bottom"/>
          </w:tcPr>
          <w:p>
            <w:pPr>
              <w:jc w:val="right"/>
              <w:ind w:right="252"/>
              <w:spacing w:after="0" w:line="136" w:lineRule="exact"/>
              <w:rPr>
                <w:sz w:val="20"/>
                <w:szCs w:val="20"/>
                <w:color w:val="auto"/>
              </w:rPr>
            </w:pPr>
            <w:r>
              <w:rPr>
                <w:rFonts w:ascii="Times New Roman" w:cs="Times New Roman" w:eastAsia="Times New Roman" w:hAnsi="Times New Roman"/>
                <w:sz w:val="14"/>
                <w:szCs w:val="14"/>
                <w:color w:val="auto"/>
              </w:rPr>
              <w:t>53,765</w:t>
            </w:r>
          </w:p>
        </w:tc>
        <w:tc>
          <w:tcPr>
            <w:tcW w:w="800" w:type="dxa"/>
            <w:vAlign w:val="bottom"/>
          </w:tcPr>
          <w:p>
            <w:pPr>
              <w:jc w:val="right"/>
              <w:ind w:right="12"/>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780" w:type="dxa"/>
            <w:vAlign w:val="bottom"/>
          </w:tcPr>
          <w:p>
            <w:pPr>
              <w:jc w:val="right"/>
              <w:ind w:right="92"/>
              <w:spacing w:after="0" w:line="136" w:lineRule="exact"/>
              <w:rPr>
                <w:sz w:val="20"/>
                <w:szCs w:val="20"/>
                <w:color w:val="auto"/>
              </w:rPr>
            </w:pPr>
            <w:r>
              <w:rPr>
                <w:rFonts w:ascii="Times New Roman" w:cs="Times New Roman" w:eastAsia="Times New Roman" w:hAnsi="Times New Roman"/>
                <w:sz w:val="14"/>
                <w:szCs w:val="14"/>
                <w:color w:val="auto"/>
              </w:rPr>
              <w:t>409,000</w:t>
            </w:r>
          </w:p>
        </w:tc>
        <w:tc>
          <w:tcPr>
            <w:tcW w:w="760" w:type="dxa"/>
            <w:vAlign w:val="bottom"/>
          </w:tcPr>
          <w:p>
            <w:pPr>
              <w:jc w:val="right"/>
              <w:ind w:right="212"/>
              <w:spacing w:after="0" w:line="136" w:lineRule="exact"/>
              <w:rPr>
                <w:sz w:val="20"/>
                <w:szCs w:val="20"/>
                <w:color w:val="auto"/>
              </w:rPr>
            </w:pPr>
            <w:r>
              <w:rPr>
                <w:rFonts w:ascii="Times New Roman" w:cs="Times New Roman" w:eastAsia="Times New Roman" w:hAnsi="Times New Roman"/>
                <w:sz w:val="14"/>
                <w:szCs w:val="14"/>
                <w:color w:val="auto"/>
              </w:rPr>
              <w:t>90%</w:t>
            </w:r>
          </w:p>
        </w:tc>
        <w:tc>
          <w:tcPr>
            <w:tcW w:w="780" w:type="dxa"/>
            <w:vAlign w:val="bottom"/>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33,000</w:t>
            </w: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66,110</w:t>
            </w:r>
          </w:p>
        </w:tc>
        <w:tc>
          <w:tcPr>
            <w:tcW w:w="9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A&amp;P</w:t>
            </w:r>
          </w:p>
        </w:tc>
        <w:tc>
          <w:tcPr>
            <w:tcW w:w="110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Loews Theatre /</w:t>
            </w: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Barnes&amp;Noble /</w:t>
            </w: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Sports Authority</w:t>
            </w:r>
          </w:p>
        </w:tc>
      </w:tr>
      <w:tr>
        <w:trPr>
          <w:trHeight w:val="149"/>
        </w:trPr>
        <w:tc>
          <w:tcPr>
            <w:tcW w:w="20" w:type="dxa"/>
            <w:vAlign w:val="bottom"/>
          </w:tcPr>
          <w:p>
            <w:pPr>
              <w:spacing w:after="0"/>
              <w:rPr>
                <w:sz w:val="12"/>
                <w:szCs w:val="12"/>
                <w:color w:val="auto"/>
              </w:rPr>
            </w:pPr>
          </w:p>
        </w:tc>
        <w:tc>
          <w:tcPr>
            <w:tcW w:w="1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Greenlawn Plaza</w:t>
            </w:r>
          </w:p>
        </w:tc>
        <w:tc>
          <w:tcPr>
            <w:tcW w:w="4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Nassau-Suffolk, NY</w:t>
            </w:r>
          </w:p>
        </w:tc>
        <w:tc>
          <w:tcPr>
            <w:tcW w:w="980" w:type="dxa"/>
            <w:vAlign w:val="bottom"/>
            <w:shd w:val="clear" w:color="auto" w:fill="CCEEFF"/>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0" w:type="dxa"/>
            <w:vAlign w:val="bottom"/>
            <w:shd w:val="clear" w:color="auto" w:fill="CCEEFF"/>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10,999</w:t>
            </w:r>
          </w:p>
        </w:tc>
        <w:tc>
          <w:tcPr>
            <w:tcW w:w="80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8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92,000</w:t>
            </w:r>
          </w:p>
        </w:tc>
        <w:tc>
          <w:tcPr>
            <w:tcW w:w="76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7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45,958</w:t>
            </w:r>
          </w:p>
        </w:tc>
        <w:tc>
          <w:tcPr>
            <w:tcW w:w="9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Waldbaum’s</w:t>
            </w:r>
          </w:p>
        </w:tc>
        <w:tc>
          <w:tcPr>
            <w:tcW w:w="1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Hauppauge</w:t>
            </w:r>
          </w:p>
        </w:tc>
        <w:tc>
          <w:tcPr>
            <w:tcW w:w="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Nassau-Suffolk, NY</w:t>
            </w:r>
          </w:p>
        </w:tc>
        <w:tc>
          <w:tcPr>
            <w:tcW w:w="98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1998</w:t>
            </w:r>
          </w:p>
        </w:tc>
        <w:tc>
          <w:tcPr>
            <w:tcW w:w="100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26,269</w:t>
            </w:r>
          </w:p>
        </w:tc>
        <w:tc>
          <w:tcPr>
            <w:tcW w:w="8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131,000</w:t>
            </w:r>
          </w:p>
        </w:tc>
        <w:tc>
          <w:tcPr>
            <w:tcW w:w="76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16,700</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60,791</w:t>
            </w:r>
          </w:p>
        </w:tc>
        <w:tc>
          <w:tcPr>
            <w:tcW w:w="9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Shop Rite</w:t>
            </w:r>
          </w:p>
        </w:tc>
        <w:tc>
          <w:tcPr>
            <w:tcW w:w="11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Huntington</w:t>
            </w:r>
          </w:p>
        </w:tc>
        <w:tc>
          <w:tcPr>
            <w:tcW w:w="440" w:type="dxa"/>
            <w:vAlign w:val="bottom"/>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860" w:type="dxa"/>
            <w:vAlign w:val="bottom"/>
            <w:shd w:val="clear" w:color="auto" w:fill="CCEEFF"/>
          </w:tcPr>
          <w:p>
            <w:pPr>
              <w:ind w:left="180"/>
              <w:spacing w:after="0" w:line="136" w:lineRule="exact"/>
              <w:rPr>
                <w:sz w:val="20"/>
                <w:szCs w:val="20"/>
                <w:color w:val="auto"/>
              </w:rPr>
            </w:pPr>
            <w:r>
              <w:rPr>
                <w:rFonts w:ascii="Times New Roman" w:cs="Times New Roman" w:eastAsia="Times New Roman" w:hAnsi="Times New Roman"/>
                <w:sz w:val="14"/>
                <w:szCs w:val="14"/>
                <w:color w:val="auto"/>
              </w:rPr>
              <w:t>Nassau-Suffolk, NY</w:t>
            </w:r>
          </w:p>
        </w:tc>
        <w:tc>
          <w:tcPr>
            <w:tcW w:w="980" w:type="dxa"/>
            <w:vAlign w:val="bottom"/>
            <w:shd w:val="clear" w:color="auto" w:fill="CCEEFF"/>
          </w:tcPr>
          <w:p>
            <w:pPr>
              <w:jc w:val="right"/>
              <w:ind w:right="192"/>
              <w:spacing w:after="0" w:line="136" w:lineRule="exact"/>
              <w:rPr>
                <w:sz w:val="20"/>
                <w:szCs w:val="20"/>
                <w:color w:val="auto"/>
              </w:rPr>
            </w:pPr>
            <w:r>
              <w:rPr>
                <w:rFonts w:ascii="Times New Roman" w:cs="Times New Roman" w:eastAsia="Times New Roman" w:hAnsi="Times New Roman"/>
                <w:sz w:val="14"/>
                <w:szCs w:val="14"/>
                <w:color w:val="auto"/>
              </w:rPr>
              <w:t>1988</w:t>
            </w:r>
          </w:p>
        </w:tc>
        <w:tc>
          <w:tcPr>
            <w:tcW w:w="1000" w:type="dxa"/>
            <w:vAlign w:val="bottom"/>
            <w:shd w:val="clear" w:color="auto" w:fill="CCEEFF"/>
          </w:tcPr>
          <w:p>
            <w:pPr>
              <w:jc w:val="right"/>
              <w:ind w:right="252"/>
              <w:spacing w:after="0" w:line="136" w:lineRule="exact"/>
              <w:rPr>
                <w:sz w:val="20"/>
                <w:szCs w:val="20"/>
                <w:color w:val="auto"/>
              </w:rPr>
            </w:pPr>
            <w:r>
              <w:rPr>
                <w:rFonts w:ascii="Times New Roman" w:cs="Times New Roman" w:eastAsia="Times New Roman" w:hAnsi="Times New Roman"/>
                <w:sz w:val="14"/>
                <w:szCs w:val="14"/>
                <w:color w:val="auto"/>
              </w:rPr>
              <w:t>22,387</w:t>
            </w:r>
          </w:p>
        </w:tc>
        <w:tc>
          <w:tcPr>
            <w:tcW w:w="800" w:type="dxa"/>
            <w:vAlign w:val="bottom"/>
            <w:shd w:val="clear" w:color="auto" w:fill="CCEEFF"/>
          </w:tcPr>
          <w:p>
            <w:pPr>
              <w:jc w:val="right"/>
              <w:ind w:right="72"/>
              <w:spacing w:after="0" w:line="136"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shd w:val="clear" w:color="auto" w:fill="CCEEFF"/>
          </w:tcPr>
          <w:p>
            <w:pPr>
              <w:jc w:val="right"/>
              <w:ind w:right="92"/>
              <w:spacing w:after="0" w:line="136" w:lineRule="exact"/>
              <w:rPr>
                <w:sz w:val="20"/>
                <w:szCs w:val="20"/>
                <w:color w:val="auto"/>
              </w:rPr>
            </w:pPr>
            <w:r>
              <w:rPr>
                <w:rFonts w:ascii="Times New Roman" w:cs="Times New Roman" w:eastAsia="Times New Roman" w:hAnsi="Times New Roman"/>
                <w:sz w:val="14"/>
                <w:szCs w:val="14"/>
                <w:color w:val="auto"/>
              </w:rPr>
              <w:t>279,000</w:t>
            </w:r>
          </w:p>
        </w:tc>
        <w:tc>
          <w:tcPr>
            <w:tcW w:w="760" w:type="dxa"/>
            <w:vAlign w:val="bottom"/>
            <w:shd w:val="clear" w:color="auto" w:fill="CCEEFF"/>
          </w:tcPr>
          <w:p>
            <w:pPr>
              <w:jc w:val="right"/>
              <w:ind w:right="212"/>
              <w:spacing w:after="0" w:line="136" w:lineRule="exact"/>
              <w:rPr>
                <w:sz w:val="20"/>
                <w:szCs w:val="20"/>
                <w:color w:val="auto"/>
              </w:rPr>
            </w:pPr>
            <w:r>
              <w:rPr>
                <w:rFonts w:ascii="Times New Roman" w:cs="Times New Roman" w:eastAsia="Times New Roman" w:hAnsi="Times New Roman"/>
                <w:sz w:val="14"/>
                <w:szCs w:val="14"/>
                <w:color w:val="auto"/>
              </w:rPr>
              <w:t>89%</w:t>
            </w:r>
          </w:p>
        </w:tc>
        <w:tc>
          <w:tcPr>
            <w:tcW w:w="780" w:type="dxa"/>
            <w:vAlign w:val="bottom"/>
            <w:shd w:val="clear" w:color="auto" w:fill="CCEEFF"/>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14,321</w:t>
            </w:r>
          </w:p>
        </w:tc>
        <w:tc>
          <w:tcPr>
            <w:tcW w:w="5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ind w:left="60"/>
              <w:spacing w:after="0" w:line="136" w:lineRule="exact"/>
              <w:rPr>
                <w:sz w:val="20"/>
                <w:szCs w:val="20"/>
                <w:color w:val="auto"/>
              </w:rPr>
            </w:pPr>
            <w:r>
              <w:rPr>
                <w:rFonts w:ascii="Times New Roman" w:cs="Times New Roman" w:eastAsia="Times New Roman" w:hAnsi="Times New Roman"/>
                <w:sz w:val="14"/>
                <w:szCs w:val="14"/>
                <w:color w:val="auto"/>
              </w:rPr>
              <w:t>Buy Buy Baby /</w:t>
            </w: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Toys R Us / Bed,</w:t>
            </w: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Bath &amp; Beyond</w:t>
            </w:r>
          </w:p>
        </w:tc>
      </w:tr>
    </w:tbl>
    <w:p>
      <w:pPr>
        <w:sectPr>
          <w:pgSz w:w="11900" w:h="16838" w:orient="portrait"/>
          <w:cols w:equalWidth="0" w:num="1">
            <w:col w:w="11420"/>
          </w:cols>
          <w:pgMar w:left="240" w:top="27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Mortgage or</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Grocery</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62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Capital Lease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Anchor</w:t>
            </w:r>
          </w:p>
        </w:tc>
        <w:tc>
          <w:tcPr>
            <w:tcW w:w="120" w:type="dxa"/>
            <w:vAlign w:val="bottom"/>
          </w:tcPr>
          <w:p>
            <w:pPr>
              <w:spacing w:after="0"/>
              <w:rPr>
                <w:sz w:val="12"/>
                <w:szCs w:val="12"/>
                <w:color w:val="auto"/>
              </w:rPr>
            </w:pPr>
          </w:p>
        </w:tc>
        <w:tc>
          <w:tcPr>
            <w:tcW w:w="1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Grocery</w:t>
            </w:r>
          </w:p>
        </w:tc>
        <w:tc>
          <w:tcPr>
            <w:tcW w:w="1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Other Principal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4"/>
              </w:rPr>
              <w:t>Type(1)</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MSA Description</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Acquired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Investment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GLA (2)</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Leased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Obligation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GLA (3)</w:t>
            </w:r>
          </w:p>
        </w:tc>
        <w:tc>
          <w:tcPr>
            <w:tcW w:w="12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Anchor (3)</w:t>
            </w:r>
          </w:p>
        </w:tc>
        <w:tc>
          <w:tcPr>
            <w:tcW w:w="140" w:type="dxa"/>
            <w:vAlign w:val="bottom"/>
          </w:tcPr>
          <w:p>
            <w:pPr>
              <w:spacing w:after="0"/>
              <w:rPr>
                <w:sz w:val="15"/>
                <w:szCs w:val="15"/>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Forest Hills</w:t>
            </w: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New York, NY</w:t>
            </w:r>
          </w:p>
        </w:tc>
        <w:tc>
          <w:tcPr>
            <w:tcW w:w="6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1997</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23,965</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86,000</w:t>
            </w:r>
          </w:p>
        </w:tc>
        <w:tc>
          <w:tcPr>
            <w:tcW w:w="76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Midway Theatre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Duane Reade / Gap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Fresh Meadows</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New York, NY</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1997</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64,577</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408,000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93%</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Value City /Kohl’s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Cineplex Odeon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Troy</w:t>
            </w: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Newark, NJ</w:t>
            </w:r>
          </w:p>
        </w:tc>
        <w:tc>
          <w:tcPr>
            <w:tcW w:w="6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1980</w:t>
            </w:r>
          </w:p>
        </w:tc>
        <w:tc>
          <w:tcPr>
            <w:tcW w:w="9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20,511</w:t>
            </w:r>
          </w:p>
        </w:tc>
        <w:tc>
          <w:tcPr>
            <w:tcW w:w="8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202,000</w:t>
            </w:r>
          </w:p>
        </w:tc>
        <w:tc>
          <w:tcPr>
            <w:tcW w:w="76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64,209</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Pathmark</w:t>
            </w: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A.C.Moore / Comp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USA / Toys R Us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Hamilton</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Trenton, NJ</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1988</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7,791</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(7)</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190,000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9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4,835</w:t>
            </w: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53,220</w:t>
            </w:r>
          </w:p>
        </w:tc>
        <w:tc>
          <w:tcPr>
            <w:tcW w:w="120" w:type="dxa"/>
            <w:vAlign w:val="bottom"/>
          </w:tcPr>
          <w:p>
            <w:pPr>
              <w:spacing w:after="0"/>
              <w:rPr>
                <w:sz w:val="11"/>
                <w:szCs w:val="11"/>
                <w:color w:val="auto"/>
              </w:rPr>
            </w:pPr>
          </w:p>
        </w:tc>
        <w:tc>
          <w:tcPr>
            <w:tcW w:w="11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Shop Rite</w:t>
            </w: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A.C.Moore / Stevens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Furniture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315,697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New England</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560" w:type="dxa"/>
            <w:vAlign w:val="bottom"/>
            <w:gridSpan w:val="8"/>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Dedham Plaza</w:t>
            </w:r>
          </w:p>
        </w:tc>
        <w:tc>
          <w:tcPr>
            <w:tcW w:w="5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Boston-Worcester-</w:t>
            </w: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1993</w:t>
            </w:r>
          </w:p>
        </w:tc>
        <w:tc>
          <w:tcPr>
            <w:tcW w:w="8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29,570</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245,000</w:t>
            </w:r>
          </w:p>
        </w:tc>
        <w:tc>
          <w:tcPr>
            <w:tcW w:w="76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97%</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Pier One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Lawrence-Lowell-</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Brockton, MA</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Queen Anne Plaza</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Boston-Worcester-</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1994</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14,689</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149,000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50,284</w:t>
            </w:r>
          </w:p>
        </w:tc>
        <w:tc>
          <w:tcPr>
            <w:tcW w:w="120" w:type="dxa"/>
            <w:vAlign w:val="bottom"/>
          </w:tcPr>
          <w:p>
            <w:pPr>
              <w:spacing w:after="0"/>
              <w:rPr>
                <w:sz w:val="11"/>
                <w:szCs w:val="11"/>
                <w:color w:val="auto"/>
              </w:rPr>
            </w:pPr>
          </w:p>
        </w:tc>
        <w:tc>
          <w:tcPr>
            <w:tcW w:w="11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3"/>
              </w:rPr>
              <w:t>Victory Supermarket</w:t>
            </w: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Lawrence-Lowell-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Brockton, MA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Saugus Plaza</w:t>
            </w: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Boston-Worcester-</w:t>
            </w:r>
          </w:p>
        </w:tc>
        <w:tc>
          <w:tcPr>
            <w:tcW w:w="6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1996</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13,071</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171,000</w:t>
            </w:r>
          </w:p>
        </w:tc>
        <w:tc>
          <w:tcPr>
            <w:tcW w:w="76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54,530</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Super Stop &amp; Shop</w:t>
            </w: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Kmart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Lawrence-Lowell-</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Brockton, MA</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auto"/>
              </w:rPr>
              <w:t>Bristol Plaza</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Hartford, CT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21,878</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296,000</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56,634</w:t>
            </w:r>
          </w:p>
        </w:tc>
        <w:tc>
          <w:tcPr>
            <w:tcW w:w="120" w:type="dxa"/>
            <w:vAlign w:val="bottom"/>
          </w:tcPr>
          <w:p>
            <w:pPr>
              <w:spacing w:after="0"/>
              <w:rPr>
                <w:sz w:val="12"/>
                <w:szCs w:val="12"/>
                <w:color w:val="auto"/>
              </w:rPr>
            </w:pP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Super Stop &amp; Shop</w:t>
            </w:r>
          </w:p>
        </w:tc>
        <w:tc>
          <w:tcPr>
            <w:tcW w:w="14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TJ Maxx</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West Hartford</w:t>
            </w: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Hartford, CT</w:t>
            </w:r>
          </w:p>
        </w:tc>
        <w:tc>
          <w:tcPr>
            <w:tcW w:w="6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1994-</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16,182</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126,000</w:t>
            </w:r>
          </w:p>
        </w:tc>
        <w:tc>
          <w:tcPr>
            <w:tcW w:w="76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83%</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1996</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Greenwich Avenue</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New Haven-</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1994-</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19,386</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57,000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97%</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Saks Fifth Avenue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Bridgeport-Stamford-</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Waterbury</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114,776</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Chicago</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560" w:type="dxa"/>
            <w:vAlign w:val="bottom"/>
            <w:gridSpan w:val="8"/>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Crossroads</w:t>
            </w:r>
          </w:p>
        </w:tc>
        <w:tc>
          <w:tcPr>
            <w:tcW w:w="5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Chicago, IL</w:t>
            </w: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1993</w:t>
            </w:r>
          </w:p>
        </w:tc>
        <w:tc>
          <w:tcPr>
            <w:tcW w:w="8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21,737</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173,000</w:t>
            </w:r>
          </w:p>
        </w:tc>
        <w:tc>
          <w:tcPr>
            <w:tcW w:w="76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Comp USA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Golfsmith / Guitar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Center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Finley Square</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Chicago, IL</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1995</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27,515</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313,000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96"/>
              </w:rPr>
              <w:t>Bed, Bath &amp; Beyond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Garden Market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Chicago, IL</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10,964</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62,937</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Dominick’s</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auto"/>
              </w:rPr>
              <w:t>North Lake Commons</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Chicago, IL</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1998</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12,989</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129,000</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77,303</w:t>
            </w:r>
          </w:p>
        </w:tc>
        <w:tc>
          <w:tcPr>
            <w:tcW w:w="120" w:type="dxa"/>
            <w:vAlign w:val="bottom"/>
          </w:tcPr>
          <w:p>
            <w:pPr>
              <w:spacing w:after="0"/>
              <w:rPr>
                <w:sz w:val="12"/>
                <w:szCs w:val="12"/>
                <w:color w:val="auto"/>
              </w:rPr>
            </w:pP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Dominick’s</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Evanston</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Chicago, IL</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76,425</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767,000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Northeast Region - Other</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Borders>
              <w:top w:val="single" w:sz="8" w:color="auto"/>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Gratiot Plaza</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Detroit, MI</w:t>
            </w: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1973</w:t>
            </w:r>
          </w:p>
        </w:tc>
        <w:tc>
          <w:tcPr>
            <w:tcW w:w="8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16,647</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218,000</w:t>
            </w:r>
          </w:p>
        </w:tc>
        <w:tc>
          <w:tcPr>
            <w:tcW w:w="76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68,802</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Farmer Jack’s</w:t>
            </w: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96"/>
              </w:rPr>
              <w:t>Bed, Bath &amp; Beyond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Best Buy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Lancaster</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Lancaster, PA</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1980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9,889</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107,000</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4,907</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39,404</w:t>
            </w:r>
          </w:p>
        </w:tc>
        <w:tc>
          <w:tcPr>
            <w:tcW w:w="1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Giant Food</w:t>
            </w:r>
          </w:p>
        </w:tc>
        <w:tc>
          <w:tcPr>
            <w:tcW w:w="1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A.C.Moore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26,536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Total Northeast Region</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749,190</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7,412,000</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96%</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tcBorders>
              <w:bottom w:val="single" w:sz="8" w:color="auto"/>
              <w:right w:val="single" w:sz="8" w:color="CCEEFF"/>
            </w:tcBorders>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4"/>
              </w:rPr>
              <w:t>West Region</w:t>
            </w:r>
          </w:p>
        </w:tc>
        <w:tc>
          <w:tcPr>
            <w:tcW w:w="800" w:type="dxa"/>
            <w:vAlign w:val="bottom"/>
            <w:tcBorders>
              <w:bottom w:val="single" w:sz="8" w:color="CCEEFF"/>
            </w:tcBorders>
            <w:gridSpan w:val="4"/>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560" w:type="dxa"/>
            <w:vAlign w:val="bottom"/>
            <w:gridSpan w:val="8"/>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Colorado Blvd</w:t>
            </w:r>
          </w:p>
        </w:tc>
        <w:tc>
          <w:tcPr>
            <w:tcW w:w="5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Los Angeles-Long</w:t>
            </w:r>
          </w:p>
        </w:tc>
        <w:tc>
          <w:tcPr>
            <w:tcW w:w="66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1996-</w:t>
            </w:r>
          </w:p>
        </w:tc>
        <w:tc>
          <w:tcPr>
            <w:tcW w:w="8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14,968</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(8)</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69,000</w:t>
            </w:r>
          </w:p>
        </w:tc>
        <w:tc>
          <w:tcPr>
            <w:tcW w:w="76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96%</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96"/>
              </w:rPr>
              <w:t>Pottery Barn / Banana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Beach, CA</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1998</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Republic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Hermosa Ave</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Los Angeles-Long</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1997</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4,591</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90.0%</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23,000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 CA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Hollywood Blvd</w:t>
            </w: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Los Angeles-Long</w:t>
            </w:r>
          </w:p>
        </w:tc>
        <w:tc>
          <w:tcPr>
            <w:tcW w:w="6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1999</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26,074</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90.0%</w:t>
            </w: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151,000</w:t>
            </w:r>
          </w:p>
        </w:tc>
        <w:tc>
          <w:tcPr>
            <w:tcW w:w="76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93%</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General Cinema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Beach, CA</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Hollywood 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Museum</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Third St Promenade</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Los Angeles-Long</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1996-</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71,966</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(9)</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209,000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98%</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J. Crew / Banana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 CA</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Republic / Old Navy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Escondido</w:t>
            </w: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San Diego, CA</w:t>
            </w:r>
          </w:p>
        </w:tc>
        <w:tc>
          <w:tcPr>
            <w:tcW w:w="6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1996</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24,802</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70.0%</w:t>
            </w: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222,000</w:t>
            </w:r>
          </w:p>
        </w:tc>
        <w:tc>
          <w:tcPr>
            <w:tcW w:w="76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Cost Plus / TJ Maxx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Toys R Us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Fifth Ave</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San Diego, CA</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1996-</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12,091</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(10)</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51,000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97%</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Urban Outfitters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1997</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150 Post Street</w:t>
            </w: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San Francisco, CA</w:t>
            </w:r>
          </w:p>
        </w:tc>
        <w:tc>
          <w:tcPr>
            <w:tcW w:w="6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1997</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29,707</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103,000</w:t>
            </w:r>
          </w:p>
        </w:tc>
        <w:tc>
          <w:tcPr>
            <w:tcW w:w="76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74%</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Brooks Brothers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Williams Sonoma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Kings Court</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SC</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San Jose, CA</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1998</w:t>
            </w:r>
          </w:p>
        </w:tc>
        <w:tc>
          <w:tcPr>
            <w:tcW w:w="9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11,409</w:t>
            </w:r>
          </w:p>
        </w:tc>
        <w:tc>
          <w:tcPr>
            <w:tcW w:w="8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(6)</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79,000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98%</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24,860</w:t>
            </w:r>
          </w:p>
        </w:tc>
        <w:tc>
          <w:tcPr>
            <w:tcW w:w="120" w:type="dxa"/>
            <w:vAlign w:val="bottom"/>
          </w:tcPr>
          <w:p>
            <w:pPr>
              <w:spacing w:after="0"/>
              <w:rPr>
                <w:sz w:val="11"/>
                <w:szCs w:val="11"/>
                <w:color w:val="auto"/>
              </w:rPr>
            </w:pPr>
          </w:p>
        </w:tc>
        <w:tc>
          <w:tcPr>
            <w:tcW w:w="11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Lunardi’s Super</w:t>
            </w: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Longs Drug Store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Market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Old Town</w:t>
            </w:r>
          </w:p>
        </w:tc>
        <w:tc>
          <w:tcPr>
            <w:tcW w:w="5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San Jose, CA</w:t>
            </w:r>
          </w:p>
        </w:tc>
        <w:tc>
          <w:tcPr>
            <w:tcW w:w="6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1997</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33,409</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96,000</w:t>
            </w:r>
          </w:p>
        </w:tc>
        <w:tc>
          <w:tcPr>
            <w:tcW w:w="760" w:type="dxa"/>
            <w:vAlign w:val="bottom"/>
            <w:gridSpan w:val="3"/>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96%</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Borders / Gap Kids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Banana Republic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60" w:type="dxa"/>
            <w:vAlign w:val="bottom"/>
            <w:gridSpan w:val="8"/>
          </w:tcPr>
          <w:p>
            <w:pPr>
              <w:spacing w:after="0" w:line="136" w:lineRule="exact"/>
              <w:rPr>
                <w:sz w:val="20"/>
                <w:szCs w:val="20"/>
                <w:color w:val="auto"/>
              </w:rPr>
            </w:pPr>
            <w:r>
              <w:rPr>
                <w:rFonts w:ascii="Times New Roman" w:cs="Times New Roman" w:eastAsia="Times New Roman" w:hAnsi="Times New Roman"/>
                <w:sz w:val="14"/>
                <w:szCs w:val="14"/>
                <w:color w:val="auto"/>
              </w:rPr>
              <w:t>Santana Row</w:t>
            </w:r>
          </w:p>
        </w:tc>
        <w:tc>
          <w:tcPr>
            <w:tcW w:w="5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San Jose, CA</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1997</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452,343</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444,000</w:t>
            </w:r>
          </w:p>
        </w:tc>
        <w:tc>
          <w:tcPr>
            <w:tcW w:w="7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81%</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Crate &amp; Barrel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Borders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681,361</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5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West Region - Other</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Borders>
              <w:top w:val="single" w:sz="8" w:color="auto"/>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Mill Avenue</w:t>
            </w:r>
          </w:p>
        </w:tc>
        <w:tc>
          <w:tcPr>
            <w:tcW w:w="400" w:type="dxa"/>
            <w:vAlign w:val="bottom"/>
            <w:gridSpan w:val="3"/>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Phoenix-Mesa, AZ</w:t>
            </w:r>
          </w:p>
        </w:tc>
        <w:tc>
          <w:tcPr>
            <w:tcW w:w="6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1998</w:t>
            </w:r>
          </w:p>
        </w:tc>
        <w:tc>
          <w:tcPr>
            <w:tcW w:w="9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11,046</w:t>
            </w:r>
          </w:p>
        </w:tc>
        <w:tc>
          <w:tcPr>
            <w:tcW w:w="88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40,000</w:t>
            </w:r>
          </w:p>
        </w:tc>
        <w:tc>
          <w:tcPr>
            <w:tcW w:w="76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Gordon Biersch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auto"/>
              </w:rPr>
              <w:t>Houston St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SR</w:t>
            </w: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San Antonio, TX</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1998</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59,299</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179,000</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70,344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West Region</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751,705</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1,666,000</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87%</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2,375,548</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15,780,000</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355,175</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1"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SR - Street Retail; SC - Shopping Center</w:t>
      </w:r>
    </w:p>
    <w:p>
      <w:pPr>
        <w:spacing w:after="0" w:line="9"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redevelopment square footage not yet in service, Santana Row residential, Phase II and other future phases of Santana Row, and Rollingwood and Congressional Apartments .</w:t>
      </w: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Grocery anchor is defined as a grocery tenant leasing 15,000 square feet or more.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 of property subject to capital lease obligation.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investment includes dollars associated with the 146 units of the Crest at Congressional.</w:t>
      </w:r>
    </w:p>
    <w:p>
      <w:pPr>
        <w:sectPr>
          <w:pgSz w:w="11900" w:h="16838" w:orient="portrait"/>
          <w:cols w:equalWidth="0" w:num="1">
            <w:col w:w="11420"/>
          </w:cols>
          <w:pgMar w:left="240" w:top="272" w:right="239" w:bottom="0" w:gutter="0" w:footer="0" w:header="0"/>
        </w:sectPr>
      </w:pPr>
    </w:p>
    <w:bookmarkStart w:id="25" w:name="page26"/>
    <w:bookmarkEnd w:id="25"/>
    <w:p>
      <w:pPr>
        <w:ind w:left="452" w:hanging="452"/>
        <w:spacing w:after="0"/>
        <w:tabs>
          <w:tab w:leader="none" w:pos="45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owned in a “downreit” partnership, of which the Trust is the sole general partner, with third party partners holding operating partnership units.</w:t>
      </w:r>
    </w:p>
    <w:p>
      <w:pPr>
        <w:spacing w:after="0" w:line="44" w:lineRule="exact"/>
        <w:rPr>
          <w:rFonts w:ascii="Times New Roman" w:cs="Times New Roman" w:eastAsia="Times New Roman" w:hAnsi="Times New Roman"/>
          <w:sz w:val="16"/>
          <w:szCs w:val="16"/>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subject to capital lease obligation.</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two properties, one at 100% and one at 90%.</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nine properties, seven at 100% and two at 90%.</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four properties, three at 100% and one at 90%.</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two properties, one at 100% and one at 85%.</w:t>
      </w:r>
    </w:p>
    <w:p>
      <w:pPr>
        <w:sectPr>
          <w:pgSz w:w="11900" w:h="16838" w:orient="portrait"/>
          <w:cols w:equalWidth="0" w:num="1">
            <w:col w:w="11072"/>
          </w:cols>
          <w:pgMar w:left="248" w:top="125" w:right="5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Shopping Center / Street Retail Summary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Shopping Center Summary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square footage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6"/>
              </w:rPr>
              <w:t>For the nine months ended</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Assets, at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1,338,954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1,279,000</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1,287,887</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Rental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170,727</w:t>
            </w:r>
          </w:p>
        </w:tc>
        <w:tc>
          <w:tcPr>
            <w:tcW w:w="4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158,550</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220,138</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211,664</w:t>
            </w: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206,313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Property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Rental Expense</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Real Estate Tax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119,787</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165,089</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Square Feet (2)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13,015,000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12,555,000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12,547,000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Street Retail Summary</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square footage data)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6"/>
              </w:rPr>
              <w:t>For the nine months ended</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Assets, at cost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1,036,594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975,540</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1,018,939</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Rental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4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54,982</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76,992</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61,990</w:t>
            </w: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Property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Rental Expense</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Real Estate Tax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36,786</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48,319</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Square Feet (2)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2,765,000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2,197,000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-3465830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-3465830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-3465830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-3465830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-3465830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-3465830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-3465830</wp:posOffset>
            </wp:positionV>
            <wp:extent cx="57848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-3465830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-3465830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-3465830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-3465830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-3465830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-3465830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-233045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-233045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-233045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-233045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-233045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-233045</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-233045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-233045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-233045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-233045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-233045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-233045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-233045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-233045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-233045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1" w:lineRule="exact"/>
        <w:rPr>
          <w:sz w:val="20"/>
          <w:szCs w:val="20"/>
          <w:color w:val="auto"/>
        </w:rPr>
      </w:pPr>
    </w:p>
    <w:p>
      <w:pPr>
        <w:ind w:left="460" w:right="120" w:hanging="452"/>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components of property operating income for the periods ended September 30, 2002, December 31, 2002, December 31, 2001 and December 31, 2000 have been restated for 2003 and 2002 discontinued asset sales.</w:t>
      </w:r>
    </w:p>
    <w:p>
      <w:pPr>
        <w:ind w:left="460" w:right="440" w:hanging="452"/>
        <w:spacing w:after="0" w:line="281" w:lineRule="auto"/>
        <w:tabs>
          <w:tab w:leader="none" w:pos="4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in service. Street Retail includes 444,000 square feet of Santana Row Phase I only. It does not include Phase II or any future phases of Santana Row or residential square footage at Santana Row, Rollingwood Apartments or Congressional Apartments.</w:t>
      </w:r>
    </w:p>
    <w:p>
      <w:pPr>
        <w:spacing w:after="0" w:line="1" w:lineRule="exact"/>
        <w:rPr>
          <w:rFonts w:ascii="Times New Roman" w:cs="Times New Roman" w:eastAsia="Times New Roman" w:hAnsi="Times New Roman"/>
          <w:sz w:val="16"/>
          <w:szCs w:val="16"/>
          <w:color w:val="auto"/>
        </w:rPr>
      </w:pPr>
    </w:p>
    <w:p>
      <w:pPr>
        <w:ind w:left="460" w:right="100" w:hanging="452"/>
        <w:spacing w:after="0" w:line="261"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Street Retail includes stabilized assets and assets which are in various stages of development and redevelopment. At September 30, 2003, real estate assets include $452 million related to the Santana Row development.</w:t>
      </w:r>
    </w:p>
    <w:p>
      <w:pPr>
        <w:sectPr>
          <w:pgSz w:w="11900" w:h="16838" w:orient="portrait"/>
          <w:cols w:equalWidth="0" w:num="1">
            <w:col w:w="11420"/>
          </w:cols>
          <w:pgMar w:left="240" w:top="27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Leasing Summary (1) - Comparable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Lease Summary - Comparable (2)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Cash Basis</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Straight-lined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60" w:type="dxa"/>
            <w:vAlign w:val="bottom"/>
          </w:tcPr>
          <w:p>
            <w:pPr>
              <w:spacing w:after="0"/>
              <w:rPr>
                <w:sz w:val="13"/>
                <w:szCs w:val="13"/>
                <w:color w:val="auto"/>
              </w:rPr>
            </w:pPr>
          </w:p>
        </w:tc>
        <w:tc>
          <w:tcPr>
            <w:tcW w:w="190" w:type="dxa"/>
            <w:vAlign w:val="bottom"/>
          </w:tcPr>
          <w:p>
            <w:pPr>
              <w:spacing w:after="0"/>
              <w:rPr>
                <w:sz w:val="13"/>
                <w:szCs w:val="13"/>
                <w:color w:val="auto"/>
              </w:rPr>
            </w:pPr>
          </w:p>
        </w:tc>
        <w:tc>
          <w:tcPr>
            <w:tcW w:w="83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Rent (3)  Prior Rent (4)</w:t>
            </w:r>
          </w:p>
        </w:tc>
        <w:tc>
          <w:tcPr>
            <w:tcW w:w="190" w:type="dxa"/>
            <w:vAlign w:val="bottom"/>
          </w:tcPr>
          <w:p>
            <w:pPr>
              <w:spacing w:after="0"/>
              <w:rPr>
                <w:sz w:val="12"/>
                <w:szCs w:val="12"/>
                <w:color w:val="auto"/>
              </w:rPr>
            </w:pPr>
          </w:p>
        </w:tc>
        <w:tc>
          <w:tcPr>
            <w:tcW w:w="810" w:type="dxa"/>
            <w:vAlign w:val="bottom"/>
            <w:gridSpan w:val="3"/>
          </w:tcPr>
          <w:p>
            <w:pPr>
              <w:ind w:left="7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Basis % Increase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890" w:type="dxa"/>
            <w:vAlign w:val="bottom"/>
            <w:gridSpan w:val="2"/>
          </w:tcPr>
          <w:p>
            <w:pPr>
              <w:ind w:left="110"/>
              <w:spacing w:after="0" w:line="149" w:lineRule="exact"/>
              <w:rPr>
                <w:sz w:val="20"/>
                <w:szCs w:val="20"/>
                <w:color w:val="auto"/>
              </w:rPr>
            </w:pPr>
            <w:r>
              <w:rPr>
                <w:rFonts w:ascii="Times New Roman" w:cs="Times New Roman" w:eastAsia="Times New Roman" w:hAnsi="Times New Roman"/>
                <w:sz w:val="14"/>
                <w:szCs w:val="14"/>
                <w:b w:val="1"/>
                <w:bCs w:val="1"/>
                <w:color w:val="auto"/>
              </w:rPr>
              <w:t>Tenant</w:t>
            </w: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Improvements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Leases Signed</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Leases Signed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GLA Signed</w:t>
            </w:r>
          </w:p>
        </w:tc>
        <w:tc>
          <w:tcPr>
            <w:tcW w:w="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Sq. Ft.</w:t>
            </w:r>
          </w:p>
        </w:tc>
        <w:tc>
          <w:tcPr>
            <w:tcW w:w="8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Sq. Ft.</w:t>
            </w:r>
          </w:p>
        </w:tc>
        <w:tc>
          <w:tcPr>
            <w:tcW w:w="2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Increase in Rent Over Prior Rent</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Over Prior 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Lease Term (5)</w:t>
            </w:r>
          </w:p>
        </w:tc>
        <w:tc>
          <w:tcPr>
            <w:tcW w:w="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Improvements (6)</w:t>
            </w:r>
          </w:p>
        </w:tc>
        <w:tc>
          <w:tcPr>
            <w:tcW w:w="10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90" w:type="dxa"/>
            <w:vAlign w:val="bottom"/>
          </w:tcPr>
          <w:p>
            <w:pPr>
              <w:spacing w:after="0"/>
              <w:rPr>
                <w:sz w:val="8"/>
                <w:szCs w:val="8"/>
                <w:color w:val="auto"/>
              </w:rPr>
            </w:pPr>
          </w:p>
        </w:tc>
        <w:tc>
          <w:tcPr>
            <w:tcW w:w="75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3rd Quarter</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75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83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Borders>
              <w:lef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218,307</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11.82</w:t>
            </w:r>
          </w:p>
        </w:tc>
        <w:tc>
          <w:tcPr>
            <w:tcW w:w="40" w:type="dxa"/>
            <w:vAlign w:val="bottom"/>
            <w:shd w:val="clear" w:color="auto" w:fill="CCEEFF"/>
          </w:tcPr>
          <w:p>
            <w:pPr>
              <w:spacing w:after="0"/>
              <w:rPr>
                <w:sz w:val="14"/>
                <w:szCs w:val="14"/>
                <w:color w:val="auto"/>
              </w:rPr>
            </w:pPr>
          </w:p>
        </w:tc>
        <w:tc>
          <w:tcPr>
            <w:tcW w:w="19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7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522,865</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5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2,596,768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2nd Quarter</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 w:type="dxa"/>
            <w:vAlign w:val="bottom"/>
          </w:tcPr>
          <w:p>
            <w:pPr>
              <w:spacing w:after="0"/>
              <w:rPr>
                <w:sz w:val="11"/>
                <w:szCs w:val="11"/>
                <w:color w:val="auto"/>
              </w:rPr>
            </w:pPr>
          </w:p>
        </w:tc>
        <w:tc>
          <w:tcPr>
            <w:tcW w:w="75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87,912</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20.29</w:t>
            </w:r>
          </w:p>
        </w:tc>
        <w:tc>
          <w:tcPr>
            <w:tcW w:w="40" w:type="dxa"/>
            <w:vAlign w:val="bottom"/>
          </w:tcPr>
          <w:p>
            <w:pPr>
              <w:spacing w:after="0"/>
              <w:rPr>
                <w:sz w:val="14"/>
                <w:szCs w:val="14"/>
                <w:color w:val="auto"/>
              </w:rPr>
            </w:pPr>
          </w:p>
        </w:tc>
        <w:tc>
          <w:tcPr>
            <w:tcW w:w="19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7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436,197</w:t>
            </w:r>
          </w:p>
        </w:tc>
        <w:tc>
          <w:tcPr>
            <w:tcW w:w="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5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3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443,910</w:t>
            </w:r>
          </w:p>
        </w:tc>
        <w:tc>
          <w:tcPr>
            <w:tcW w:w="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1st Quarter</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75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83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Borders>
              <w:lef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166,415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12.30</w:t>
            </w:r>
          </w:p>
        </w:tc>
        <w:tc>
          <w:tcPr>
            <w:tcW w:w="40" w:type="dxa"/>
            <w:vAlign w:val="bottom"/>
            <w:shd w:val="clear" w:color="auto" w:fill="CCEEFF"/>
          </w:tcPr>
          <w:p>
            <w:pPr>
              <w:spacing w:after="0"/>
              <w:rPr>
                <w:sz w:val="14"/>
                <w:szCs w:val="14"/>
                <w:color w:val="auto"/>
              </w:rPr>
            </w:pPr>
          </w:p>
        </w:tc>
        <w:tc>
          <w:tcPr>
            <w:tcW w:w="19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7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634,063</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5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3,245,153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 w:type="dxa"/>
            <w:vAlign w:val="bottom"/>
          </w:tcPr>
          <w:p>
            <w:pPr>
              <w:spacing w:after="0"/>
              <w:rPr>
                <w:sz w:val="11"/>
                <w:szCs w:val="11"/>
                <w:color w:val="auto"/>
              </w:rPr>
            </w:pPr>
          </w:p>
        </w:tc>
        <w:tc>
          <w:tcPr>
            <w:tcW w:w="75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 w:type="dxa"/>
            <w:vAlign w:val="bottom"/>
          </w:tcPr>
          <w:p>
            <w:pPr>
              <w:spacing w:after="0"/>
              <w:rPr>
                <w:sz w:val="11"/>
                <w:szCs w:val="11"/>
                <w:color w:val="auto"/>
              </w:rPr>
            </w:pPr>
          </w:p>
        </w:tc>
        <w:tc>
          <w:tcPr>
            <w:tcW w:w="83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84,857</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14.20</w:t>
            </w:r>
          </w:p>
        </w:tc>
        <w:tc>
          <w:tcPr>
            <w:tcW w:w="40" w:type="dxa"/>
            <w:vAlign w:val="bottom"/>
          </w:tcPr>
          <w:p>
            <w:pPr>
              <w:spacing w:after="0"/>
              <w:rPr>
                <w:sz w:val="15"/>
                <w:szCs w:val="15"/>
                <w:color w:val="auto"/>
              </w:rPr>
            </w:pPr>
          </w:p>
        </w:tc>
        <w:tc>
          <w:tcPr>
            <w:tcW w:w="19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7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220,227</w:t>
            </w:r>
          </w:p>
        </w:tc>
        <w:tc>
          <w:tcPr>
            <w:tcW w:w="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5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3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485,714</w:t>
            </w: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90" w:type="dxa"/>
            <w:vAlign w:val="bottom"/>
          </w:tcPr>
          <w:p>
            <w:pPr>
              <w:spacing w:after="0"/>
              <w:rPr>
                <w:sz w:val="8"/>
                <w:szCs w:val="8"/>
                <w:color w:val="auto"/>
              </w:rPr>
            </w:pPr>
          </w:p>
        </w:tc>
        <w:tc>
          <w:tcPr>
            <w:tcW w:w="75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 w:type="dxa"/>
            <w:vAlign w:val="bottom"/>
          </w:tcPr>
          <w:p>
            <w:pPr>
              <w:spacing w:after="0"/>
              <w:rPr>
                <w:sz w:val="8"/>
                <w:szCs w:val="8"/>
                <w:color w:val="auto"/>
              </w:rPr>
            </w:pPr>
          </w:p>
        </w:tc>
        <w:tc>
          <w:tcPr>
            <w:tcW w:w="83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Total - 12</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75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0" w:type="dxa"/>
            <w:vAlign w:val="bottom"/>
            <w:shd w:val="clear" w:color="auto" w:fill="CCEEFF"/>
          </w:tcPr>
          <w:p>
            <w:pPr>
              <w:spacing w:after="0"/>
              <w:rPr>
                <w:sz w:val="11"/>
                <w:szCs w:val="11"/>
                <w:color w:val="auto"/>
              </w:rPr>
            </w:pPr>
          </w:p>
        </w:tc>
        <w:tc>
          <w:tcPr>
            <w:tcW w:w="83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months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557,491</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13.66</w:t>
            </w:r>
          </w:p>
        </w:tc>
        <w:tc>
          <w:tcPr>
            <w:tcW w:w="40" w:type="dxa"/>
            <w:vAlign w:val="bottom"/>
            <w:shd w:val="clear" w:color="auto" w:fill="CCEEFF"/>
          </w:tcPr>
          <w:p>
            <w:pPr>
              <w:spacing w:after="0"/>
              <w:rPr>
                <w:sz w:val="14"/>
                <w:szCs w:val="14"/>
                <w:color w:val="auto"/>
              </w:rPr>
            </w:pPr>
          </w:p>
        </w:tc>
        <w:tc>
          <w:tcPr>
            <w:tcW w:w="19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7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1,813,352</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5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6,771,545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7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-29210</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-29210</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Renewal Lease Summary - Comparable (2) (7)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Cash Basis</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Straight-lined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3"/>
              </w:rPr>
              <w:t>Tenant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72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GLA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Rent (3)</w:t>
            </w: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Rent (4)</w:t>
            </w:r>
          </w:p>
        </w:tc>
        <w:tc>
          <w:tcPr>
            <w:tcW w:w="160" w:type="dxa"/>
            <w:vAlign w:val="bottom"/>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Basis % Increase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Lease Term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Improvements</w:t>
            </w: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Improvements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Renewals Signed</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Leases Signed</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Signed</w:t>
            </w:r>
          </w:p>
        </w:tc>
        <w:tc>
          <w:tcPr>
            <w:tcW w:w="60" w:type="dxa"/>
            <w:vAlign w:val="bottom"/>
          </w:tcPr>
          <w:p>
            <w:pPr>
              <w:spacing w:after="0"/>
              <w:rPr>
                <w:sz w:val="15"/>
                <w:szCs w:val="15"/>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Per Sq. Ft.</w:t>
            </w:r>
          </w:p>
        </w:tc>
        <w:tc>
          <w:tcPr>
            <w:tcW w:w="8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Sq. Ft.</w:t>
            </w:r>
          </w:p>
        </w:tc>
        <w:tc>
          <w:tcPr>
            <w:tcW w:w="2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Increase in Rent Over Prior Rent</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Over Prior 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3rd Quarter</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Borders>
              <w:lef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189,521</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19.44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373,441</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536,173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2nd Quarter</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165,717</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17.24</w:t>
            </w:r>
          </w:p>
        </w:tc>
        <w:tc>
          <w:tcPr>
            <w:tcW w:w="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264,509</w:t>
            </w:r>
          </w:p>
        </w:tc>
        <w:tc>
          <w:tcPr>
            <w:tcW w:w="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106,700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1st Quarter</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Borders>
              <w:lef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207,725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15.14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291,261</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315,041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183,151</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20.76</w:t>
            </w:r>
          </w:p>
        </w:tc>
        <w:tc>
          <w:tcPr>
            <w:tcW w:w="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378,702</w:t>
            </w:r>
          </w:p>
        </w:tc>
        <w:tc>
          <w:tcPr>
            <w:tcW w:w="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564,416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Total - 12</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months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746,114</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18.08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1,307,913</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1,522,330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-29210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-29210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Lease Summary - Comparable (2)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Cash Basis</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Straight-lined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3"/>
              </w:rPr>
              <w:t>Tenant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 Leases</w:t>
            </w:r>
          </w:p>
        </w:tc>
        <w:tc>
          <w:tcPr>
            <w:tcW w:w="9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72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GLA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Rent (3)</w:t>
            </w:r>
          </w:p>
        </w:tc>
        <w:tc>
          <w:tcPr>
            <w:tcW w:w="8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Rent (4)</w:t>
            </w:r>
          </w:p>
        </w:tc>
        <w:tc>
          <w:tcPr>
            <w:tcW w:w="160" w:type="dxa"/>
            <w:vAlign w:val="bottom"/>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Basis % Increase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Lease Term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Improvements</w:t>
            </w: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Improvements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1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&amp; Renewals Signed Leases Signed</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Signed</w:t>
            </w:r>
          </w:p>
        </w:tc>
        <w:tc>
          <w:tcPr>
            <w:tcW w:w="60" w:type="dxa"/>
            <w:vAlign w:val="bottom"/>
          </w:tcPr>
          <w:p>
            <w:pPr>
              <w:spacing w:after="0"/>
              <w:rPr>
                <w:sz w:val="15"/>
                <w:szCs w:val="15"/>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Per Sq. Ft.</w:t>
            </w:r>
          </w:p>
        </w:tc>
        <w:tc>
          <w:tcPr>
            <w:tcW w:w="8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Sq. Ft.</w:t>
            </w:r>
          </w:p>
        </w:tc>
        <w:tc>
          <w:tcPr>
            <w:tcW w:w="2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Increase in Rent Over Prior Rent</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Over Prior 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3rd Quarter</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Borders>
              <w:lef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407,828</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15.36</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896,306</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3,132,941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2nd Quarter</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253,629</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18.30</w:t>
            </w:r>
          </w:p>
        </w:tc>
        <w:tc>
          <w:tcPr>
            <w:tcW w:w="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700,706</w:t>
            </w:r>
          </w:p>
        </w:tc>
        <w:tc>
          <w:tcPr>
            <w:tcW w:w="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550,610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1st Quarter</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Borders>
              <w:lef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374,140</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13.88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925,325</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3,560,194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4th Quarter</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2002</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268,008</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18.69</w:t>
            </w:r>
          </w:p>
        </w:tc>
        <w:tc>
          <w:tcPr>
            <w:tcW w:w="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598,929</w:t>
            </w:r>
          </w:p>
        </w:tc>
        <w:tc>
          <w:tcPr>
            <w:tcW w:w="4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1,050,130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700" w:type="dxa"/>
            <w:vAlign w:val="bottom"/>
            <w:tcBorders>
              <w:left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Total - 12</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months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1,303,605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16.19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3,121,265</w:t>
            </w:r>
          </w:p>
        </w:tc>
        <w:tc>
          <w:tcPr>
            <w:tcW w:w="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8,293,875</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-29210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-29210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3873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1"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on this report represent retail activity only; office and residential leases are not included.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leases represent those leases signed on spaces for which there was a former tenant.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Rent represents contractual Minimum Rent under the new lease for the first 12 months of the term.</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Rent represents Minimum Rent and Percentage Rent paid by the prior tenant in the final 12 months of the term.</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determined on the basis of square footage.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Glossary of Terms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leases represent expiring leases rolling over with the same tenant. All other leases are categorized as new.</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Leasing Summary (1) - Non-Comparable Basis (cash, non-straight-lined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Lease Summary - Non-Comparable (2)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3"/>
              </w:rPr>
              <w:t>Contractual</w:t>
            </w:r>
          </w:p>
        </w:tc>
        <w:tc>
          <w:tcPr>
            <w:tcW w:w="48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Rent (3)</w:t>
            </w: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2"/>
                <w:szCs w:val="12"/>
                <w:color w:val="auto"/>
              </w:rPr>
            </w:pPr>
          </w:p>
        </w:tc>
        <w:tc>
          <w:tcPr>
            <w:tcW w:w="90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Tenant</w:t>
            </w:r>
          </w:p>
        </w:tc>
        <w:tc>
          <w:tcPr>
            <w:tcW w:w="4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Improvements</w:t>
            </w:r>
          </w:p>
        </w:tc>
        <w:tc>
          <w:tcPr>
            <w:tcW w:w="0" w:type="dxa"/>
            <w:vAlign w:val="bottom"/>
          </w:tcPr>
          <w:p>
            <w:pPr>
              <w:spacing w:after="0"/>
              <w:rPr>
                <w:sz w:val="1"/>
                <w:szCs w:val="1"/>
                <w:color w:val="auto"/>
              </w:rPr>
            </w:pPr>
          </w:p>
        </w:tc>
      </w:tr>
      <w:tr>
        <w:trPr>
          <w:trHeight w:val="178"/>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Leases Signed</w:t>
            </w: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Leases Signed</w:t>
            </w: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GLA Signed</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Sq. Ft.</w:t>
            </w:r>
          </w:p>
        </w:tc>
        <w:tc>
          <w:tcPr>
            <w:tcW w:w="48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Lease Term (4)</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Improvements (5)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3rd Quarter 2003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8"/>
              </w:rPr>
              <w:t>24.59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2nd Quarter 2003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70,475</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8"/>
              </w:rPr>
              <w:t>15.35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 2003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8"/>
              </w:rPr>
              <w:t>34.48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436,775</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4th Quarter 2002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8"/>
              </w:rPr>
              <w:t>29.89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225,118</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- 12 months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8"/>
              </w:rPr>
              <w:t>27.65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1,761,893</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420" w:type="dxa"/>
            <w:vAlign w:val="bottom"/>
            <w:gridSpan w:val="3"/>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3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7"/>
              </w:rPr>
              <w:t>Renewal Lease Summary - Non-Comparable (2) (6)</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Contractual</w:t>
            </w: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GLA</w:t>
            </w:r>
          </w:p>
        </w:tc>
        <w:tc>
          <w:tcPr>
            <w:tcW w:w="100" w:type="dxa"/>
            <w:vAlign w:val="bottom"/>
          </w:tcPr>
          <w:p>
            <w:pPr>
              <w:spacing w:after="0"/>
              <w:rPr>
                <w:sz w:val="12"/>
                <w:szCs w:val="12"/>
                <w:color w:val="auto"/>
              </w:rPr>
            </w:pPr>
          </w:p>
        </w:tc>
        <w:tc>
          <w:tcPr>
            <w:tcW w:w="600" w:type="dxa"/>
            <w:vAlign w:val="bottom"/>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Rent (3)</w:t>
            </w: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Lease Term</w:t>
            </w:r>
          </w:p>
        </w:tc>
        <w:tc>
          <w:tcPr>
            <w:tcW w:w="140" w:type="dxa"/>
            <w:vAlign w:val="bottom"/>
          </w:tcPr>
          <w:p>
            <w:pPr>
              <w:spacing w:after="0"/>
              <w:rPr>
                <w:sz w:val="12"/>
                <w:szCs w:val="12"/>
                <w:color w:val="auto"/>
              </w:rPr>
            </w:pPr>
          </w:p>
        </w:tc>
        <w:tc>
          <w:tcPr>
            <w:tcW w:w="90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Tenant</w:t>
            </w:r>
          </w:p>
        </w:tc>
        <w:tc>
          <w:tcPr>
            <w:tcW w:w="4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Improvements</w:t>
            </w:r>
          </w:p>
        </w:tc>
        <w:tc>
          <w:tcPr>
            <w:tcW w:w="0" w:type="dxa"/>
            <w:vAlign w:val="bottom"/>
          </w:tcPr>
          <w:p>
            <w:pPr>
              <w:spacing w:after="0"/>
              <w:rPr>
                <w:sz w:val="1"/>
                <w:szCs w:val="1"/>
                <w:color w:val="auto"/>
              </w:rPr>
            </w:pPr>
          </w:p>
        </w:tc>
      </w:tr>
      <w:tr>
        <w:trPr>
          <w:trHeight w:val="178"/>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Renewals Signed</w:t>
            </w: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Leases Signed</w:t>
            </w: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Signed</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Sq. Ft.</w:t>
            </w:r>
          </w:p>
        </w:tc>
        <w:tc>
          <w:tcPr>
            <w:tcW w:w="1360" w:type="dxa"/>
            <w:vAlign w:val="bottom"/>
            <w:gridSpan w:val="2"/>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4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Improvements (5)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3rd Quarter 2003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2nd Quarter 2003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8"/>
              </w:rPr>
              <w:t>12.00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 2003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3"/>
              </w:rPr>
              <w:t>11.58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4th Quarter 2002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- 12 months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3"/>
              </w:rPr>
              <w:t>11.65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420" w:type="dxa"/>
            <w:vAlign w:val="bottom"/>
            <w:gridSpan w:val="3"/>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3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Total Lease Summary - Non-Comparable (2)</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Contractual</w:t>
            </w: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Leases &amp;</w:t>
            </w: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GLA</w:t>
            </w:r>
          </w:p>
        </w:tc>
        <w:tc>
          <w:tcPr>
            <w:tcW w:w="100" w:type="dxa"/>
            <w:vAlign w:val="bottom"/>
          </w:tcPr>
          <w:p>
            <w:pPr>
              <w:spacing w:after="0"/>
              <w:rPr>
                <w:sz w:val="12"/>
                <w:szCs w:val="12"/>
                <w:color w:val="auto"/>
              </w:rPr>
            </w:pPr>
          </w:p>
        </w:tc>
        <w:tc>
          <w:tcPr>
            <w:tcW w:w="600" w:type="dxa"/>
            <w:vAlign w:val="bottom"/>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Rent (3)</w:t>
            </w: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Lease Term</w:t>
            </w:r>
          </w:p>
        </w:tc>
        <w:tc>
          <w:tcPr>
            <w:tcW w:w="140" w:type="dxa"/>
            <w:vAlign w:val="bottom"/>
          </w:tcPr>
          <w:p>
            <w:pPr>
              <w:spacing w:after="0"/>
              <w:rPr>
                <w:sz w:val="12"/>
                <w:szCs w:val="12"/>
                <w:color w:val="auto"/>
              </w:rPr>
            </w:pPr>
          </w:p>
        </w:tc>
        <w:tc>
          <w:tcPr>
            <w:tcW w:w="90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Tenant</w:t>
            </w:r>
          </w:p>
        </w:tc>
        <w:tc>
          <w:tcPr>
            <w:tcW w:w="4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Improvements</w:t>
            </w:r>
          </w:p>
        </w:tc>
        <w:tc>
          <w:tcPr>
            <w:tcW w:w="0" w:type="dxa"/>
            <w:vAlign w:val="bottom"/>
          </w:tcPr>
          <w:p>
            <w:pPr>
              <w:spacing w:after="0"/>
              <w:rPr>
                <w:sz w:val="1"/>
                <w:szCs w:val="1"/>
                <w:color w:val="auto"/>
              </w:rPr>
            </w:pPr>
          </w:p>
        </w:tc>
      </w:tr>
      <w:tr>
        <w:trPr>
          <w:trHeight w:val="178"/>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Renewals Signed</w:t>
            </w: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Leases Signed</w:t>
            </w: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Signed</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Sq. Ft.</w:t>
            </w:r>
          </w:p>
        </w:tc>
        <w:tc>
          <w:tcPr>
            <w:tcW w:w="1360" w:type="dxa"/>
            <w:vAlign w:val="bottom"/>
            <w:gridSpan w:val="2"/>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4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Improvements (5)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3rd Quarter 2003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8"/>
              </w:rPr>
              <w:t>24.59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2nd Quarter 2003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72,079</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8"/>
              </w:rPr>
              <w:t>15.28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 2003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8"/>
              </w:rPr>
              <w:t>33.39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436,775</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4th Quarter 2002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8"/>
              </w:rPr>
              <w:t>29.89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225,118</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- 12 months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8"/>
              </w:rPr>
              <w:t>27.25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1,761,893</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-3888105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-3888105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-3888105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-3888105</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-3888105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-3888105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-3888105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-3888105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-3888105</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-3888105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-3888105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-3888105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-3888105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-3888105</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-3888105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-3888105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-3888105</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-1958975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-1958975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-1958975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-1958975</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-1958975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-1958975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-1958975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-1958975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-1958975</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-1958975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-1958975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-1958975</wp:posOffset>
            </wp:positionV>
            <wp:extent cx="66421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-1958975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-1958975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-1958975</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45021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1"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on this report represent retail activity only; office and residential leases are not included.</w:t>
      </w:r>
    </w:p>
    <w:p>
      <w:pPr>
        <w:spacing w:after="0" w:line="9"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Non-comparable leases represent those leases signed on spaces for which there was no former tenant, or expansion square footage for leases rolling over for which there was no former tenant.</w:t>
      </w: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Rent represents contractual Minimum Rent under the new lease for the first 12 months of the term.</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determined on the basis of square footage.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Glossary of Terms.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leases represent expiring leases rolling over with the same tenant. All other leases are categorized as new.</w:t>
      </w:r>
    </w:p>
    <w:p>
      <w:pPr>
        <w:sectPr>
          <w:pgSz w:w="11900" w:h="16838" w:orient="portrait"/>
          <w:cols w:equalWidth="0" w:num="1">
            <w:col w:w="11420"/>
          </w:cols>
          <w:pgMar w:left="240" w:top="272"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Assumes no exercise of lease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Small Shop Tenants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Expiring</w:t>
            </w:r>
          </w:p>
        </w:tc>
        <w:tc>
          <w:tcPr>
            <w:tcW w:w="280" w:type="dxa"/>
            <w:vAlign w:val="bottom"/>
          </w:tcPr>
          <w:p>
            <w:pPr>
              <w:spacing w:after="0"/>
              <w:rPr>
                <w:sz w:val="20"/>
                <w:szCs w:val="20"/>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 of Anchor</w:t>
            </w: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Minimum Rent</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Expiring</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 of Small</w:t>
            </w: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Minimum Rent</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Expiring</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89"/>
              </w:rPr>
              <w:t>% of Total</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Minimum Rent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SF (2)</w:t>
            </w:r>
          </w:p>
        </w:tc>
        <w:tc>
          <w:tcPr>
            <w:tcW w:w="280" w:type="dxa"/>
            <w:vAlign w:val="bottom"/>
          </w:tcPr>
          <w:p>
            <w:pPr>
              <w:spacing w:after="0"/>
              <w:rPr>
                <w:sz w:val="15"/>
                <w:szCs w:val="15"/>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40" w:type="dxa"/>
            <w:vAlign w:val="bottom"/>
          </w:tcPr>
          <w:p>
            <w:pPr>
              <w:spacing w:after="0"/>
              <w:rPr>
                <w:sz w:val="15"/>
                <w:szCs w:val="15"/>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PSF (3)</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SF (2)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Shop SF</w:t>
            </w:r>
          </w:p>
        </w:tc>
        <w:tc>
          <w:tcPr>
            <w:tcW w:w="140" w:type="dxa"/>
            <w:vAlign w:val="bottom"/>
          </w:tcPr>
          <w:p>
            <w:pPr>
              <w:spacing w:after="0"/>
              <w:rPr>
                <w:sz w:val="15"/>
                <w:szCs w:val="15"/>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PSF (3)</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SF (2)</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SF</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PSF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911,000</w:t>
            </w: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2012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6,684,000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640" w:type="dxa"/>
            <w:vAlign w:val="bottom"/>
            <w:gridSpan w:val="3"/>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Assumes lease options are exercised</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Small Shop Tenants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3"/>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00" w:type="dxa"/>
            <w:vAlign w:val="bottom"/>
            <w:gridSpan w:val="3"/>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00" w:type="dxa"/>
            <w:vAlign w:val="bottom"/>
            <w:gridSpan w:val="3"/>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Expiring</w:t>
            </w:r>
          </w:p>
        </w:tc>
        <w:tc>
          <w:tcPr>
            <w:tcW w:w="280" w:type="dxa"/>
            <w:vAlign w:val="bottom"/>
          </w:tcPr>
          <w:p>
            <w:pPr>
              <w:spacing w:after="0"/>
              <w:rPr>
                <w:sz w:val="20"/>
                <w:szCs w:val="20"/>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 of Anchor</w:t>
            </w: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Minimum Rent</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Expiring</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 of Small</w:t>
            </w: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Minimum Rent</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Expiring</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2"/>
              </w:rPr>
              <w:t>% of Total</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Minimum Rent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SF (2)</w:t>
            </w:r>
          </w:p>
        </w:tc>
        <w:tc>
          <w:tcPr>
            <w:tcW w:w="280" w:type="dxa"/>
            <w:vAlign w:val="bottom"/>
          </w:tcPr>
          <w:p>
            <w:pPr>
              <w:spacing w:after="0"/>
              <w:rPr>
                <w:sz w:val="15"/>
                <w:szCs w:val="15"/>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40" w:type="dxa"/>
            <w:vAlign w:val="bottom"/>
          </w:tcPr>
          <w:p>
            <w:pPr>
              <w:spacing w:after="0"/>
              <w:rPr>
                <w:sz w:val="15"/>
                <w:szCs w:val="15"/>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PSF (3)</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SF (2)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Shop SF</w:t>
            </w:r>
          </w:p>
        </w:tc>
        <w:tc>
          <w:tcPr>
            <w:tcW w:w="140" w:type="dxa"/>
            <w:vAlign w:val="bottom"/>
          </w:tcPr>
          <w:p>
            <w:pPr>
              <w:spacing w:after="0"/>
              <w:rPr>
                <w:sz w:val="15"/>
                <w:szCs w:val="15"/>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PSF (3)</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SF (2)</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SF</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PSF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2012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256,000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436,000</w:t>
            </w:r>
          </w:p>
        </w:tc>
        <w:tc>
          <w:tcPr>
            <w:tcW w:w="2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692,000</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2,250,000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8,137,000</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6,684,000</w:t>
            </w:r>
          </w:p>
        </w:tc>
        <w:tc>
          <w:tcPr>
            <w:tcW w:w="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-2970530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-2970530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-2970530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-2970530</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-2970530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-2970530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-2970530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-2970530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-2970530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-2970530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-2970530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-2970530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-2970530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-2970530</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-2970530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-2970530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-2970530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-2970530</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-2970530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-2970530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-2970530</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-29210</wp:posOffset>
            </wp:positionV>
            <wp:extent cx="3873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-29210</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1"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 is defined as a tenant leasing 15,000 square feet or more.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occupied square footage as of September 30, 2003.</w:t>
      </w:r>
    </w:p>
    <w:p>
      <w:pPr>
        <w:spacing w:after="0" w:line="9" w:lineRule="exact"/>
        <w:rPr>
          <w:rFonts w:ascii="Times New Roman" w:cs="Times New Roman" w:eastAsia="Times New Roman" w:hAnsi="Times New Roman"/>
          <w:sz w:val="18"/>
          <w:szCs w:val="18"/>
          <w:color w:val="auto"/>
        </w:rPr>
      </w:pPr>
    </w:p>
    <w:p>
      <w:pPr>
        <w:ind w:left="460" w:right="240" w:hanging="452"/>
        <w:spacing w:after="0" w:line="261"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Rent reflects contractual rent at the end of the term or option. For leases with CPI or market based increases, such increases are excluded from analysis.</w:t>
      </w:r>
    </w:p>
    <w:p>
      <w:pPr>
        <w:sectPr>
          <w:pgSz w:w="11900" w:h="16838" w:orient="portrait"/>
          <w:cols w:equalWidth="0" w:num="1">
            <w:col w:w="11440"/>
          </w:cols>
          <w:pgMar w:left="240" w:top="272"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Occupancy Summary—Overall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Overall Occupancy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to Quarter Analysis)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380" w:type="dxa"/>
            <w:vAlign w:val="bottom"/>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w w:val="96"/>
              </w:rPr>
              <w:t>At September 30, 2003 (3)</w:t>
            </w: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80" w:type="dxa"/>
            <w:vAlign w:val="bottom"/>
            <w:gridSpan w:val="5"/>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w w:val="97"/>
              </w:rPr>
              <w:t>At September 30, 2002</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0" w:type="dxa"/>
            <w:vAlign w:val="bottom"/>
            <w:gridSpan w:val="2"/>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Size</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2"/>
              </w:rPr>
              <w:t>Occupancy</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Size</w:t>
            </w:r>
          </w:p>
        </w:tc>
        <w:tc>
          <w:tcPr>
            <w:tcW w:w="28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Properties – Excluding Santana Row (2)</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15,336,000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14,461,000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14,738,000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14,081,000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4"/>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Properties – Including Santana Row Phase I (2)</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15,800,000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14,821,000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93.8%</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N/A</w:t>
            </w:r>
          </w:p>
        </w:tc>
        <w:tc>
          <w:tcPr>
            <w:tcW w:w="28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Rollingwood Apartments (# of units) (4)</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98.6%</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4"/>
              </w:rPr>
              <w:t>98.9%</w:t>
            </w:r>
          </w:p>
        </w:tc>
        <w:tc>
          <w:tcPr>
            <w:tcW w:w="0" w:type="dxa"/>
            <w:vAlign w:val="bottom"/>
          </w:tcPr>
          <w:p>
            <w:pPr>
              <w:spacing w:after="0"/>
              <w:rPr>
                <w:sz w:val="1"/>
                <w:szCs w:val="1"/>
                <w:color w:val="auto"/>
              </w:rPr>
            </w:pPr>
          </w:p>
        </w:tc>
      </w:tr>
      <w:tr>
        <w:trPr>
          <w:trHeight w:val="500"/>
        </w:trPr>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Overall Occupancy (1)</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(Rolling 12 Months)</w:t>
            </w:r>
          </w:p>
        </w:tc>
        <w:tc>
          <w:tcPr>
            <w:tcW w:w="3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80" w:type="dxa"/>
            <w:vAlign w:val="bottom"/>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w w:val="96"/>
              </w:rPr>
              <w:t>At September 30, 2003 (3)</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At June 30, 2003 (3)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Properties – Excluding Santana Row (2)</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15,336,000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14,461,000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15,370,000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14,392,000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4"/>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Properties – Including Santana Row Phase I (2)</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15,800,000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14,821,000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15,814,000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14,728,000</w:t>
            </w:r>
          </w:p>
        </w:tc>
        <w:tc>
          <w:tcPr>
            <w:tcW w:w="3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4"/>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Rollingwood Apartments (# of units) (4)</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98.6%</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4"/>
              </w:rPr>
              <w:t>98.2%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80" w:type="dxa"/>
            <w:vAlign w:val="bottom"/>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w w:val="96"/>
              </w:rPr>
              <w:t>At March 31, 2003 (3)</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gridSpan w:val="5"/>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w w:val="96"/>
              </w:rPr>
              <w:t>At December 31, 2002 (3)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Properties – Excluding Santana Row (2)</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15,254,000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14,487,000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95.0%</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14,801,000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14,128,000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4"/>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Properties – Including Santana Row Phase I (2)</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15,698,000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14,807,000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15,245,000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14,442,000</w:t>
            </w:r>
          </w:p>
        </w:tc>
        <w:tc>
          <w:tcPr>
            <w:tcW w:w="3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4"/>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Rollingwood Apartments (# of units) (4)</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98.6%</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4"/>
              </w:rPr>
              <w:t>97.5%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1"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Glossary of Terms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Leasable square feet; excludes redevelopment square footage not yet placed in service and Phase II and other future phases of Santana Row.</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444,000 square feet of Santana Row Phase I.</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occupancy for Santana Row is included in the Santana Row Summary schedule.</w:t>
      </w:r>
    </w:p>
    <w:p>
      <w:pPr>
        <w:sectPr>
          <w:pgSz w:w="11900" w:h="16838" w:orient="portrait"/>
          <w:cols w:equalWidth="0" w:num="1">
            <w:col w:w="11420"/>
          </w:cols>
          <w:pgMar w:left="240" w:top="272"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Occupancy Summary—Same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Same Center Occupancy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to Quarter Comparison)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At September 30, 2003</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At September 30, 2002</w:t>
            </w:r>
          </w:p>
        </w:tc>
        <w:tc>
          <w:tcPr>
            <w:tcW w:w="760" w:type="dxa"/>
            <w:vAlign w:val="bottom"/>
          </w:tcPr>
          <w:p>
            <w:pPr>
              <w:spacing w:after="0"/>
              <w:rPr>
                <w:sz w:val="15"/>
                <w:szCs w:val="15"/>
                <w:color w:val="auto"/>
              </w:rPr>
            </w:pPr>
          </w:p>
        </w:tc>
      </w:tr>
      <w:tr>
        <w:trPr>
          <w:trHeight w:val="95"/>
        </w:trPr>
        <w:tc>
          <w:tcPr>
            <w:tcW w:w="47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63"/>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7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Size</w:t>
            </w:r>
          </w:p>
        </w:tc>
        <w:tc>
          <w:tcPr>
            <w:tcW w:w="15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w w:val="92"/>
              </w:rPr>
              <w:t>Occupancy</w:t>
            </w:r>
          </w:p>
        </w:tc>
        <w:tc>
          <w:tcPr>
            <w:tcW w:w="440" w:type="dxa"/>
            <w:vAlign w:val="bottom"/>
          </w:tcPr>
          <w:p>
            <w:pPr>
              <w:spacing w:after="0"/>
              <w:rPr>
                <w:sz w:val="22"/>
                <w:szCs w:val="22"/>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Size</w:t>
            </w:r>
          </w:p>
        </w:tc>
        <w:tc>
          <w:tcPr>
            <w:tcW w:w="15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5"/>
              </w:rPr>
              <w:t>Occupancy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5717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60325</wp:posOffset>
            </wp:positionV>
            <wp:extent cx="41249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Properties (leasable square feet) (2)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14,704,000</w:t>
            </w:r>
          </w:p>
        </w:tc>
        <w:tc>
          <w:tcPr>
            <w:tcW w:w="15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13,991,000</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14,368,000</w:t>
            </w:r>
          </w:p>
        </w:tc>
        <w:tc>
          <w:tcPr>
            <w:tcW w:w="1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13,756,000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Rollingwood Apartments (# of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5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278</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279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487"/>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Same Center Occupancy (1)</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(Rolling 12 Months)</w:t>
            </w:r>
          </w:p>
        </w:tc>
        <w:tc>
          <w:tcPr>
            <w:tcW w:w="2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4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At September 30, 2003</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At June 30, 2003</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Properties (leasable square feet) (2)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14,704,000</w:t>
            </w:r>
          </w:p>
        </w:tc>
        <w:tc>
          <w:tcPr>
            <w:tcW w:w="15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13,991,000</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14,676,000</w:t>
            </w:r>
          </w:p>
        </w:tc>
        <w:tc>
          <w:tcPr>
            <w:tcW w:w="1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13,914,000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Rollingwood Apartments (# of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5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278</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277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8"/>
              </w:rPr>
              <w:t>At March 31, 2003</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At December 31, 2002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Properties (leasable square feet) (2)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14,689,000</w:t>
            </w:r>
          </w:p>
        </w:tc>
        <w:tc>
          <w:tcPr>
            <w:tcW w:w="15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14,076,000</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14,603,000</w:t>
            </w:r>
          </w:p>
        </w:tc>
        <w:tc>
          <w:tcPr>
            <w:tcW w:w="1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13,965,000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Rollingwood Apartments (# of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5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278</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275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1"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Glossary of Terms.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centers purchased or sold as well as properties under development and redevelopment.</w:t>
      </w:r>
    </w:p>
    <w:p>
      <w:pPr>
        <w:sectPr>
          <w:pgSz w:w="11900" w:h="16838" w:orient="portrait"/>
          <w:cols w:equalWidth="0" w:num="1">
            <w:col w:w="11420"/>
          </w:cols>
          <w:pgMar w:left="240" w:top="272"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Summary of Top 25 Tenants - Prospective </w:t>
      </w:r>
      <w:r>
        <w:rPr>
          <w:rFonts w:ascii="Times New Roman" w:cs="Times New Roman" w:eastAsia="Times New Roman" w:hAnsi="Times New Roman"/>
          <w:sz w:val="18"/>
          <w:szCs w:val="18"/>
          <w:color w:val="auto"/>
        </w:rPr>
        <w:t>(October 2003 through September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Annualized</w:t>
            </w:r>
          </w:p>
        </w:tc>
        <w:tc>
          <w:tcPr>
            <w:tcW w:w="15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Total Annualized</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Stores</w:t>
            </w:r>
          </w:p>
        </w:tc>
        <w:tc>
          <w:tcPr>
            <w:tcW w:w="0" w:type="dxa"/>
            <w:vAlign w:val="bottom"/>
          </w:tcPr>
          <w:p>
            <w:pPr>
              <w:spacing w:after="0"/>
              <w:rPr>
                <w:sz w:val="1"/>
                <w:szCs w:val="1"/>
                <w:color w:val="auto"/>
              </w:rPr>
            </w:pPr>
          </w:p>
        </w:tc>
      </w:tr>
      <w:tr>
        <w:trPr>
          <w:trHeight w:val="178"/>
        </w:trPr>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Rank</w:t>
            </w:r>
          </w:p>
        </w:tc>
        <w:tc>
          <w:tcPr>
            <w:tcW w:w="220" w:type="dxa"/>
            <w:vAlign w:val="bottom"/>
          </w:tcPr>
          <w:p>
            <w:pPr>
              <w:spacing w:after="0"/>
              <w:rPr>
                <w:sz w:val="15"/>
                <w:szCs w:val="15"/>
                <w:color w:val="auto"/>
              </w:rPr>
            </w:pPr>
          </w:p>
        </w:tc>
        <w:tc>
          <w:tcPr>
            <w:tcW w:w="342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Base Rent</w:t>
            </w: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Base Rent</w:t>
            </w:r>
          </w:p>
        </w:tc>
        <w:tc>
          <w:tcPr>
            <w:tcW w:w="16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6"/>
              </w:rPr>
              <w:t>Tenant GLA</w:t>
            </w: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Leased</w:t>
            </w:r>
          </w:p>
        </w:tc>
        <w:tc>
          <w:tcPr>
            <w:tcW w:w="0" w:type="dxa"/>
            <w:vAlign w:val="bottom"/>
          </w:tcPr>
          <w:p>
            <w:pPr>
              <w:spacing w:after="0"/>
              <w:rPr>
                <w:sz w:val="1"/>
                <w:szCs w:val="1"/>
                <w:color w:val="auto"/>
              </w:rPr>
            </w:pPr>
          </w:p>
        </w:tc>
      </w:tr>
      <w:tr>
        <w:trPr>
          <w:trHeight w:val="95"/>
        </w:trPr>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Gap, Inc., The</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6,158,114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210,275</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Ahold USA, Inc.</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5,737,029</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501,801</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Safeway, Inc.</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5,625,651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412,536</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Bed, Bath &amp; Beyond, Inc.</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5,007,163</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358,165</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CVS Corporation</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3,860,704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164,956</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Barnes &amp; Noble, Inc.</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3,747,341</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167,765</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TJX Companies, The</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3,469,865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340,547</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Toys R Us, Inc.</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3,060,610</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325,582</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Borders Group, Inc.</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2,780,108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135,181</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OPNET Technologies, Inc.</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2,405,564</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60,466</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0.38%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 Atlantic &amp;Pacific Tea Co</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2,380,178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0.94%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239,215</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MTS, Inc.</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2,325,659</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0.92%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91,122</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0.58%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Dollar Tree Stores, Inc.</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2,223,959</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176,834</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Home Depot, Inc.</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2,207,180</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243,660</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Dress Barn, Inc.</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1,981,839</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92,588</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0.59%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Wakefern Food Corporation</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1,980,032</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0.78%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157,376</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CompUSA, Inc.</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1,921,184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108,219</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Kohl’s Corporation</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1,904,874</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0.75%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390,626</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Bally’s Health &amp; Tennis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1,781,460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139,546</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Linens’ N Things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1,704,059</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0.67%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108,169</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0.69%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Whole Foods Market, Inc.</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1,689,712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81,874</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0.52%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Saks &amp; Company</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1,635,300</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0.64%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Loews Cineplex Entertainment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1,569,595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91,288</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0.58%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Viacom International, Inc.</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1,569,114</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0.62%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65,592</w:t>
            </w:r>
          </w:p>
        </w:tc>
        <w:tc>
          <w:tcPr>
            <w:tcW w:w="8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Albertson’s, Inc.</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1,497,464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0.59%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137,523</w:t>
            </w:r>
          </w:p>
        </w:tc>
        <w:tc>
          <w:tcPr>
            <w:tcW w:w="8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0.87%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Totals - Top 25 Tenants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70,223,761</w:t>
            </w:r>
          </w:p>
        </w:tc>
        <w:tc>
          <w:tcPr>
            <w:tcW w:w="440" w:type="dxa"/>
            <w:vAlign w:val="bottom"/>
          </w:tcPr>
          <w:p>
            <w:pPr>
              <w:spacing w:after="0"/>
              <w:rPr>
                <w:sz w:val="24"/>
                <w:szCs w:val="24"/>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27.65%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4,836,456</w:t>
            </w:r>
          </w:p>
        </w:tc>
        <w:tc>
          <w:tcPr>
            <w:tcW w:w="86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30.65%</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34"/>
        </w:trPr>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Annualized Base Rent: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253,930,859</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Portfolio Square Footage: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7"/>
              </w:rPr>
              <w:t>15,780,000(1)(2)</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-437515</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-437515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-437515</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-437515</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-437515</wp:posOffset>
            </wp:positionV>
            <wp:extent cx="387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-437515</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-437515</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-437515</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-437515</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-437515</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-437515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Note:</w:t>
      </w:r>
    </w:p>
    <w:p>
      <w:pPr>
        <w:spacing w:after="0" w:line="21"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redevelopment square footage not yet placed in service.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444,000 square feet of Santana Row Phase I, but not Phase II or any future Phases of Santana Row.</w:t>
      </w:r>
    </w:p>
    <w:p>
      <w:pPr>
        <w:sectPr>
          <w:pgSz w:w="11900" w:h="16838" w:orient="portrait"/>
          <w:cols w:equalWidth="0" w:num="1">
            <w:col w:w="11420"/>
          </w:cols>
          <w:pgMar w:left="240" w:top="272"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 Reconciliation of 2003 EPS to 2003 FFO Guidance ($ millions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60" w:type="dxa"/>
            <w:vAlign w:val="bottom"/>
          </w:tcPr>
          <w:p>
            <w:pPr>
              <w:spacing w:after="0"/>
              <w:rPr>
                <w:sz w:val="15"/>
                <w:szCs w:val="15"/>
                <w:color w:val="auto"/>
              </w:rPr>
            </w:pPr>
          </w:p>
        </w:tc>
        <w:tc>
          <w:tcPr>
            <w:tcW w:w="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61.3</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Net Income for Preferred Stock Redemption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72.5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from Operations Before Preferred Stock Redemption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Redemption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from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1b. Reconciliation of 2004 EPS to 2004 FFO Guidance ($ millions except per share amounts)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Forecast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$ 55.7</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from Operations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137.6</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$139.5</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-1793875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-1793875</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-1793875</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-1793875</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-1793875</wp:posOffset>
            </wp:positionV>
            <wp:extent cx="2159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-1793875</wp:posOffset>
            </wp:positionV>
            <wp:extent cx="3873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-233045</wp:posOffset>
            </wp:positionV>
            <wp:extent cx="32131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-233045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-233045</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-233045</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-233045</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-233045</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-233045</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-233045</wp:posOffset>
            </wp:positionV>
            <wp:extent cx="26162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ectPr>
          <w:pgSz w:w="11900" w:h="16838" w:orient="portrait"/>
          <w:cols w:equalWidth="0" w:num="1">
            <w:col w:w="10280"/>
          </w:cols>
          <w:pgMar w:left="240" w:top="272" w:right="1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EBITDA is a non-GAAP measure that means net income or loss plus interest expense, income taxes, depreciation and amortization; adjusted for gain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loss 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The reconciliation of EBITDA, adjusted for discontinued operations, to net income for the nine months ended September 30, 2003 and 2002 is as follows:</w:t>
      </w:r>
    </w:p>
    <w:p>
      <w:pPr>
        <w:spacing w:after="0" w:line="120"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5"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60325</wp:posOffset>
            </wp:positionV>
            <wp:extent cx="108077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 net of loss on abandoned developments held for sale</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160,241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-27305</wp:posOffset>
            </wp:positionV>
            <wp:extent cx="111061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110615" cy="29845"/>
                    </a:xfrm>
                    <a:prstGeom prst="rect">
                      <a:avLst/>
                    </a:prstGeom>
                    <a:noFill/>
                  </pic:spPr>
                </pic:pic>
              </a:graphicData>
            </a:graphic>
          </wp:anchor>
        </w:drawing>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Funds From Operations (FFO): </w:t>
      </w:r>
      <w:r>
        <w:rPr>
          <w:rFonts w:ascii="Times New Roman" w:cs="Times New Roman" w:eastAsia="Times New Roman" w:hAnsi="Times New Roman"/>
          <w:sz w:val="18"/>
          <w:szCs w:val="18"/>
          <w:color w:val="auto"/>
        </w:rPr>
        <w:t>FFO is a supplemental measure of real estate companies’ operating performances. The National Association of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Property Operating Income: </w:t>
      </w:r>
      <w:r>
        <w:rPr>
          <w:rFonts w:ascii="Times New Roman" w:cs="Times New Roman" w:eastAsia="Times New Roman" w:hAnsi="Times New Roman"/>
          <w:sz w:val="18"/>
          <w:szCs w:val="18"/>
          <w:color w:val="auto"/>
        </w:rPr>
        <w:t>Gross revenues, including interest income, less rental expenses and real estate taxes.</w:t>
      </w:r>
    </w:p>
    <w:p>
      <w:pPr>
        <w:spacing w:after="0" w:line="15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Occupancy</w:t>
      </w:r>
      <w:r>
        <w:rPr>
          <w:rFonts w:ascii="Times New Roman" w:cs="Times New Roman" w:eastAsia="Times New Roman" w:hAnsi="Times New Roman"/>
          <w:sz w:val="18"/>
          <w:szCs w:val="18"/>
          <w:color w:val="auto"/>
        </w:rPr>
        <w:t>: The portion of the property for which the Trust is collecting rent, or for which a lease has been signed but the term has not yet commenced, divided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total square footage available for lease.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Overall Occupancy: </w:t>
      </w:r>
      <w:r>
        <w:rPr>
          <w:rFonts w:ascii="Times New Roman" w:cs="Times New Roman" w:eastAsia="Times New Roman" w:hAnsi="Times New Roman"/>
          <w:sz w:val="18"/>
          <w:szCs w:val="18"/>
          <w:color w:val="auto"/>
        </w:rPr>
        <w:t>Occupancy for the entire portfolio - includes all operating properties owned in reporting period.</w:t>
      </w:r>
    </w:p>
    <w:p>
      <w:pPr>
        <w:spacing w:after="0" w:line="15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Same Center Occupancy: </w:t>
      </w:r>
      <w:r>
        <w:rPr>
          <w:rFonts w:ascii="Times New Roman" w:cs="Times New Roman" w:eastAsia="Times New Roman" w:hAnsi="Times New Roman"/>
          <w:sz w:val="18"/>
          <w:szCs w:val="18"/>
          <w:color w:val="auto"/>
        </w:rPr>
        <w:t>Occupancy for only those properties owned and operating in the periods being compared. Excludes centers purchased or sold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properties under redevelopment and development.</w:t>
      </w:r>
    </w:p>
    <w:p>
      <w:pPr>
        <w:spacing w:after="0" w:line="10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Tenant improvements: </w:t>
      </w:r>
      <w:r>
        <w:rPr>
          <w:rFonts w:ascii="Times New Roman" w:cs="Times New Roman" w:eastAsia="Times New Roman" w:hAnsi="Times New Roman"/>
          <w:sz w:val="18"/>
          <w:szCs w:val="18"/>
          <w:color w:val="auto"/>
        </w:rPr>
        <w:t>Represents the total dollars committed for the improvement (fit-out) of a space as it relates to a specific lease. The amounts shown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1400"/>
      </w:cols>
      <w:pgMar w:left="240" w:top="27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3"/>
    </w:lvl>
  </w:abstractNum>
  <w:abstractNum w:abstractNumId="1">
    <w:nsid w:val="109CF92E"/>
    <w:multiLevelType w:val="hybridMultilevel"/>
    <w:lvl w:ilvl="0">
      <w:lvlJc w:val="left"/>
      <w:lvlText w:val="%1."/>
      <w:numFmt w:val="decimal"/>
      <w:start w:val="3"/>
    </w:lvl>
  </w:abstractNum>
  <w:abstractNum w:abstractNumId="2">
    <w:nsid w:val="DED7263"/>
    <w:multiLevelType w:val="hybridMultilevel"/>
    <w:lvl w:ilvl="0">
      <w:lvlJc w:val="left"/>
      <w:lvlText w:val="%1."/>
      <w:numFmt w:val="decimal"/>
      <w:start w:val="1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lvl w:ilvl="1">
      <w:lvlJc w:val="left"/>
      <w:lvlText w:val="\endash "/>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lvl w:ilvl="1">
      <w:lvlJc w:val="left"/>
      <w:lvlText w:val="\endash "/>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5"/>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6"/>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2019-12-13T00:59:08Z</dcterms:created>
  <dcterms:modified xsi:type="dcterms:W3CDTF">2019-12-13T00:59:08Z</dcterms:modified>
</cp:coreProperties>
</file>