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231140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ind w:right="-3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3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339"/>
        <w:spacing w:after="0"/>
        <w:rPr>
          <w:sz w:val="20"/>
          <w:szCs w:val="20"/>
          <w:color w:val="auto"/>
        </w:rPr>
      </w:pPr>
      <w:r>
        <w:rPr>
          <w:rFonts w:ascii="Arial" w:cs="Arial" w:eastAsia="Arial" w:hAnsi="Arial"/>
          <w:sz w:val="32"/>
          <w:szCs w:val="32"/>
          <w:b w:val="1"/>
          <w:bCs w:val="1"/>
          <w:color w:val="auto"/>
        </w:rPr>
        <w:t>SCHEDULE 14A INFORMATION</w:t>
      </w:r>
    </w:p>
    <w:p>
      <w:pPr>
        <w:spacing w:after="0" w:line="253" w:lineRule="exact"/>
        <w:rPr>
          <w:sz w:val="24"/>
          <w:szCs w:val="24"/>
          <w:color w:val="auto"/>
        </w:rPr>
      </w:pPr>
    </w:p>
    <w:p>
      <w:pPr>
        <w:jc w:val="center"/>
        <w:ind w:right="-33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339"/>
        <w:spacing w:after="0"/>
        <w:rPr>
          <w:sz w:val="20"/>
          <w:szCs w:val="20"/>
          <w:color w:val="auto"/>
        </w:rPr>
      </w:pPr>
      <w:r>
        <w:rPr>
          <w:rFonts w:ascii="Arial" w:cs="Arial" w:eastAsia="Arial" w:hAnsi="Arial"/>
          <w:sz w:val="22"/>
          <w:szCs w:val="22"/>
          <w:b w:val="1"/>
          <w:bCs w:val="1"/>
          <w:color w:val="auto"/>
        </w:rPr>
        <w:t>Securities Exchange Act of 1934</w:t>
      </w:r>
    </w:p>
    <w:p>
      <w:pPr>
        <w:jc w:val="center"/>
        <w:ind w:right="-359"/>
        <w:spacing w:after="0"/>
        <w:tabs>
          <w:tab w:leader="none" w:pos="200" w:val="left"/>
        </w:tabs>
        <w:rPr>
          <w:sz w:val="20"/>
          <w:szCs w:val="20"/>
          <w:color w:val="auto"/>
        </w:rPr>
      </w:pPr>
      <w:r>
        <w:rPr>
          <w:rFonts w:ascii="Arial" w:cs="Arial" w:eastAsia="Arial" w:hAnsi="Arial"/>
          <w:sz w:val="22"/>
          <w:szCs w:val="22"/>
          <w:b w:val="1"/>
          <w:bCs w:val="1"/>
          <w:color w:val="auto"/>
        </w:rPr>
        <w:t>(Amendment No.</w:t>
        <w:tab/>
        <w:t>)</w:t>
      </w:r>
    </w:p>
    <w:p>
      <w:pPr>
        <w:spacing w:after="0" w:line="277" w:lineRule="exact"/>
        <w:rPr>
          <w:sz w:val="24"/>
          <w:szCs w:val="24"/>
          <w:color w:val="auto"/>
        </w:rPr>
      </w:pPr>
    </w:p>
    <w:p>
      <w:pPr>
        <w:ind w:left="200"/>
        <w:spacing w:after="0" w:line="207" w:lineRule="exact"/>
        <w:tabs>
          <w:tab w:leader="none" w:pos="32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204" w:lineRule="exact"/>
        <w:rPr>
          <w:sz w:val="24"/>
          <w:szCs w:val="24"/>
          <w:color w:val="auto"/>
        </w:rPr>
      </w:pPr>
    </w:p>
    <w:p>
      <w:pPr>
        <w:ind w:left="20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660" w:hanging="456"/>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1" w:lineRule="exact"/>
        <w:rPr>
          <w:rFonts w:ascii="MS PGothic" w:cs="MS PGothic" w:eastAsia="MS PGothic" w:hAnsi="MS PGothic"/>
          <w:sz w:val="18"/>
          <w:szCs w:val="18"/>
          <w:color w:val="auto"/>
        </w:rPr>
      </w:pPr>
    </w:p>
    <w:p>
      <w:pPr>
        <w:ind w:left="660" w:hanging="456"/>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3" w:lineRule="exact"/>
        <w:rPr>
          <w:sz w:val="24"/>
          <w:szCs w:val="24"/>
          <w:color w:val="auto"/>
        </w:rPr>
      </w:pPr>
    </w:p>
    <w:p>
      <w:pPr>
        <w:ind w:left="660" w:hanging="456"/>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660" w:hanging="456"/>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660" w:hanging="456"/>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200" w:lineRule="exact"/>
        <w:rPr>
          <w:sz w:val="24"/>
          <w:szCs w:val="24"/>
          <w:color w:val="auto"/>
        </w:rPr>
      </w:pPr>
    </w:p>
    <w:p>
      <w:pPr>
        <w:spacing w:after="0" w:line="206" w:lineRule="exact"/>
        <w:rPr>
          <w:sz w:val="24"/>
          <w:szCs w:val="24"/>
          <w:color w:val="auto"/>
        </w:rPr>
      </w:pPr>
    </w:p>
    <w:p>
      <w:pPr>
        <w:jc w:val="center"/>
        <w:ind w:right="-339"/>
        <w:spacing w:after="0"/>
        <w:rPr>
          <w:sz w:val="20"/>
          <w:szCs w:val="20"/>
          <w:color w:val="auto"/>
        </w:rPr>
      </w:pPr>
      <w:r>
        <w:rPr>
          <w:rFonts w:ascii="Arial" w:cs="Arial" w:eastAsia="Arial" w:hAnsi="Arial"/>
          <w:sz w:val="43"/>
          <w:szCs w:val="43"/>
          <w:b w:val="1"/>
          <w:bCs w:val="1"/>
          <w:color w:val="auto"/>
        </w:rPr>
        <w:t>FEDERAL REALTY INVESTMENT TRUST</w:t>
      </w:r>
    </w:p>
    <w:p>
      <w:pPr>
        <w:spacing w:after="0" w:line="54"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0" w:lineRule="exact"/>
        <w:rPr>
          <w:sz w:val="24"/>
          <w:szCs w:val="24"/>
          <w:color w:val="auto"/>
        </w:rPr>
      </w:pPr>
    </w:p>
    <w:p>
      <w:pPr>
        <w:spacing w:after="0" w:line="223" w:lineRule="exact"/>
        <w:rPr>
          <w:sz w:val="24"/>
          <w:szCs w:val="24"/>
          <w:color w:val="auto"/>
        </w:rPr>
      </w:pPr>
    </w:p>
    <w:p>
      <w:pPr>
        <w:jc w:val="center"/>
        <w:ind w:right="-33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00" w:lineRule="exact"/>
        <w:rPr>
          <w:sz w:val="24"/>
          <w:szCs w:val="24"/>
          <w:color w:val="auto"/>
        </w:rPr>
      </w:pPr>
    </w:p>
    <w:p>
      <w:pPr>
        <w:spacing w:after="0" w:line="224" w:lineRule="exact"/>
        <w:rPr>
          <w:sz w:val="24"/>
          <w:szCs w:val="24"/>
          <w:color w:val="auto"/>
        </w:rPr>
      </w:pPr>
    </w:p>
    <w:p>
      <w:pPr>
        <w:ind w:left="200"/>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660" w:hanging="456"/>
        <w:spacing w:after="0"/>
        <w:tabs>
          <w:tab w:leader="none" w:pos="6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660" w:hanging="456"/>
        <w:spacing w:after="0"/>
        <w:tabs>
          <w:tab w:leader="none" w:pos="6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25" w:lineRule="exact"/>
        <w:rPr>
          <w:rFonts w:ascii="MS PGothic" w:cs="MS PGothic" w:eastAsia="MS PGothic" w:hAnsi="MS PGothic"/>
          <w:sz w:val="18"/>
          <w:szCs w:val="18"/>
          <w:color w:val="auto"/>
        </w:rPr>
      </w:pPr>
    </w:p>
    <w:p>
      <w:pPr>
        <w:ind w:left="1100" w:hanging="437"/>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100" w:hanging="437"/>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100" w:hanging="437"/>
        <w:spacing w:after="0" w:line="268" w:lineRule="auto"/>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100" w:hanging="437"/>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100" w:hanging="437"/>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92" w:lineRule="exact"/>
        <w:rPr>
          <w:rFonts w:ascii="Arial" w:cs="Arial" w:eastAsia="Arial" w:hAnsi="Arial"/>
          <w:sz w:val="18"/>
          <w:szCs w:val="18"/>
          <w:color w:val="auto"/>
        </w:rPr>
      </w:pPr>
    </w:p>
    <w:p>
      <w:pPr>
        <w:ind w:left="660" w:hanging="456"/>
        <w:spacing w:after="0"/>
        <w:tabs>
          <w:tab w:leader="none" w:pos="6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660" w:right="160" w:hanging="456"/>
        <w:spacing w:after="0" w:line="332" w:lineRule="auto"/>
        <w:tabs>
          <w:tab w:leader="none" w:pos="66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47" w:lineRule="exact"/>
        <w:rPr>
          <w:rFonts w:ascii="MS PGothic" w:cs="MS PGothic" w:eastAsia="MS PGothic" w:hAnsi="MS PGothic"/>
          <w:sz w:val="16"/>
          <w:szCs w:val="16"/>
          <w:color w:val="auto"/>
        </w:rPr>
      </w:pPr>
    </w:p>
    <w:p>
      <w:pPr>
        <w:ind w:left="1100" w:hanging="437"/>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100" w:hanging="437"/>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100" w:hanging="437"/>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699770</wp:posOffset>
            </wp:positionH>
            <wp:positionV relativeFrom="paragraph">
              <wp:posOffset>-3838575</wp:posOffset>
            </wp:positionV>
            <wp:extent cx="64319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-3418840</wp:posOffset>
            </wp:positionV>
            <wp:extent cx="64319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-2861310</wp:posOffset>
            </wp:positionV>
            <wp:extent cx="643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-2440940</wp:posOffset>
            </wp:positionV>
            <wp:extent cx="64319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-2012315</wp:posOffset>
            </wp:positionV>
            <wp:extent cx="64319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-562610</wp:posOffset>
            </wp:positionV>
            <wp:extent cx="64319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-142875</wp:posOffset>
            </wp:positionV>
            <wp:extent cx="64319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276860</wp:posOffset>
            </wp:positionV>
            <wp:extent cx="64319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31915" cy="8890"/>
                    </a:xfrm>
                    <a:prstGeom prst="rect">
                      <a:avLst/>
                    </a:prstGeom>
                    <a:noFill/>
                  </pic:spPr>
                </pic:pic>
              </a:graphicData>
            </a:graphic>
          </wp:anchor>
        </w:drawing>
      </w:r>
    </w:p>
    <w:p>
      <w:pPr>
        <w:sectPr>
          <w:pgSz w:w="11900" w:h="16838" w:orient="portrait"/>
          <w:cols w:equalWidth="0" w:num="1">
            <w:col w:w="11080"/>
          </w:cols>
          <w:pgMar w:left="240" w:top="230" w:right="579" w:bottom="94" w:gutter="0" w:footer="0" w:header="0"/>
        </w:sectPr>
      </w:pPr>
    </w:p>
    <w:bookmarkStart w:id="1" w:name="page2"/>
    <w:bookmarkEnd w:id="1"/>
    <w:p>
      <w:pPr>
        <w:ind w:left="437" w:hanging="437"/>
        <w:spacing w:after="0"/>
        <w:tabs>
          <w:tab w:leader="none" w:pos="437" w:val="left"/>
        </w:tabs>
        <w:numPr>
          <w:ilvl w:val="0"/>
          <w:numId w:val="6"/>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wp:posOffset>
            </wp:positionH>
            <wp:positionV relativeFrom="paragraph">
              <wp:posOffset>291465</wp:posOffset>
            </wp:positionV>
            <wp:extent cx="64319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437515</wp:posOffset>
            </wp:positionV>
            <wp:extent cx="6997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471805</wp:posOffset>
            </wp:positionV>
            <wp:extent cx="6997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9556"/>
          </w:cols>
          <w:pgMar w:left="903" w:top="131"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2072005</wp:posOffset>
            </wp:positionH>
            <wp:positionV relativeFrom="paragraph">
              <wp:posOffset>205740</wp:posOffset>
            </wp:positionV>
            <wp:extent cx="3112770" cy="9347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12770" cy="934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March 22, 2019</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Dear Shareholder:</w:t>
      </w:r>
    </w:p>
    <w:p>
      <w:pPr>
        <w:spacing w:after="0" w:line="171" w:lineRule="exact"/>
        <w:rPr>
          <w:sz w:val="20"/>
          <w:szCs w:val="20"/>
          <w:color w:val="auto"/>
        </w:rPr>
      </w:pPr>
    </w:p>
    <w:p>
      <w:pPr>
        <w:jc w:val="both"/>
        <w:ind w:left="200"/>
        <w:spacing w:after="0" w:line="246" w:lineRule="auto"/>
        <w:rPr>
          <w:sz w:val="20"/>
          <w:szCs w:val="20"/>
          <w:color w:val="auto"/>
        </w:rPr>
      </w:pPr>
      <w:r>
        <w:rPr>
          <w:rFonts w:ascii="Arial" w:cs="Arial" w:eastAsia="Arial" w:hAnsi="Arial"/>
          <w:sz w:val="18"/>
          <w:szCs w:val="18"/>
          <w:color w:val="auto"/>
        </w:rPr>
        <w:t>Please accept this invitation to attend our 2019 Annual Meeting of Shareholders on Wednesday, May 1, 2019 at 10:00 a.m. This year’s meeting will be held at AMP by Strathmore located at our Pike &amp; Rose property, 11810 Grand Park Avenue, North Bethesda, Maryland.</w:t>
      </w:r>
    </w:p>
    <w:p>
      <w:pPr>
        <w:spacing w:after="0" w:line="156" w:lineRule="exact"/>
        <w:rPr>
          <w:sz w:val="20"/>
          <w:szCs w:val="20"/>
          <w:color w:val="auto"/>
        </w:rPr>
      </w:pPr>
    </w:p>
    <w:p>
      <w:pPr>
        <w:jc w:val="both"/>
        <w:ind w:left="200"/>
        <w:spacing w:after="0" w:line="239" w:lineRule="auto"/>
        <w:rPr>
          <w:sz w:val="20"/>
          <w:szCs w:val="20"/>
          <w:color w:val="auto"/>
        </w:rPr>
      </w:pPr>
      <w:r>
        <w:rPr>
          <w:rFonts w:ascii="Arial" w:cs="Arial" w:eastAsia="Arial" w:hAnsi="Arial"/>
          <w:sz w:val="18"/>
          <w:szCs w:val="18"/>
          <w:color w:val="auto"/>
        </w:rPr>
        <w:t>The attached notice of the 2019 Annual Meeting of Shareholders and proxy statement provide important information about the annual meeting and the business to be conducted at the meeting. In addition, management will provide a review of 2018 operating results and discuss the outlook for the future. After the formal presentation, our Trustees and management will be available to answer any questions you may have.</w:t>
      </w:r>
    </w:p>
    <w:p>
      <w:pPr>
        <w:spacing w:after="0" w:line="175" w:lineRule="exact"/>
        <w:rPr>
          <w:sz w:val="20"/>
          <w:szCs w:val="20"/>
          <w:color w:val="auto"/>
        </w:rPr>
      </w:pPr>
    </w:p>
    <w:p>
      <w:pPr>
        <w:jc w:val="both"/>
        <w:ind w:left="200"/>
        <w:spacing w:after="0" w:line="246" w:lineRule="auto"/>
        <w:rPr>
          <w:sz w:val="20"/>
          <w:szCs w:val="20"/>
          <w:color w:val="auto"/>
        </w:rPr>
      </w:pPr>
      <w:r>
        <w:rPr>
          <w:rFonts w:ascii="Arial" w:cs="Arial" w:eastAsia="Arial" w:hAnsi="Arial"/>
          <w:sz w:val="18"/>
          <w:szCs w:val="18"/>
          <w:color w:val="auto"/>
        </w:rPr>
        <w:t>Your vote is important to us. We urge you to read this proxy statement carefully. Whether or not you plan to attend the annual meeting in person, we urge you to vote promptly through the internet, by telephone or by mail.</w:t>
      </w:r>
    </w:p>
    <w:p>
      <w:pPr>
        <w:spacing w:after="0" w:line="15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Thank you for your continued support and we look forward to seeing you on May 1.</w:t>
      </w:r>
    </w:p>
    <w:p>
      <w:pPr>
        <w:spacing w:after="0" w:line="32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135255</wp:posOffset>
            </wp:positionV>
            <wp:extent cx="1920875" cy="5657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20875" cy="565785"/>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143510</wp:posOffset>
            </wp:positionV>
            <wp:extent cx="1046480" cy="5575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46480" cy="55753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0" w:right="2100"/>
        <w:spacing w:after="0" w:line="246" w:lineRule="auto"/>
        <w:rPr>
          <w:sz w:val="20"/>
          <w:szCs w:val="20"/>
          <w:color w:val="auto"/>
        </w:rPr>
      </w:pPr>
      <w:r>
        <w:rPr>
          <w:rFonts w:ascii="Arial" w:cs="Arial" w:eastAsia="Arial" w:hAnsi="Arial"/>
          <w:sz w:val="18"/>
          <w:szCs w:val="18"/>
          <w:color w:val="auto"/>
        </w:rPr>
        <w:t xml:space="preserve">Joseph S. Vassalluzzo </w:t>
      </w:r>
      <w:r>
        <w:rPr>
          <w:rFonts w:ascii="Arial" w:cs="Arial" w:eastAsia="Arial" w:hAnsi="Arial"/>
          <w:sz w:val="18"/>
          <w:szCs w:val="18"/>
          <w:i w:val="1"/>
          <w:iCs w:val="1"/>
          <w:color w:val="auto"/>
        </w:rPr>
        <w:t>Non-Executive Chairman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Donald C. Wood</w:t>
      </w:r>
    </w:p>
    <w:p>
      <w:pPr>
        <w:spacing w:after="0"/>
        <w:rPr>
          <w:sz w:val="20"/>
          <w:szCs w:val="20"/>
          <w:color w:val="auto"/>
        </w:rPr>
      </w:pPr>
      <w:r>
        <w:rPr>
          <w:rFonts w:ascii="Arial" w:cs="Arial" w:eastAsia="Arial" w:hAnsi="Arial"/>
          <w:sz w:val="17"/>
          <w:szCs w:val="17"/>
          <w:i w:val="1"/>
          <w:iCs w:val="1"/>
          <w:color w:val="auto"/>
        </w:rPr>
        <w:t>President and Chief Executive Officer</w:t>
      </w:r>
    </w:p>
    <w:p>
      <w:pPr>
        <w:sectPr>
          <w:pgSz w:w="11900" w:h="16838" w:orient="portrait"/>
          <w:cols w:equalWidth="0" w:num="2">
            <w:col w:w="5340" w:space="720"/>
            <w:col w:w="5160"/>
          </w:cols>
          <w:pgMar w:left="240" w:top="459" w:right="4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2072005</wp:posOffset>
            </wp:positionH>
            <wp:positionV relativeFrom="paragraph">
              <wp:posOffset>205740</wp:posOffset>
            </wp:positionV>
            <wp:extent cx="3112770" cy="9347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112770" cy="934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20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8600" w:type="dxa"/>
            <w:vAlign w:val="bottom"/>
          </w:tcPr>
          <w:p>
            <w:pPr>
              <w:ind w:left="780"/>
              <w:spacing w:after="0"/>
              <w:rPr>
                <w:sz w:val="20"/>
                <w:szCs w:val="20"/>
                <w:color w:val="auto"/>
              </w:rPr>
            </w:pPr>
            <w:r>
              <w:rPr>
                <w:rFonts w:ascii="Arial" w:cs="Arial" w:eastAsia="Arial" w:hAnsi="Arial"/>
                <w:sz w:val="18"/>
                <w:szCs w:val="18"/>
                <w:b w:val="1"/>
                <w:bCs w:val="1"/>
                <w:color w:val="auto"/>
              </w:rPr>
              <w:t>1626 East Jefferson Street, Rockville, Maryland 20852</w:t>
            </w:r>
          </w:p>
        </w:tc>
      </w:tr>
      <w:tr>
        <w:trPr>
          <w:trHeight w:val="832"/>
        </w:trPr>
        <w:tc>
          <w:tcPr>
            <w:tcW w:w="11040" w:type="dxa"/>
            <w:vAlign w:val="bottom"/>
            <w:gridSpan w:val="3"/>
          </w:tcPr>
          <w:p>
            <w:pPr>
              <w:spacing w:after="0"/>
              <w:rPr>
                <w:sz w:val="20"/>
                <w:szCs w:val="20"/>
                <w:color w:val="auto"/>
              </w:rPr>
            </w:pPr>
            <w:r>
              <w:rPr>
                <w:rFonts w:ascii="Arial" w:cs="Arial" w:eastAsia="Arial" w:hAnsi="Arial"/>
                <w:sz w:val="25"/>
                <w:szCs w:val="25"/>
                <w:b w:val="1"/>
                <w:bCs w:val="1"/>
                <w:color w:val="auto"/>
              </w:rPr>
              <w:t>NOTICE OF 2019 ANNUAL MEETING OF SHAREHOLDERS</w:t>
            </w:r>
          </w:p>
        </w:tc>
      </w:tr>
      <w:tr>
        <w:trPr>
          <w:trHeight w:val="208"/>
        </w:trPr>
        <w:tc>
          <w:tcPr>
            <w:tcW w:w="20" w:type="dxa"/>
            <w:vAlign w:val="bottom"/>
          </w:tcPr>
          <w:p>
            <w:pPr>
              <w:spacing w:after="0"/>
              <w:rPr>
                <w:sz w:val="18"/>
                <w:szCs w:val="18"/>
                <w:color w:val="auto"/>
              </w:rPr>
            </w:pPr>
          </w:p>
        </w:tc>
        <w:tc>
          <w:tcPr>
            <w:tcW w:w="2420" w:type="dxa"/>
            <w:vAlign w:val="bottom"/>
            <w:tcBorders>
              <w:bottom w:val="single" w:sz="8" w:color="auto"/>
            </w:tcBorders>
          </w:tcPr>
          <w:p>
            <w:pPr>
              <w:spacing w:after="0"/>
              <w:rPr>
                <w:sz w:val="18"/>
                <w:szCs w:val="18"/>
                <w:color w:val="auto"/>
              </w:rPr>
            </w:pPr>
          </w:p>
        </w:tc>
        <w:tc>
          <w:tcPr>
            <w:tcW w:w="8600" w:type="dxa"/>
            <w:vAlign w:val="bottom"/>
            <w:tcBorders>
              <w:bottom w:val="single" w:sz="8" w:color="auto"/>
            </w:tcBorders>
          </w:tcPr>
          <w:p>
            <w:pPr>
              <w:spacing w:after="0"/>
              <w:rPr>
                <w:sz w:val="18"/>
                <w:szCs w:val="18"/>
                <w:color w:val="auto"/>
              </w:rPr>
            </w:pPr>
          </w:p>
        </w:tc>
      </w:tr>
      <w:tr>
        <w:trPr>
          <w:trHeight w:val="173"/>
        </w:trPr>
        <w:tc>
          <w:tcPr>
            <w:tcW w:w="20" w:type="dxa"/>
            <w:vAlign w:val="bottom"/>
          </w:tcPr>
          <w:p>
            <w:pPr>
              <w:spacing w:after="0"/>
              <w:rPr>
                <w:sz w:val="15"/>
                <w:szCs w:val="15"/>
                <w:color w:val="auto"/>
              </w:rPr>
            </w:pPr>
          </w:p>
        </w:tc>
        <w:tc>
          <w:tcPr>
            <w:tcW w:w="2420" w:type="dxa"/>
            <w:vAlign w:val="bottom"/>
          </w:tcPr>
          <w:p>
            <w:pPr>
              <w:ind w:left="60"/>
              <w:spacing w:after="0" w:line="173" w:lineRule="exact"/>
              <w:rPr>
                <w:sz w:val="20"/>
                <w:szCs w:val="20"/>
                <w:color w:val="auto"/>
              </w:rPr>
            </w:pPr>
            <w:r>
              <w:rPr>
                <w:rFonts w:ascii="Arial" w:cs="Arial" w:eastAsia="Arial" w:hAnsi="Arial"/>
                <w:sz w:val="18"/>
                <w:szCs w:val="18"/>
                <w:b w:val="1"/>
                <w:bCs w:val="1"/>
                <w:color w:val="auto"/>
              </w:rPr>
              <w:t>DATE:</w:t>
            </w:r>
          </w:p>
        </w:tc>
        <w:tc>
          <w:tcPr>
            <w:tcW w:w="8600" w:type="dxa"/>
            <w:vAlign w:val="bottom"/>
          </w:tcPr>
          <w:p>
            <w:pPr>
              <w:ind w:left="540"/>
              <w:spacing w:after="0" w:line="173" w:lineRule="exact"/>
              <w:rPr>
                <w:sz w:val="20"/>
                <w:szCs w:val="20"/>
                <w:color w:val="auto"/>
              </w:rPr>
            </w:pPr>
            <w:r>
              <w:rPr>
                <w:rFonts w:ascii="Arial" w:cs="Arial" w:eastAsia="Arial" w:hAnsi="Arial"/>
                <w:sz w:val="18"/>
                <w:szCs w:val="18"/>
                <w:color w:val="auto"/>
              </w:rPr>
              <w:t>Wednesday, May 1, 2019</w:t>
            </w:r>
          </w:p>
        </w:tc>
      </w:tr>
      <w:tr>
        <w:trPr>
          <w:trHeight w:val="203"/>
        </w:trPr>
        <w:tc>
          <w:tcPr>
            <w:tcW w:w="20" w:type="dxa"/>
            <w:vAlign w:val="bottom"/>
          </w:tcPr>
          <w:p>
            <w:pPr>
              <w:spacing w:after="0"/>
              <w:rPr>
                <w:sz w:val="17"/>
                <w:szCs w:val="17"/>
                <w:color w:val="auto"/>
              </w:rPr>
            </w:pPr>
          </w:p>
        </w:tc>
        <w:tc>
          <w:tcPr>
            <w:tcW w:w="2420" w:type="dxa"/>
            <w:vAlign w:val="bottom"/>
          </w:tcPr>
          <w:p>
            <w:pPr>
              <w:ind w:left="60"/>
              <w:spacing w:after="0" w:line="202" w:lineRule="exact"/>
              <w:rPr>
                <w:sz w:val="20"/>
                <w:szCs w:val="20"/>
                <w:color w:val="auto"/>
              </w:rPr>
            </w:pPr>
            <w:r>
              <w:rPr>
                <w:rFonts w:ascii="Arial" w:cs="Arial" w:eastAsia="Arial" w:hAnsi="Arial"/>
                <w:sz w:val="18"/>
                <w:szCs w:val="18"/>
                <w:b w:val="1"/>
                <w:bCs w:val="1"/>
                <w:color w:val="auto"/>
              </w:rPr>
              <w:t>TIME:</w:t>
            </w:r>
          </w:p>
        </w:tc>
        <w:tc>
          <w:tcPr>
            <w:tcW w:w="8600" w:type="dxa"/>
            <w:vAlign w:val="bottom"/>
          </w:tcPr>
          <w:p>
            <w:pPr>
              <w:ind w:left="540"/>
              <w:spacing w:after="0" w:line="202" w:lineRule="exact"/>
              <w:rPr>
                <w:sz w:val="20"/>
                <w:szCs w:val="20"/>
                <w:color w:val="auto"/>
              </w:rPr>
            </w:pPr>
            <w:r>
              <w:rPr>
                <w:rFonts w:ascii="Arial" w:cs="Arial" w:eastAsia="Arial" w:hAnsi="Arial"/>
                <w:sz w:val="18"/>
                <w:szCs w:val="18"/>
                <w:color w:val="auto"/>
              </w:rPr>
              <w:t>10:00 a.m. local time</w:t>
            </w:r>
          </w:p>
        </w:tc>
      </w:tr>
      <w:tr>
        <w:trPr>
          <w:trHeight w:val="203"/>
        </w:trPr>
        <w:tc>
          <w:tcPr>
            <w:tcW w:w="20" w:type="dxa"/>
            <w:vAlign w:val="bottom"/>
          </w:tcPr>
          <w:p>
            <w:pPr>
              <w:spacing w:after="0"/>
              <w:rPr>
                <w:sz w:val="17"/>
                <w:szCs w:val="17"/>
                <w:color w:val="auto"/>
              </w:rPr>
            </w:pPr>
          </w:p>
        </w:tc>
        <w:tc>
          <w:tcPr>
            <w:tcW w:w="2420" w:type="dxa"/>
            <w:vAlign w:val="bottom"/>
          </w:tcPr>
          <w:p>
            <w:pPr>
              <w:ind w:left="60"/>
              <w:spacing w:after="0" w:line="202" w:lineRule="exact"/>
              <w:rPr>
                <w:sz w:val="20"/>
                <w:szCs w:val="20"/>
                <w:color w:val="auto"/>
              </w:rPr>
            </w:pPr>
            <w:r>
              <w:rPr>
                <w:rFonts w:ascii="Arial" w:cs="Arial" w:eastAsia="Arial" w:hAnsi="Arial"/>
                <w:sz w:val="18"/>
                <w:szCs w:val="18"/>
                <w:b w:val="1"/>
                <w:bCs w:val="1"/>
                <w:color w:val="auto"/>
              </w:rPr>
              <w:t>PLACE:</w:t>
            </w:r>
          </w:p>
        </w:tc>
        <w:tc>
          <w:tcPr>
            <w:tcW w:w="8600" w:type="dxa"/>
            <w:vAlign w:val="bottom"/>
          </w:tcPr>
          <w:p>
            <w:pPr>
              <w:ind w:left="540"/>
              <w:spacing w:after="0" w:line="202" w:lineRule="exact"/>
              <w:rPr>
                <w:sz w:val="20"/>
                <w:szCs w:val="20"/>
                <w:color w:val="auto"/>
              </w:rPr>
            </w:pPr>
            <w:r>
              <w:rPr>
                <w:rFonts w:ascii="Arial" w:cs="Arial" w:eastAsia="Arial" w:hAnsi="Arial"/>
                <w:sz w:val="18"/>
                <w:szCs w:val="18"/>
                <w:color w:val="auto"/>
              </w:rPr>
              <w:t>AMP by Strathmore, 11810 Grand Park Avenue, North Bethesda, Maryland</w:t>
            </w:r>
          </w:p>
        </w:tc>
      </w:tr>
      <w:tr>
        <w:trPr>
          <w:trHeight w:val="225"/>
        </w:trPr>
        <w:tc>
          <w:tcPr>
            <w:tcW w:w="20" w:type="dxa"/>
            <w:vAlign w:val="bottom"/>
          </w:tcPr>
          <w:p>
            <w:pPr>
              <w:spacing w:after="0"/>
              <w:rPr>
                <w:sz w:val="19"/>
                <w:szCs w:val="19"/>
                <w:color w:val="auto"/>
              </w:rPr>
            </w:pPr>
          </w:p>
        </w:tc>
        <w:tc>
          <w:tcPr>
            <w:tcW w:w="24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RECORD DATE:</w:t>
            </w:r>
          </w:p>
        </w:tc>
        <w:tc>
          <w:tcPr>
            <w:tcW w:w="86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March 14, 2019</w:t>
            </w:r>
          </w:p>
        </w:tc>
      </w:tr>
      <w:tr>
        <w:trPr>
          <w:trHeight w:val="196"/>
        </w:trPr>
        <w:tc>
          <w:tcPr>
            <w:tcW w:w="20" w:type="dxa"/>
            <w:vAlign w:val="bottom"/>
          </w:tcPr>
          <w:p>
            <w:pPr>
              <w:spacing w:after="0"/>
              <w:rPr>
                <w:sz w:val="17"/>
                <w:szCs w:val="17"/>
                <w:color w:val="auto"/>
              </w:rPr>
            </w:pPr>
          </w:p>
        </w:tc>
        <w:tc>
          <w:tcPr>
            <w:tcW w:w="2420" w:type="dxa"/>
            <w:vAlign w:val="bottom"/>
            <w:tcBorders>
              <w:bottom w:val="single" w:sz="8" w:color="auto"/>
            </w:tcBorders>
          </w:tcPr>
          <w:p>
            <w:pPr>
              <w:spacing w:after="0"/>
              <w:rPr>
                <w:sz w:val="17"/>
                <w:szCs w:val="17"/>
                <w:color w:val="auto"/>
              </w:rPr>
            </w:pPr>
          </w:p>
        </w:tc>
        <w:tc>
          <w:tcPr>
            <w:tcW w:w="8600" w:type="dxa"/>
            <w:vAlign w:val="bottom"/>
            <w:tcBorders>
              <w:bottom w:val="single" w:sz="8" w:color="auto"/>
            </w:tcBorders>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2420" w:type="dxa"/>
            <w:vAlign w:val="bottom"/>
          </w:tcPr>
          <w:p>
            <w:pPr>
              <w:ind w:left="60"/>
              <w:spacing w:after="0" w:line="195" w:lineRule="exact"/>
              <w:rPr>
                <w:sz w:val="20"/>
                <w:szCs w:val="20"/>
                <w:color w:val="auto"/>
              </w:rPr>
            </w:pPr>
            <w:r>
              <w:rPr>
                <w:rFonts w:ascii="Arial" w:cs="Arial" w:eastAsia="Arial" w:hAnsi="Arial"/>
                <w:sz w:val="18"/>
                <w:szCs w:val="18"/>
                <w:b w:val="1"/>
                <w:bCs w:val="1"/>
                <w:color w:val="auto"/>
              </w:rPr>
              <w:t>ITEMS OF BUSINESS</w:t>
            </w:r>
          </w:p>
        </w:tc>
        <w:tc>
          <w:tcPr>
            <w:tcW w:w="8600" w:type="dxa"/>
            <w:vAlign w:val="bottom"/>
          </w:tcPr>
          <w:p>
            <w:pPr>
              <w:ind w:left="540"/>
              <w:spacing w:after="0" w:line="195" w:lineRule="exact"/>
              <w:rPr>
                <w:sz w:val="20"/>
                <w:szCs w:val="20"/>
                <w:color w:val="auto"/>
              </w:rPr>
            </w:pPr>
            <w:r>
              <w:rPr>
                <w:rFonts w:ascii="Arial" w:cs="Arial" w:eastAsia="Arial" w:hAnsi="Arial"/>
                <w:sz w:val="18"/>
                <w:szCs w:val="18"/>
                <w:color w:val="auto"/>
              </w:rPr>
              <w:t>•  Election of 8 Trustees to serve until our 2020 Annual Meeting of Shareholders</w:t>
            </w:r>
          </w:p>
        </w:tc>
      </w:tr>
      <w:tr>
        <w:trPr>
          <w:trHeight w:val="203"/>
        </w:trPr>
        <w:tc>
          <w:tcPr>
            <w:tcW w:w="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8600" w:type="dxa"/>
            <w:vAlign w:val="bottom"/>
          </w:tcPr>
          <w:p>
            <w:pPr>
              <w:ind w:left="540"/>
              <w:spacing w:after="0" w:line="202" w:lineRule="exact"/>
              <w:rPr>
                <w:sz w:val="20"/>
                <w:szCs w:val="20"/>
                <w:color w:val="auto"/>
              </w:rPr>
            </w:pPr>
            <w:r>
              <w:rPr>
                <w:rFonts w:ascii="Arial" w:cs="Arial" w:eastAsia="Arial" w:hAnsi="Arial"/>
                <w:sz w:val="18"/>
                <w:szCs w:val="18"/>
                <w:color w:val="auto"/>
              </w:rPr>
              <w:t>•  Advisory vote approving the compensation of our named executive officers</w:t>
            </w:r>
          </w:p>
        </w:tc>
      </w:tr>
      <w:tr>
        <w:trPr>
          <w:trHeight w:val="203"/>
        </w:trPr>
        <w:tc>
          <w:tcPr>
            <w:tcW w:w="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8600" w:type="dxa"/>
            <w:vAlign w:val="bottom"/>
          </w:tcPr>
          <w:p>
            <w:pPr>
              <w:ind w:left="540"/>
              <w:spacing w:after="0" w:line="202" w:lineRule="exact"/>
              <w:rPr>
                <w:sz w:val="20"/>
                <w:szCs w:val="20"/>
                <w:color w:val="auto"/>
              </w:rPr>
            </w:pPr>
            <w:r>
              <w:rPr>
                <w:rFonts w:ascii="Arial" w:cs="Arial" w:eastAsia="Arial" w:hAnsi="Arial"/>
                <w:sz w:val="18"/>
                <w:szCs w:val="18"/>
                <w:color w:val="auto"/>
              </w:rPr>
              <w:t>•   Ratification of the appointment of Grant Thornton LLP as our independent registered public</w:t>
            </w:r>
          </w:p>
        </w:tc>
      </w:tr>
      <w:tr>
        <w:trPr>
          <w:trHeight w:val="203"/>
        </w:trPr>
        <w:tc>
          <w:tcPr>
            <w:tcW w:w="20" w:type="dxa"/>
            <w:vAlign w:val="bottom"/>
          </w:tcPr>
          <w:p>
            <w:pPr>
              <w:spacing w:after="0"/>
              <w:rPr>
                <w:sz w:val="17"/>
                <w:szCs w:val="17"/>
                <w:color w:val="auto"/>
              </w:rPr>
            </w:pPr>
          </w:p>
        </w:tc>
        <w:tc>
          <w:tcPr>
            <w:tcW w:w="2420" w:type="dxa"/>
            <w:vAlign w:val="bottom"/>
            <w:tcBorders>
              <w:bottom w:val="single" w:sz="8" w:color="auto"/>
            </w:tcBorders>
          </w:tcPr>
          <w:p>
            <w:pPr>
              <w:spacing w:after="0"/>
              <w:rPr>
                <w:sz w:val="17"/>
                <w:szCs w:val="17"/>
                <w:color w:val="auto"/>
              </w:rPr>
            </w:pPr>
          </w:p>
        </w:tc>
        <w:tc>
          <w:tcPr>
            <w:tcW w:w="8600" w:type="dxa"/>
            <w:vAlign w:val="bottom"/>
            <w:tcBorders>
              <w:bottom w:val="single" w:sz="8" w:color="auto"/>
            </w:tcBorders>
          </w:tcPr>
          <w:p>
            <w:pPr>
              <w:ind w:left="820"/>
              <w:spacing w:after="0" w:line="203" w:lineRule="exact"/>
              <w:rPr>
                <w:sz w:val="20"/>
                <w:szCs w:val="20"/>
                <w:color w:val="auto"/>
              </w:rPr>
            </w:pPr>
            <w:r>
              <w:rPr>
                <w:rFonts w:ascii="Arial" w:cs="Arial" w:eastAsia="Arial" w:hAnsi="Arial"/>
                <w:sz w:val="18"/>
                <w:szCs w:val="18"/>
                <w:color w:val="auto"/>
              </w:rPr>
              <w:t>accounting firm for the fiscal year ending December 31, 2019</w:t>
            </w: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 the Trustees: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969010" cy="2832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69010" cy="28321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Dawn M. Becker</w:t>
      </w:r>
    </w:p>
    <w:p>
      <w:pPr>
        <w:ind w:left="200"/>
        <w:spacing w:after="0" w:line="234" w:lineRule="auto"/>
        <w:rPr>
          <w:sz w:val="20"/>
          <w:szCs w:val="20"/>
          <w:color w:val="auto"/>
        </w:rPr>
      </w:pPr>
      <w:r>
        <w:rPr>
          <w:rFonts w:ascii="Arial" w:cs="Arial" w:eastAsia="Arial" w:hAnsi="Arial"/>
          <w:sz w:val="18"/>
          <w:szCs w:val="18"/>
          <w:i w:val="1"/>
          <w:iCs w:val="1"/>
          <w:color w:val="auto"/>
        </w:rPr>
        <w:t>Executive Vice President—General Counsel and Secretary</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March 22, 2019</w:t>
      </w:r>
    </w:p>
    <w:p>
      <w:pPr>
        <w:spacing w:after="0" w:line="290"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59690</wp:posOffset>
            </wp:positionV>
            <wp:extent cx="6997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76" w:lineRule="exact"/>
        <w:rPr>
          <w:sz w:val="20"/>
          <w:szCs w:val="20"/>
          <w:color w:val="auto"/>
        </w:rPr>
      </w:pPr>
    </w:p>
    <w:p>
      <w:pPr>
        <w:jc w:val="both"/>
        <w:ind w:left="200" w:right="20"/>
        <w:spacing w:after="0"/>
        <w:rPr>
          <w:sz w:val="20"/>
          <w:szCs w:val="20"/>
          <w:color w:val="auto"/>
        </w:rPr>
      </w:pPr>
      <w:r>
        <w:rPr>
          <w:rFonts w:ascii="Arial" w:cs="Arial" w:eastAsia="Arial" w:hAnsi="Arial"/>
          <w:sz w:val="18"/>
          <w:szCs w:val="18"/>
          <w:color w:val="auto"/>
        </w:rPr>
        <w:t>Your vote is important to us. You are eligible to vote and receive notice of the meeting if you were a registered owner of record of our common shares of beneficial interest (“Shares”) at the close of business on the March 14, 2019 record date. A majority of the Shares entitled to vote at the Annual Meeting must be present in person or by proxy for us to proceed with the Annual Meeting.</w:t>
      </w:r>
    </w:p>
    <w:p>
      <w:pPr>
        <w:spacing w:after="0" w:line="162" w:lineRule="exact"/>
        <w:rPr>
          <w:sz w:val="20"/>
          <w:szCs w:val="20"/>
          <w:color w:val="auto"/>
        </w:rPr>
      </w:pPr>
    </w:p>
    <w:p>
      <w:pPr>
        <w:jc w:val="both"/>
        <w:ind w:left="200" w:right="20"/>
        <w:spacing w:after="0" w:line="246" w:lineRule="auto"/>
        <w:rPr>
          <w:sz w:val="20"/>
          <w:szCs w:val="20"/>
          <w:color w:val="auto"/>
        </w:rPr>
      </w:pPr>
      <w:r>
        <w:rPr>
          <w:rFonts w:ascii="Arial" w:cs="Arial" w:eastAsia="Arial" w:hAnsi="Arial"/>
          <w:sz w:val="18"/>
          <w:szCs w:val="18"/>
          <w:color w:val="auto"/>
        </w:rPr>
        <w:t>If you own your Shares directly with our transfer agent, American Stock Transfer and Trust, LLC, you are a registered shareholder and can vote either in person at the Annual Meeting or by proxy without attending the Annual Meeting through one of the following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185420</wp:posOffset>
            </wp:positionV>
            <wp:extent cx="531495" cy="5746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31495" cy="574675"/>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133985</wp:posOffset>
            </wp:positionV>
            <wp:extent cx="643255" cy="6261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3255" cy="626110"/>
                    </a:xfrm>
                    <a:prstGeom prst="rect">
                      <a:avLst/>
                    </a:prstGeom>
                    <a:noFill/>
                  </pic:spPr>
                </pic:pic>
              </a:graphicData>
            </a:graphic>
          </wp:anchor>
        </w:drawing>
        <w:drawing>
          <wp:anchor simplePos="0" relativeHeight="251657728" behindDoc="1" locked="0" layoutInCell="0" allowOverlap="1">
            <wp:simplePos x="0" y="0"/>
            <wp:positionH relativeFrom="column">
              <wp:posOffset>5734050</wp:posOffset>
            </wp:positionH>
            <wp:positionV relativeFrom="paragraph">
              <wp:posOffset>125730</wp:posOffset>
            </wp:positionV>
            <wp:extent cx="480060" cy="6343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80060" cy="63436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left="200"/>
        <w:spacing w:after="0" w:line="247" w:lineRule="auto"/>
        <w:rPr>
          <w:sz w:val="20"/>
          <w:szCs w:val="20"/>
          <w:color w:val="auto"/>
        </w:rPr>
      </w:pPr>
      <w:r>
        <w:rPr>
          <w:rFonts w:ascii="Arial" w:cs="Arial" w:eastAsia="Arial" w:hAnsi="Arial"/>
          <w:sz w:val="14"/>
          <w:szCs w:val="14"/>
          <w:color w:val="auto"/>
        </w:rPr>
        <w:t xml:space="preserve">Visit </w:t>
      </w:r>
      <w:r>
        <w:rPr>
          <w:rFonts w:ascii="Arial" w:cs="Arial" w:eastAsia="Arial" w:hAnsi="Arial"/>
          <w:sz w:val="14"/>
          <w:szCs w:val="14"/>
          <w:u w:val="single" w:color="auto"/>
          <w:color w:val="auto"/>
        </w:rPr>
        <w:t>www.voteproxy.com</w:t>
      </w:r>
      <w:r>
        <w:rPr>
          <w:rFonts w:ascii="Arial" w:cs="Arial" w:eastAsia="Arial" w:hAnsi="Arial"/>
          <w:sz w:val="14"/>
          <w:szCs w:val="14"/>
          <w:color w:val="auto"/>
        </w:rPr>
        <w:t>. You will need the control number on your Notice of Internet Availability, proxy card or voting instruction form. Votes must be submitted by 11:59 pm EDT on April 30, 2019 to be counted for the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45" w:lineRule="auto"/>
        <w:rPr>
          <w:sz w:val="20"/>
          <w:szCs w:val="20"/>
          <w:color w:val="auto"/>
        </w:rPr>
      </w:pPr>
      <w:r>
        <w:rPr>
          <w:rFonts w:ascii="Arial" w:cs="Arial" w:eastAsia="Arial" w:hAnsi="Arial"/>
          <w:sz w:val="14"/>
          <w:szCs w:val="14"/>
          <w:color w:val="auto"/>
        </w:rPr>
        <w:t>Call 1-800-Proxies (1-800-776-9437). You will need the control number on your Notice of Internet Availability, proxy card or voting instruction form. Votes must be submitted by 11:59 pm EDT on April 30, 2019 to be counted for the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You can vote my marking, signing and dating your proxy card.</w:t>
      </w:r>
    </w:p>
    <w:p>
      <w:pPr>
        <w:spacing w:after="0" w:line="647" w:lineRule="exact"/>
        <w:rPr>
          <w:sz w:val="20"/>
          <w:szCs w:val="20"/>
          <w:color w:val="auto"/>
        </w:rPr>
      </w:pPr>
    </w:p>
    <w:p>
      <w:pPr>
        <w:sectPr>
          <w:pgSz w:w="11900" w:h="16838" w:orient="portrait"/>
          <w:cols w:equalWidth="0" w:num="3">
            <w:col w:w="4060" w:space="120"/>
            <w:col w:w="3300" w:space="120"/>
            <w:col w:w="3640"/>
          </w:cols>
          <w:pgMar w:left="240" w:top="459" w:right="419" w:bottom="1440" w:gutter="0" w:footer="0" w:header="0"/>
          <w:type w:val="continuous"/>
        </w:sectPr>
      </w:pPr>
    </w:p>
    <w:p>
      <w:pPr>
        <w:jc w:val="both"/>
        <w:ind w:left="200" w:right="20"/>
        <w:spacing w:after="0" w:line="246" w:lineRule="auto"/>
        <w:rPr>
          <w:sz w:val="20"/>
          <w:szCs w:val="20"/>
          <w:color w:val="auto"/>
        </w:rPr>
      </w:pPr>
      <w:r>
        <w:rPr>
          <w:rFonts w:ascii="Arial" w:cs="Arial" w:eastAsia="Arial" w:hAnsi="Arial"/>
          <w:sz w:val="18"/>
          <w:szCs w:val="18"/>
          <w:color w:val="auto"/>
        </w:rPr>
        <w:t>You may revoke your proxy at any time before it is voted at the Annual Meeting by notifying the secretary in writing, submitting a proxy dated later than your original proxy, or attending the Annual Meeting and voting in person.</w:t>
      </w:r>
    </w:p>
    <w:p>
      <w:pPr>
        <w:spacing w:after="0" w:line="148" w:lineRule="exact"/>
        <w:rPr>
          <w:sz w:val="20"/>
          <w:szCs w:val="20"/>
          <w:color w:val="auto"/>
        </w:rPr>
      </w:pPr>
    </w:p>
    <w:p>
      <w:pPr>
        <w:jc w:val="both"/>
        <w:ind w:left="200" w:right="20"/>
        <w:spacing w:after="0" w:line="253"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OUR ANNUAL MEETING. </w:t>
      </w:r>
      <w:r>
        <w:rPr>
          <w:rFonts w:ascii="Arial" w:cs="Arial" w:eastAsia="Arial" w:hAnsi="Arial"/>
          <w:sz w:val="18"/>
          <w:szCs w:val="18"/>
          <w:color w:val="auto"/>
        </w:rPr>
        <w:t>Our 2019 Proxy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Statement and 2018 Annual Report to Shareholders, which includes our Annual Report on Form 10-K for the year ended December 31, 2018, are available at </w:t>
      </w:r>
      <w:r>
        <w:rPr>
          <w:rFonts w:ascii="Arial" w:cs="Arial" w:eastAsia="Arial" w:hAnsi="Arial"/>
          <w:sz w:val="18"/>
          <w:szCs w:val="18"/>
          <w:u w:val="single" w:color="auto"/>
          <w:color w:val="auto"/>
        </w:rPr>
        <w:t>www.federalrealty.com</w:t>
      </w:r>
      <w:r>
        <w:rPr>
          <w:rFonts w:ascii="Arial" w:cs="Arial" w:eastAsia="Arial" w:hAnsi="Arial"/>
          <w:sz w:val="18"/>
          <w:szCs w:val="18"/>
          <w:color w:val="auto"/>
        </w:rPr>
        <w:t>.</w:t>
      </w:r>
    </w:p>
    <w:p>
      <w:pPr>
        <w:sectPr>
          <w:pgSz w:w="11900" w:h="16838" w:orient="portrait"/>
          <w:cols w:equalWidth="0" w:num="1">
            <w:col w:w="11240"/>
          </w:cols>
          <w:pgMar w:left="240" w:top="459" w:right="41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4" w:lineRule="exact"/>
        <w:rPr>
          <w:sz w:val="20"/>
          <w:szCs w:val="20"/>
          <w:color w:val="auto"/>
        </w:rPr>
      </w:pPr>
    </w:p>
    <w:p>
      <w:pPr>
        <w:ind w:left="200"/>
        <w:spacing w:after="0"/>
        <w:rPr>
          <w:sz w:val="20"/>
          <w:szCs w:val="20"/>
          <w:color w:val="auto"/>
        </w:rPr>
      </w:pPr>
      <w:r>
        <w:rPr>
          <w:rFonts w:ascii="Arial" w:cs="Arial" w:eastAsia="Arial" w:hAnsi="Arial"/>
          <w:sz w:val="29"/>
          <w:szCs w:val="29"/>
          <w:b w:val="1"/>
          <w:bCs w:val="1"/>
          <w:color w:val="auto"/>
        </w:rPr>
        <w:t>TABLE OF CONTENTS</w:t>
      </w:r>
    </w:p>
    <w:p>
      <w:pPr>
        <w:spacing w:after="0" w:line="260" w:lineRule="exact"/>
        <w:rPr>
          <w:sz w:val="20"/>
          <w:szCs w:val="20"/>
          <w:color w:val="auto"/>
        </w:rPr>
      </w:pPr>
    </w:p>
    <w:tbl>
      <w:tblPr>
        <w:tblLayout w:type="fixed"/>
        <w:tblInd w:w="680" w:type="dxa"/>
        <w:tblCellMar>
          <w:top w:w="0" w:type="dxa"/>
          <w:left w:w="0" w:type="dxa"/>
          <w:bottom w:w="0" w:type="dxa"/>
          <w:right w:w="0" w:type="dxa"/>
        </w:tblCellMar>
      </w:tblPr>
      <w:tr>
        <w:trPr>
          <w:trHeight w:val="244"/>
        </w:trPr>
        <w:tc>
          <w:tcPr>
            <w:tcW w:w="1860" w:type="dxa"/>
            <w:vAlign w:val="bottom"/>
            <w:vMerge w:val="restart"/>
          </w:tcPr>
          <w:p>
            <w:pPr>
              <w:spacing w:after="0"/>
              <w:rPr>
                <w:rFonts w:ascii="Arial" w:cs="Arial" w:eastAsia="Arial" w:hAnsi="Arial"/>
                <w:sz w:val="20"/>
                <w:szCs w:val="20"/>
                <w:color w:val="0000EE"/>
                <w:w w:val="97"/>
              </w:rPr>
            </w:pPr>
            <w:hyperlink w:anchor="page7">
              <w:r>
                <w:rPr>
                  <w:rFonts w:ascii="Arial" w:cs="Arial" w:eastAsia="Arial" w:hAnsi="Arial"/>
                  <w:sz w:val="20"/>
                  <w:szCs w:val="20"/>
                  <w:color w:val="0000EE"/>
                  <w:w w:val="97"/>
                </w:rPr>
                <w:t>About Federal Realty</w:t>
              </w:r>
            </w:hyperlink>
          </w:p>
        </w:tc>
        <w:tc>
          <w:tcPr>
            <w:tcW w:w="2460" w:type="dxa"/>
            <w:vAlign w:val="bottom"/>
            <w:gridSpan w:val="2"/>
            <w:vMerge w:val="restart"/>
          </w:tcPr>
          <w:p>
            <w:pPr>
              <w:spacing w:after="0"/>
              <w:rPr>
                <w:sz w:val="21"/>
                <w:szCs w:val="21"/>
                <w:color w:val="auto"/>
              </w:rPr>
            </w:pPr>
          </w:p>
        </w:tc>
        <w:tc>
          <w:tcPr>
            <w:tcW w:w="6160" w:type="dxa"/>
            <w:vAlign w:val="bottom"/>
            <w:gridSpan w:val="2"/>
          </w:tcPr>
          <w:p>
            <w:pPr>
              <w:jc w:val="right"/>
              <w:spacing w:after="0"/>
              <w:rPr>
                <w:sz w:val="20"/>
                <w:szCs w:val="20"/>
                <w:color w:val="auto"/>
              </w:rPr>
            </w:pPr>
            <w:r>
              <w:rPr>
                <w:rFonts w:ascii="Arial" w:cs="Arial" w:eastAsia="Arial" w:hAnsi="Arial"/>
                <w:sz w:val="20"/>
                <w:szCs w:val="20"/>
                <w:b w:val="1"/>
                <w:bCs w:val="1"/>
                <w:color w:val="1F2A44"/>
              </w:rPr>
              <w:t>Page</w:t>
            </w:r>
          </w:p>
        </w:tc>
        <w:tc>
          <w:tcPr>
            <w:tcW w:w="0" w:type="dxa"/>
            <w:vAlign w:val="bottom"/>
          </w:tcPr>
          <w:p>
            <w:pPr>
              <w:spacing w:after="0"/>
              <w:rPr>
                <w:sz w:val="1"/>
                <w:szCs w:val="1"/>
                <w:color w:val="auto"/>
              </w:rPr>
            </w:pPr>
          </w:p>
        </w:tc>
      </w:tr>
      <w:tr>
        <w:trPr>
          <w:trHeight w:val="174"/>
        </w:trPr>
        <w:tc>
          <w:tcPr>
            <w:tcW w:w="1860" w:type="dxa"/>
            <w:vAlign w:val="bottom"/>
            <w:tcBorders>
              <w:bottom w:val="single" w:sz="8" w:color="0000EE"/>
            </w:tcBorders>
            <w:vMerge w:val="continue"/>
          </w:tcPr>
          <w:p>
            <w:pPr>
              <w:spacing w:after="0"/>
              <w:rPr>
                <w:sz w:val="14"/>
                <w:szCs w:val="14"/>
                <w:color w:val="auto"/>
              </w:rPr>
            </w:pPr>
          </w:p>
        </w:tc>
        <w:tc>
          <w:tcPr>
            <w:tcW w:w="2460" w:type="dxa"/>
            <w:vAlign w:val="bottom"/>
            <w:gridSpan w:val="2"/>
            <w:vMerge w:val="continue"/>
          </w:tcPr>
          <w:p>
            <w:pPr>
              <w:spacing w:after="0"/>
              <w:rPr>
                <w:sz w:val="14"/>
                <w:szCs w:val="14"/>
                <w:color w:val="auto"/>
              </w:rPr>
            </w:pPr>
          </w:p>
        </w:tc>
        <w:tc>
          <w:tcPr>
            <w:tcW w:w="5680" w:type="dxa"/>
            <w:vAlign w:val="bottom"/>
          </w:tcPr>
          <w:p>
            <w:pPr>
              <w:spacing w:after="0"/>
              <w:rPr>
                <w:sz w:val="14"/>
                <w:szCs w:val="14"/>
                <w:color w:val="auto"/>
              </w:rPr>
            </w:pPr>
          </w:p>
        </w:tc>
        <w:tc>
          <w:tcPr>
            <w:tcW w:w="48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420" w:type="dxa"/>
            <w:vAlign w:val="bottom"/>
            <w:tcBorders>
              <w:bottom w:val="single" w:sz="8" w:color="0000EE"/>
            </w:tcBorders>
            <w:gridSpan w:val="2"/>
          </w:tcPr>
          <w:p>
            <w:pPr>
              <w:spacing w:after="0" w:line="209" w:lineRule="exact"/>
              <w:rPr>
                <w:rFonts w:ascii="Arial" w:cs="Arial" w:eastAsia="Arial" w:hAnsi="Arial"/>
                <w:sz w:val="20"/>
                <w:szCs w:val="20"/>
                <w:color w:val="0000EE"/>
                <w:w w:val="98"/>
              </w:rPr>
            </w:pPr>
            <w:hyperlink w:anchor="page7">
              <w:r>
                <w:rPr>
                  <w:rFonts w:ascii="Arial" w:cs="Arial" w:eastAsia="Arial" w:hAnsi="Arial"/>
                  <w:sz w:val="20"/>
                  <w:szCs w:val="20"/>
                  <w:color w:val="0000EE"/>
                  <w:w w:val="98"/>
                </w:rPr>
                <w:t>Annual Meeting Information</w:t>
              </w:r>
            </w:hyperlink>
          </w:p>
        </w:tc>
        <w:tc>
          <w:tcPr>
            <w:tcW w:w="1900" w:type="dxa"/>
            <w:vAlign w:val="bottom"/>
          </w:tcPr>
          <w:p>
            <w:pPr>
              <w:spacing w:after="0"/>
              <w:rPr>
                <w:sz w:val="18"/>
                <w:szCs w:val="18"/>
                <w:color w:val="auto"/>
              </w:rPr>
            </w:pPr>
          </w:p>
        </w:tc>
        <w:tc>
          <w:tcPr>
            <w:tcW w:w="6160" w:type="dxa"/>
            <w:vAlign w:val="bottom"/>
            <w:gridSpan w:val="2"/>
          </w:tcPr>
          <w:p>
            <w:pPr>
              <w:jc w:val="right"/>
              <w:spacing w:after="0" w:line="209" w:lineRule="exact"/>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196"/>
        </w:trPr>
        <w:tc>
          <w:tcPr>
            <w:tcW w:w="4320" w:type="dxa"/>
            <w:vAlign w:val="bottom"/>
            <w:tcBorders>
              <w:bottom w:val="single" w:sz="8" w:color="0000EE"/>
            </w:tcBorders>
            <w:gridSpan w:val="3"/>
          </w:tcPr>
          <w:p>
            <w:pPr>
              <w:spacing w:after="0" w:line="196" w:lineRule="exact"/>
              <w:rPr>
                <w:rFonts w:ascii="Arial" w:cs="Arial" w:eastAsia="Arial" w:hAnsi="Arial"/>
                <w:sz w:val="20"/>
                <w:szCs w:val="20"/>
                <w:color w:val="0000EE"/>
                <w:w w:val="98"/>
              </w:rPr>
            </w:pPr>
            <w:hyperlink w:anchor="page7">
              <w:r>
                <w:rPr>
                  <w:rFonts w:ascii="Arial" w:cs="Arial" w:eastAsia="Arial" w:hAnsi="Arial"/>
                  <w:sz w:val="20"/>
                  <w:szCs w:val="20"/>
                  <w:color w:val="0000EE"/>
                  <w:w w:val="98"/>
                </w:rPr>
                <w:t>Notice of Electronic Availability of Proxy Materials</w:t>
              </w:r>
            </w:hyperlink>
          </w:p>
        </w:tc>
        <w:tc>
          <w:tcPr>
            <w:tcW w:w="6160" w:type="dxa"/>
            <w:vAlign w:val="bottom"/>
            <w:gridSpan w:val="2"/>
          </w:tcPr>
          <w:p>
            <w:pPr>
              <w:jc w:val="right"/>
              <w:spacing w:after="0" w:line="196" w:lineRule="exact"/>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bl>
    <w:p>
      <w:pPr>
        <w:spacing w:after="0" w:line="230" w:lineRule="exact"/>
        <w:rPr>
          <w:sz w:val="20"/>
          <w:szCs w:val="20"/>
          <w:color w:val="auto"/>
        </w:rPr>
      </w:pPr>
    </w:p>
    <w:tbl>
      <w:tblPr>
        <w:tblLayout w:type="fixed"/>
        <w:tblInd w:w="220" w:type="dxa"/>
        <w:tblCellMar>
          <w:top w:w="0" w:type="dxa"/>
          <w:left w:w="0" w:type="dxa"/>
          <w:bottom w:w="0" w:type="dxa"/>
          <w:right w:w="0" w:type="dxa"/>
        </w:tblCellMar>
      </w:tblPr>
      <w:tr>
        <w:trPr>
          <w:trHeight w:val="311"/>
        </w:trPr>
        <w:tc>
          <w:tcPr>
            <w:tcW w:w="10040" w:type="dxa"/>
            <w:vAlign w:val="bottom"/>
            <w:gridSpan w:val="13"/>
            <w:shd w:val="clear" w:color="auto" w:fill="1F2A44"/>
          </w:tcPr>
          <w:p>
            <w:pPr>
              <w:ind w:left="60"/>
              <w:spacing w:after="0"/>
              <w:rPr>
                <w:rFonts w:ascii="Arial" w:cs="Arial" w:eastAsia="Arial" w:hAnsi="Arial"/>
                <w:sz w:val="20"/>
                <w:szCs w:val="20"/>
                <w:b w:val="1"/>
                <w:bCs w:val="1"/>
                <w:color w:val="FFFFFF"/>
              </w:rPr>
            </w:pPr>
            <w:hyperlink w:anchor="page8">
              <w:r>
                <w:rPr>
                  <w:rFonts w:ascii="Arial" w:cs="Arial" w:eastAsia="Arial" w:hAnsi="Arial"/>
                  <w:sz w:val="20"/>
                  <w:szCs w:val="20"/>
                  <w:b w:val="1"/>
                  <w:bCs w:val="1"/>
                  <w:color w:val="FFFFFF"/>
                </w:rPr>
                <w:t>Corporate Governance Information</w:t>
              </w:r>
            </w:hyperlink>
          </w:p>
        </w:tc>
        <w:tc>
          <w:tcPr>
            <w:tcW w:w="980" w:type="dxa"/>
            <w:vAlign w:val="bottom"/>
            <w:shd w:val="clear" w:color="auto" w:fill="1F2A44"/>
          </w:tcPr>
          <w:p>
            <w:pPr>
              <w:jc w:val="right"/>
              <w:ind w:right="41"/>
              <w:spacing w:after="0"/>
              <w:rPr>
                <w:sz w:val="20"/>
                <w:szCs w:val="20"/>
                <w:color w:val="auto"/>
              </w:rPr>
            </w:pPr>
            <w:r>
              <w:rPr>
                <w:rFonts w:ascii="Arial" w:cs="Arial" w:eastAsia="Arial" w:hAnsi="Arial"/>
                <w:sz w:val="20"/>
                <w:szCs w:val="20"/>
                <w:b w:val="1"/>
                <w:bCs w:val="1"/>
                <w:color w:val="FFFFFF"/>
              </w:rPr>
              <w:t>2</w:t>
            </w:r>
          </w:p>
        </w:tc>
        <w:tc>
          <w:tcPr>
            <w:tcW w:w="0" w:type="dxa"/>
            <w:vAlign w:val="bottom"/>
          </w:tcPr>
          <w:p>
            <w:pPr>
              <w:spacing w:after="0"/>
              <w:rPr>
                <w:sz w:val="1"/>
                <w:szCs w:val="1"/>
                <w:color w:val="auto"/>
              </w:rPr>
            </w:pPr>
          </w:p>
        </w:tc>
      </w:tr>
      <w:tr>
        <w:trPr>
          <w:trHeight w:val="81"/>
        </w:trPr>
        <w:tc>
          <w:tcPr>
            <w:tcW w:w="460" w:type="dxa"/>
            <w:vAlign w:val="bottom"/>
            <w:shd w:val="clear" w:color="auto" w:fill="1F2A44"/>
          </w:tcPr>
          <w:p>
            <w:pPr>
              <w:spacing w:after="0"/>
              <w:rPr>
                <w:sz w:val="7"/>
                <w:szCs w:val="7"/>
                <w:color w:val="auto"/>
              </w:rPr>
            </w:pPr>
          </w:p>
        </w:tc>
        <w:tc>
          <w:tcPr>
            <w:tcW w:w="380" w:type="dxa"/>
            <w:vAlign w:val="bottom"/>
            <w:shd w:val="clear" w:color="auto" w:fill="1F2A44"/>
          </w:tcPr>
          <w:p>
            <w:pPr>
              <w:spacing w:after="0"/>
              <w:rPr>
                <w:sz w:val="7"/>
                <w:szCs w:val="7"/>
                <w:color w:val="auto"/>
              </w:rPr>
            </w:pPr>
          </w:p>
        </w:tc>
        <w:tc>
          <w:tcPr>
            <w:tcW w:w="1000" w:type="dxa"/>
            <w:vAlign w:val="bottom"/>
            <w:shd w:val="clear" w:color="auto" w:fill="1F2A44"/>
          </w:tcPr>
          <w:p>
            <w:pPr>
              <w:spacing w:after="0"/>
              <w:rPr>
                <w:sz w:val="7"/>
                <w:szCs w:val="7"/>
                <w:color w:val="auto"/>
              </w:rPr>
            </w:pPr>
          </w:p>
        </w:tc>
        <w:tc>
          <w:tcPr>
            <w:tcW w:w="260" w:type="dxa"/>
            <w:vAlign w:val="bottom"/>
            <w:shd w:val="clear" w:color="auto" w:fill="1F2A44"/>
          </w:tcPr>
          <w:p>
            <w:pPr>
              <w:spacing w:after="0"/>
              <w:rPr>
                <w:sz w:val="7"/>
                <w:szCs w:val="7"/>
                <w:color w:val="auto"/>
              </w:rPr>
            </w:pPr>
          </w:p>
        </w:tc>
        <w:tc>
          <w:tcPr>
            <w:tcW w:w="640" w:type="dxa"/>
            <w:vAlign w:val="bottom"/>
            <w:shd w:val="clear" w:color="auto" w:fill="1F2A44"/>
          </w:tcPr>
          <w:p>
            <w:pPr>
              <w:spacing w:after="0"/>
              <w:rPr>
                <w:sz w:val="7"/>
                <w:szCs w:val="7"/>
                <w:color w:val="auto"/>
              </w:rPr>
            </w:pPr>
          </w:p>
        </w:tc>
        <w:tc>
          <w:tcPr>
            <w:tcW w:w="140" w:type="dxa"/>
            <w:vAlign w:val="bottom"/>
            <w:shd w:val="clear" w:color="auto" w:fill="1F2A44"/>
          </w:tcPr>
          <w:p>
            <w:pPr>
              <w:spacing w:after="0"/>
              <w:rPr>
                <w:sz w:val="7"/>
                <w:szCs w:val="7"/>
                <w:color w:val="auto"/>
              </w:rPr>
            </w:pPr>
          </w:p>
        </w:tc>
        <w:tc>
          <w:tcPr>
            <w:tcW w:w="60" w:type="dxa"/>
            <w:vAlign w:val="bottom"/>
            <w:shd w:val="clear" w:color="auto" w:fill="1F2A44"/>
          </w:tcPr>
          <w:p>
            <w:pPr>
              <w:spacing w:after="0"/>
              <w:rPr>
                <w:sz w:val="7"/>
                <w:szCs w:val="7"/>
                <w:color w:val="auto"/>
              </w:rPr>
            </w:pPr>
          </w:p>
        </w:tc>
        <w:tc>
          <w:tcPr>
            <w:tcW w:w="280" w:type="dxa"/>
            <w:vAlign w:val="bottom"/>
            <w:shd w:val="clear" w:color="auto" w:fill="1F2A44"/>
          </w:tcPr>
          <w:p>
            <w:pPr>
              <w:spacing w:after="0"/>
              <w:rPr>
                <w:sz w:val="7"/>
                <w:szCs w:val="7"/>
                <w:color w:val="auto"/>
              </w:rPr>
            </w:pPr>
          </w:p>
        </w:tc>
        <w:tc>
          <w:tcPr>
            <w:tcW w:w="80" w:type="dxa"/>
            <w:vAlign w:val="bottom"/>
            <w:tcBorders>
              <w:left w:val="single" w:sz="8" w:color="1F2A44"/>
            </w:tcBorders>
            <w:shd w:val="clear" w:color="auto" w:fill="1F2A44"/>
          </w:tcPr>
          <w:p>
            <w:pPr>
              <w:spacing w:after="0"/>
              <w:rPr>
                <w:sz w:val="7"/>
                <w:szCs w:val="7"/>
                <w:color w:val="auto"/>
              </w:rPr>
            </w:pPr>
          </w:p>
        </w:tc>
        <w:tc>
          <w:tcPr>
            <w:tcW w:w="40" w:type="dxa"/>
            <w:vAlign w:val="bottom"/>
            <w:shd w:val="clear" w:color="auto" w:fill="1F2A44"/>
          </w:tcPr>
          <w:p>
            <w:pPr>
              <w:spacing w:after="0"/>
              <w:rPr>
                <w:sz w:val="7"/>
                <w:szCs w:val="7"/>
                <w:color w:val="auto"/>
              </w:rPr>
            </w:pPr>
          </w:p>
        </w:tc>
        <w:tc>
          <w:tcPr>
            <w:tcW w:w="1300" w:type="dxa"/>
            <w:vAlign w:val="bottom"/>
            <w:shd w:val="clear" w:color="auto" w:fill="1F2A44"/>
          </w:tcPr>
          <w:p>
            <w:pPr>
              <w:spacing w:after="0"/>
              <w:rPr>
                <w:sz w:val="7"/>
                <w:szCs w:val="7"/>
                <w:color w:val="auto"/>
              </w:rPr>
            </w:pPr>
          </w:p>
        </w:tc>
        <w:tc>
          <w:tcPr>
            <w:tcW w:w="740" w:type="dxa"/>
            <w:vAlign w:val="bottom"/>
            <w:shd w:val="clear" w:color="auto" w:fill="1F2A44"/>
          </w:tcPr>
          <w:p>
            <w:pPr>
              <w:spacing w:after="0"/>
              <w:rPr>
                <w:sz w:val="7"/>
                <w:szCs w:val="7"/>
                <w:color w:val="auto"/>
              </w:rPr>
            </w:pPr>
          </w:p>
        </w:tc>
        <w:tc>
          <w:tcPr>
            <w:tcW w:w="4660" w:type="dxa"/>
            <w:vAlign w:val="bottom"/>
            <w:shd w:val="clear" w:color="auto" w:fill="1F2A44"/>
          </w:tcPr>
          <w:p>
            <w:pPr>
              <w:spacing w:after="0"/>
              <w:rPr>
                <w:sz w:val="7"/>
                <w:szCs w:val="7"/>
                <w:color w:val="auto"/>
              </w:rPr>
            </w:pPr>
          </w:p>
        </w:tc>
        <w:tc>
          <w:tcPr>
            <w:tcW w:w="980" w:type="dxa"/>
            <w:vAlign w:val="bottom"/>
            <w:shd w:val="clear" w:color="auto" w:fill="1F2A44"/>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460" w:type="dxa"/>
            <w:vAlign w:val="bottom"/>
          </w:tcPr>
          <w:p>
            <w:pPr>
              <w:spacing w:after="0"/>
              <w:rPr>
                <w:sz w:val="16"/>
                <w:szCs w:val="16"/>
                <w:color w:val="auto"/>
              </w:rPr>
            </w:pPr>
          </w:p>
        </w:tc>
        <w:tc>
          <w:tcPr>
            <w:tcW w:w="2880" w:type="dxa"/>
            <w:vAlign w:val="bottom"/>
            <w:tcBorders>
              <w:bottom w:val="single" w:sz="8" w:color="0000EE"/>
            </w:tcBorders>
            <w:gridSpan w:val="9"/>
          </w:tcPr>
          <w:p>
            <w:pPr>
              <w:spacing w:after="0" w:line="189" w:lineRule="exact"/>
              <w:rPr>
                <w:rFonts w:ascii="Arial" w:cs="Arial" w:eastAsia="Arial" w:hAnsi="Arial"/>
                <w:sz w:val="20"/>
                <w:szCs w:val="20"/>
                <w:color w:val="0000EE"/>
                <w:w w:val="98"/>
              </w:rPr>
            </w:pPr>
            <w:hyperlink w:anchor="page8">
              <w:r>
                <w:rPr>
                  <w:rFonts w:ascii="Arial" w:cs="Arial" w:eastAsia="Arial" w:hAnsi="Arial"/>
                  <w:sz w:val="20"/>
                  <w:szCs w:val="20"/>
                  <w:color w:val="0000EE"/>
                  <w:w w:val="98"/>
                </w:rPr>
                <w:t>Corporate Governance Practices</w:t>
              </w:r>
            </w:hyperlink>
          </w:p>
        </w:tc>
        <w:tc>
          <w:tcPr>
            <w:tcW w:w="6700" w:type="dxa"/>
            <w:vAlign w:val="bottom"/>
            <w:gridSpan w:val="3"/>
          </w:tcPr>
          <w:p>
            <w:pPr>
              <w:spacing w:after="0"/>
              <w:rPr>
                <w:sz w:val="16"/>
                <w:szCs w:val="16"/>
                <w:color w:val="auto"/>
              </w:rPr>
            </w:pPr>
          </w:p>
        </w:tc>
        <w:tc>
          <w:tcPr>
            <w:tcW w:w="980" w:type="dxa"/>
            <w:vAlign w:val="bottom"/>
          </w:tcPr>
          <w:p>
            <w:pPr>
              <w:jc w:val="right"/>
              <w:ind w:right="41"/>
              <w:spacing w:after="0" w:line="189" w:lineRule="exact"/>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420" w:type="dxa"/>
            <w:vAlign w:val="bottom"/>
            <w:tcBorders>
              <w:bottom w:val="single" w:sz="8" w:color="0000EE"/>
            </w:tcBorders>
            <w:gridSpan w:val="5"/>
          </w:tcPr>
          <w:p>
            <w:pPr>
              <w:spacing w:after="0" w:line="196" w:lineRule="exact"/>
              <w:rPr>
                <w:rFonts w:ascii="Arial" w:cs="Arial" w:eastAsia="Arial" w:hAnsi="Arial"/>
                <w:sz w:val="20"/>
                <w:szCs w:val="20"/>
                <w:color w:val="0000EE"/>
                <w:w w:val="98"/>
              </w:rPr>
            </w:pPr>
            <w:hyperlink w:anchor="page8">
              <w:r>
                <w:rPr>
                  <w:rFonts w:ascii="Arial" w:cs="Arial" w:eastAsia="Arial" w:hAnsi="Arial"/>
                  <w:sz w:val="20"/>
                  <w:szCs w:val="20"/>
                  <w:color w:val="0000EE"/>
                  <w:w w:val="98"/>
                </w:rPr>
                <w:t>Board Leadership Structure</w:t>
              </w:r>
            </w:hyperlink>
          </w:p>
        </w:tc>
        <w:tc>
          <w:tcPr>
            <w:tcW w:w="7160" w:type="dxa"/>
            <w:vAlign w:val="bottom"/>
            <w:gridSpan w:val="7"/>
          </w:tcPr>
          <w:p>
            <w:pPr>
              <w:spacing w:after="0"/>
              <w:rPr>
                <w:sz w:val="17"/>
                <w:szCs w:val="17"/>
                <w:color w:val="auto"/>
              </w:rPr>
            </w:pPr>
          </w:p>
        </w:tc>
        <w:tc>
          <w:tcPr>
            <w:tcW w:w="980" w:type="dxa"/>
            <w:vAlign w:val="bottom"/>
          </w:tcPr>
          <w:p>
            <w:pPr>
              <w:jc w:val="right"/>
              <w:ind w:right="41"/>
              <w:spacing w:after="0" w:line="196" w:lineRule="exact"/>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9580" w:type="dxa"/>
            <w:vAlign w:val="bottom"/>
            <w:gridSpan w:val="12"/>
          </w:tcPr>
          <w:p>
            <w:pPr>
              <w:spacing w:after="0" w:line="196" w:lineRule="exact"/>
              <w:rPr>
                <w:rFonts w:ascii="Arial" w:cs="Arial" w:eastAsia="Arial" w:hAnsi="Arial"/>
                <w:sz w:val="20"/>
                <w:szCs w:val="20"/>
                <w:color w:val="0000EE"/>
              </w:rPr>
            </w:pPr>
            <w:hyperlink w:anchor="page9">
              <w:r>
                <w:rPr>
                  <w:rFonts w:ascii="Arial" w:cs="Arial" w:eastAsia="Arial" w:hAnsi="Arial"/>
                  <w:sz w:val="20"/>
                  <w:szCs w:val="20"/>
                  <w:color w:val="0000EE"/>
                </w:rPr>
                <w:t>Independence of Trustees</w:t>
              </w:r>
            </w:hyperlink>
          </w:p>
        </w:tc>
        <w:tc>
          <w:tcPr>
            <w:tcW w:w="980" w:type="dxa"/>
            <w:vAlign w:val="bottom"/>
          </w:tcPr>
          <w:p>
            <w:pPr>
              <w:jc w:val="right"/>
              <w:ind w:right="41"/>
              <w:spacing w:after="0" w:line="196" w:lineRule="exact"/>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380" w:type="dxa"/>
            <w:vAlign w:val="bottom"/>
            <w:tcBorders>
              <w:top w:val="single" w:sz="8" w:color="0000EE"/>
              <w:bottom w:val="single" w:sz="8" w:color="0000EE"/>
            </w:tcBorders>
            <w:gridSpan w:val="2"/>
          </w:tcPr>
          <w:p>
            <w:pPr>
              <w:spacing w:after="0" w:line="196" w:lineRule="exact"/>
              <w:rPr>
                <w:rFonts w:ascii="Arial" w:cs="Arial" w:eastAsia="Arial" w:hAnsi="Arial"/>
                <w:sz w:val="20"/>
                <w:szCs w:val="20"/>
                <w:color w:val="0000EE"/>
                <w:w w:val="97"/>
              </w:rPr>
            </w:pPr>
            <w:hyperlink w:anchor="page9">
              <w:r>
                <w:rPr>
                  <w:rFonts w:ascii="Arial" w:cs="Arial" w:eastAsia="Arial" w:hAnsi="Arial"/>
                  <w:sz w:val="20"/>
                  <w:szCs w:val="20"/>
                  <w:color w:val="0000EE"/>
                  <w:w w:val="97"/>
                </w:rPr>
                <w:t>Board Meetings</w:t>
              </w:r>
            </w:hyperlink>
          </w:p>
        </w:tc>
        <w:tc>
          <w:tcPr>
            <w:tcW w:w="900" w:type="dxa"/>
            <w:vAlign w:val="bottom"/>
            <w:tcBorders>
              <w:top w:val="single" w:sz="8" w:color="0000EE"/>
            </w:tcBorders>
            <w:gridSpan w:val="2"/>
          </w:tcPr>
          <w:p>
            <w:pPr>
              <w:spacing w:after="0"/>
              <w:rPr>
                <w:sz w:val="17"/>
                <w:szCs w:val="17"/>
                <w:color w:val="auto"/>
              </w:rPr>
            </w:pPr>
          </w:p>
        </w:tc>
        <w:tc>
          <w:tcPr>
            <w:tcW w:w="7300" w:type="dxa"/>
            <w:vAlign w:val="bottom"/>
            <w:gridSpan w:val="8"/>
          </w:tcPr>
          <w:p>
            <w:pPr>
              <w:spacing w:after="0"/>
              <w:rPr>
                <w:sz w:val="17"/>
                <w:szCs w:val="17"/>
                <w:color w:val="auto"/>
              </w:rPr>
            </w:pPr>
          </w:p>
        </w:tc>
        <w:tc>
          <w:tcPr>
            <w:tcW w:w="980" w:type="dxa"/>
            <w:vAlign w:val="bottom"/>
          </w:tcPr>
          <w:p>
            <w:pPr>
              <w:jc w:val="right"/>
              <w:ind w:right="41"/>
              <w:spacing w:after="0" w:line="196" w:lineRule="exact"/>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640" w:type="dxa"/>
            <w:vAlign w:val="bottom"/>
            <w:tcBorders>
              <w:bottom w:val="single" w:sz="8" w:color="0000EE"/>
            </w:tcBorders>
            <w:gridSpan w:val="3"/>
          </w:tcPr>
          <w:p>
            <w:pPr>
              <w:spacing w:after="0" w:line="196" w:lineRule="exact"/>
              <w:rPr>
                <w:rFonts w:ascii="Arial" w:cs="Arial" w:eastAsia="Arial" w:hAnsi="Arial"/>
                <w:sz w:val="20"/>
                <w:szCs w:val="20"/>
                <w:color w:val="0000EE"/>
                <w:w w:val="97"/>
              </w:rPr>
            </w:pPr>
            <w:hyperlink w:anchor="page10">
              <w:r>
                <w:rPr>
                  <w:rFonts w:ascii="Arial" w:cs="Arial" w:eastAsia="Arial" w:hAnsi="Arial"/>
                  <w:sz w:val="20"/>
                  <w:szCs w:val="20"/>
                  <w:color w:val="0000EE"/>
                  <w:w w:val="97"/>
                </w:rPr>
                <w:t>Board Committees</w:t>
              </w:r>
            </w:hyperlink>
          </w:p>
        </w:tc>
        <w:tc>
          <w:tcPr>
            <w:tcW w:w="7940" w:type="dxa"/>
            <w:vAlign w:val="bottom"/>
            <w:gridSpan w:val="9"/>
          </w:tcPr>
          <w:p>
            <w:pPr>
              <w:spacing w:after="0"/>
              <w:rPr>
                <w:sz w:val="17"/>
                <w:szCs w:val="17"/>
                <w:color w:val="auto"/>
              </w:rPr>
            </w:pPr>
          </w:p>
        </w:tc>
        <w:tc>
          <w:tcPr>
            <w:tcW w:w="980" w:type="dxa"/>
            <w:vAlign w:val="bottom"/>
          </w:tcPr>
          <w:p>
            <w:pPr>
              <w:jc w:val="right"/>
              <w:ind w:right="41"/>
              <w:spacing w:after="0" w:line="196" w:lineRule="exact"/>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9580" w:type="dxa"/>
            <w:vAlign w:val="bottom"/>
            <w:gridSpan w:val="12"/>
          </w:tcPr>
          <w:p>
            <w:pPr>
              <w:spacing w:after="0" w:line="196" w:lineRule="exact"/>
              <w:rPr>
                <w:rFonts w:ascii="Arial" w:cs="Arial" w:eastAsia="Arial" w:hAnsi="Arial"/>
                <w:sz w:val="20"/>
                <w:szCs w:val="20"/>
                <w:color w:val="0000EE"/>
              </w:rPr>
            </w:pPr>
            <w:hyperlink w:anchor="page10">
              <w:r>
                <w:rPr>
                  <w:rFonts w:ascii="Arial" w:cs="Arial" w:eastAsia="Arial" w:hAnsi="Arial"/>
                  <w:sz w:val="20"/>
                  <w:szCs w:val="20"/>
                  <w:color w:val="0000EE"/>
                </w:rPr>
                <w:t>Risk Management Oversight</w:t>
              </w:r>
            </w:hyperlink>
          </w:p>
        </w:tc>
        <w:tc>
          <w:tcPr>
            <w:tcW w:w="980" w:type="dxa"/>
            <w:vAlign w:val="bottom"/>
          </w:tcPr>
          <w:p>
            <w:pPr>
              <w:jc w:val="right"/>
              <w:ind w:right="41"/>
              <w:spacing w:after="0" w:line="196" w:lineRule="exact"/>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100" w:type="dxa"/>
            <w:vAlign w:val="bottom"/>
            <w:gridSpan w:val="5"/>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980" w:type="dxa"/>
            <w:vAlign w:val="bottom"/>
            <w:vMerge w:val="restart"/>
          </w:tcPr>
          <w:p>
            <w:pPr>
              <w:jc w:val="right"/>
              <w:ind w:right="41"/>
              <w:spacing w:after="0" w:line="216" w:lineRule="exact"/>
              <w:rPr>
                <w:sz w:val="20"/>
                <w:szCs w:val="20"/>
                <w:color w:val="auto"/>
              </w:rPr>
            </w:pPr>
            <w:r>
              <w:rPr>
                <w:rFonts w:ascii="Arial" w:cs="Arial" w:eastAsia="Arial" w:hAnsi="Arial"/>
                <w:sz w:val="20"/>
                <w:szCs w:val="20"/>
                <w:color w:val="auto"/>
              </w:rPr>
              <w:t>5</w:t>
            </w: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9580" w:type="dxa"/>
            <w:vAlign w:val="bottom"/>
            <w:gridSpan w:val="12"/>
          </w:tcPr>
          <w:p>
            <w:pPr>
              <w:spacing w:after="0" w:line="196" w:lineRule="exact"/>
              <w:rPr>
                <w:rFonts w:ascii="Arial" w:cs="Arial" w:eastAsia="Arial" w:hAnsi="Arial"/>
                <w:sz w:val="20"/>
                <w:szCs w:val="20"/>
                <w:color w:val="0000EE"/>
              </w:rPr>
            </w:pPr>
            <w:hyperlink w:anchor="page11">
              <w:r>
                <w:rPr>
                  <w:rFonts w:ascii="Arial" w:cs="Arial" w:eastAsia="Arial" w:hAnsi="Arial"/>
                  <w:sz w:val="20"/>
                  <w:szCs w:val="20"/>
                  <w:color w:val="0000EE"/>
                </w:rPr>
                <w:t>Compensation Risk Assessment</w:t>
              </w:r>
            </w:hyperlink>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840" w:type="dxa"/>
            <w:vAlign w:val="bottom"/>
            <w:tcBorders>
              <w:top w:val="single" w:sz="8" w:color="0000EE"/>
            </w:tcBorders>
            <w:gridSpan w:val="8"/>
          </w:tcPr>
          <w:p>
            <w:pPr>
              <w:spacing w:after="0" w:line="196" w:lineRule="exact"/>
              <w:rPr>
                <w:rFonts w:ascii="Arial" w:cs="Arial" w:eastAsia="Arial" w:hAnsi="Arial"/>
                <w:sz w:val="20"/>
                <w:szCs w:val="20"/>
                <w:color w:val="0000EE"/>
                <w:w w:val="99"/>
              </w:rPr>
            </w:pPr>
            <w:hyperlink w:anchor="page11">
              <w:r>
                <w:rPr>
                  <w:rFonts w:ascii="Arial" w:cs="Arial" w:eastAsia="Arial" w:hAnsi="Arial"/>
                  <w:sz w:val="20"/>
                  <w:szCs w:val="20"/>
                  <w:color w:val="0000EE"/>
                  <w:w w:val="99"/>
                </w:rPr>
                <w:t>Communications with the Board</w:t>
              </w:r>
            </w:hyperlink>
          </w:p>
        </w:tc>
        <w:tc>
          <w:tcPr>
            <w:tcW w:w="6740" w:type="dxa"/>
            <w:vAlign w:val="bottom"/>
            <w:gridSpan w:val="4"/>
          </w:tcPr>
          <w:p>
            <w:pPr>
              <w:spacing w:after="0"/>
              <w:rPr>
                <w:sz w:val="17"/>
                <w:szCs w:val="17"/>
                <w:color w:val="auto"/>
              </w:rPr>
            </w:pPr>
          </w:p>
        </w:tc>
        <w:tc>
          <w:tcPr>
            <w:tcW w:w="980" w:type="dxa"/>
            <w:vAlign w:val="bottom"/>
          </w:tcPr>
          <w:p>
            <w:pPr>
              <w:jc w:val="right"/>
              <w:ind w:right="41"/>
              <w:spacing w:after="0" w:line="196" w:lineRule="exact"/>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380" w:type="dxa"/>
            <w:vAlign w:val="bottom"/>
            <w:gridSpan w:val="6"/>
            <w:shd w:val="clear" w:color="auto" w:fill="0000EE"/>
          </w:tcPr>
          <w:p>
            <w:pPr>
              <w:spacing w:after="0" w:line="20" w:lineRule="exact"/>
              <w:rPr>
                <w:sz w:val="1"/>
                <w:szCs w:val="1"/>
                <w:color w:val="auto"/>
              </w:rPr>
            </w:pPr>
          </w:p>
        </w:tc>
        <w:tc>
          <w:tcPr>
            <w:tcW w:w="1420" w:type="dxa"/>
            <w:vAlign w:val="bottom"/>
            <w:tcBorders>
              <w:left w:val="single" w:sz="8" w:color="0000EE"/>
            </w:tcBorders>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980" w:type="dxa"/>
            <w:vAlign w:val="bottom"/>
            <w:vMerge w:val="restart"/>
          </w:tcPr>
          <w:p>
            <w:pPr>
              <w:jc w:val="right"/>
              <w:ind w:right="41"/>
              <w:spacing w:after="0" w:line="216" w:lineRule="exact"/>
              <w:rPr>
                <w:sz w:val="20"/>
                <w:szCs w:val="20"/>
                <w:color w:val="auto"/>
              </w:rPr>
            </w:pPr>
            <w:r>
              <w:rPr>
                <w:rFonts w:ascii="Arial" w:cs="Arial" w:eastAsia="Arial" w:hAnsi="Arial"/>
                <w:sz w:val="20"/>
                <w:szCs w:val="20"/>
                <w:color w:val="auto"/>
              </w:rPr>
              <w:t>5</w:t>
            </w: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4180" w:type="dxa"/>
            <w:vAlign w:val="bottom"/>
            <w:tcBorders>
              <w:bottom w:val="single" w:sz="8" w:color="0000EE"/>
            </w:tcBorders>
            <w:gridSpan w:val="10"/>
          </w:tcPr>
          <w:p>
            <w:pPr>
              <w:spacing w:after="0" w:line="196" w:lineRule="exact"/>
              <w:rPr>
                <w:rFonts w:ascii="Arial" w:cs="Arial" w:eastAsia="Arial" w:hAnsi="Arial"/>
                <w:sz w:val="20"/>
                <w:szCs w:val="20"/>
                <w:color w:val="0000EE"/>
                <w:w w:val="98"/>
              </w:rPr>
            </w:pPr>
            <w:hyperlink w:anchor="page11">
              <w:r>
                <w:rPr>
                  <w:rFonts w:ascii="Arial" w:cs="Arial" w:eastAsia="Arial" w:hAnsi="Arial"/>
                  <w:sz w:val="20"/>
                  <w:szCs w:val="20"/>
                  <w:color w:val="0000EE"/>
                  <w:w w:val="98"/>
                </w:rPr>
                <w:t>Certain Relationships and Related Transactions</w:t>
              </w:r>
            </w:hyperlink>
          </w:p>
        </w:tc>
        <w:tc>
          <w:tcPr>
            <w:tcW w:w="5400" w:type="dxa"/>
            <w:vAlign w:val="bottom"/>
            <w:gridSpan w:val="2"/>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540" w:type="dxa"/>
            <w:vAlign w:val="bottom"/>
            <w:tcBorders>
              <w:bottom w:val="single" w:sz="8" w:color="0000EE"/>
            </w:tcBorders>
            <w:gridSpan w:val="10"/>
          </w:tcPr>
          <w:p>
            <w:pPr>
              <w:spacing w:after="0" w:line="196" w:lineRule="exact"/>
              <w:rPr>
                <w:rFonts w:ascii="Arial" w:cs="Arial" w:eastAsia="Arial" w:hAnsi="Arial"/>
                <w:sz w:val="20"/>
                <w:szCs w:val="20"/>
                <w:color w:val="0000EE"/>
                <w:w w:val="98"/>
              </w:rPr>
            </w:pPr>
            <w:hyperlink w:anchor="page11">
              <w:r>
                <w:rPr>
                  <w:rFonts w:ascii="Arial" w:cs="Arial" w:eastAsia="Arial" w:hAnsi="Arial"/>
                  <w:sz w:val="20"/>
                  <w:szCs w:val="20"/>
                  <w:color w:val="0000EE"/>
                  <w:w w:val="98"/>
                </w:rPr>
                <w:t>Review and Approval of Related Party Transactions</w:t>
              </w:r>
            </w:hyperlink>
          </w:p>
        </w:tc>
        <w:tc>
          <w:tcPr>
            <w:tcW w:w="4660" w:type="dxa"/>
            <w:vAlign w:val="bottom"/>
          </w:tcPr>
          <w:p>
            <w:pPr>
              <w:spacing w:after="0"/>
              <w:rPr>
                <w:sz w:val="17"/>
                <w:szCs w:val="17"/>
                <w:color w:val="auto"/>
              </w:rPr>
            </w:pPr>
          </w:p>
        </w:tc>
        <w:tc>
          <w:tcPr>
            <w:tcW w:w="980" w:type="dxa"/>
            <w:vAlign w:val="bottom"/>
          </w:tcPr>
          <w:p>
            <w:pPr>
              <w:jc w:val="right"/>
              <w:ind w:right="41"/>
              <w:spacing w:after="0" w:line="196" w:lineRule="exact"/>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0" w:type="dxa"/>
            <w:vAlign w:val="bottom"/>
            <w:gridSpan w:val="11"/>
          </w:tcPr>
          <w:p>
            <w:pPr>
              <w:spacing w:after="0" w:line="196" w:lineRule="exact"/>
              <w:rPr>
                <w:rFonts w:ascii="Arial" w:cs="Arial" w:eastAsia="Arial" w:hAnsi="Arial"/>
                <w:sz w:val="20"/>
                <w:szCs w:val="20"/>
                <w:color w:val="0000EE"/>
              </w:rPr>
            </w:pPr>
            <w:hyperlink w:anchor="page11">
              <w:r>
                <w:rPr>
                  <w:rFonts w:ascii="Arial" w:cs="Arial" w:eastAsia="Arial" w:hAnsi="Arial"/>
                  <w:sz w:val="20"/>
                  <w:szCs w:val="20"/>
                  <w:color w:val="0000EE"/>
                </w:rPr>
                <w:t>Related Party Transactions</w:t>
              </w:r>
            </w:hyperlink>
          </w:p>
        </w:tc>
        <w:tc>
          <w:tcPr>
            <w:tcW w:w="980" w:type="dxa"/>
            <w:vAlign w:val="bottom"/>
          </w:tcPr>
          <w:p>
            <w:pPr>
              <w:jc w:val="right"/>
              <w:ind w:right="41"/>
              <w:spacing w:after="0" w:line="196" w:lineRule="exact"/>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-1577340</wp:posOffset>
            </wp:positionV>
            <wp:extent cx="20878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087880" cy="8890"/>
                    </a:xfrm>
                    <a:prstGeom prst="rect">
                      <a:avLst/>
                    </a:prstGeom>
                    <a:noFill/>
                  </pic:spPr>
                </pic:pic>
              </a:graphicData>
            </a:graphic>
          </wp:anchor>
        </w:drawing>
      </w:r>
    </w:p>
    <w:p>
      <w:pPr>
        <w:spacing w:after="0" w:line="210" w:lineRule="exact"/>
        <w:rPr>
          <w:sz w:val="20"/>
          <w:szCs w:val="20"/>
          <w:color w:val="auto"/>
        </w:rPr>
      </w:pPr>
    </w:p>
    <w:tbl>
      <w:tblPr>
        <w:tblLayout w:type="fixed"/>
        <w:tblInd w:w="220" w:type="dxa"/>
        <w:tblCellMar>
          <w:top w:w="0" w:type="dxa"/>
          <w:left w:w="0" w:type="dxa"/>
          <w:bottom w:w="0" w:type="dxa"/>
          <w:right w:w="0" w:type="dxa"/>
        </w:tblCellMar>
      </w:tblPr>
      <w:tr>
        <w:trPr>
          <w:trHeight w:val="311"/>
        </w:trPr>
        <w:tc>
          <w:tcPr>
            <w:tcW w:w="10040" w:type="dxa"/>
            <w:vAlign w:val="bottom"/>
            <w:gridSpan w:val="8"/>
            <w:shd w:val="clear" w:color="auto" w:fill="1F2A44"/>
          </w:tcPr>
          <w:p>
            <w:pPr>
              <w:ind w:left="60"/>
              <w:spacing w:after="0"/>
              <w:rPr>
                <w:rFonts w:ascii="Arial" w:cs="Arial" w:eastAsia="Arial" w:hAnsi="Arial"/>
                <w:sz w:val="20"/>
                <w:szCs w:val="20"/>
                <w:b w:val="1"/>
                <w:bCs w:val="1"/>
                <w:color w:val="FFFFFF"/>
              </w:rPr>
            </w:pPr>
            <w:hyperlink w:anchor="page12">
              <w:r>
                <w:rPr>
                  <w:rFonts w:ascii="Arial" w:cs="Arial" w:eastAsia="Arial" w:hAnsi="Arial"/>
                  <w:sz w:val="20"/>
                  <w:szCs w:val="20"/>
                  <w:b w:val="1"/>
                  <w:bCs w:val="1"/>
                  <w:color w:val="FFFFFF"/>
                </w:rPr>
                <w:t>Trustee Information</w:t>
              </w:r>
            </w:hyperlink>
          </w:p>
        </w:tc>
        <w:tc>
          <w:tcPr>
            <w:tcW w:w="980" w:type="dxa"/>
            <w:vAlign w:val="bottom"/>
            <w:shd w:val="clear" w:color="auto" w:fill="1F2A44"/>
          </w:tcPr>
          <w:p>
            <w:pPr>
              <w:jc w:val="right"/>
              <w:ind w:right="41"/>
              <w:spacing w:after="0"/>
              <w:rPr>
                <w:sz w:val="20"/>
                <w:szCs w:val="20"/>
                <w:color w:val="auto"/>
              </w:rPr>
            </w:pPr>
            <w:r>
              <w:rPr>
                <w:rFonts w:ascii="Arial" w:cs="Arial" w:eastAsia="Arial" w:hAnsi="Arial"/>
                <w:sz w:val="20"/>
                <w:szCs w:val="20"/>
                <w:b w:val="1"/>
                <w:bCs w:val="1"/>
                <w:color w:val="FFFFFF"/>
              </w:rPr>
              <w:t>6</w:t>
            </w:r>
          </w:p>
        </w:tc>
        <w:tc>
          <w:tcPr>
            <w:tcW w:w="0" w:type="dxa"/>
            <w:vAlign w:val="bottom"/>
          </w:tcPr>
          <w:p>
            <w:pPr>
              <w:spacing w:after="0"/>
              <w:rPr>
                <w:sz w:val="1"/>
                <w:szCs w:val="1"/>
                <w:color w:val="auto"/>
              </w:rPr>
            </w:pPr>
          </w:p>
        </w:tc>
      </w:tr>
      <w:tr>
        <w:trPr>
          <w:trHeight w:val="81"/>
        </w:trPr>
        <w:tc>
          <w:tcPr>
            <w:tcW w:w="460" w:type="dxa"/>
            <w:vAlign w:val="bottom"/>
            <w:shd w:val="clear" w:color="auto" w:fill="1F2A44"/>
          </w:tcPr>
          <w:p>
            <w:pPr>
              <w:spacing w:after="0"/>
              <w:rPr>
                <w:sz w:val="7"/>
                <w:szCs w:val="7"/>
                <w:color w:val="auto"/>
              </w:rPr>
            </w:pPr>
          </w:p>
        </w:tc>
        <w:tc>
          <w:tcPr>
            <w:tcW w:w="880" w:type="dxa"/>
            <w:vAlign w:val="bottom"/>
            <w:shd w:val="clear" w:color="auto" w:fill="1F2A44"/>
          </w:tcPr>
          <w:p>
            <w:pPr>
              <w:spacing w:after="0"/>
              <w:rPr>
                <w:sz w:val="7"/>
                <w:szCs w:val="7"/>
                <w:color w:val="auto"/>
              </w:rPr>
            </w:pPr>
          </w:p>
        </w:tc>
        <w:tc>
          <w:tcPr>
            <w:tcW w:w="1100" w:type="dxa"/>
            <w:vAlign w:val="bottom"/>
            <w:shd w:val="clear" w:color="auto" w:fill="1F2A44"/>
          </w:tcPr>
          <w:p>
            <w:pPr>
              <w:spacing w:after="0"/>
              <w:rPr>
                <w:sz w:val="7"/>
                <w:szCs w:val="7"/>
                <w:color w:val="auto"/>
              </w:rPr>
            </w:pPr>
          </w:p>
        </w:tc>
        <w:tc>
          <w:tcPr>
            <w:tcW w:w="700" w:type="dxa"/>
            <w:vAlign w:val="bottom"/>
            <w:shd w:val="clear" w:color="auto" w:fill="1F2A44"/>
          </w:tcPr>
          <w:p>
            <w:pPr>
              <w:spacing w:after="0"/>
              <w:rPr>
                <w:sz w:val="7"/>
                <w:szCs w:val="7"/>
                <w:color w:val="auto"/>
              </w:rPr>
            </w:pPr>
          </w:p>
        </w:tc>
        <w:tc>
          <w:tcPr>
            <w:tcW w:w="200" w:type="dxa"/>
            <w:vAlign w:val="bottom"/>
            <w:shd w:val="clear" w:color="auto" w:fill="1F2A44"/>
          </w:tcPr>
          <w:p>
            <w:pPr>
              <w:spacing w:after="0"/>
              <w:rPr>
                <w:sz w:val="7"/>
                <w:szCs w:val="7"/>
                <w:color w:val="auto"/>
              </w:rPr>
            </w:pPr>
          </w:p>
        </w:tc>
        <w:tc>
          <w:tcPr>
            <w:tcW w:w="1080" w:type="dxa"/>
            <w:vAlign w:val="bottom"/>
            <w:shd w:val="clear" w:color="auto" w:fill="1F2A44"/>
          </w:tcPr>
          <w:p>
            <w:pPr>
              <w:spacing w:after="0"/>
              <w:rPr>
                <w:sz w:val="7"/>
                <w:szCs w:val="7"/>
                <w:color w:val="auto"/>
              </w:rPr>
            </w:pPr>
          </w:p>
        </w:tc>
        <w:tc>
          <w:tcPr>
            <w:tcW w:w="1320" w:type="dxa"/>
            <w:vAlign w:val="bottom"/>
            <w:shd w:val="clear" w:color="auto" w:fill="1F2A44"/>
          </w:tcPr>
          <w:p>
            <w:pPr>
              <w:spacing w:after="0"/>
              <w:rPr>
                <w:sz w:val="7"/>
                <w:szCs w:val="7"/>
                <w:color w:val="auto"/>
              </w:rPr>
            </w:pPr>
          </w:p>
        </w:tc>
        <w:tc>
          <w:tcPr>
            <w:tcW w:w="4300" w:type="dxa"/>
            <w:vAlign w:val="bottom"/>
            <w:shd w:val="clear" w:color="auto" w:fill="1F2A44"/>
          </w:tcPr>
          <w:p>
            <w:pPr>
              <w:spacing w:after="0"/>
              <w:rPr>
                <w:sz w:val="7"/>
                <w:szCs w:val="7"/>
                <w:color w:val="auto"/>
              </w:rPr>
            </w:pPr>
          </w:p>
        </w:tc>
        <w:tc>
          <w:tcPr>
            <w:tcW w:w="980" w:type="dxa"/>
            <w:vAlign w:val="bottom"/>
            <w:shd w:val="clear" w:color="auto" w:fill="1F2A44"/>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460" w:type="dxa"/>
            <w:vAlign w:val="bottom"/>
          </w:tcPr>
          <w:p>
            <w:pPr>
              <w:spacing w:after="0"/>
              <w:rPr>
                <w:sz w:val="16"/>
                <w:szCs w:val="16"/>
                <w:color w:val="auto"/>
              </w:rPr>
            </w:pPr>
          </w:p>
        </w:tc>
        <w:tc>
          <w:tcPr>
            <w:tcW w:w="2880" w:type="dxa"/>
            <w:vAlign w:val="bottom"/>
            <w:tcBorders>
              <w:bottom w:val="single" w:sz="8" w:color="0000EE"/>
            </w:tcBorders>
            <w:gridSpan w:val="4"/>
          </w:tcPr>
          <w:p>
            <w:pPr>
              <w:spacing w:after="0" w:line="189" w:lineRule="exact"/>
              <w:rPr>
                <w:rFonts w:ascii="Arial" w:cs="Arial" w:eastAsia="Arial" w:hAnsi="Arial"/>
                <w:sz w:val="20"/>
                <w:szCs w:val="20"/>
                <w:color w:val="0000EE"/>
                <w:w w:val="97"/>
              </w:rPr>
            </w:pPr>
            <w:hyperlink w:anchor="page12">
              <w:r>
                <w:rPr>
                  <w:rFonts w:ascii="Arial" w:cs="Arial" w:eastAsia="Arial" w:hAnsi="Arial"/>
                  <w:sz w:val="20"/>
                  <w:szCs w:val="20"/>
                  <w:color w:val="0000EE"/>
                  <w:w w:val="97"/>
                </w:rPr>
                <w:t>Proposal 1—Election of Trustees</w:t>
              </w:r>
            </w:hyperlink>
          </w:p>
        </w:tc>
        <w:tc>
          <w:tcPr>
            <w:tcW w:w="6700" w:type="dxa"/>
            <w:vAlign w:val="bottom"/>
            <w:gridSpan w:val="3"/>
          </w:tcPr>
          <w:p>
            <w:pPr>
              <w:spacing w:after="0"/>
              <w:rPr>
                <w:sz w:val="16"/>
                <w:szCs w:val="16"/>
                <w:color w:val="auto"/>
              </w:rPr>
            </w:pPr>
          </w:p>
        </w:tc>
        <w:tc>
          <w:tcPr>
            <w:tcW w:w="980" w:type="dxa"/>
            <w:vAlign w:val="bottom"/>
          </w:tcPr>
          <w:p>
            <w:pPr>
              <w:jc w:val="right"/>
              <w:ind w:right="41"/>
              <w:spacing w:after="0" w:line="189" w:lineRule="exact"/>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9580" w:type="dxa"/>
            <w:vAlign w:val="bottom"/>
            <w:gridSpan w:val="7"/>
          </w:tcPr>
          <w:p>
            <w:pPr>
              <w:spacing w:after="0" w:line="196" w:lineRule="exact"/>
              <w:rPr>
                <w:rFonts w:ascii="Arial" w:cs="Arial" w:eastAsia="Arial" w:hAnsi="Arial"/>
                <w:sz w:val="20"/>
                <w:szCs w:val="20"/>
                <w:color w:val="0000EE"/>
              </w:rPr>
            </w:pPr>
            <w:hyperlink w:anchor="page12">
              <w:r>
                <w:rPr>
                  <w:rFonts w:ascii="Arial" w:cs="Arial" w:eastAsia="Arial" w:hAnsi="Arial"/>
                  <w:sz w:val="20"/>
                  <w:szCs w:val="20"/>
                  <w:color w:val="0000EE"/>
                </w:rPr>
                <w:t>Nominees</w:t>
              </w:r>
            </w:hyperlink>
          </w:p>
        </w:tc>
        <w:tc>
          <w:tcPr>
            <w:tcW w:w="980" w:type="dxa"/>
            <w:vAlign w:val="bottom"/>
          </w:tcPr>
          <w:p>
            <w:pPr>
              <w:jc w:val="right"/>
              <w:ind w:right="41"/>
              <w:spacing w:after="0" w:line="196" w:lineRule="exact"/>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980" w:type="dxa"/>
            <w:vAlign w:val="bottom"/>
            <w:vMerge w:val="restart"/>
          </w:tcPr>
          <w:p>
            <w:pPr>
              <w:jc w:val="right"/>
              <w:ind w:right="41"/>
              <w:spacing w:after="0" w:line="216" w:lineRule="exact"/>
              <w:rPr>
                <w:sz w:val="20"/>
                <w:szCs w:val="20"/>
                <w:color w:val="auto"/>
              </w:rPr>
            </w:pPr>
            <w:r>
              <w:rPr>
                <w:rFonts w:ascii="Arial" w:cs="Arial" w:eastAsia="Arial" w:hAnsi="Arial"/>
                <w:sz w:val="20"/>
                <w:szCs w:val="20"/>
                <w:color w:val="auto"/>
              </w:rPr>
              <w:t>10</w:t>
            </w: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9580" w:type="dxa"/>
            <w:vAlign w:val="bottom"/>
            <w:gridSpan w:val="7"/>
          </w:tcPr>
          <w:p>
            <w:pPr>
              <w:spacing w:after="0" w:line="196" w:lineRule="exact"/>
              <w:rPr>
                <w:rFonts w:ascii="Arial" w:cs="Arial" w:eastAsia="Arial" w:hAnsi="Arial"/>
                <w:sz w:val="20"/>
                <w:szCs w:val="20"/>
                <w:color w:val="0000EE"/>
              </w:rPr>
            </w:pPr>
            <w:hyperlink w:anchor="page16">
              <w:r>
                <w:rPr>
                  <w:rFonts w:ascii="Arial" w:cs="Arial" w:eastAsia="Arial" w:hAnsi="Arial"/>
                  <w:sz w:val="20"/>
                  <w:szCs w:val="20"/>
                  <w:color w:val="0000EE"/>
                </w:rPr>
                <w:t>Qualifications and Characteristics of Trustees</w:t>
              </w:r>
            </w:hyperlink>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680" w:type="dxa"/>
            <w:vAlign w:val="bottom"/>
            <w:tcBorders>
              <w:top w:val="single" w:sz="8" w:color="0000EE"/>
              <w:bottom w:val="single" w:sz="8" w:color="0000EE"/>
            </w:tcBorders>
            <w:gridSpan w:val="3"/>
          </w:tcPr>
          <w:p>
            <w:pPr>
              <w:spacing w:after="0" w:line="196" w:lineRule="exact"/>
              <w:rPr>
                <w:rFonts w:ascii="Arial" w:cs="Arial" w:eastAsia="Arial" w:hAnsi="Arial"/>
                <w:sz w:val="20"/>
                <w:szCs w:val="20"/>
                <w:color w:val="0000EE"/>
                <w:w w:val="97"/>
              </w:rPr>
            </w:pPr>
            <w:hyperlink w:anchor="page17">
              <w:r>
                <w:rPr>
                  <w:rFonts w:ascii="Arial" w:cs="Arial" w:eastAsia="Arial" w:hAnsi="Arial"/>
                  <w:sz w:val="20"/>
                  <w:szCs w:val="20"/>
                  <w:color w:val="0000EE"/>
                  <w:w w:val="97"/>
                </w:rPr>
                <w:t>Process for Selecting Trustees</w:t>
              </w:r>
            </w:hyperlink>
          </w:p>
        </w:tc>
        <w:tc>
          <w:tcPr>
            <w:tcW w:w="1280" w:type="dxa"/>
            <w:vAlign w:val="bottom"/>
            <w:tcBorders>
              <w:top w:val="single" w:sz="8" w:color="0000EE"/>
            </w:tcBorders>
            <w:gridSpan w:val="2"/>
          </w:tcPr>
          <w:p>
            <w:pPr>
              <w:spacing w:after="0"/>
              <w:rPr>
                <w:sz w:val="17"/>
                <w:szCs w:val="17"/>
                <w:color w:val="auto"/>
              </w:rPr>
            </w:pPr>
          </w:p>
        </w:tc>
        <w:tc>
          <w:tcPr>
            <w:tcW w:w="5620" w:type="dxa"/>
            <w:vAlign w:val="bottom"/>
            <w:gridSpan w:val="2"/>
          </w:tcPr>
          <w:p>
            <w:pPr>
              <w:spacing w:after="0"/>
              <w:rPr>
                <w:sz w:val="17"/>
                <w:szCs w:val="17"/>
                <w:color w:val="auto"/>
              </w:rPr>
            </w:pPr>
          </w:p>
        </w:tc>
        <w:tc>
          <w:tcPr>
            <w:tcW w:w="980" w:type="dxa"/>
            <w:vAlign w:val="bottom"/>
          </w:tcPr>
          <w:p>
            <w:pPr>
              <w:jc w:val="right"/>
              <w:ind w:right="41"/>
              <w:spacing w:after="0" w:line="196" w:lineRule="exact"/>
              <w:rPr>
                <w:sz w:val="20"/>
                <w:szCs w:val="20"/>
                <w:color w:val="auto"/>
              </w:rPr>
            </w:pPr>
            <w:r>
              <w:rPr>
                <w:rFonts w:ascii="Arial" w:cs="Arial" w:eastAsia="Arial" w:hAnsi="Arial"/>
                <w:sz w:val="20"/>
                <w:szCs w:val="20"/>
                <w:color w:val="auto"/>
              </w:rPr>
              <w:t>11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9580" w:type="dxa"/>
            <w:vAlign w:val="bottom"/>
            <w:gridSpan w:val="7"/>
          </w:tcPr>
          <w:p>
            <w:pPr>
              <w:spacing w:after="0" w:line="196" w:lineRule="exact"/>
              <w:rPr>
                <w:rFonts w:ascii="Arial" w:cs="Arial" w:eastAsia="Arial" w:hAnsi="Arial"/>
                <w:sz w:val="20"/>
                <w:szCs w:val="20"/>
                <w:color w:val="0000EE"/>
              </w:rPr>
            </w:pPr>
            <w:hyperlink w:anchor="page17">
              <w:r>
                <w:rPr>
                  <w:rFonts w:ascii="Arial" w:cs="Arial" w:eastAsia="Arial" w:hAnsi="Arial"/>
                  <w:sz w:val="20"/>
                  <w:szCs w:val="20"/>
                  <w:color w:val="0000EE"/>
                </w:rPr>
                <w:t>Process for Shareholders to Recommend Trustee Nominees</w:t>
              </w:r>
            </w:hyperlink>
          </w:p>
        </w:tc>
        <w:tc>
          <w:tcPr>
            <w:tcW w:w="980" w:type="dxa"/>
            <w:vAlign w:val="bottom"/>
          </w:tcPr>
          <w:p>
            <w:pPr>
              <w:jc w:val="right"/>
              <w:ind w:right="41"/>
              <w:spacing w:after="0" w:line="196" w:lineRule="exact"/>
              <w:rPr>
                <w:sz w:val="20"/>
                <w:szCs w:val="20"/>
                <w:color w:val="auto"/>
              </w:rPr>
            </w:pPr>
            <w:r>
              <w:rPr>
                <w:rFonts w:ascii="Arial" w:cs="Arial" w:eastAsia="Arial" w:hAnsi="Arial"/>
                <w:sz w:val="20"/>
                <w:szCs w:val="20"/>
                <w:color w:val="auto"/>
              </w:rPr>
              <w:t>11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280" w:type="dxa"/>
            <w:vAlign w:val="bottom"/>
            <w:tcBorders>
              <w:top w:val="single" w:sz="8" w:color="0000EE"/>
            </w:tcBorders>
            <w:gridSpan w:val="6"/>
          </w:tcPr>
          <w:p>
            <w:pPr>
              <w:spacing w:after="0" w:line="196" w:lineRule="exact"/>
              <w:rPr>
                <w:rFonts w:ascii="Arial" w:cs="Arial" w:eastAsia="Arial" w:hAnsi="Arial"/>
                <w:sz w:val="20"/>
                <w:szCs w:val="20"/>
                <w:color w:val="0000EE"/>
              </w:rPr>
            </w:pPr>
            <w:hyperlink w:anchor="page17">
              <w:r>
                <w:rPr>
                  <w:rFonts w:ascii="Arial" w:cs="Arial" w:eastAsia="Arial" w:hAnsi="Arial"/>
                  <w:sz w:val="20"/>
                  <w:szCs w:val="20"/>
                  <w:color w:val="0000EE"/>
                </w:rPr>
                <w:t>Trustee Compensation</w:t>
              </w:r>
            </w:hyperlink>
          </w:p>
        </w:tc>
        <w:tc>
          <w:tcPr>
            <w:tcW w:w="4300" w:type="dxa"/>
            <w:vAlign w:val="bottom"/>
          </w:tcPr>
          <w:p>
            <w:pPr>
              <w:spacing w:after="0"/>
              <w:rPr>
                <w:sz w:val="17"/>
                <w:szCs w:val="17"/>
                <w:color w:val="auto"/>
              </w:rPr>
            </w:pPr>
          </w:p>
        </w:tc>
        <w:tc>
          <w:tcPr>
            <w:tcW w:w="980" w:type="dxa"/>
            <w:vAlign w:val="bottom"/>
          </w:tcPr>
          <w:p>
            <w:pPr>
              <w:jc w:val="right"/>
              <w:ind w:right="41"/>
              <w:spacing w:after="0" w:line="196" w:lineRule="exact"/>
              <w:rPr>
                <w:sz w:val="20"/>
                <w:szCs w:val="20"/>
                <w:color w:val="auto"/>
              </w:rPr>
            </w:pPr>
            <w:r>
              <w:rPr>
                <w:rFonts w:ascii="Arial" w:cs="Arial" w:eastAsia="Arial" w:hAnsi="Arial"/>
                <w:sz w:val="20"/>
                <w:szCs w:val="20"/>
                <w:color w:val="auto"/>
              </w:rPr>
              <w:t>11</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-891540</wp:posOffset>
            </wp:positionV>
            <wp:extent cx="11728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72845" cy="8890"/>
                    </a:xfrm>
                    <a:prstGeom prst="rect">
                      <a:avLst/>
                    </a:prstGeom>
                    <a:noFill/>
                  </pic:spPr>
                </pic:pic>
              </a:graphicData>
            </a:graphic>
          </wp:anchor>
        </w:drawing>
      </w:r>
    </w:p>
    <w:p>
      <w:pPr>
        <w:spacing w:after="0" w:line="210" w:lineRule="exact"/>
        <w:rPr>
          <w:sz w:val="20"/>
          <w:szCs w:val="20"/>
          <w:color w:val="auto"/>
        </w:rPr>
      </w:pPr>
    </w:p>
    <w:tbl>
      <w:tblPr>
        <w:tblLayout w:type="fixed"/>
        <w:tblInd w:w="220" w:type="dxa"/>
        <w:tblCellMar>
          <w:top w:w="0" w:type="dxa"/>
          <w:left w:w="0" w:type="dxa"/>
          <w:bottom w:w="0" w:type="dxa"/>
          <w:right w:w="0" w:type="dxa"/>
        </w:tblCellMar>
      </w:tblPr>
      <w:tr>
        <w:trPr>
          <w:trHeight w:val="311"/>
        </w:trPr>
        <w:tc>
          <w:tcPr>
            <w:tcW w:w="10040" w:type="dxa"/>
            <w:vAlign w:val="bottom"/>
            <w:gridSpan w:val="23"/>
            <w:shd w:val="clear" w:color="auto" w:fill="1F2A44"/>
          </w:tcPr>
          <w:p>
            <w:pPr>
              <w:ind w:left="60"/>
              <w:spacing w:after="0"/>
              <w:rPr>
                <w:rFonts w:ascii="Arial" w:cs="Arial" w:eastAsia="Arial" w:hAnsi="Arial"/>
                <w:sz w:val="20"/>
                <w:szCs w:val="20"/>
                <w:b w:val="1"/>
                <w:bCs w:val="1"/>
                <w:color w:val="FFFFFF"/>
              </w:rPr>
            </w:pPr>
            <w:hyperlink w:anchor="page19">
              <w:r>
                <w:rPr>
                  <w:rFonts w:ascii="Arial" w:cs="Arial" w:eastAsia="Arial" w:hAnsi="Arial"/>
                  <w:sz w:val="20"/>
                  <w:szCs w:val="20"/>
                  <w:b w:val="1"/>
                  <w:bCs w:val="1"/>
                  <w:color w:val="FFFFFF"/>
                </w:rPr>
                <w:t>Executive Officer and Compensation Information</w:t>
              </w:r>
            </w:hyperlink>
          </w:p>
        </w:tc>
        <w:tc>
          <w:tcPr>
            <w:tcW w:w="980" w:type="dxa"/>
            <w:vAlign w:val="bottom"/>
            <w:shd w:val="clear" w:color="auto" w:fill="1F2A44"/>
          </w:tcPr>
          <w:p>
            <w:pPr>
              <w:jc w:val="right"/>
              <w:ind w:right="41"/>
              <w:spacing w:after="0"/>
              <w:rPr>
                <w:sz w:val="20"/>
                <w:szCs w:val="20"/>
                <w:color w:val="auto"/>
              </w:rPr>
            </w:pPr>
            <w:r>
              <w:rPr>
                <w:rFonts w:ascii="Arial" w:cs="Arial" w:eastAsia="Arial" w:hAnsi="Arial"/>
                <w:sz w:val="20"/>
                <w:szCs w:val="20"/>
                <w:b w:val="1"/>
                <w:bCs w:val="1"/>
                <w:color w:val="FFFFFF"/>
              </w:rPr>
              <w:t>13</w:t>
            </w:r>
          </w:p>
        </w:tc>
        <w:tc>
          <w:tcPr>
            <w:tcW w:w="0" w:type="dxa"/>
            <w:vAlign w:val="bottom"/>
          </w:tcPr>
          <w:p>
            <w:pPr>
              <w:spacing w:after="0"/>
              <w:rPr>
                <w:sz w:val="1"/>
                <w:szCs w:val="1"/>
                <w:color w:val="auto"/>
              </w:rPr>
            </w:pPr>
          </w:p>
        </w:tc>
      </w:tr>
      <w:tr>
        <w:trPr>
          <w:trHeight w:val="81"/>
        </w:trPr>
        <w:tc>
          <w:tcPr>
            <w:tcW w:w="460" w:type="dxa"/>
            <w:vAlign w:val="bottom"/>
            <w:shd w:val="clear" w:color="auto" w:fill="1F2A44"/>
          </w:tcPr>
          <w:p>
            <w:pPr>
              <w:spacing w:after="0"/>
              <w:rPr>
                <w:sz w:val="7"/>
                <w:szCs w:val="7"/>
                <w:color w:val="auto"/>
              </w:rPr>
            </w:pPr>
          </w:p>
        </w:tc>
        <w:tc>
          <w:tcPr>
            <w:tcW w:w="380" w:type="dxa"/>
            <w:vAlign w:val="bottom"/>
            <w:shd w:val="clear" w:color="auto" w:fill="1F2A44"/>
          </w:tcPr>
          <w:p>
            <w:pPr>
              <w:spacing w:after="0"/>
              <w:rPr>
                <w:sz w:val="7"/>
                <w:szCs w:val="7"/>
                <w:color w:val="auto"/>
              </w:rPr>
            </w:pPr>
          </w:p>
        </w:tc>
        <w:tc>
          <w:tcPr>
            <w:tcW w:w="340" w:type="dxa"/>
            <w:vAlign w:val="bottom"/>
            <w:shd w:val="clear" w:color="auto" w:fill="1F2A44"/>
          </w:tcPr>
          <w:p>
            <w:pPr>
              <w:spacing w:after="0"/>
              <w:rPr>
                <w:sz w:val="7"/>
                <w:szCs w:val="7"/>
                <w:color w:val="auto"/>
              </w:rPr>
            </w:pPr>
          </w:p>
        </w:tc>
        <w:tc>
          <w:tcPr>
            <w:tcW w:w="860" w:type="dxa"/>
            <w:vAlign w:val="bottom"/>
            <w:shd w:val="clear" w:color="auto" w:fill="1F2A44"/>
          </w:tcPr>
          <w:p>
            <w:pPr>
              <w:spacing w:after="0"/>
              <w:rPr>
                <w:sz w:val="7"/>
                <w:szCs w:val="7"/>
                <w:color w:val="auto"/>
              </w:rPr>
            </w:pPr>
          </w:p>
        </w:tc>
        <w:tc>
          <w:tcPr>
            <w:tcW w:w="80" w:type="dxa"/>
            <w:vAlign w:val="bottom"/>
            <w:shd w:val="clear" w:color="auto" w:fill="1F2A44"/>
          </w:tcPr>
          <w:p>
            <w:pPr>
              <w:spacing w:after="0"/>
              <w:rPr>
                <w:sz w:val="7"/>
                <w:szCs w:val="7"/>
                <w:color w:val="auto"/>
              </w:rPr>
            </w:pPr>
          </w:p>
        </w:tc>
        <w:tc>
          <w:tcPr>
            <w:tcW w:w="420" w:type="dxa"/>
            <w:vAlign w:val="bottom"/>
            <w:shd w:val="clear" w:color="auto" w:fill="1F2A44"/>
          </w:tcPr>
          <w:p>
            <w:pPr>
              <w:spacing w:after="0"/>
              <w:rPr>
                <w:sz w:val="7"/>
                <w:szCs w:val="7"/>
                <w:color w:val="auto"/>
              </w:rPr>
            </w:pPr>
          </w:p>
        </w:tc>
        <w:tc>
          <w:tcPr>
            <w:tcW w:w="160" w:type="dxa"/>
            <w:vAlign w:val="bottom"/>
            <w:shd w:val="clear" w:color="auto" w:fill="1F2A44"/>
          </w:tcPr>
          <w:p>
            <w:pPr>
              <w:spacing w:after="0"/>
              <w:rPr>
                <w:sz w:val="7"/>
                <w:szCs w:val="7"/>
                <w:color w:val="auto"/>
              </w:rPr>
            </w:pPr>
          </w:p>
        </w:tc>
        <w:tc>
          <w:tcPr>
            <w:tcW w:w="20" w:type="dxa"/>
            <w:vAlign w:val="bottom"/>
            <w:shd w:val="clear" w:color="auto" w:fill="1F2A44"/>
          </w:tcPr>
          <w:p>
            <w:pPr>
              <w:spacing w:after="0"/>
              <w:rPr>
                <w:sz w:val="7"/>
                <w:szCs w:val="7"/>
                <w:color w:val="auto"/>
              </w:rPr>
            </w:pPr>
          </w:p>
        </w:tc>
        <w:tc>
          <w:tcPr>
            <w:tcW w:w="80" w:type="dxa"/>
            <w:vAlign w:val="bottom"/>
            <w:shd w:val="clear" w:color="auto" w:fill="1F2A44"/>
          </w:tcPr>
          <w:p>
            <w:pPr>
              <w:spacing w:after="0"/>
              <w:rPr>
                <w:sz w:val="7"/>
                <w:szCs w:val="7"/>
                <w:color w:val="auto"/>
              </w:rPr>
            </w:pPr>
          </w:p>
        </w:tc>
        <w:tc>
          <w:tcPr>
            <w:tcW w:w="300" w:type="dxa"/>
            <w:vAlign w:val="bottom"/>
            <w:shd w:val="clear" w:color="auto" w:fill="1F2A44"/>
          </w:tcPr>
          <w:p>
            <w:pPr>
              <w:spacing w:after="0"/>
              <w:rPr>
                <w:sz w:val="7"/>
                <w:szCs w:val="7"/>
                <w:color w:val="auto"/>
              </w:rPr>
            </w:pPr>
          </w:p>
        </w:tc>
        <w:tc>
          <w:tcPr>
            <w:tcW w:w="60" w:type="dxa"/>
            <w:vAlign w:val="bottom"/>
            <w:shd w:val="clear" w:color="auto" w:fill="1F2A44"/>
          </w:tcPr>
          <w:p>
            <w:pPr>
              <w:spacing w:after="0"/>
              <w:rPr>
                <w:sz w:val="7"/>
                <w:szCs w:val="7"/>
                <w:color w:val="auto"/>
              </w:rPr>
            </w:pPr>
          </w:p>
        </w:tc>
        <w:tc>
          <w:tcPr>
            <w:tcW w:w="80" w:type="dxa"/>
            <w:vAlign w:val="bottom"/>
            <w:shd w:val="clear" w:color="auto" w:fill="1F2A44"/>
          </w:tcPr>
          <w:p>
            <w:pPr>
              <w:spacing w:after="0"/>
              <w:rPr>
                <w:sz w:val="7"/>
                <w:szCs w:val="7"/>
                <w:color w:val="auto"/>
              </w:rPr>
            </w:pPr>
          </w:p>
        </w:tc>
        <w:tc>
          <w:tcPr>
            <w:tcW w:w="160" w:type="dxa"/>
            <w:vAlign w:val="bottom"/>
            <w:tcBorders>
              <w:right w:val="single" w:sz="8" w:color="1F2A44"/>
            </w:tcBorders>
            <w:shd w:val="clear" w:color="auto" w:fill="1F2A44"/>
          </w:tcPr>
          <w:p>
            <w:pPr>
              <w:spacing w:after="0"/>
              <w:rPr>
                <w:sz w:val="7"/>
                <w:szCs w:val="7"/>
                <w:color w:val="auto"/>
              </w:rPr>
            </w:pPr>
          </w:p>
        </w:tc>
        <w:tc>
          <w:tcPr>
            <w:tcW w:w="140" w:type="dxa"/>
            <w:vAlign w:val="bottom"/>
            <w:shd w:val="clear" w:color="auto" w:fill="1F2A44"/>
          </w:tcPr>
          <w:p>
            <w:pPr>
              <w:spacing w:after="0"/>
              <w:rPr>
                <w:sz w:val="7"/>
                <w:szCs w:val="7"/>
                <w:color w:val="auto"/>
              </w:rPr>
            </w:pPr>
          </w:p>
        </w:tc>
        <w:tc>
          <w:tcPr>
            <w:tcW w:w="380" w:type="dxa"/>
            <w:vAlign w:val="bottom"/>
            <w:tcBorders>
              <w:left w:val="single" w:sz="8" w:color="1F2A44"/>
            </w:tcBorders>
            <w:shd w:val="clear" w:color="auto" w:fill="1F2A44"/>
          </w:tcPr>
          <w:p>
            <w:pPr>
              <w:spacing w:after="0"/>
              <w:rPr>
                <w:sz w:val="7"/>
                <w:szCs w:val="7"/>
                <w:color w:val="auto"/>
              </w:rPr>
            </w:pPr>
          </w:p>
        </w:tc>
        <w:tc>
          <w:tcPr>
            <w:tcW w:w="120" w:type="dxa"/>
            <w:vAlign w:val="bottom"/>
            <w:shd w:val="clear" w:color="auto" w:fill="1F2A44"/>
          </w:tcPr>
          <w:p>
            <w:pPr>
              <w:spacing w:after="0"/>
              <w:rPr>
                <w:sz w:val="7"/>
                <w:szCs w:val="7"/>
                <w:color w:val="auto"/>
              </w:rPr>
            </w:pPr>
          </w:p>
        </w:tc>
        <w:tc>
          <w:tcPr>
            <w:tcW w:w="20" w:type="dxa"/>
            <w:vAlign w:val="bottom"/>
            <w:shd w:val="clear" w:color="auto" w:fill="1F2A44"/>
          </w:tcPr>
          <w:p>
            <w:pPr>
              <w:spacing w:after="0"/>
              <w:rPr>
                <w:sz w:val="7"/>
                <w:szCs w:val="7"/>
                <w:color w:val="auto"/>
              </w:rPr>
            </w:pPr>
          </w:p>
        </w:tc>
        <w:tc>
          <w:tcPr>
            <w:tcW w:w="560" w:type="dxa"/>
            <w:vAlign w:val="bottom"/>
            <w:shd w:val="clear" w:color="auto" w:fill="1F2A44"/>
          </w:tcPr>
          <w:p>
            <w:pPr>
              <w:spacing w:after="0"/>
              <w:rPr>
                <w:sz w:val="7"/>
                <w:szCs w:val="7"/>
                <w:color w:val="auto"/>
              </w:rPr>
            </w:pPr>
          </w:p>
        </w:tc>
        <w:tc>
          <w:tcPr>
            <w:tcW w:w="900" w:type="dxa"/>
            <w:vAlign w:val="bottom"/>
            <w:shd w:val="clear" w:color="auto" w:fill="1F2A44"/>
          </w:tcPr>
          <w:p>
            <w:pPr>
              <w:spacing w:after="0"/>
              <w:rPr>
                <w:sz w:val="7"/>
                <w:szCs w:val="7"/>
                <w:color w:val="auto"/>
              </w:rPr>
            </w:pPr>
          </w:p>
        </w:tc>
        <w:tc>
          <w:tcPr>
            <w:tcW w:w="40" w:type="dxa"/>
            <w:vAlign w:val="bottom"/>
            <w:shd w:val="clear" w:color="auto" w:fill="1F2A44"/>
          </w:tcPr>
          <w:p>
            <w:pPr>
              <w:spacing w:after="0"/>
              <w:rPr>
                <w:sz w:val="7"/>
                <w:szCs w:val="7"/>
                <w:color w:val="auto"/>
              </w:rPr>
            </w:pPr>
          </w:p>
        </w:tc>
        <w:tc>
          <w:tcPr>
            <w:tcW w:w="1320" w:type="dxa"/>
            <w:vAlign w:val="bottom"/>
            <w:shd w:val="clear" w:color="auto" w:fill="1F2A44"/>
          </w:tcPr>
          <w:p>
            <w:pPr>
              <w:spacing w:after="0"/>
              <w:rPr>
                <w:sz w:val="7"/>
                <w:szCs w:val="7"/>
                <w:color w:val="auto"/>
              </w:rPr>
            </w:pPr>
          </w:p>
        </w:tc>
        <w:tc>
          <w:tcPr>
            <w:tcW w:w="820" w:type="dxa"/>
            <w:vAlign w:val="bottom"/>
            <w:shd w:val="clear" w:color="auto" w:fill="1F2A44"/>
          </w:tcPr>
          <w:p>
            <w:pPr>
              <w:spacing w:after="0"/>
              <w:rPr>
                <w:sz w:val="7"/>
                <w:szCs w:val="7"/>
                <w:color w:val="auto"/>
              </w:rPr>
            </w:pPr>
          </w:p>
        </w:tc>
        <w:tc>
          <w:tcPr>
            <w:tcW w:w="2340" w:type="dxa"/>
            <w:vAlign w:val="bottom"/>
            <w:shd w:val="clear" w:color="auto" w:fill="1F2A44"/>
          </w:tcPr>
          <w:p>
            <w:pPr>
              <w:spacing w:after="0"/>
              <w:rPr>
                <w:sz w:val="7"/>
                <w:szCs w:val="7"/>
                <w:color w:val="auto"/>
              </w:rPr>
            </w:pPr>
          </w:p>
        </w:tc>
        <w:tc>
          <w:tcPr>
            <w:tcW w:w="980" w:type="dxa"/>
            <w:vAlign w:val="bottom"/>
            <w:shd w:val="clear" w:color="auto" w:fill="1F2A44"/>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460" w:type="dxa"/>
            <w:vAlign w:val="bottom"/>
          </w:tcPr>
          <w:p>
            <w:pPr>
              <w:spacing w:after="0"/>
              <w:rPr>
                <w:sz w:val="16"/>
                <w:szCs w:val="16"/>
                <w:color w:val="auto"/>
              </w:rPr>
            </w:pPr>
          </w:p>
        </w:tc>
        <w:tc>
          <w:tcPr>
            <w:tcW w:w="9580" w:type="dxa"/>
            <w:vAlign w:val="bottom"/>
            <w:gridSpan w:val="22"/>
          </w:tcPr>
          <w:p>
            <w:pPr>
              <w:spacing w:after="0" w:line="189" w:lineRule="exact"/>
              <w:rPr>
                <w:rFonts w:ascii="Arial" w:cs="Arial" w:eastAsia="Arial" w:hAnsi="Arial"/>
                <w:sz w:val="20"/>
                <w:szCs w:val="20"/>
                <w:color w:val="0000EE"/>
              </w:rPr>
            </w:pPr>
            <w:hyperlink w:anchor="page19">
              <w:r>
                <w:rPr>
                  <w:rFonts w:ascii="Arial" w:cs="Arial" w:eastAsia="Arial" w:hAnsi="Arial"/>
                  <w:sz w:val="20"/>
                  <w:szCs w:val="20"/>
                  <w:color w:val="0000EE"/>
                </w:rPr>
                <w:t>Executive Officers</w:t>
              </w:r>
            </w:hyperlink>
          </w:p>
        </w:tc>
        <w:tc>
          <w:tcPr>
            <w:tcW w:w="980" w:type="dxa"/>
            <w:vAlign w:val="bottom"/>
          </w:tcPr>
          <w:p>
            <w:pPr>
              <w:jc w:val="right"/>
              <w:ind w:right="41"/>
              <w:spacing w:after="0" w:line="189" w:lineRule="exact"/>
              <w:rPr>
                <w:sz w:val="20"/>
                <w:szCs w:val="20"/>
                <w:color w:val="auto"/>
              </w:rPr>
            </w:pPr>
            <w:r>
              <w:rPr>
                <w:rFonts w:ascii="Arial" w:cs="Arial" w:eastAsia="Arial" w:hAnsi="Arial"/>
                <w:sz w:val="20"/>
                <w:szCs w:val="20"/>
                <w:color w:val="auto"/>
              </w:rPr>
              <w:t>13</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980" w:type="dxa"/>
            <w:vAlign w:val="bottom"/>
            <w:vMerge w:val="restart"/>
          </w:tcPr>
          <w:p>
            <w:pPr>
              <w:jc w:val="right"/>
              <w:ind w:right="41"/>
              <w:spacing w:after="0" w:line="216" w:lineRule="exact"/>
              <w:rPr>
                <w:sz w:val="20"/>
                <w:szCs w:val="20"/>
                <w:color w:val="auto"/>
              </w:rPr>
            </w:pPr>
            <w:r>
              <w:rPr>
                <w:rFonts w:ascii="Arial" w:cs="Arial" w:eastAsia="Arial" w:hAnsi="Arial"/>
                <w:sz w:val="20"/>
                <w:szCs w:val="20"/>
                <w:color w:val="auto"/>
              </w:rPr>
              <w:t>14</w:t>
            </w: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7240" w:type="dxa"/>
            <w:vAlign w:val="bottom"/>
            <w:tcBorders>
              <w:bottom w:val="single" w:sz="8" w:color="0000EE"/>
            </w:tcBorders>
            <w:gridSpan w:val="21"/>
          </w:tcPr>
          <w:p>
            <w:pPr>
              <w:spacing w:after="0" w:line="196" w:lineRule="exact"/>
              <w:rPr>
                <w:rFonts w:ascii="Arial" w:cs="Arial" w:eastAsia="Arial" w:hAnsi="Arial"/>
                <w:sz w:val="20"/>
                <w:szCs w:val="20"/>
                <w:color w:val="0000EE"/>
                <w:w w:val="99"/>
              </w:rPr>
            </w:pPr>
            <w:hyperlink w:anchor="page20">
              <w:r>
                <w:rPr>
                  <w:rFonts w:ascii="Arial" w:cs="Arial" w:eastAsia="Arial" w:hAnsi="Arial"/>
                  <w:sz w:val="20"/>
                  <w:szCs w:val="20"/>
                  <w:color w:val="0000EE"/>
                  <w:w w:val="99"/>
                </w:rPr>
                <w:t>Proposal 2—Advisory Vote on the Compensation of our Named Executive Officers</w:t>
              </w:r>
            </w:hyperlink>
          </w:p>
        </w:tc>
        <w:tc>
          <w:tcPr>
            <w:tcW w:w="234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460" w:type="dxa"/>
            <w:vAlign w:val="bottom"/>
            <w:tcBorders>
              <w:bottom w:val="single" w:sz="8" w:color="0000EE"/>
            </w:tcBorders>
            <w:gridSpan w:val="14"/>
          </w:tcPr>
          <w:p>
            <w:pPr>
              <w:spacing w:after="0" w:line="196" w:lineRule="exact"/>
              <w:rPr>
                <w:rFonts w:ascii="Arial" w:cs="Arial" w:eastAsia="Arial" w:hAnsi="Arial"/>
                <w:sz w:val="20"/>
                <w:szCs w:val="20"/>
                <w:color w:val="0000EE"/>
                <w:w w:val="98"/>
              </w:rPr>
            </w:pPr>
            <w:hyperlink w:anchor="page21">
              <w:r>
                <w:rPr>
                  <w:rFonts w:ascii="Arial" w:cs="Arial" w:eastAsia="Arial" w:hAnsi="Arial"/>
                  <w:sz w:val="20"/>
                  <w:szCs w:val="20"/>
                  <w:color w:val="0000EE"/>
                  <w:w w:val="98"/>
                </w:rPr>
                <w:t>Compensation Discussion and Analysis</w:t>
              </w:r>
            </w:hyperlink>
          </w:p>
        </w:tc>
        <w:tc>
          <w:tcPr>
            <w:tcW w:w="6120" w:type="dxa"/>
            <w:vAlign w:val="bottom"/>
            <w:gridSpan w:val="8"/>
          </w:tcPr>
          <w:p>
            <w:pPr>
              <w:spacing w:after="0"/>
              <w:rPr>
                <w:sz w:val="17"/>
                <w:szCs w:val="17"/>
                <w:color w:val="auto"/>
              </w:rPr>
            </w:pPr>
          </w:p>
        </w:tc>
        <w:tc>
          <w:tcPr>
            <w:tcW w:w="980" w:type="dxa"/>
            <w:vAlign w:val="bottom"/>
          </w:tcPr>
          <w:p>
            <w:pPr>
              <w:jc w:val="right"/>
              <w:ind w:right="41"/>
              <w:spacing w:after="0" w:line="196" w:lineRule="exact"/>
              <w:rPr>
                <w:sz w:val="20"/>
                <w:szCs w:val="20"/>
                <w:color w:val="auto"/>
              </w:rPr>
            </w:pPr>
            <w:r>
              <w:rPr>
                <w:rFonts w:ascii="Arial" w:cs="Arial" w:eastAsia="Arial" w:hAnsi="Arial"/>
                <w:sz w:val="20"/>
                <w:szCs w:val="20"/>
                <w:color w:val="auto"/>
              </w:rPr>
              <w:t>15</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0" w:type="dxa"/>
            <w:vAlign w:val="bottom"/>
            <w:gridSpan w:val="21"/>
          </w:tcPr>
          <w:p>
            <w:pPr>
              <w:spacing w:after="0" w:line="196" w:lineRule="exact"/>
              <w:rPr>
                <w:rFonts w:ascii="Arial" w:cs="Arial" w:eastAsia="Arial" w:hAnsi="Arial"/>
                <w:sz w:val="20"/>
                <w:szCs w:val="20"/>
                <w:color w:val="0000EE"/>
              </w:rPr>
            </w:pPr>
            <w:hyperlink w:anchor="page21">
              <w:r>
                <w:rPr>
                  <w:rFonts w:ascii="Arial" w:cs="Arial" w:eastAsia="Arial" w:hAnsi="Arial"/>
                  <w:sz w:val="20"/>
                  <w:szCs w:val="20"/>
                  <w:color w:val="0000EE"/>
                </w:rPr>
                <w:t>2018 Performance Highlights</w:t>
              </w:r>
            </w:hyperlink>
          </w:p>
        </w:tc>
        <w:tc>
          <w:tcPr>
            <w:tcW w:w="980" w:type="dxa"/>
            <w:vAlign w:val="bottom"/>
          </w:tcPr>
          <w:p>
            <w:pPr>
              <w:jc w:val="right"/>
              <w:ind w:right="41"/>
              <w:spacing w:after="0" w:line="196" w:lineRule="exact"/>
              <w:rPr>
                <w:sz w:val="20"/>
                <w:szCs w:val="20"/>
                <w:color w:val="auto"/>
              </w:rPr>
            </w:pPr>
            <w:r>
              <w:rPr>
                <w:rFonts w:ascii="Arial" w:cs="Arial" w:eastAsia="Arial" w:hAnsi="Arial"/>
                <w:sz w:val="20"/>
                <w:szCs w:val="20"/>
                <w:color w:val="auto"/>
              </w:rPr>
              <w:t>15</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160" w:type="dxa"/>
            <w:vAlign w:val="bottom"/>
            <w:gridSpan w:val="2"/>
          </w:tcPr>
          <w:p>
            <w:pPr>
              <w:spacing w:after="0" w:line="20" w:lineRule="exact"/>
              <w:rPr>
                <w:sz w:val="1"/>
                <w:szCs w:val="1"/>
                <w:color w:val="auto"/>
              </w:rPr>
            </w:pPr>
          </w:p>
        </w:tc>
        <w:tc>
          <w:tcPr>
            <w:tcW w:w="980" w:type="dxa"/>
            <w:vAlign w:val="bottom"/>
            <w:vMerge w:val="restart"/>
          </w:tcPr>
          <w:p>
            <w:pPr>
              <w:jc w:val="right"/>
              <w:ind w:right="41"/>
              <w:spacing w:after="0" w:line="216" w:lineRule="exact"/>
              <w:rPr>
                <w:sz w:val="20"/>
                <w:szCs w:val="20"/>
                <w:color w:val="auto"/>
              </w:rPr>
            </w:pPr>
            <w:r>
              <w:rPr>
                <w:rFonts w:ascii="Arial" w:cs="Arial" w:eastAsia="Arial" w:hAnsi="Arial"/>
                <w:sz w:val="20"/>
                <w:szCs w:val="20"/>
                <w:color w:val="auto"/>
              </w:rPr>
              <w:t>16</w:t>
            </w: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780" w:type="dxa"/>
            <w:vAlign w:val="bottom"/>
            <w:tcBorders>
              <w:bottom w:val="single" w:sz="8" w:color="0000EE"/>
            </w:tcBorders>
            <w:gridSpan w:val="16"/>
          </w:tcPr>
          <w:p>
            <w:pPr>
              <w:spacing w:after="0" w:line="196" w:lineRule="exact"/>
              <w:rPr>
                <w:rFonts w:ascii="Arial" w:cs="Arial" w:eastAsia="Arial" w:hAnsi="Arial"/>
                <w:sz w:val="20"/>
                <w:szCs w:val="20"/>
                <w:color w:val="0000EE"/>
                <w:w w:val="98"/>
              </w:rPr>
            </w:pPr>
            <w:hyperlink w:anchor="page22">
              <w:r>
                <w:rPr>
                  <w:rFonts w:ascii="Arial" w:cs="Arial" w:eastAsia="Arial" w:hAnsi="Arial"/>
                  <w:sz w:val="20"/>
                  <w:szCs w:val="20"/>
                  <w:color w:val="0000EE"/>
                  <w:w w:val="98"/>
                </w:rPr>
                <w:t>Corporate Responsibility and Sustainability</w:t>
              </w:r>
            </w:hyperlink>
          </w:p>
        </w:tc>
        <w:tc>
          <w:tcPr>
            <w:tcW w:w="5420" w:type="dxa"/>
            <w:vAlign w:val="bottom"/>
            <w:gridSpan w:val="5"/>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0" w:type="dxa"/>
            <w:vAlign w:val="bottom"/>
            <w:gridSpan w:val="21"/>
          </w:tcPr>
          <w:p>
            <w:pPr>
              <w:spacing w:after="0" w:line="196" w:lineRule="exact"/>
              <w:rPr>
                <w:rFonts w:ascii="Arial" w:cs="Arial" w:eastAsia="Arial" w:hAnsi="Arial"/>
                <w:sz w:val="20"/>
                <w:szCs w:val="20"/>
                <w:color w:val="0000EE"/>
              </w:rPr>
            </w:pPr>
            <w:hyperlink w:anchor="page22">
              <w:r>
                <w:rPr>
                  <w:rFonts w:ascii="Arial" w:cs="Arial" w:eastAsia="Arial" w:hAnsi="Arial"/>
                  <w:sz w:val="20"/>
                  <w:szCs w:val="20"/>
                  <w:color w:val="0000EE"/>
                </w:rPr>
                <w:t>2018 Compensation Highlights</w:t>
              </w:r>
            </w:hyperlink>
          </w:p>
        </w:tc>
        <w:tc>
          <w:tcPr>
            <w:tcW w:w="980" w:type="dxa"/>
            <w:vAlign w:val="bottom"/>
          </w:tcPr>
          <w:p>
            <w:pPr>
              <w:jc w:val="right"/>
              <w:ind w:right="41"/>
              <w:spacing w:after="0" w:line="196" w:lineRule="exact"/>
              <w:rPr>
                <w:sz w:val="20"/>
                <w:szCs w:val="20"/>
                <w:color w:val="auto"/>
              </w:rPr>
            </w:pPr>
            <w:r>
              <w:rPr>
                <w:rFonts w:ascii="Arial" w:cs="Arial" w:eastAsia="Arial" w:hAnsi="Arial"/>
                <w:sz w:val="20"/>
                <w:szCs w:val="20"/>
                <w:color w:val="auto"/>
              </w:rPr>
              <w:t>16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160" w:type="dxa"/>
            <w:vAlign w:val="bottom"/>
            <w:gridSpan w:val="2"/>
          </w:tcPr>
          <w:p>
            <w:pPr>
              <w:spacing w:after="0" w:line="20" w:lineRule="exact"/>
              <w:rPr>
                <w:sz w:val="1"/>
                <w:szCs w:val="1"/>
                <w:color w:val="auto"/>
              </w:rPr>
            </w:pPr>
          </w:p>
        </w:tc>
        <w:tc>
          <w:tcPr>
            <w:tcW w:w="980" w:type="dxa"/>
            <w:vAlign w:val="bottom"/>
            <w:vMerge w:val="restart"/>
          </w:tcPr>
          <w:p>
            <w:pPr>
              <w:jc w:val="right"/>
              <w:ind w:right="41"/>
              <w:spacing w:after="0" w:line="216" w:lineRule="exact"/>
              <w:rPr>
                <w:sz w:val="20"/>
                <w:szCs w:val="20"/>
                <w:color w:val="auto"/>
              </w:rPr>
            </w:pPr>
            <w:r>
              <w:rPr>
                <w:rFonts w:ascii="Arial" w:cs="Arial" w:eastAsia="Arial" w:hAnsi="Arial"/>
                <w:sz w:val="20"/>
                <w:szCs w:val="20"/>
                <w:color w:val="auto"/>
              </w:rPr>
              <w:t>17</w:t>
            </w: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80" w:type="dxa"/>
            <w:vAlign w:val="bottom"/>
            <w:tcBorders>
              <w:bottom w:val="single" w:sz="8" w:color="0000EE"/>
            </w:tcBorders>
            <w:gridSpan w:val="17"/>
          </w:tcPr>
          <w:p>
            <w:pPr>
              <w:spacing w:after="0" w:line="196" w:lineRule="exact"/>
              <w:rPr>
                <w:rFonts w:ascii="Arial" w:cs="Arial" w:eastAsia="Arial" w:hAnsi="Arial"/>
                <w:sz w:val="20"/>
                <w:szCs w:val="20"/>
                <w:color w:val="0000EE"/>
                <w:w w:val="98"/>
              </w:rPr>
            </w:pPr>
            <w:hyperlink w:anchor="page23">
              <w:r>
                <w:rPr>
                  <w:rFonts w:ascii="Arial" w:cs="Arial" w:eastAsia="Arial" w:hAnsi="Arial"/>
                  <w:sz w:val="20"/>
                  <w:szCs w:val="20"/>
                  <w:color w:val="0000EE"/>
                  <w:w w:val="98"/>
                </w:rPr>
                <w:t>2018 Compensation and Compensation Components</w:t>
              </w:r>
            </w:hyperlink>
          </w:p>
        </w:tc>
        <w:tc>
          <w:tcPr>
            <w:tcW w:w="4520" w:type="dxa"/>
            <w:vAlign w:val="bottom"/>
            <w:gridSpan w:val="4"/>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60" w:type="dxa"/>
            <w:vAlign w:val="bottom"/>
            <w:tcBorders>
              <w:bottom w:val="single" w:sz="8" w:color="0000EE"/>
            </w:tcBorders>
            <w:gridSpan w:val="7"/>
          </w:tcPr>
          <w:p>
            <w:pPr>
              <w:spacing w:after="0" w:line="196" w:lineRule="exact"/>
              <w:rPr>
                <w:rFonts w:ascii="Arial" w:cs="Arial" w:eastAsia="Arial" w:hAnsi="Arial"/>
                <w:sz w:val="20"/>
                <w:szCs w:val="20"/>
                <w:color w:val="0000EE"/>
                <w:w w:val="98"/>
              </w:rPr>
            </w:pPr>
            <w:hyperlink w:anchor="page24">
              <w:r>
                <w:rPr>
                  <w:rFonts w:ascii="Arial" w:cs="Arial" w:eastAsia="Arial" w:hAnsi="Arial"/>
                  <w:sz w:val="20"/>
                  <w:szCs w:val="20"/>
                  <w:color w:val="0000EE"/>
                  <w:w w:val="98"/>
                </w:rPr>
                <w:t>Annual Compensation</w:t>
              </w:r>
            </w:hyperlink>
          </w:p>
        </w:tc>
        <w:tc>
          <w:tcPr>
            <w:tcW w:w="7240" w:type="dxa"/>
            <w:vAlign w:val="bottom"/>
            <w:gridSpan w:val="14"/>
          </w:tcPr>
          <w:p>
            <w:pPr>
              <w:spacing w:after="0"/>
              <w:rPr>
                <w:sz w:val="17"/>
                <w:szCs w:val="17"/>
                <w:color w:val="auto"/>
              </w:rPr>
            </w:pPr>
          </w:p>
        </w:tc>
        <w:tc>
          <w:tcPr>
            <w:tcW w:w="980" w:type="dxa"/>
            <w:vAlign w:val="bottom"/>
          </w:tcPr>
          <w:p>
            <w:pPr>
              <w:jc w:val="right"/>
              <w:ind w:right="41"/>
              <w:spacing w:after="0" w:line="196" w:lineRule="exact"/>
              <w:rPr>
                <w:sz w:val="20"/>
                <w:szCs w:val="20"/>
                <w:color w:val="auto"/>
              </w:rPr>
            </w:pPr>
            <w:r>
              <w:rPr>
                <w:rFonts w:ascii="Arial" w:cs="Arial" w:eastAsia="Arial" w:hAnsi="Arial"/>
                <w:sz w:val="20"/>
                <w:szCs w:val="20"/>
                <w:color w:val="auto"/>
              </w:rPr>
              <w:t>18</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0" w:type="dxa"/>
            <w:vAlign w:val="bottom"/>
            <w:gridSpan w:val="21"/>
          </w:tcPr>
          <w:p>
            <w:pPr>
              <w:spacing w:after="0" w:line="196" w:lineRule="exact"/>
              <w:rPr>
                <w:rFonts w:ascii="Arial" w:cs="Arial" w:eastAsia="Arial" w:hAnsi="Arial"/>
                <w:sz w:val="20"/>
                <w:szCs w:val="20"/>
                <w:color w:val="0000EE"/>
              </w:rPr>
            </w:pPr>
            <w:hyperlink w:anchor="page24">
              <w:r>
                <w:rPr>
                  <w:rFonts w:ascii="Arial" w:cs="Arial" w:eastAsia="Arial" w:hAnsi="Arial"/>
                  <w:sz w:val="20"/>
                  <w:szCs w:val="20"/>
                  <w:color w:val="0000EE"/>
                </w:rPr>
                <w:t>Fixed Compensation—Base Salary</w:t>
              </w:r>
            </w:hyperlink>
          </w:p>
        </w:tc>
        <w:tc>
          <w:tcPr>
            <w:tcW w:w="980" w:type="dxa"/>
            <w:vAlign w:val="bottom"/>
          </w:tcPr>
          <w:p>
            <w:pPr>
              <w:jc w:val="right"/>
              <w:ind w:right="41"/>
              <w:spacing w:after="0" w:line="196" w:lineRule="exact"/>
              <w:rPr>
                <w:sz w:val="20"/>
                <w:szCs w:val="20"/>
                <w:color w:val="auto"/>
              </w:rPr>
            </w:pPr>
            <w:r>
              <w:rPr>
                <w:rFonts w:ascii="Arial" w:cs="Arial" w:eastAsia="Arial" w:hAnsi="Arial"/>
                <w:sz w:val="20"/>
                <w:szCs w:val="20"/>
                <w:color w:val="auto"/>
              </w:rPr>
              <w:t>18</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80" w:type="dxa"/>
            <w:vAlign w:val="bottom"/>
            <w:tcBorders>
              <w:top w:val="single" w:sz="8" w:color="0000EE"/>
            </w:tcBorders>
            <w:gridSpan w:val="13"/>
          </w:tcPr>
          <w:p>
            <w:pPr>
              <w:spacing w:after="0" w:line="196" w:lineRule="exact"/>
              <w:rPr>
                <w:rFonts w:ascii="Arial" w:cs="Arial" w:eastAsia="Arial" w:hAnsi="Arial"/>
                <w:sz w:val="20"/>
                <w:szCs w:val="20"/>
                <w:color w:val="0000EE"/>
              </w:rPr>
            </w:pPr>
            <w:hyperlink w:anchor="page25">
              <w:r>
                <w:rPr>
                  <w:rFonts w:ascii="Arial" w:cs="Arial" w:eastAsia="Arial" w:hAnsi="Arial"/>
                  <w:sz w:val="20"/>
                  <w:szCs w:val="20"/>
                  <w:color w:val="0000EE"/>
                </w:rPr>
                <w:t>At Risk Compensation</w:t>
              </w:r>
            </w:hyperlink>
          </w:p>
        </w:tc>
        <w:tc>
          <w:tcPr>
            <w:tcW w:w="6120" w:type="dxa"/>
            <w:vAlign w:val="bottom"/>
            <w:gridSpan w:val="8"/>
          </w:tcPr>
          <w:p>
            <w:pPr>
              <w:spacing w:after="0"/>
              <w:rPr>
                <w:sz w:val="17"/>
                <w:szCs w:val="17"/>
                <w:color w:val="auto"/>
              </w:rPr>
            </w:pPr>
          </w:p>
        </w:tc>
        <w:tc>
          <w:tcPr>
            <w:tcW w:w="980" w:type="dxa"/>
            <w:vAlign w:val="bottom"/>
          </w:tcPr>
          <w:p>
            <w:pPr>
              <w:jc w:val="right"/>
              <w:ind w:right="41"/>
              <w:spacing w:after="0" w:line="196" w:lineRule="exact"/>
              <w:rPr>
                <w:sz w:val="20"/>
                <w:szCs w:val="20"/>
                <w:color w:val="auto"/>
              </w:rPr>
            </w:pPr>
            <w:r>
              <w:rPr>
                <w:rFonts w:ascii="Arial" w:cs="Arial" w:eastAsia="Arial" w:hAnsi="Arial"/>
                <w:sz w:val="20"/>
                <w:szCs w:val="20"/>
                <w:color w:val="auto"/>
              </w:rPr>
              <w:t>19</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00" w:type="dxa"/>
            <w:vAlign w:val="bottom"/>
            <w:tcBorders>
              <w:top w:val="single" w:sz="8" w:color="0000EE"/>
              <w:bottom w:val="single" w:sz="8" w:color="0000EE"/>
            </w:tcBorders>
            <w:gridSpan w:val="4"/>
          </w:tcPr>
          <w:p>
            <w:pPr>
              <w:spacing w:after="0" w:line="196" w:lineRule="exact"/>
              <w:rPr>
                <w:rFonts w:ascii="Arial" w:cs="Arial" w:eastAsia="Arial" w:hAnsi="Arial"/>
                <w:sz w:val="20"/>
                <w:szCs w:val="20"/>
                <w:color w:val="0000EE"/>
                <w:w w:val="98"/>
              </w:rPr>
            </w:pPr>
            <w:hyperlink w:anchor="page25">
              <w:r>
                <w:rPr>
                  <w:rFonts w:ascii="Arial" w:cs="Arial" w:eastAsia="Arial" w:hAnsi="Arial"/>
                  <w:sz w:val="20"/>
                  <w:szCs w:val="20"/>
                  <w:color w:val="0000EE"/>
                  <w:w w:val="98"/>
                </w:rPr>
                <w:t>Annual Bonus Plan</w:t>
              </w:r>
            </w:hyperlink>
          </w:p>
        </w:tc>
        <w:tc>
          <w:tcPr>
            <w:tcW w:w="260" w:type="dxa"/>
            <w:vAlign w:val="bottom"/>
            <w:tcBorders>
              <w:top w:val="single" w:sz="8" w:color="0000EE"/>
            </w:tcBorders>
            <w:gridSpan w:val="3"/>
          </w:tcPr>
          <w:p>
            <w:pPr>
              <w:spacing w:after="0"/>
              <w:rPr>
                <w:sz w:val="17"/>
                <w:szCs w:val="17"/>
                <w:color w:val="auto"/>
              </w:rPr>
            </w:pPr>
          </w:p>
        </w:tc>
        <w:tc>
          <w:tcPr>
            <w:tcW w:w="7240" w:type="dxa"/>
            <w:vAlign w:val="bottom"/>
            <w:gridSpan w:val="14"/>
          </w:tcPr>
          <w:p>
            <w:pPr>
              <w:spacing w:after="0"/>
              <w:rPr>
                <w:sz w:val="17"/>
                <w:szCs w:val="17"/>
                <w:color w:val="auto"/>
              </w:rPr>
            </w:pPr>
          </w:p>
        </w:tc>
        <w:tc>
          <w:tcPr>
            <w:tcW w:w="980" w:type="dxa"/>
            <w:vAlign w:val="bottom"/>
          </w:tcPr>
          <w:p>
            <w:pPr>
              <w:jc w:val="right"/>
              <w:ind w:right="41"/>
              <w:spacing w:after="0" w:line="196" w:lineRule="exact"/>
              <w:rPr>
                <w:sz w:val="20"/>
                <w:szCs w:val="20"/>
                <w:color w:val="auto"/>
              </w:rPr>
            </w:pPr>
            <w:r>
              <w:rPr>
                <w:rFonts w:ascii="Arial" w:cs="Arial" w:eastAsia="Arial" w:hAnsi="Arial"/>
                <w:sz w:val="20"/>
                <w:szCs w:val="20"/>
                <w:color w:val="auto"/>
              </w:rPr>
              <w:t>19</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0" w:type="dxa"/>
            <w:vAlign w:val="bottom"/>
            <w:gridSpan w:val="21"/>
          </w:tcPr>
          <w:p>
            <w:pPr>
              <w:spacing w:after="0" w:line="196" w:lineRule="exact"/>
              <w:rPr>
                <w:rFonts w:ascii="Arial" w:cs="Arial" w:eastAsia="Arial" w:hAnsi="Arial"/>
                <w:sz w:val="20"/>
                <w:szCs w:val="20"/>
                <w:color w:val="0000EE"/>
              </w:rPr>
            </w:pPr>
            <w:hyperlink w:anchor="page26">
              <w:r>
                <w:rPr>
                  <w:rFonts w:ascii="Arial" w:cs="Arial" w:eastAsia="Arial" w:hAnsi="Arial"/>
                  <w:sz w:val="20"/>
                  <w:szCs w:val="20"/>
                  <w:color w:val="0000EE"/>
                </w:rPr>
                <w:t>Long-Term Incentive Award Program</w:t>
              </w:r>
            </w:hyperlink>
          </w:p>
        </w:tc>
        <w:tc>
          <w:tcPr>
            <w:tcW w:w="980" w:type="dxa"/>
            <w:vAlign w:val="bottom"/>
          </w:tcPr>
          <w:p>
            <w:pPr>
              <w:jc w:val="right"/>
              <w:ind w:right="41"/>
              <w:spacing w:after="0" w:line="196" w:lineRule="exact"/>
              <w:rPr>
                <w:sz w:val="20"/>
                <w:szCs w:val="20"/>
                <w:color w:val="auto"/>
              </w:rPr>
            </w:pPr>
            <w:r>
              <w:rPr>
                <w:rFonts w:ascii="Arial" w:cs="Arial" w:eastAsia="Arial" w:hAnsi="Arial"/>
                <w:sz w:val="20"/>
                <w:szCs w:val="20"/>
                <w:color w:val="auto"/>
              </w:rPr>
              <w:t>20</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60" w:type="dxa"/>
            <w:vAlign w:val="bottom"/>
            <w:tcBorders>
              <w:top w:val="single" w:sz="8" w:color="0000EE"/>
              <w:bottom w:val="single" w:sz="8" w:color="0000EE"/>
            </w:tcBorders>
            <w:gridSpan w:val="8"/>
          </w:tcPr>
          <w:p>
            <w:pPr>
              <w:spacing w:after="0" w:line="196" w:lineRule="exact"/>
              <w:rPr>
                <w:rFonts w:ascii="Arial" w:cs="Arial" w:eastAsia="Arial" w:hAnsi="Arial"/>
                <w:sz w:val="20"/>
                <w:szCs w:val="20"/>
                <w:color w:val="0000EE"/>
                <w:w w:val="97"/>
              </w:rPr>
            </w:pPr>
            <w:hyperlink w:anchor="page27">
              <w:r>
                <w:rPr>
                  <w:rFonts w:ascii="Arial" w:cs="Arial" w:eastAsia="Arial" w:hAnsi="Arial"/>
                  <w:sz w:val="20"/>
                  <w:szCs w:val="20"/>
                  <w:color w:val="0000EE"/>
                  <w:w w:val="97"/>
                </w:rPr>
                <w:t>2018 Total Compensation</w:t>
              </w:r>
            </w:hyperlink>
          </w:p>
        </w:tc>
        <w:tc>
          <w:tcPr>
            <w:tcW w:w="960" w:type="dxa"/>
            <w:vAlign w:val="bottom"/>
            <w:tcBorders>
              <w:top w:val="single" w:sz="8" w:color="0000EE"/>
            </w:tcBorders>
            <w:gridSpan w:val="7"/>
          </w:tcPr>
          <w:p>
            <w:pPr>
              <w:spacing w:after="0"/>
              <w:rPr>
                <w:sz w:val="17"/>
                <w:szCs w:val="17"/>
                <w:color w:val="auto"/>
              </w:rPr>
            </w:pPr>
          </w:p>
        </w:tc>
        <w:tc>
          <w:tcPr>
            <w:tcW w:w="5980" w:type="dxa"/>
            <w:vAlign w:val="bottom"/>
            <w:gridSpan w:val="6"/>
          </w:tcPr>
          <w:p>
            <w:pPr>
              <w:spacing w:after="0"/>
              <w:rPr>
                <w:sz w:val="17"/>
                <w:szCs w:val="17"/>
                <w:color w:val="auto"/>
              </w:rPr>
            </w:pPr>
          </w:p>
        </w:tc>
        <w:tc>
          <w:tcPr>
            <w:tcW w:w="980" w:type="dxa"/>
            <w:vAlign w:val="bottom"/>
          </w:tcPr>
          <w:p>
            <w:pPr>
              <w:jc w:val="right"/>
              <w:ind w:right="41"/>
              <w:spacing w:after="0" w:line="196" w:lineRule="exact"/>
              <w:rPr>
                <w:sz w:val="20"/>
                <w:szCs w:val="20"/>
                <w:color w:val="auto"/>
              </w:rPr>
            </w:pPr>
            <w:r>
              <w:rPr>
                <w:rFonts w:ascii="Arial" w:cs="Arial" w:eastAsia="Arial" w:hAnsi="Arial"/>
                <w:sz w:val="20"/>
                <w:szCs w:val="20"/>
                <w:color w:val="auto"/>
              </w:rPr>
              <w:t>21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Borders>
              <w:bottom w:val="single" w:sz="8" w:color="0000EE"/>
            </w:tcBorders>
            <w:gridSpan w:val="3"/>
          </w:tcPr>
          <w:p>
            <w:pPr>
              <w:spacing w:after="0" w:line="196" w:lineRule="exact"/>
              <w:rPr>
                <w:rFonts w:ascii="Arial" w:cs="Arial" w:eastAsia="Arial" w:hAnsi="Arial"/>
                <w:sz w:val="20"/>
                <w:szCs w:val="20"/>
                <w:color w:val="0000EE"/>
                <w:w w:val="98"/>
              </w:rPr>
            </w:pPr>
            <w:hyperlink w:anchor="page28">
              <w:r>
                <w:rPr>
                  <w:rFonts w:ascii="Arial" w:cs="Arial" w:eastAsia="Arial" w:hAnsi="Arial"/>
                  <w:sz w:val="20"/>
                  <w:szCs w:val="20"/>
                  <w:color w:val="0000EE"/>
                  <w:w w:val="98"/>
                </w:rPr>
                <w:t>Other Benefits</w:t>
              </w:r>
            </w:hyperlink>
          </w:p>
        </w:tc>
        <w:tc>
          <w:tcPr>
            <w:tcW w:w="7920" w:type="dxa"/>
            <w:vAlign w:val="bottom"/>
            <w:gridSpan w:val="18"/>
          </w:tcPr>
          <w:p>
            <w:pPr>
              <w:spacing w:after="0"/>
              <w:rPr>
                <w:sz w:val="17"/>
                <w:szCs w:val="17"/>
                <w:color w:val="auto"/>
              </w:rPr>
            </w:pPr>
          </w:p>
        </w:tc>
        <w:tc>
          <w:tcPr>
            <w:tcW w:w="980" w:type="dxa"/>
            <w:vAlign w:val="bottom"/>
          </w:tcPr>
          <w:p>
            <w:pPr>
              <w:jc w:val="right"/>
              <w:ind w:right="41"/>
              <w:spacing w:after="0" w:line="196" w:lineRule="exact"/>
              <w:rPr>
                <w:sz w:val="20"/>
                <w:szCs w:val="20"/>
                <w:color w:val="auto"/>
              </w:rPr>
            </w:pPr>
            <w:r>
              <w:rPr>
                <w:rFonts w:ascii="Arial" w:cs="Arial" w:eastAsia="Arial" w:hAnsi="Arial"/>
                <w:sz w:val="20"/>
                <w:szCs w:val="20"/>
                <w:color w:val="auto"/>
              </w:rPr>
              <w:t>22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0" w:type="dxa"/>
            <w:vAlign w:val="bottom"/>
            <w:gridSpan w:val="21"/>
          </w:tcPr>
          <w:p>
            <w:pPr>
              <w:spacing w:after="0" w:line="196" w:lineRule="exact"/>
              <w:rPr>
                <w:rFonts w:ascii="Arial" w:cs="Arial" w:eastAsia="Arial" w:hAnsi="Arial"/>
                <w:sz w:val="20"/>
                <w:szCs w:val="20"/>
                <w:color w:val="0000EE"/>
              </w:rPr>
            </w:pPr>
            <w:hyperlink w:anchor="page28">
              <w:r>
                <w:rPr>
                  <w:rFonts w:ascii="Arial" w:cs="Arial" w:eastAsia="Arial" w:hAnsi="Arial"/>
                  <w:sz w:val="20"/>
                  <w:szCs w:val="20"/>
                  <w:color w:val="0000EE"/>
                </w:rPr>
                <w:t>Other Compensation Considerations</w:t>
              </w:r>
            </w:hyperlink>
          </w:p>
        </w:tc>
        <w:tc>
          <w:tcPr>
            <w:tcW w:w="980" w:type="dxa"/>
            <w:vAlign w:val="bottom"/>
          </w:tcPr>
          <w:p>
            <w:pPr>
              <w:jc w:val="right"/>
              <w:ind w:right="41"/>
              <w:spacing w:after="0" w:line="196" w:lineRule="exact"/>
              <w:rPr>
                <w:sz w:val="20"/>
                <w:szCs w:val="20"/>
                <w:color w:val="auto"/>
              </w:rPr>
            </w:pPr>
            <w:r>
              <w:rPr>
                <w:rFonts w:ascii="Arial" w:cs="Arial" w:eastAsia="Arial" w:hAnsi="Arial"/>
                <w:sz w:val="20"/>
                <w:szCs w:val="20"/>
                <w:color w:val="auto"/>
              </w:rPr>
              <w:t>22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860" w:type="dxa"/>
            <w:vAlign w:val="bottom"/>
            <w:tcBorders>
              <w:top w:val="single" w:sz="8" w:color="0000EE"/>
            </w:tcBorders>
            <w:gridSpan w:val="13"/>
          </w:tcPr>
          <w:p>
            <w:pPr>
              <w:spacing w:after="0" w:line="196" w:lineRule="exact"/>
              <w:rPr>
                <w:rFonts w:ascii="Arial" w:cs="Arial" w:eastAsia="Arial" w:hAnsi="Arial"/>
                <w:sz w:val="20"/>
                <w:szCs w:val="20"/>
                <w:color w:val="0000EE"/>
              </w:rPr>
            </w:pPr>
            <w:hyperlink w:anchor="page28">
              <w:r>
                <w:rPr>
                  <w:rFonts w:ascii="Arial" w:cs="Arial" w:eastAsia="Arial" w:hAnsi="Arial"/>
                  <w:sz w:val="20"/>
                  <w:szCs w:val="20"/>
                  <w:color w:val="0000EE"/>
                </w:rPr>
                <w:t>Equity Ownership</w:t>
              </w:r>
            </w:hyperlink>
          </w:p>
        </w:tc>
        <w:tc>
          <w:tcPr>
            <w:tcW w:w="6000" w:type="dxa"/>
            <w:vAlign w:val="bottom"/>
            <w:gridSpan w:val="7"/>
          </w:tcPr>
          <w:p>
            <w:pPr>
              <w:spacing w:after="0"/>
              <w:rPr>
                <w:sz w:val="17"/>
                <w:szCs w:val="17"/>
                <w:color w:val="auto"/>
              </w:rPr>
            </w:pPr>
          </w:p>
        </w:tc>
        <w:tc>
          <w:tcPr>
            <w:tcW w:w="980" w:type="dxa"/>
            <w:vAlign w:val="bottom"/>
          </w:tcPr>
          <w:p>
            <w:pPr>
              <w:jc w:val="right"/>
              <w:ind w:right="41"/>
              <w:spacing w:after="0" w:line="196" w:lineRule="exact"/>
              <w:rPr>
                <w:sz w:val="20"/>
                <w:szCs w:val="20"/>
                <w:color w:val="auto"/>
              </w:rPr>
            </w:pPr>
            <w:r>
              <w:rPr>
                <w:rFonts w:ascii="Arial" w:cs="Arial" w:eastAsia="Arial" w:hAnsi="Arial"/>
                <w:sz w:val="20"/>
                <w:szCs w:val="20"/>
                <w:color w:val="auto"/>
              </w:rPr>
              <w:t>22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20" w:type="dxa"/>
            <w:vAlign w:val="bottom"/>
            <w:tcBorders>
              <w:top w:val="single" w:sz="8" w:color="0000EE"/>
              <w:bottom w:val="single" w:sz="8" w:color="0000EE"/>
            </w:tcBorders>
            <w:gridSpan w:val="4"/>
          </w:tcPr>
          <w:p>
            <w:pPr>
              <w:spacing w:after="0" w:line="196" w:lineRule="exact"/>
              <w:rPr>
                <w:rFonts w:ascii="Arial" w:cs="Arial" w:eastAsia="Arial" w:hAnsi="Arial"/>
                <w:sz w:val="20"/>
                <w:szCs w:val="20"/>
                <w:color w:val="0000EE"/>
                <w:w w:val="97"/>
              </w:rPr>
            </w:pPr>
            <w:hyperlink w:anchor="page28">
              <w:r>
                <w:rPr>
                  <w:rFonts w:ascii="Arial" w:cs="Arial" w:eastAsia="Arial" w:hAnsi="Arial"/>
                  <w:sz w:val="20"/>
                  <w:szCs w:val="20"/>
                  <w:color w:val="0000EE"/>
                  <w:w w:val="97"/>
                </w:rPr>
                <w:t>Risk Assessment</w:t>
              </w:r>
            </w:hyperlink>
          </w:p>
        </w:tc>
        <w:tc>
          <w:tcPr>
            <w:tcW w:w="20" w:type="dxa"/>
            <w:vAlign w:val="bottom"/>
            <w:tcBorders>
              <w:top w:val="single" w:sz="8" w:color="0000EE"/>
            </w:tcBorders>
          </w:tcPr>
          <w:p>
            <w:pPr>
              <w:spacing w:after="0"/>
              <w:rPr>
                <w:sz w:val="17"/>
                <w:szCs w:val="17"/>
                <w:color w:val="auto"/>
              </w:rPr>
            </w:pPr>
          </w:p>
        </w:tc>
        <w:tc>
          <w:tcPr>
            <w:tcW w:w="7320" w:type="dxa"/>
            <w:vAlign w:val="bottom"/>
            <w:gridSpan w:val="15"/>
          </w:tcPr>
          <w:p>
            <w:pPr>
              <w:spacing w:after="0"/>
              <w:rPr>
                <w:sz w:val="17"/>
                <w:szCs w:val="17"/>
                <w:color w:val="auto"/>
              </w:rPr>
            </w:pPr>
          </w:p>
        </w:tc>
        <w:tc>
          <w:tcPr>
            <w:tcW w:w="980" w:type="dxa"/>
            <w:vAlign w:val="bottom"/>
          </w:tcPr>
          <w:p>
            <w:pPr>
              <w:jc w:val="right"/>
              <w:ind w:right="41"/>
              <w:spacing w:after="0" w:line="196" w:lineRule="exact"/>
              <w:rPr>
                <w:sz w:val="20"/>
                <w:szCs w:val="20"/>
                <w:color w:val="auto"/>
              </w:rPr>
            </w:pPr>
            <w:r>
              <w:rPr>
                <w:rFonts w:ascii="Arial" w:cs="Arial" w:eastAsia="Arial" w:hAnsi="Arial"/>
                <w:sz w:val="20"/>
                <w:szCs w:val="20"/>
                <w:color w:val="auto"/>
              </w:rPr>
              <w:t>22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60" w:type="dxa"/>
            <w:vAlign w:val="bottom"/>
            <w:tcBorders>
              <w:bottom w:val="single" w:sz="8" w:color="0000EE"/>
            </w:tcBorders>
            <w:gridSpan w:val="9"/>
          </w:tcPr>
          <w:p>
            <w:pPr>
              <w:spacing w:after="0" w:line="196" w:lineRule="exact"/>
              <w:rPr>
                <w:rFonts w:ascii="Arial" w:cs="Arial" w:eastAsia="Arial" w:hAnsi="Arial"/>
                <w:sz w:val="20"/>
                <w:szCs w:val="20"/>
                <w:color w:val="0000EE"/>
                <w:w w:val="97"/>
              </w:rPr>
            </w:pPr>
            <w:hyperlink w:anchor="page28">
              <w:r>
                <w:rPr>
                  <w:rFonts w:ascii="Arial" w:cs="Arial" w:eastAsia="Arial" w:hAnsi="Arial"/>
                  <w:sz w:val="20"/>
                  <w:szCs w:val="20"/>
                  <w:color w:val="0000EE"/>
                  <w:w w:val="97"/>
                </w:rPr>
                <w:t>Timing of Equity Grants</w:t>
              </w:r>
            </w:hyperlink>
          </w:p>
        </w:tc>
        <w:tc>
          <w:tcPr>
            <w:tcW w:w="6800" w:type="dxa"/>
            <w:vAlign w:val="bottom"/>
            <w:gridSpan w:val="11"/>
          </w:tcPr>
          <w:p>
            <w:pPr>
              <w:spacing w:after="0"/>
              <w:rPr>
                <w:sz w:val="17"/>
                <w:szCs w:val="17"/>
                <w:color w:val="auto"/>
              </w:rPr>
            </w:pPr>
          </w:p>
        </w:tc>
        <w:tc>
          <w:tcPr>
            <w:tcW w:w="980" w:type="dxa"/>
            <w:vAlign w:val="bottom"/>
          </w:tcPr>
          <w:p>
            <w:pPr>
              <w:jc w:val="right"/>
              <w:ind w:right="41"/>
              <w:spacing w:after="0" w:line="196" w:lineRule="exact"/>
              <w:rPr>
                <w:sz w:val="20"/>
                <w:szCs w:val="20"/>
                <w:color w:val="auto"/>
              </w:rPr>
            </w:pPr>
            <w:r>
              <w:rPr>
                <w:rFonts w:ascii="Arial" w:cs="Arial" w:eastAsia="Arial" w:hAnsi="Arial"/>
                <w:sz w:val="20"/>
                <w:szCs w:val="20"/>
                <w:color w:val="auto"/>
              </w:rPr>
              <w:t>22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380" w:type="dxa"/>
            <w:vAlign w:val="bottom"/>
            <w:tcBorders>
              <w:bottom w:val="single" w:sz="8" w:color="0000EE"/>
            </w:tcBorders>
            <w:gridSpan w:val="17"/>
          </w:tcPr>
          <w:p>
            <w:pPr>
              <w:spacing w:after="0" w:line="196" w:lineRule="exact"/>
              <w:rPr>
                <w:rFonts w:ascii="Arial" w:cs="Arial" w:eastAsia="Arial" w:hAnsi="Arial"/>
                <w:sz w:val="20"/>
                <w:szCs w:val="20"/>
                <w:color w:val="0000EE"/>
                <w:w w:val="98"/>
              </w:rPr>
            </w:pPr>
            <w:hyperlink w:anchor="page28">
              <w:r>
                <w:rPr>
                  <w:rFonts w:ascii="Arial" w:cs="Arial" w:eastAsia="Arial" w:hAnsi="Arial"/>
                  <w:sz w:val="20"/>
                  <w:szCs w:val="20"/>
                  <w:color w:val="0000EE"/>
                  <w:w w:val="98"/>
                </w:rPr>
                <w:t>Termination and Change-in-Control Arrangements</w:t>
              </w:r>
            </w:hyperlink>
          </w:p>
        </w:tc>
        <w:tc>
          <w:tcPr>
            <w:tcW w:w="4480" w:type="dxa"/>
            <w:vAlign w:val="bottom"/>
            <w:gridSpan w:val="3"/>
          </w:tcPr>
          <w:p>
            <w:pPr>
              <w:spacing w:after="0"/>
              <w:rPr>
                <w:sz w:val="17"/>
                <w:szCs w:val="17"/>
                <w:color w:val="auto"/>
              </w:rPr>
            </w:pPr>
          </w:p>
        </w:tc>
        <w:tc>
          <w:tcPr>
            <w:tcW w:w="980" w:type="dxa"/>
            <w:vAlign w:val="bottom"/>
          </w:tcPr>
          <w:p>
            <w:pPr>
              <w:jc w:val="right"/>
              <w:ind w:right="41"/>
              <w:spacing w:after="0" w:line="196" w:lineRule="exact"/>
              <w:rPr>
                <w:sz w:val="20"/>
                <w:szCs w:val="20"/>
                <w:color w:val="auto"/>
              </w:rPr>
            </w:pPr>
            <w:r>
              <w:rPr>
                <w:rFonts w:ascii="Arial" w:cs="Arial" w:eastAsia="Arial" w:hAnsi="Arial"/>
                <w:sz w:val="20"/>
                <w:szCs w:val="20"/>
                <w:color w:val="auto"/>
              </w:rPr>
              <w:t>22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60" w:type="dxa"/>
            <w:vAlign w:val="bottom"/>
            <w:gridSpan w:val="20"/>
          </w:tcPr>
          <w:p>
            <w:pPr>
              <w:spacing w:after="0" w:line="196" w:lineRule="exact"/>
              <w:rPr>
                <w:rFonts w:ascii="Arial" w:cs="Arial" w:eastAsia="Arial" w:hAnsi="Arial"/>
                <w:sz w:val="20"/>
                <w:szCs w:val="20"/>
                <w:color w:val="0000EE"/>
              </w:rPr>
            </w:pPr>
            <w:hyperlink w:anchor="page28">
              <w:r>
                <w:rPr>
                  <w:rFonts w:ascii="Arial" w:cs="Arial" w:eastAsia="Arial" w:hAnsi="Arial"/>
                  <w:sz w:val="20"/>
                  <w:szCs w:val="20"/>
                  <w:color w:val="0000EE"/>
                </w:rPr>
                <w:t xml:space="preserve">Deductibility of Executive Compensation in Excess of </w:t>
              </w:r>
              <w:r>
                <w:rPr>
                  <w:rFonts w:ascii="Arial" w:cs="Arial" w:eastAsia="Arial" w:hAnsi="Arial"/>
                  <w:sz w:val="20"/>
                  <w:szCs w:val="20"/>
                  <w:u w:val="single" w:color="auto"/>
                  <w:color w:val="0000EE"/>
                </w:rPr>
                <w:t>$</w:t>
              </w:r>
              <w:r>
                <w:rPr>
                  <w:rFonts w:ascii="Arial" w:cs="Arial" w:eastAsia="Arial" w:hAnsi="Arial"/>
                  <w:sz w:val="20"/>
                  <w:szCs w:val="20"/>
                  <w:color w:val="0000EE"/>
                </w:rPr>
                <w:t>1.0 Million</w:t>
              </w:r>
            </w:hyperlink>
          </w:p>
        </w:tc>
        <w:tc>
          <w:tcPr>
            <w:tcW w:w="980" w:type="dxa"/>
            <w:vAlign w:val="bottom"/>
          </w:tcPr>
          <w:p>
            <w:pPr>
              <w:jc w:val="right"/>
              <w:ind w:right="41"/>
              <w:spacing w:after="0" w:line="196" w:lineRule="exact"/>
              <w:rPr>
                <w:sz w:val="20"/>
                <w:szCs w:val="20"/>
                <w:color w:val="auto"/>
              </w:rPr>
            </w:pPr>
            <w:r>
              <w:rPr>
                <w:rFonts w:ascii="Arial" w:cs="Arial" w:eastAsia="Arial" w:hAnsi="Arial"/>
                <w:sz w:val="20"/>
                <w:szCs w:val="20"/>
                <w:color w:val="auto"/>
              </w:rPr>
              <w:t>22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980" w:type="dxa"/>
            <w:vAlign w:val="bottom"/>
            <w:gridSpan w:val="8"/>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340" w:type="dxa"/>
            <w:vAlign w:val="bottom"/>
            <w:tcBorders>
              <w:left w:val="single" w:sz="8" w:color="0000EE"/>
            </w:tcBorders>
            <w:gridSpan w:val="7"/>
            <w:shd w:val="clear" w:color="auto" w:fill="0000EE"/>
          </w:tcPr>
          <w:p>
            <w:pPr>
              <w:spacing w:after="0" w:line="20" w:lineRule="exact"/>
              <w:rPr>
                <w:sz w:val="1"/>
                <w:szCs w:val="1"/>
                <w:color w:val="auto"/>
              </w:rPr>
            </w:pPr>
          </w:p>
        </w:tc>
        <w:tc>
          <w:tcPr>
            <w:tcW w:w="3160" w:type="dxa"/>
            <w:vAlign w:val="bottom"/>
            <w:gridSpan w:val="2"/>
          </w:tcPr>
          <w:p>
            <w:pPr>
              <w:spacing w:after="0" w:line="20" w:lineRule="exact"/>
              <w:rPr>
                <w:sz w:val="1"/>
                <w:szCs w:val="1"/>
                <w:color w:val="auto"/>
              </w:rPr>
            </w:pPr>
          </w:p>
        </w:tc>
        <w:tc>
          <w:tcPr>
            <w:tcW w:w="980" w:type="dxa"/>
            <w:vAlign w:val="bottom"/>
            <w:vMerge w:val="restart"/>
          </w:tcPr>
          <w:p>
            <w:pPr>
              <w:jc w:val="right"/>
              <w:ind w:right="41"/>
              <w:spacing w:after="0" w:line="216" w:lineRule="exact"/>
              <w:rPr>
                <w:sz w:val="20"/>
                <w:szCs w:val="20"/>
                <w:color w:val="auto"/>
              </w:rPr>
            </w:pPr>
            <w:r>
              <w:rPr>
                <w:rFonts w:ascii="Arial" w:cs="Arial" w:eastAsia="Arial" w:hAnsi="Arial"/>
                <w:sz w:val="20"/>
                <w:szCs w:val="20"/>
                <w:color w:val="auto"/>
              </w:rPr>
              <w:t>23</w:t>
            </w: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9580" w:type="dxa"/>
            <w:vAlign w:val="bottom"/>
            <w:gridSpan w:val="22"/>
          </w:tcPr>
          <w:p>
            <w:pPr>
              <w:spacing w:after="0" w:line="196" w:lineRule="exact"/>
              <w:rPr>
                <w:rFonts w:ascii="Arial" w:cs="Arial" w:eastAsia="Arial" w:hAnsi="Arial"/>
                <w:sz w:val="20"/>
                <w:szCs w:val="20"/>
                <w:color w:val="0000EE"/>
              </w:rPr>
            </w:pPr>
            <w:hyperlink w:anchor="page29">
              <w:r>
                <w:rPr>
                  <w:rFonts w:ascii="Arial" w:cs="Arial" w:eastAsia="Arial" w:hAnsi="Arial"/>
                  <w:sz w:val="20"/>
                  <w:szCs w:val="20"/>
                  <w:color w:val="0000EE"/>
                </w:rPr>
                <w:t>Compensation Committee Report</w:t>
              </w:r>
            </w:hyperlink>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700" w:type="dxa"/>
            <w:vAlign w:val="bottom"/>
            <w:tcBorders>
              <w:top w:val="single" w:sz="8" w:color="0000EE"/>
              <w:bottom w:val="single" w:sz="8" w:color="0000EE"/>
            </w:tcBorders>
            <w:gridSpan w:val="10"/>
          </w:tcPr>
          <w:p>
            <w:pPr>
              <w:spacing w:after="0" w:line="196" w:lineRule="exact"/>
              <w:rPr>
                <w:rFonts w:ascii="Arial" w:cs="Arial" w:eastAsia="Arial" w:hAnsi="Arial"/>
                <w:sz w:val="20"/>
                <w:szCs w:val="20"/>
                <w:color w:val="0000EE"/>
                <w:w w:val="97"/>
              </w:rPr>
            </w:pPr>
            <w:hyperlink w:anchor="page29">
              <w:r>
                <w:rPr>
                  <w:rFonts w:ascii="Arial" w:cs="Arial" w:eastAsia="Arial" w:hAnsi="Arial"/>
                  <w:sz w:val="20"/>
                  <w:szCs w:val="20"/>
                  <w:color w:val="0000EE"/>
                  <w:w w:val="97"/>
                </w:rPr>
                <w:t>Summary Compensation Table</w:t>
              </w:r>
            </w:hyperlink>
          </w:p>
        </w:tc>
        <w:tc>
          <w:tcPr>
            <w:tcW w:w="240" w:type="dxa"/>
            <w:vAlign w:val="bottom"/>
            <w:tcBorders>
              <w:top w:val="single" w:sz="8" w:color="0000EE"/>
            </w:tcBorders>
            <w:gridSpan w:val="2"/>
          </w:tcPr>
          <w:p>
            <w:pPr>
              <w:spacing w:after="0"/>
              <w:rPr>
                <w:sz w:val="17"/>
                <w:szCs w:val="17"/>
                <w:color w:val="auto"/>
              </w:rPr>
            </w:pPr>
          </w:p>
        </w:tc>
        <w:tc>
          <w:tcPr>
            <w:tcW w:w="6640" w:type="dxa"/>
            <w:vAlign w:val="bottom"/>
            <w:gridSpan w:val="10"/>
          </w:tcPr>
          <w:p>
            <w:pPr>
              <w:spacing w:after="0"/>
              <w:rPr>
                <w:sz w:val="17"/>
                <w:szCs w:val="17"/>
                <w:color w:val="auto"/>
              </w:rPr>
            </w:pPr>
          </w:p>
        </w:tc>
        <w:tc>
          <w:tcPr>
            <w:tcW w:w="980" w:type="dxa"/>
            <w:vAlign w:val="bottom"/>
          </w:tcPr>
          <w:p>
            <w:pPr>
              <w:jc w:val="right"/>
              <w:ind w:right="41"/>
              <w:spacing w:after="0" w:line="196" w:lineRule="exact"/>
              <w:rPr>
                <w:sz w:val="20"/>
                <w:szCs w:val="20"/>
                <w:color w:val="auto"/>
              </w:rPr>
            </w:pPr>
            <w:r>
              <w:rPr>
                <w:rFonts w:ascii="Arial" w:cs="Arial" w:eastAsia="Arial" w:hAnsi="Arial"/>
                <w:sz w:val="20"/>
                <w:szCs w:val="20"/>
                <w:color w:val="auto"/>
              </w:rPr>
              <w:t>23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9580" w:type="dxa"/>
            <w:vAlign w:val="bottom"/>
            <w:gridSpan w:val="22"/>
          </w:tcPr>
          <w:p>
            <w:pPr>
              <w:spacing w:after="0" w:line="196" w:lineRule="exact"/>
              <w:rPr>
                <w:rFonts w:ascii="Arial" w:cs="Arial" w:eastAsia="Arial" w:hAnsi="Arial"/>
                <w:sz w:val="20"/>
                <w:szCs w:val="20"/>
                <w:color w:val="0000EE"/>
              </w:rPr>
            </w:pPr>
            <w:hyperlink w:anchor="page30">
              <w:r>
                <w:rPr>
                  <w:rFonts w:ascii="Arial" w:cs="Arial" w:eastAsia="Arial" w:hAnsi="Arial"/>
                  <w:sz w:val="20"/>
                  <w:szCs w:val="20"/>
                  <w:color w:val="0000EE"/>
                </w:rPr>
                <w:t>Grants of Plan-Based Awards Table</w:t>
              </w:r>
            </w:hyperlink>
          </w:p>
        </w:tc>
        <w:tc>
          <w:tcPr>
            <w:tcW w:w="980" w:type="dxa"/>
            <w:vAlign w:val="bottom"/>
          </w:tcPr>
          <w:p>
            <w:pPr>
              <w:jc w:val="right"/>
              <w:ind w:right="41"/>
              <w:spacing w:after="0" w:line="196" w:lineRule="exact"/>
              <w:rPr>
                <w:sz w:val="20"/>
                <w:szCs w:val="20"/>
                <w:color w:val="auto"/>
              </w:rPr>
            </w:pPr>
            <w:r>
              <w:rPr>
                <w:rFonts w:ascii="Arial" w:cs="Arial" w:eastAsia="Arial" w:hAnsi="Arial"/>
                <w:sz w:val="20"/>
                <w:szCs w:val="20"/>
                <w:color w:val="auto"/>
              </w:rPr>
              <w:t>24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-3223895</wp:posOffset>
            </wp:positionV>
            <wp:extent cx="29190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919095" cy="889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5">
              <w:r>
                <w:rPr>
                  <w:rFonts w:ascii="Arial" w:cs="Arial" w:eastAsia="Arial" w:hAnsi="Arial"/>
                  <w:sz w:val="18"/>
                  <w:szCs w:val="18"/>
                  <w:b w:val="1"/>
                  <w:bCs w:val="1"/>
                  <w:color w:val="0000EE"/>
                  <w:w w:val="88"/>
                </w:rPr>
                <w:t>Table of Contents</w:t>
              </w:r>
            </w:hyperlink>
          </w:p>
        </w:tc>
        <w:tc>
          <w:tcPr>
            <w:tcW w:w="5800" w:type="dxa"/>
            <w:vAlign w:val="bottom"/>
            <w:gridSpan w:val="7"/>
          </w:tcPr>
          <w:p>
            <w:pPr>
              <w:spacing w:after="0"/>
              <w:rPr>
                <w:sz w:val="17"/>
                <w:szCs w:val="17"/>
                <w:color w:val="auto"/>
              </w:rPr>
            </w:pPr>
          </w:p>
        </w:tc>
        <w:tc>
          <w:tcPr>
            <w:tcW w:w="3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680" w:type="dxa"/>
            <w:vAlign w:val="bottom"/>
          </w:tcPr>
          <w:p>
            <w:pPr>
              <w:spacing w:after="0"/>
              <w:rPr>
                <w:sz w:val="24"/>
                <w:szCs w:val="24"/>
                <w:color w:val="auto"/>
              </w:rPr>
            </w:pPr>
          </w:p>
        </w:tc>
        <w:tc>
          <w:tcPr>
            <w:tcW w:w="6480" w:type="dxa"/>
            <w:vAlign w:val="bottom"/>
            <w:gridSpan w:val="8"/>
            <w:vMerge w:val="restart"/>
          </w:tcPr>
          <w:p>
            <w:pPr>
              <w:spacing w:after="0"/>
              <w:rPr>
                <w:rFonts w:ascii="Arial" w:cs="Arial" w:eastAsia="Arial" w:hAnsi="Arial"/>
                <w:sz w:val="20"/>
                <w:szCs w:val="20"/>
                <w:color w:val="0000EE"/>
              </w:rPr>
            </w:pPr>
            <w:hyperlink w:anchor="page31">
              <w:r>
                <w:rPr>
                  <w:rFonts w:ascii="Arial" w:cs="Arial" w:eastAsia="Arial" w:hAnsi="Arial"/>
                  <w:sz w:val="20"/>
                  <w:szCs w:val="20"/>
                  <w:color w:val="0000EE"/>
                </w:rPr>
                <w:t>Outstanding Equity Awards at Fiscal Year-End Table</w:t>
              </w:r>
            </w:hyperlink>
          </w:p>
        </w:tc>
        <w:tc>
          <w:tcPr>
            <w:tcW w:w="4000" w:type="dxa"/>
            <w:vAlign w:val="bottom"/>
            <w:gridSpan w:val="2"/>
          </w:tcPr>
          <w:p>
            <w:pPr>
              <w:jc w:val="right"/>
              <w:spacing w:after="0"/>
              <w:rPr>
                <w:sz w:val="20"/>
                <w:szCs w:val="20"/>
                <w:color w:val="auto"/>
              </w:rPr>
            </w:pPr>
            <w:r>
              <w:rPr>
                <w:rFonts w:ascii="Arial" w:cs="Arial" w:eastAsia="Arial" w:hAnsi="Arial"/>
                <w:sz w:val="20"/>
                <w:szCs w:val="20"/>
                <w:b w:val="1"/>
                <w:bCs w:val="1"/>
                <w:color w:val="1F2A44"/>
              </w:rPr>
              <w:t>Page</w:t>
            </w: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6480" w:type="dxa"/>
            <w:vAlign w:val="bottom"/>
            <w:gridSpan w:val="8"/>
            <w:vMerge w:val="continue"/>
          </w:tcPr>
          <w:p>
            <w:pPr>
              <w:spacing w:after="0"/>
              <w:rPr>
                <w:sz w:val="14"/>
                <w:szCs w:val="14"/>
                <w:color w:val="auto"/>
              </w:rPr>
            </w:pPr>
          </w:p>
        </w:tc>
        <w:tc>
          <w:tcPr>
            <w:tcW w:w="3520" w:type="dxa"/>
            <w:vAlign w:val="bottom"/>
          </w:tcPr>
          <w:p>
            <w:pPr>
              <w:spacing w:after="0"/>
              <w:rPr>
                <w:sz w:val="14"/>
                <w:szCs w:val="14"/>
                <w:color w:val="auto"/>
              </w:rPr>
            </w:pPr>
          </w:p>
        </w:tc>
        <w:tc>
          <w:tcPr>
            <w:tcW w:w="48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0"/>
        </w:trPr>
        <w:tc>
          <w:tcPr>
            <w:tcW w:w="680" w:type="dxa"/>
            <w:vAlign w:val="bottom"/>
          </w:tcPr>
          <w:p>
            <w:pPr>
              <w:spacing w:after="0"/>
              <w:rPr>
                <w:sz w:val="18"/>
                <w:szCs w:val="18"/>
                <w:color w:val="auto"/>
              </w:rPr>
            </w:pPr>
          </w:p>
        </w:tc>
        <w:tc>
          <w:tcPr>
            <w:tcW w:w="3620" w:type="dxa"/>
            <w:vAlign w:val="bottom"/>
            <w:tcBorders>
              <w:top w:val="single" w:sz="8" w:color="0000EE"/>
              <w:bottom w:val="single" w:sz="8" w:color="0000EE"/>
            </w:tcBorders>
            <w:gridSpan w:val="4"/>
          </w:tcPr>
          <w:p>
            <w:pPr>
              <w:spacing w:after="0" w:line="209" w:lineRule="exact"/>
              <w:rPr>
                <w:rFonts w:ascii="Arial" w:cs="Arial" w:eastAsia="Arial" w:hAnsi="Arial"/>
                <w:sz w:val="20"/>
                <w:szCs w:val="20"/>
                <w:color w:val="0000EE"/>
                <w:w w:val="97"/>
              </w:rPr>
            </w:pPr>
            <w:hyperlink w:anchor="page31">
              <w:r>
                <w:rPr>
                  <w:rFonts w:ascii="Arial" w:cs="Arial" w:eastAsia="Arial" w:hAnsi="Arial"/>
                  <w:sz w:val="20"/>
                  <w:szCs w:val="20"/>
                  <w:color w:val="0000EE"/>
                  <w:w w:val="97"/>
                </w:rPr>
                <w:t>Option Exercises and Stock Vested Table</w:t>
              </w:r>
            </w:hyperlink>
          </w:p>
        </w:tc>
        <w:tc>
          <w:tcPr>
            <w:tcW w:w="940" w:type="dxa"/>
            <w:vAlign w:val="bottom"/>
            <w:tcBorders>
              <w:top w:val="single" w:sz="8" w:color="0000EE"/>
            </w:tcBorders>
            <w:gridSpan w:val="2"/>
          </w:tcPr>
          <w:p>
            <w:pPr>
              <w:spacing w:after="0"/>
              <w:rPr>
                <w:sz w:val="18"/>
                <w:szCs w:val="18"/>
                <w:color w:val="auto"/>
              </w:rPr>
            </w:pPr>
          </w:p>
        </w:tc>
        <w:tc>
          <w:tcPr>
            <w:tcW w:w="1920" w:type="dxa"/>
            <w:vAlign w:val="bottom"/>
            <w:gridSpan w:val="2"/>
          </w:tcPr>
          <w:p>
            <w:pPr>
              <w:spacing w:after="0"/>
              <w:rPr>
                <w:sz w:val="18"/>
                <w:szCs w:val="18"/>
                <w:color w:val="auto"/>
              </w:rPr>
            </w:pPr>
          </w:p>
        </w:tc>
        <w:tc>
          <w:tcPr>
            <w:tcW w:w="4000" w:type="dxa"/>
            <w:vAlign w:val="bottom"/>
            <w:gridSpan w:val="2"/>
          </w:tcPr>
          <w:p>
            <w:pPr>
              <w:jc w:val="right"/>
              <w:spacing w:after="0" w:line="209" w:lineRule="exact"/>
              <w:rPr>
                <w:sz w:val="20"/>
                <w:szCs w:val="20"/>
                <w:color w:val="auto"/>
              </w:rPr>
            </w:pPr>
            <w:r>
              <w:rPr>
                <w:rFonts w:ascii="Arial" w:cs="Arial" w:eastAsia="Arial" w:hAnsi="Arial"/>
                <w:sz w:val="20"/>
                <w:szCs w:val="20"/>
                <w:color w:val="auto"/>
              </w:rPr>
              <w:t>25</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6480" w:type="dxa"/>
            <w:vAlign w:val="bottom"/>
            <w:gridSpan w:val="8"/>
          </w:tcPr>
          <w:p>
            <w:pPr>
              <w:spacing w:after="0" w:line="196" w:lineRule="exact"/>
              <w:rPr>
                <w:rFonts w:ascii="Arial" w:cs="Arial" w:eastAsia="Arial" w:hAnsi="Arial"/>
                <w:sz w:val="20"/>
                <w:szCs w:val="20"/>
                <w:color w:val="0000EE"/>
              </w:rPr>
            </w:pPr>
            <w:hyperlink w:anchor="page32">
              <w:r>
                <w:rPr>
                  <w:rFonts w:ascii="Arial" w:cs="Arial" w:eastAsia="Arial" w:hAnsi="Arial"/>
                  <w:sz w:val="20"/>
                  <w:szCs w:val="20"/>
                  <w:color w:val="0000EE"/>
                </w:rPr>
                <w:t>Non-Qualified Deferred Compensation Table</w:t>
              </w:r>
            </w:hyperlink>
          </w:p>
        </w:tc>
        <w:tc>
          <w:tcPr>
            <w:tcW w:w="4000" w:type="dxa"/>
            <w:vAlign w:val="bottom"/>
            <w:gridSpan w:val="2"/>
          </w:tcPr>
          <w:p>
            <w:pPr>
              <w:jc w:val="right"/>
              <w:spacing w:after="0" w:line="196" w:lineRule="exact"/>
              <w:rPr>
                <w:sz w:val="20"/>
                <w:szCs w:val="20"/>
                <w:color w:val="auto"/>
              </w:rPr>
            </w:pPr>
            <w:r>
              <w:rPr>
                <w:rFonts w:ascii="Arial" w:cs="Arial" w:eastAsia="Arial" w:hAnsi="Arial"/>
                <w:sz w:val="20"/>
                <w:szCs w:val="20"/>
                <w:color w:val="auto"/>
              </w:rPr>
              <w:t>26</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0" w:type="dxa"/>
            <w:vAlign w:val="bottom"/>
            <w:gridSpan w:val="2"/>
            <w:vMerge w:val="restart"/>
          </w:tcPr>
          <w:p>
            <w:pPr>
              <w:jc w:val="right"/>
              <w:spacing w:after="0" w:line="216" w:lineRule="exact"/>
              <w:rPr>
                <w:sz w:val="20"/>
                <w:szCs w:val="20"/>
                <w:color w:val="auto"/>
              </w:rPr>
            </w:pPr>
            <w:r>
              <w:rPr>
                <w:rFonts w:ascii="Arial" w:cs="Arial" w:eastAsia="Arial" w:hAnsi="Arial"/>
                <w:sz w:val="20"/>
                <w:szCs w:val="20"/>
                <w:color w:val="auto"/>
              </w:rPr>
              <w:t>26</w:t>
            </w: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6480" w:type="dxa"/>
            <w:vAlign w:val="bottom"/>
            <w:tcBorders>
              <w:bottom w:val="single" w:sz="8" w:color="0000EE"/>
            </w:tcBorders>
            <w:gridSpan w:val="8"/>
          </w:tcPr>
          <w:p>
            <w:pPr>
              <w:spacing w:after="0" w:line="196" w:lineRule="exact"/>
              <w:rPr>
                <w:rFonts w:ascii="Arial" w:cs="Arial" w:eastAsia="Arial" w:hAnsi="Arial"/>
                <w:sz w:val="20"/>
                <w:szCs w:val="20"/>
                <w:color w:val="0000EE"/>
                <w:w w:val="98"/>
              </w:rPr>
            </w:pPr>
            <w:hyperlink w:anchor="page32">
              <w:r>
                <w:rPr>
                  <w:rFonts w:ascii="Arial" w:cs="Arial" w:eastAsia="Arial" w:hAnsi="Arial"/>
                  <w:sz w:val="20"/>
                  <w:szCs w:val="20"/>
                  <w:color w:val="0000EE"/>
                  <w:w w:val="98"/>
                </w:rPr>
                <w:t>Potential Payments on Termination of Employment and Change-in-Control</w:t>
              </w:r>
            </w:hyperlink>
          </w:p>
        </w:tc>
        <w:tc>
          <w:tcPr>
            <w:tcW w:w="4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5360" w:type="dxa"/>
            <w:vAlign w:val="bottom"/>
            <w:tcBorders>
              <w:bottom w:val="single" w:sz="8" w:color="0000EE"/>
            </w:tcBorders>
            <w:gridSpan w:val="7"/>
          </w:tcPr>
          <w:p>
            <w:pPr>
              <w:spacing w:after="0" w:line="196" w:lineRule="exact"/>
              <w:rPr>
                <w:rFonts w:ascii="Arial" w:cs="Arial" w:eastAsia="Arial" w:hAnsi="Arial"/>
                <w:sz w:val="20"/>
                <w:szCs w:val="20"/>
                <w:color w:val="0000EE"/>
                <w:w w:val="98"/>
              </w:rPr>
            </w:pPr>
            <w:hyperlink w:anchor="page34">
              <w:r>
                <w:rPr>
                  <w:rFonts w:ascii="Arial" w:cs="Arial" w:eastAsia="Arial" w:hAnsi="Arial"/>
                  <w:sz w:val="20"/>
                  <w:szCs w:val="20"/>
                  <w:color w:val="0000EE"/>
                  <w:w w:val="98"/>
                </w:rPr>
                <w:t>Compensation Committee Interlocks and Insider Participation</w:t>
              </w:r>
            </w:hyperlink>
          </w:p>
        </w:tc>
        <w:tc>
          <w:tcPr>
            <w:tcW w:w="1120" w:type="dxa"/>
            <w:vAlign w:val="bottom"/>
          </w:tcPr>
          <w:p>
            <w:pPr>
              <w:spacing w:after="0"/>
              <w:rPr>
                <w:sz w:val="17"/>
                <w:szCs w:val="17"/>
                <w:color w:val="auto"/>
              </w:rPr>
            </w:pPr>
          </w:p>
        </w:tc>
        <w:tc>
          <w:tcPr>
            <w:tcW w:w="4000" w:type="dxa"/>
            <w:vAlign w:val="bottom"/>
            <w:gridSpan w:val="2"/>
          </w:tcPr>
          <w:p>
            <w:pPr>
              <w:jc w:val="right"/>
              <w:spacing w:after="0" w:line="196" w:lineRule="exact"/>
              <w:rPr>
                <w:sz w:val="20"/>
                <w:szCs w:val="20"/>
                <w:color w:val="auto"/>
              </w:rPr>
            </w:pPr>
            <w:r>
              <w:rPr>
                <w:rFonts w:ascii="Arial" w:cs="Arial" w:eastAsia="Arial" w:hAnsi="Arial"/>
                <w:sz w:val="20"/>
                <w:szCs w:val="20"/>
                <w:color w:val="auto"/>
              </w:rPr>
              <w:t>28</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340" w:type="dxa"/>
            <w:vAlign w:val="bottom"/>
            <w:tcBorders>
              <w:bottom w:val="single" w:sz="8" w:color="0000EE"/>
            </w:tcBorders>
            <w:gridSpan w:val="2"/>
          </w:tcPr>
          <w:p>
            <w:pPr>
              <w:spacing w:after="0" w:line="196" w:lineRule="exact"/>
              <w:rPr>
                <w:rFonts w:ascii="Arial" w:cs="Arial" w:eastAsia="Arial" w:hAnsi="Arial"/>
                <w:sz w:val="20"/>
                <w:szCs w:val="20"/>
                <w:color w:val="0000EE"/>
                <w:w w:val="97"/>
              </w:rPr>
            </w:pPr>
            <w:hyperlink w:anchor="page34">
              <w:r>
                <w:rPr>
                  <w:rFonts w:ascii="Arial" w:cs="Arial" w:eastAsia="Arial" w:hAnsi="Arial"/>
                  <w:sz w:val="20"/>
                  <w:szCs w:val="20"/>
                  <w:color w:val="0000EE"/>
                  <w:w w:val="97"/>
                </w:rPr>
                <w:t>CEO Pay Ratio</w:t>
              </w:r>
            </w:hyperlink>
          </w:p>
        </w:tc>
        <w:tc>
          <w:tcPr>
            <w:tcW w:w="5140" w:type="dxa"/>
            <w:vAlign w:val="bottom"/>
            <w:gridSpan w:val="6"/>
          </w:tcPr>
          <w:p>
            <w:pPr>
              <w:spacing w:after="0"/>
              <w:rPr>
                <w:sz w:val="17"/>
                <w:szCs w:val="17"/>
                <w:color w:val="auto"/>
              </w:rPr>
            </w:pPr>
          </w:p>
        </w:tc>
        <w:tc>
          <w:tcPr>
            <w:tcW w:w="4000" w:type="dxa"/>
            <w:vAlign w:val="bottom"/>
            <w:gridSpan w:val="2"/>
          </w:tcPr>
          <w:p>
            <w:pPr>
              <w:jc w:val="right"/>
              <w:spacing w:after="0" w:line="196" w:lineRule="exact"/>
              <w:rPr>
                <w:sz w:val="20"/>
                <w:szCs w:val="20"/>
                <w:color w:val="auto"/>
              </w:rPr>
            </w:pPr>
            <w:r>
              <w:rPr>
                <w:rFonts w:ascii="Arial" w:cs="Arial" w:eastAsia="Arial" w:hAnsi="Arial"/>
                <w:sz w:val="20"/>
                <w:szCs w:val="20"/>
                <w:color w:val="auto"/>
              </w:rPr>
              <w:t>28</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6480" w:type="dxa"/>
            <w:vAlign w:val="bottom"/>
            <w:gridSpan w:val="8"/>
          </w:tcPr>
          <w:p>
            <w:pPr>
              <w:spacing w:after="0" w:line="196" w:lineRule="exact"/>
              <w:rPr>
                <w:rFonts w:ascii="Arial" w:cs="Arial" w:eastAsia="Arial" w:hAnsi="Arial"/>
                <w:sz w:val="20"/>
                <w:szCs w:val="20"/>
                <w:color w:val="0000EE"/>
              </w:rPr>
            </w:pPr>
            <w:hyperlink w:anchor="page34">
              <w:r>
                <w:rPr>
                  <w:rFonts w:ascii="Arial" w:cs="Arial" w:eastAsia="Arial" w:hAnsi="Arial"/>
                  <w:sz w:val="20"/>
                  <w:szCs w:val="20"/>
                  <w:color w:val="0000EE"/>
                </w:rPr>
                <w:t>Equity Compensation Plan Information</w:t>
              </w:r>
            </w:hyperlink>
          </w:p>
        </w:tc>
        <w:tc>
          <w:tcPr>
            <w:tcW w:w="4000" w:type="dxa"/>
            <w:vAlign w:val="bottom"/>
            <w:gridSpan w:val="2"/>
          </w:tcPr>
          <w:p>
            <w:pPr>
              <w:jc w:val="right"/>
              <w:spacing w:after="0" w:line="196" w:lineRule="exact"/>
              <w:rPr>
                <w:sz w:val="20"/>
                <w:szCs w:val="20"/>
                <w:color w:val="auto"/>
              </w:rPr>
            </w:pPr>
            <w:r>
              <w:rPr>
                <w:rFonts w:ascii="Arial" w:cs="Arial" w:eastAsia="Arial" w:hAnsi="Arial"/>
                <w:sz w:val="20"/>
                <w:szCs w:val="20"/>
                <w:color w:val="auto"/>
              </w:rPr>
              <w:t>28</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220" w:type="dxa"/>
        <w:tblCellMar>
          <w:top w:w="0" w:type="dxa"/>
          <w:left w:w="0" w:type="dxa"/>
          <w:bottom w:w="0" w:type="dxa"/>
          <w:right w:w="0" w:type="dxa"/>
        </w:tblCellMar>
      </w:tblPr>
      <w:tr>
        <w:trPr>
          <w:trHeight w:val="311"/>
        </w:trPr>
        <w:tc>
          <w:tcPr>
            <w:tcW w:w="10020" w:type="dxa"/>
            <w:vAlign w:val="bottom"/>
            <w:gridSpan w:val="6"/>
            <w:shd w:val="clear" w:color="auto" w:fill="1F2A44"/>
          </w:tcPr>
          <w:p>
            <w:pPr>
              <w:ind w:left="60"/>
              <w:spacing w:after="0"/>
              <w:rPr>
                <w:rFonts w:ascii="Arial" w:cs="Arial" w:eastAsia="Arial" w:hAnsi="Arial"/>
                <w:sz w:val="20"/>
                <w:szCs w:val="20"/>
                <w:b w:val="1"/>
                <w:bCs w:val="1"/>
                <w:color w:val="FFFFFF"/>
              </w:rPr>
            </w:pPr>
            <w:hyperlink w:anchor="page35">
              <w:r>
                <w:rPr>
                  <w:rFonts w:ascii="Arial" w:cs="Arial" w:eastAsia="Arial" w:hAnsi="Arial"/>
                  <w:sz w:val="20"/>
                  <w:szCs w:val="20"/>
                  <w:b w:val="1"/>
                  <w:bCs w:val="1"/>
                  <w:color w:val="FFFFFF"/>
                </w:rPr>
                <w:t>Audit Information</w:t>
              </w:r>
            </w:hyperlink>
          </w:p>
        </w:tc>
        <w:tc>
          <w:tcPr>
            <w:tcW w:w="1000" w:type="dxa"/>
            <w:vAlign w:val="bottom"/>
            <w:shd w:val="clear" w:color="auto" w:fill="1F2A44"/>
          </w:tcPr>
          <w:p>
            <w:pPr>
              <w:jc w:val="right"/>
              <w:ind w:right="41"/>
              <w:spacing w:after="0"/>
              <w:rPr>
                <w:sz w:val="20"/>
                <w:szCs w:val="20"/>
                <w:color w:val="auto"/>
              </w:rPr>
            </w:pPr>
            <w:r>
              <w:rPr>
                <w:rFonts w:ascii="Arial" w:cs="Arial" w:eastAsia="Arial" w:hAnsi="Arial"/>
                <w:sz w:val="20"/>
                <w:szCs w:val="20"/>
                <w:b w:val="1"/>
                <w:bCs w:val="1"/>
                <w:color w:val="FFFFFF"/>
              </w:rPr>
              <w:t>29</w:t>
            </w:r>
          </w:p>
        </w:tc>
        <w:tc>
          <w:tcPr>
            <w:tcW w:w="0" w:type="dxa"/>
            <w:vAlign w:val="bottom"/>
          </w:tcPr>
          <w:p>
            <w:pPr>
              <w:spacing w:after="0"/>
              <w:rPr>
                <w:sz w:val="1"/>
                <w:szCs w:val="1"/>
                <w:color w:val="auto"/>
              </w:rPr>
            </w:pPr>
          </w:p>
        </w:tc>
      </w:tr>
      <w:tr>
        <w:trPr>
          <w:trHeight w:val="81"/>
        </w:trPr>
        <w:tc>
          <w:tcPr>
            <w:tcW w:w="460" w:type="dxa"/>
            <w:vAlign w:val="bottom"/>
            <w:shd w:val="clear" w:color="auto" w:fill="1F2A44"/>
          </w:tcPr>
          <w:p>
            <w:pPr>
              <w:spacing w:after="0"/>
              <w:rPr>
                <w:sz w:val="7"/>
                <w:szCs w:val="7"/>
                <w:color w:val="auto"/>
              </w:rPr>
            </w:pPr>
          </w:p>
        </w:tc>
        <w:tc>
          <w:tcPr>
            <w:tcW w:w="2100" w:type="dxa"/>
            <w:vAlign w:val="bottom"/>
            <w:shd w:val="clear" w:color="auto" w:fill="1F2A44"/>
          </w:tcPr>
          <w:p>
            <w:pPr>
              <w:spacing w:after="0"/>
              <w:rPr>
                <w:sz w:val="7"/>
                <w:szCs w:val="7"/>
                <w:color w:val="auto"/>
              </w:rPr>
            </w:pPr>
          </w:p>
        </w:tc>
        <w:tc>
          <w:tcPr>
            <w:tcW w:w="320" w:type="dxa"/>
            <w:vAlign w:val="bottom"/>
            <w:shd w:val="clear" w:color="auto" w:fill="1F2A44"/>
          </w:tcPr>
          <w:p>
            <w:pPr>
              <w:spacing w:after="0"/>
              <w:rPr>
                <w:sz w:val="7"/>
                <w:szCs w:val="7"/>
                <w:color w:val="auto"/>
              </w:rPr>
            </w:pPr>
          </w:p>
        </w:tc>
        <w:tc>
          <w:tcPr>
            <w:tcW w:w="5360" w:type="dxa"/>
            <w:vAlign w:val="bottom"/>
            <w:shd w:val="clear" w:color="auto" w:fill="1F2A44"/>
          </w:tcPr>
          <w:p>
            <w:pPr>
              <w:spacing w:after="0"/>
              <w:rPr>
                <w:sz w:val="7"/>
                <w:szCs w:val="7"/>
                <w:color w:val="auto"/>
              </w:rPr>
            </w:pPr>
          </w:p>
        </w:tc>
        <w:tc>
          <w:tcPr>
            <w:tcW w:w="180" w:type="dxa"/>
            <w:vAlign w:val="bottom"/>
            <w:shd w:val="clear" w:color="auto" w:fill="1F2A44"/>
          </w:tcPr>
          <w:p>
            <w:pPr>
              <w:spacing w:after="0"/>
              <w:rPr>
                <w:sz w:val="7"/>
                <w:szCs w:val="7"/>
                <w:color w:val="auto"/>
              </w:rPr>
            </w:pPr>
          </w:p>
        </w:tc>
        <w:tc>
          <w:tcPr>
            <w:tcW w:w="1600" w:type="dxa"/>
            <w:vAlign w:val="bottom"/>
            <w:shd w:val="clear" w:color="auto" w:fill="1F2A44"/>
          </w:tcPr>
          <w:p>
            <w:pPr>
              <w:spacing w:after="0"/>
              <w:rPr>
                <w:sz w:val="7"/>
                <w:szCs w:val="7"/>
                <w:color w:val="auto"/>
              </w:rPr>
            </w:pPr>
          </w:p>
        </w:tc>
        <w:tc>
          <w:tcPr>
            <w:tcW w:w="1000" w:type="dxa"/>
            <w:vAlign w:val="bottom"/>
            <w:shd w:val="clear" w:color="auto" w:fill="1F2A44"/>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460" w:type="dxa"/>
            <w:vAlign w:val="bottom"/>
          </w:tcPr>
          <w:p>
            <w:pPr>
              <w:spacing w:after="0"/>
              <w:rPr>
                <w:sz w:val="16"/>
                <w:szCs w:val="16"/>
                <w:color w:val="auto"/>
              </w:rPr>
            </w:pPr>
          </w:p>
        </w:tc>
        <w:tc>
          <w:tcPr>
            <w:tcW w:w="9560" w:type="dxa"/>
            <w:vAlign w:val="bottom"/>
            <w:gridSpan w:val="5"/>
          </w:tcPr>
          <w:p>
            <w:pPr>
              <w:spacing w:after="0" w:line="189" w:lineRule="exact"/>
              <w:rPr>
                <w:rFonts w:ascii="Arial" w:cs="Arial" w:eastAsia="Arial" w:hAnsi="Arial"/>
                <w:sz w:val="20"/>
                <w:szCs w:val="20"/>
                <w:color w:val="0000EE"/>
              </w:rPr>
            </w:pPr>
            <w:hyperlink w:anchor="page35">
              <w:r>
                <w:rPr>
                  <w:rFonts w:ascii="Arial" w:cs="Arial" w:eastAsia="Arial" w:hAnsi="Arial"/>
                  <w:sz w:val="20"/>
                  <w:szCs w:val="20"/>
                  <w:color w:val="0000EE"/>
                </w:rPr>
                <w:t>Proposal 3—Non-Binding Ratification of Independent Registered Public Accounting Firm</w:t>
              </w:r>
            </w:hyperlink>
          </w:p>
        </w:tc>
        <w:tc>
          <w:tcPr>
            <w:tcW w:w="1000" w:type="dxa"/>
            <w:vAlign w:val="bottom"/>
          </w:tcPr>
          <w:p>
            <w:pPr>
              <w:jc w:val="right"/>
              <w:ind w:right="41"/>
              <w:spacing w:after="0" w:line="189" w:lineRule="exact"/>
              <w:rPr>
                <w:sz w:val="20"/>
                <w:szCs w:val="20"/>
                <w:color w:val="auto"/>
              </w:rPr>
            </w:pPr>
            <w:r>
              <w:rPr>
                <w:rFonts w:ascii="Arial" w:cs="Arial" w:eastAsia="Arial" w:hAnsi="Arial"/>
                <w:sz w:val="20"/>
                <w:szCs w:val="20"/>
                <w:color w:val="auto"/>
              </w:rPr>
              <w:t>29</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780" w:type="dxa"/>
            <w:vAlign w:val="bottom"/>
            <w:tcBorders>
              <w:top w:val="single" w:sz="8" w:color="0000EE"/>
            </w:tcBorders>
            <w:gridSpan w:val="3"/>
          </w:tcPr>
          <w:p>
            <w:pPr>
              <w:spacing w:after="0" w:line="196" w:lineRule="exact"/>
              <w:rPr>
                <w:rFonts w:ascii="Arial" w:cs="Arial" w:eastAsia="Arial" w:hAnsi="Arial"/>
                <w:sz w:val="20"/>
                <w:szCs w:val="20"/>
                <w:color w:val="0000EE"/>
              </w:rPr>
            </w:pPr>
            <w:hyperlink w:anchor="page36">
              <w:r>
                <w:rPr>
                  <w:rFonts w:ascii="Arial" w:cs="Arial" w:eastAsia="Arial" w:hAnsi="Arial"/>
                  <w:sz w:val="20"/>
                  <w:szCs w:val="20"/>
                  <w:color w:val="0000EE"/>
                </w:rPr>
                <w:t>Audit Committee Report</w:t>
              </w:r>
            </w:hyperlink>
          </w:p>
        </w:tc>
        <w:tc>
          <w:tcPr>
            <w:tcW w:w="1780" w:type="dxa"/>
            <w:vAlign w:val="bottom"/>
            <w:gridSpan w:val="2"/>
          </w:tcPr>
          <w:p>
            <w:pPr>
              <w:spacing w:after="0"/>
              <w:rPr>
                <w:sz w:val="17"/>
                <w:szCs w:val="17"/>
                <w:color w:val="auto"/>
              </w:rPr>
            </w:pPr>
          </w:p>
        </w:tc>
        <w:tc>
          <w:tcPr>
            <w:tcW w:w="1000" w:type="dxa"/>
            <w:vAlign w:val="bottom"/>
          </w:tcPr>
          <w:p>
            <w:pPr>
              <w:jc w:val="right"/>
              <w:ind w:right="41"/>
              <w:spacing w:after="0" w:line="196" w:lineRule="exact"/>
              <w:rPr>
                <w:sz w:val="20"/>
                <w:szCs w:val="20"/>
                <w:color w:val="auto"/>
              </w:rPr>
            </w:pPr>
            <w:r>
              <w:rPr>
                <w:rFonts w:ascii="Arial" w:cs="Arial" w:eastAsia="Arial" w:hAnsi="Arial"/>
                <w:sz w:val="20"/>
                <w:szCs w:val="20"/>
                <w:color w:val="auto"/>
              </w:rPr>
              <w:t>30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54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0" w:type="dxa"/>
            <w:vAlign w:val="bottom"/>
            <w:vMerge w:val="restart"/>
          </w:tcPr>
          <w:p>
            <w:pPr>
              <w:jc w:val="right"/>
              <w:ind w:right="41"/>
              <w:spacing w:after="0" w:line="216" w:lineRule="exact"/>
              <w:rPr>
                <w:sz w:val="20"/>
                <w:szCs w:val="20"/>
                <w:color w:val="auto"/>
              </w:rPr>
            </w:pPr>
            <w:r>
              <w:rPr>
                <w:rFonts w:ascii="Arial" w:cs="Arial" w:eastAsia="Arial" w:hAnsi="Arial"/>
                <w:sz w:val="20"/>
                <w:szCs w:val="20"/>
                <w:color w:val="auto"/>
              </w:rPr>
              <w:t>31</w:t>
            </w: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420" w:type="dxa"/>
            <w:vAlign w:val="bottom"/>
            <w:tcBorders>
              <w:bottom w:val="single" w:sz="8" w:color="0000EE"/>
            </w:tcBorders>
            <w:gridSpan w:val="2"/>
          </w:tcPr>
          <w:p>
            <w:pPr>
              <w:spacing w:after="0" w:line="196" w:lineRule="exact"/>
              <w:rPr>
                <w:rFonts w:ascii="Arial" w:cs="Arial" w:eastAsia="Arial" w:hAnsi="Arial"/>
                <w:sz w:val="20"/>
                <w:szCs w:val="20"/>
                <w:color w:val="0000EE"/>
                <w:w w:val="98"/>
              </w:rPr>
            </w:pPr>
            <w:hyperlink w:anchor="page37">
              <w:r>
                <w:rPr>
                  <w:rFonts w:ascii="Arial" w:cs="Arial" w:eastAsia="Arial" w:hAnsi="Arial"/>
                  <w:sz w:val="20"/>
                  <w:szCs w:val="20"/>
                  <w:color w:val="0000EE"/>
                  <w:w w:val="98"/>
                </w:rPr>
                <w:t>Independent Auditor’s Fees</w:t>
              </w:r>
            </w:hyperlink>
          </w:p>
        </w:tc>
        <w:tc>
          <w:tcPr>
            <w:tcW w:w="7140" w:type="dxa"/>
            <w:vAlign w:val="bottom"/>
            <w:gridSpan w:val="3"/>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960" w:type="dxa"/>
            <w:vAlign w:val="bottom"/>
            <w:tcBorders>
              <w:bottom w:val="single" w:sz="8" w:color="0000EE"/>
            </w:tcBorders>
            <w:gridSpan w:val="4"/>
          </w:tcPr>
          <w:p>
            <w:pPr>
              <w:spacing w:after="0" w:line="196" w:lineRule="exact"/>
              <w:rPr>
                <w:rFonts w:ascii="Arial" w:cs="Arial" w:eastAsia="Arial" w:hAnsi="Arial"/>
                <w:sz w:val="20"/>
                <w:szCs w:val="20"/>
                <w:color w:val="0000EE"/>
                <w:w w:val="98"/>
              </w:rPr>
            </w:pPr>
            <w:hyperlink w:anchor="page37">
              <w:r>
                <w:rPr>
                  <w:rFonts w:ascii="Arial" w:cs="Arial" w:eastAsia="Arial" w:hAnsi="Arial"/>
                  <w:sz w:val="20"/>
                  <w:szCs w:val="20"/>
                  <w:color w:val="0000EE"/>
                  <w:w w:val="98"/>
                </w:rPr>
                <w:t>Procedures for Audit Committee Pre-Approval of Audit and Permissible Non-Audit Services</w:t>
              </w:r>
            </w:hyperlink>
          </w:p>
        </w:tc>
        <w:tc>
          <w:tcPr>
            <w:tcW w:w="1600" w:type="dxa"/>
            <w:vAlign w:val="bottom"/>
          </w:tcPr>
          <w:p>
            <w:pPr>
              <w:spacing w:after="0"/>
              <w:rPr>
                <w:sz w:val="17"/>
                <w:szCs w:val="17"/>
                <w:color w:val="auto"/>
              </w:rPr>
            </w:pPr>
          </w:p>
        </w:tc>
        <w:tc>
          <w:tcPr>
            <w:tcW w:w="1000" w:type="dxa"/>
            <w:vAlign w:val="bottom"/>
          </w:tcPr>
          <w:p>
            <w:pPr>
              <w:jc w:val="right"/>
              <w:ind w:right="41"/>
              <w:spacing w:after="0" w:line="196" w:lineRule="exact"/>
              <w:rPr>
                <w:sz w:val="20"/>
                <w:szCs w:val="20"/>
                <w:color w:val="auto"/>
              </w:rPr>
            </w:pPr>
            <w:r>
              <w:rPr>
                <w:rFonts w:ascii="Arial" w:cs="Arial" w:eastAsia="Arial" w:hAnsi="Arial"/>
                <w:sz w:val="20"/>
                <w:szCs w:val="20"/>
                <w:color w:val="auto"/>
              </w:rPr>
              <w:t>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-616585</wp:posOffset>
            </wp:positionV>
            <wp:extent cx="104711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47115" cy="8890"/>
                    </a:xfrm>
                    <a:prstGeom prst="rect">
                      <a:avLst/>
                    </a:prstGeom>
                    <a:noFill/>
                  </pic:spPr>
                </pic:pic>
              </a:graphicData>
            </a:graphic>
          </wp:anchor>
        </w:drawing>
      </w:r>
    </w:p>
    <w:p>
      <w:pPr>
        <w:spacing w:after="0" w:line="210" w:lineRule="exact"/>
        <w:rPr>
          <w:sz w:val="20"/>
          <w:szCs w:val="20"/>
          <w:color w:val="auto"/>
        </w:rPr>
      </w:pPr>
    </w:p>
    <w:tbl>
      <w:tblPr>
        <w:tblLayout w:type="fixed"/>
        <w:tblInd w:w="220" w:type="dxa"/>
        <w:tblCellMar>
          <w:top w:w="0" w:type="dxa"/>
          <w:left w:w="0" w:type="dxa"/>
          <w:bottom w:w="0" w:type="dxa"/>
          <w:right w:w="0" w:type="dxa"/>
        </w:tblCellMar>
      </w:tblPr>
      <w:tr>
        <w:trPr>
          <w:trHeight w:val="311"/>
        </w:trPr>
        <w:tc>
          <w:tcPr>
            <w:tcW w:w="10020" w:type="dxa"/>
            <w:vAlign w:val="bottom"/>
            <w:gridSpan w:val="5"/>
            <w:shd w:val="clear" w:color="auto" w:fill="1F2A44"/>
          </w:tcPr>
          <w:p>
            <w:pPr>
              <w:ind w:left="60"/>
              <w:spacing w:after="0"/>
              <w:rPr>
                <w:rFonts w:ascii="Arial" w:cs="Arial" w:eastAsia="Arial" w:hAnsi="Arial"/>
                <w:sz w:val="20"/>
                <w:szCs w:val="20"/>
                <w:b w:val="1"/>
                <w:bCs w:val="1"/>
                <w:color w:val="FFFFFF"/>
              </w:rPr>
            </w:pPr>
            <w:hyperlink w:anchor="page38">
              <w:r>
                <w:rPr>
                  <w:rFonts w:ascii="Arial" w:cs="Arial" w:eastAsia="Arial" w:hAnsi="Arial"/>
                  <w:sz w:val="20"/>
                  <w:szCs w:val="20"/>
                  <w:b w:val="1"/>
                  <w:bCs w:val="1"/>
                  <w:color w:val="FFFFFF"/>
                </w:rPr>
                <w:t>Ownership Information</w:t>
              </w:r>
            </w:hyperlink>
          </w:p>
        </w:tc>
        <w:tc>
          <w:tcPr>
            <w:tcW w:w="1000" w:type="dxa"/>
            <w:vAlign w:val="bottom"/>
            <w:shd w:val="clear" w:color="auto" w:fill="1F2A44"/>
          </w:tcPr>
          <w:p>
            <w:pPr>
              <w:jc w:val="right"/>
              <w:ind w:right="41"/>
              <w:spacing w:after="0"/>
              <w:rPr>
                <w:sz w:val="20"/>
                <w:szCs w:val="20"/>
                <w:color w:val="auto"/>
              </w:rPr>
            </w:pPr>
            <w:r>
              <w:rPr>
                <w:rFonts w:ascii="Arial" w:cs="Arial" w:eastAsia="Arial" w:hAnsi="Arial"/>
                <w:sz w:val="20"/>
                <w:szCs w:val="20"/>
                <w:b w:val="1"/>
                <w:bCs w:val="1"/>
                <w:color w:val="FFFFFF"/>
              </w:rPr>
              <w:t>32</w:t>
            </w:r>
          </w:p>
        </w:tc>
        <w:tc>
          <w:tcPr>
            <w:tcW w:w="0" w:type="dxa"/>
            <w:vAlign w:val="bottom"/>
          </w:tcPr>
          <w:p>
            <w:pPr>
              <w:spacing w:after="0"/>
              <w:rPr>
                <w:sz w:val="1"/>
                <w:szCs w:val="1"/>
                <w:color w:val="auto"/>
              </w:rPr>
            </w:pPr>
          </w:p>
        </w:tc>
      </w:tr>
      <w:tr>
        <w:trPr>
          <w:trHeight w:val="81"/>
        </w:trPr>
        <w:tc>
          <w:tcPr>
            <w:tcW w:w="460" w:type="dxa"/>
            <w:vAlign w:val="bottom"/>
            <w:shd w:val="clear" w:color="auto" w:fill="1F2A44"/>
          </w:tcPr>
          <w:p>
            <w:pPr>
              <w:spacing w:after="0"/>
              <w:rPr>
                <w:sz w:val="7"/>
                <w:szCs w:val="7"/>
                <w:color w:val="auto"/>
              </w:rPr>
            </w:pPr>
          </w:p>
        </w:tc>
        <w:tc>
          <w:tcPr>
            <w:tcW w:w="3200" w:type="dxa"/>
            <w:vAlign w:val="bottom"/>
            <w:shd w:val="clear" w:color="auto" w:fill="1F2A44"/>
          </w:tcPr>
          <w:p>
            <w:pPr>
              <w:spacing w:after="0"/>
              <w:rPr>
                <w:sz w:val="7"/>
                <w:szCs w:val="7"/>
                <w:color w:val="auto"/>
              </w:rPr>
            </w:pPr>
          </w:p>
        </w:tc>
        <w:tc>
          <w:tcPr>
            <w:tcW w:w="800" w:type="dxa"/>
            <w:vAlign w:val="bottom"/>
            <w:shd w:val="clear" w:color="auto" w:fill="1F2A44"/>
          </w:tcPr>
          <w:p>
            <w:pPr>
              <w:spacing w:after="0"/>
              <w:rPr>
                <w:sz w:val="7"/>
                <w:szCs w:val="7"/>
                <w:color w:val="auto"/>
              </w:rPr>
            </w:pPr>
          </w:p>
        </w:tc>
        <w:tc>
          <w:tcPr>
            <w:tcW w:w="1100" w:type="dxa"/>
            <w:vAlign w:val="bottom"/>
            <w:shd w:val="clear" w:color="auto" w:fill="1F2A44"/>
          </w:tcPr>
          <w:p>
            <w:pPr>
              <w:spacing w:after="0"/>
              <w:rPr>
                <w:sz w:val="7"/>
                <w:szCs w:val="7"/>
                <w:color w:val="auto"/>
              </w:rPr>
            </w:pPr>
          </w:p>
        </w:tc>
        <w:tc>
          <w:tcPr>
            <w:tcW w:w="4460" w:type="dxa"/>
            <w:vAlign w:val="bottom"/>
            <w:shd w:val="clear" w:color="auto" w:fill="1F2A44"/>
          </w:tcPr>
          <w:p>
            <w:pPr>
              <w:spacing w:after="0"/>
              <w:rPr>
                <w:sz w:val="7"/>
                <w:szCs w:val="7"/>
                <w:color w:val="auto"/>
              </w:rPr>
            </w:pPr>
          </w:p>
        </w:tc>
        <w:tc>
          <w:tcPr>
            <w:tcW w:w="1000" w:type="dxa"/>
            <w:vAlign w:val="bottom"/>
            <w:shd w:val="clear" w:color="auto" w:fill="1F2A44"/>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460" w:type="dxa"/>
            <w:vAlign w:val="bottom"/>
          </w:tcPr>
          <w:p>
            <w:pPr>
              <w:spacing w:after="0"/>
              <w:rPr>
                <w:sz w:val="16"/>
                <w:szCs w:val="16"/>
                <w:color w:val="auto"/>
              </w:rPr>
            </w:pPr>
          </w:p>
        </w:tc>
        <w:tc>
          <w:tcPr>
            <w:tcW w:w="9560" w:type="dxa"/>
            <w:vAlign w:val="bottom"/>
            <w:gridSpan w:val="4"/>
          </w:tcPr>
          <w:p>
            <w:pPr>
              <w:spacing w:after="0" w:line="189" w:lineRule="exact"/>
              <w:rPr>
                <w:rFonts w:ascii="Arial" w:cs="Arial" w:eastAsia="Arial" w:hAnsi="Arial"/>
                <w:sz w:val="20"/>
                <w:szCs w:val="20"/>
                <w:color w:val="0000EE"/>
              </w:rPr>
            </w:pPr>
            <w:hyperlink w:anchor="page38">
              <w:r>
                <w:rPr>
                  <w:rFonts w:ascii="Arial" w:cs="Arial" w:eastAsia="Arial" w:hAnsi="Arial"/>
                  <w:sz w:val="20"/>
                  <w:szCs w:val="20"/>
                  <w:color w:val="0000EE"/>
                </w:rPr>
                <w:t>Ownership of Principal Shareholders</w:t>
              </w:r>
            </w:hyperlink>
          </w:p>
        </w:tc>
        <w:tc>
          <w:tcPr>
            <w:tcW w:w="1000" w:type="dxa"/>
            <w:vAlign w:val="bottom"/>
          </w:tcPr>
          <w:p>
            <w:pPr>
              <w:jc w:val="right"/>
              <w:ind w:right="41"/>
              <w:spacing w:after="0" w:line="189" w:lineRule="exact"/>
              <w:rPr>
                <w:sz w:val="20"/>
                <w:szCs w:val="20"/>
                <w:color w:val="auto"/>
              </w:rPr>
            </w:pPr>
            <w:r>
              <w:rPr>
                <w:rFonts w:ascii="Arial" w:cs="Arial" w:eastAsia="Arial" w:hAnsi="Arial"/>
                <w:sz w:val="20"/>
                <w:szCs w:val="20"/>
                <w:color w:val="auto"/>
              </w:rPr>
              <w:t>32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20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000" w:type="dxa"/>
            <w:vAlign w:val="bottom"/>
            <w:vMerge w:val="restart"/>
          </w:tcPr>
          <w:p>
            <w:pPr>
              <w:jc w:val="right"/>
              <w:ind w:right="41"/>
              <w:spacing w:after="0" w:line="216" w:lineRule="exact"/>
              <w:rPr>
                <w:sz w:val="20"/>
                <w:szCs w:val="20"/>
                <w:color w:val="auto"/>
              </w:rPr>
            </w:pPr>
            <w:r>
              <w:rPr>
                <w:rFonts w:ascii="Arial" w:cs="Arial" w:eastAsia="Arial" w:hAnsi="Arial"/>
                <w:sz w:val="20"/>
                <w:szCs w:val="20"/>
                <w:color w:val="auto"/>
              </w:rPr>
              <w:t>33</w:t>
            </w: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9560" w:type="dxa"/>
            <w:vAlign w:val="bottom"/>
            <w:gridSpan w:val="4"/>
          </w:tcPr>
          <w:p>
            <w:pPr>
              <w:spacing w:after="0" w:line="196" w:lineRule="exact"/>
              <w:rPr>
                <w:rFonts w:ascii="Arial" w:cs="Arial" w:eastAsia="Arial" w:hAnsi="Arial"/>
                <w:sz w:val="20"/>
                <w:szCs w:val="20"/>
                <w:color w:val="0000EE"/>
              </w:rPr>
            </w:pPr>
            <w:hyperlink w:anchor="page39">
              <w:r>
                <w:rPr>
                  <w:rFonts w:ascii="Arial" w:cs="Arial" w:eastAsia="Arial" w:hAnsi="Arial"/>
                  <w:sz w:val="20"/>
                  <w:szCs w:val="20"/>
                  <w:color w:val="0000EE"/>
                </w:rPr>
                <w:t>Ownership of Trustees and Executive Officers</w:t>
              </w:r>
            </w:hyperlink>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000" w:type="dxa"/>
            <w:vAlign w:val="bottom"/>
            <w:gridSpan w:val="2"/>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000" w:type="dxa"/>
            <w:vAlign w:val="bottom"/>
            <w:vMerge w:val="restart"/>
          </w:tcPr>
          <w:p>
            <w:pPr>
              <w:jc w:val="right"/>
              <w:ind w:right="41"/>
              <w:spacing w:after="0" w:line="216" w:lineRule="exact"/>
              <w:rPr>
                <w:sz w:val="20"/>
                <w:szCs w:val="20"/>
                <w:color w:val="auto"/>
              </w:rPr>
            </w:pPr>
            <w:r>
              <w:rPr>
                <w:rFonts w:ascii="Arial" w:cs="Arial" w:eastAsia="Arial" w:hAnsi="Arial"/>
                <w:sz w:val="20"/>
                <w:szCs w:val="20"/>
                <w:color w:val="auto"/>
              </w:rPr>
              <w:t>33</w:t>
            </w: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5100" w:type="dxa"/>
            <w:vAlign w:val="bottom"/>
            <w:tcBorders>
              <w:bottom w:val="single" w:sz="8" w:color="0000EE"/>
            </w:tcBorders>
            <w:gridSpan w:val="3"/>
          </w:tcPr>
          <w:p>
            <w:pPr>
              <w:spacing w:after="0" w:line="196" w:lineRule="exact"/>
              <w:rPr>
                <w:rFonts w:ascii="Arial" w:cs="Arial" w:eastAsia="Arial" w:hAnsi="Arial"/>
                <w:sz w:val="20"/>
                <w:szCs w:val="20"/>
                <w:color w:val="0000EE"/>
                <w:w w:val="98"/>
              </w:rPr>
            </w:pPr>
            <w:hyperlink w:anchor="page39">
              <w:r>
                <w:rPr>
                  <w:rFonts w:ascii="Arial" w:cs="Arial" w:eastAsia="Arial" w:hAnsi="Arial"/>
                  <w:sz w:val="20"/>
                  <w:szCs w:val="20"/>
                  <w:color w:val="0000EE"/>
                  <w:w w:val="98"/>
                </w:rPr>
                <w:t>Section 16(a) Beneficial Ownership Reporting Compliance</w:t>
              </w:r>
            </w:hyperlink>
          </w:p>
        </w:tc>
        <w:tc>
          <w:tcPr>
            <w:tcW w:w="446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-479425</wp:posOffset>
            </wp:positionV>
            <wp:extent cx="137541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75410" cy="8890"/>
                    </a:xfrm>
                    <a:prstGeom prst="rect">
                      <a:avLst/>
                    </a:prstGeom>
                    <a:noFill/>
                  </pic:spPr>
                </pic:pic>
              </a:graphicData>
            </a:graphic>
          </wp:anchor>
        </w:drawing>
      </w:r>
    </w:p>
    <w:p>
      <w:pPr>
        <w:spacing w:after="0" w:line="210" w:lineRule="exact"/>
        <w:rPr>
          <w:sz w:val="20"/>
          <w:szCs w:val="20"/>
          <w:color w:val="auto"/>
        </w:rPr>
      </w:pPr>
    </w:p>
    <w:tbl>
      <w:tblPr>
        <w:tblLayout w:type="fixed"/>
        <w:tblInd w:w="220" w:type="dxa"/>
        <w:tblCellMar>
          <w:top w:w="0" w:type="dxa"/>
          <w:left w:w="0" w:type="dxa"/>
          <w:bottom w:w="0" w:type="dxa"/>
          <w:right w:w="0" w:type="dxa"/>
        </w:tblCellMar>
      </w:tblPr>
      <w:tr>
        <w:trPr>
          <w:trHeight w:val="311"/>
        </w:trPr>
        <w:tc>
          <w:tcPr>
            <w:tcW w:w="10020" w:type="dxa"/>
            <w:vAlign w:val="bottom"/>
            <w:gridSpan w:val="4"/>
            <w:shd w:val="clear" w:color="auto" w:fill="1F2A44"/>
          </w:tcPr>
          <w:p>
            <w:pPr>
              <w:ind w:left="60"/>
              <w:spacing w:after="0"/>
              <w:rPr>
                <w:rFonts w:ascii="Arial" w:cs="Arial" w:eastAsia="Arial" w:hAnsi="Arial"/>
                <w:sz w:val="20"/>
                <w:szCs w:val="20"/>
                <w:b w:val="1"/>
                <w:bCs w:val="1"/>
                <w:color w:val="FFFFFF"/>
              </w:rPr>
            </w:pPr>
            <w:hyperlink w:anchor="page40">
              <w:r>
                <w:rPr>
                  <w:rFonts w:ascii="Arial" w:cs="Arial" w:eastAsia="Arial" w:hAnsi="Arial"/>
                  <w:sz w:val="20"/>
                  <w:szCs w:val="20"/>
                  <w:b w:val="1"/>
                  <w:bCs w:val="1"/>
                  <w:color w:val="FFFFFF"/>
                </w:rPr>
                <w:t>General Information</w:t>
              </w:r>
            </w:hyperlink>
          </w:p>
        </w:tc>
        <w:tc>
          <w:tcPr>
            <w:tcW w:w="1000" w:type="dxa"/>
            <w:vAlign w:val="bottom"/>
            <w:shd w:val="clear" w:color="auto" w:fill="1F2A44"/>
          </w:tcPr>
          <w:p>
            <w:pPr>
              <w:jc w:val="right"/>
              <w:ind w:right="41"/>
              <w:spacing w:after="0"/>
              <w:rPr>
                <w:sz w:val="20"/>
                <w:szCs w:val="20"/>
                <w:color w:val="auto"/>
              </w:rPr>
            </w:pPr>
            <w:r>
              <w:rPr>
                <w:rFonts w:ascii="Arial" w:cs="Arial" w:eastAsia="Arial" w:hAnsi="Arial"/>
                <w:sz w:val="20"/>
                <w:szCs w:val="20"/>
                <w:b w:val="1"/>
                <w:bCs w:val="1"/>
                <w:color w:val="FFFFFF"/>
              </w:rPr>
              <w:t>34</w:t>
            </w:r>
          </w:p>
        </w:tc>
      </w:tr>
      <w:tr>
        <w:trPr>
          <w:trHeight w:val="81"/>
        </w:trPr>
        <w:tc>
          <w:tcPr>
            <w:tcW w:w="460" w:type="dxa"/>
            <w:vAlign w:val="bottom"/>
            <w:shd w:val="clear" w:color="auto" w:fill="1F2A44"/>
          </w:tcPr>
          <w:p>
            <w:pPr>
              <w:spacing w:after="0"/>
              <w:rPr>
                <w:sz w:val="7"/>
                <w:szCs w:val="7"/>
                <w:color w:val="auto"/>
              </w:rPr>
            </w:pPr>
          </w:p>
        </w:tc>
        <w:tc>
          <w:tcPr>
            <w:tcW w:w="2360" w:type="dxa"/>
            <w:vAlign w:val="bottom"/>
            <w:shd w:val="clear" w:color="auto" w:fill="1F2A44"/>
          </w:tcPr>
          <w:p>
            <w:pPr>
              <w:spacing w:after="0"/>
              <w:rPr>
                <w:sz w:val="7"/>
                <w:szCs w:val="7"/>
                <w:color w:val="auto"/>
              </w:rPr>
            </w:pPr>
          </w:p>
        </w:tc>
        <w:tc>
          <w:tcPr>
            <w:tcW w:w="3300" w:type="dxa"/>
            <w:vAlign w:val="bottom"/>
            <w:shd w:val="clear" w:color="auto" w:fill="1F2A44"/>
          </w:tcPr>
          <w:p>
            <w:pPr>
              <w:spacing w:after="0"/>
              <w:rPr>
                <w:sz w:val="7"/>
                <w:szCs w:val="7"/>
                <w:color w:val="auto"/>
              </w:rPr>
            </w:pPr>
          </w:p>
        </w:tc>
        <w:tc>
          <w:tcPr>
            <w:tcW w:w="3900" w:type="dxa"/>
            <w:vAlign w:val="bottom"/>
            <w:shd w:val="clear" w:color="auto" w:fill="1F2A44"/>
          </w:tcPr>
          <w:p>
            <w:pPr>
              <w:spacing w:after="0"/>
              <w:rPr>
                <w:sz w:val="7"/>
                <w:szCs w:val="7"/>
                <w:color w:val="auto"/>
              </w:rPr>
            </w:pPr>
          </w:p>
        </w:tc>
        <w:tc>
          <w:tcPr>
            <w:tcW w:w="1000" w:type="dxa"/>
            <w:vAlign w:val="bottom"/>
            <w:shd w:val="clear" w:color="auto" w:fill="1F2A44"/>
          </w:tcPr>
          <w:p>
            <w:pPr>
              <w:spacing w:after="0"/>
              <w:rPr>
                <w:sz w:val="7"/>
                <w:szCs w:val="7"/>
                <w:color w:val="auto"/>
              </w:rPr>
            </w:pPr>
          </w:p>
        </w:tc>
      </w:tr>
      <w:tr>
        <w:trPr>
          <w:trHeight w:val="189"/>
        </w:trPr>
        <w:tc>
          <w:tcPr>
            <w:tcW w:w="460" w:type="dxa"/>
            <w:vAlign w:val="bottom"/>
          </w:tcPr>
          <w:p>
            <w:pPr>
              <w:spacing w:after="0"/>
              <w:rPr>
                <w:sz w:val="16"/>
                <w:szCs w:val="16"/>
                <w:color w:val="auto"/>
              </w:rPr>
            </w:pPr>
          </w:p>
        </w:tc>
        <w:tc>
          <w:tcPr>
            <w:tcW w:w="2360" w:type="dxa"/>
            <w:vAlign w:val="bottom"/>
            <w:tcBorders>
              <w:bottom w:val="single" w:sz="8" w:color="0000EE"/>
            </w:tcBorders>
          </w:tcPr>
          <w:p>
            <w:pPr>
              <w:spacing w:after="0" w:line="189" w:lineRule="exact"/>
              <w:rPr>
                <w:rFonts w:ascii="Arial" w:cs="Arial" w:eastAsia="Arial" w:hAnsi="Arial"/>
                <w:sz w:val="20"/>
                <w:szCs w:val="20"/>
                <w:color w:val="0000EE"/>
                <w:w w:val="97"/>
              </w:rPr>
            </w:pPr>
            <w:hyperlink w:anchor="page40">
              <w:r>
                <w:rPr>
                  <w:rFonts w:ascii="Arial" w:cs="Arial" w:eastAsia="Arial" w:hAnsi="Arial"/>
                  <w:sz w:val="20"/>
                  <w:szCs w:val="20"/>
                  <w:color w:val="0000EE"/>
                  <w:w w:val="97"/>
                </w:rPr>
                <w:t>Annual Meeting and Voting</w:t>
              </w:r>
            </w:hyperlink>
          </w:p>
        </w:tc>
        <w:tc>
          <w:tcPr>
            <w:tcW w:w="7200" w:type="dxa"/>
            <w:vAlign w:val="bottom"/>
            <w:gridSpan w:val="2"/>
          </w:tcPr>
          <w:p>
            <w:pPr>
              <w:spacing w:after="0"/>
              <w:rPr>
                <w:sz w:val="16"/>
                <w:szCs w:val="16"/>
                <w:color w:val="auto"/>
              </w:rPr>
            </w:pPr>
          </w:p>
        </w:tc>
        <w:tc>
          <w:tcPr>
            <w:tcW w:w="1000" w:type="dxa"/>
            <w:vAlign w:val="bottom"/>
          </w:tcPr>
          <w:p>
            <w:pPr>
              <w:jc w:val="right"/>
              <w:ind w:right="41"/>
              <w:spacing w:after="0" w:line="189" w:lineRule="exact"/>
              <w:rPr>
                <w:sz w:val="20"/>
                <w:szCs w:val="20"/>
                <w:color w:val="auto"/>
              </w:rPr>
            </w:pPr>
            <w:r>
              <w:rPr>
                <w:rFonts w:ascii="Arial" w:cs="Arial" w:eastAsia="Arial" w:hAnsi="Arial"/>
                <w:sz w:val="20"/>
                <w:szCs w:val="20"/>
                <w:color w:val="auto"/>
              </w:rPr>
              <w:t>34</w:t>
            </w:r>
          </w:p>
        </w:tc>
      </w:tr>
      <w:tr>
        <w:trPr>
          <w:trHeight w:val="196"/>
        </w:trPr>
        <w:tc>
          <w:tcPr>
            <w:tcW w:w="460" w:type="dxa"/>
            <w:vAlign w:val="bottom"/>
          </w:tcPr>
          <w:p>
            <w:pPr>
              <w:spacing w:after="0"/>
              <w:rPr>
                <w:sz w:val="17"/>
                <w:szCs w:val="17"/>
                <w:color w:val="auto"/>
              </w:rPr>
            </w:pPr>
          </w:p>
        </w:tc>
        <w:tc>
          <w:tcPr>
            <w:tcW w:w="9560" w:type="dxa"/>
            <w:vAlign w:val="bottom"/>
            <w:gridSpan w:val="3"/>
          </w:tcPr>
          <w:p>
            <w:pPr>
              <w:spacing w:after="0" w:line="196" w:lineRule="exact"/>
              <w:rPr>
                <w:rFonts w:ascii="Arial" w:cs="Arial" w:eastAsia="Arial" w:hAnsi="Arial"/>
                <w:sz w:val="20"/>
                <w:szCs w:val="20"/>
                <w:color w:val="0000EE"/>
              </w:rPr>
            </w:pPr>
            <w:hyperlink w:anchor="page41">
              <w:r>
                <w:rPr>
                  <w:rFonts w:ascii="Arial" w:cs="Arial" w:eastAsia="Arial" w:hAnsi="Arial"/>
                  <w:sz w:val="20"/>
                  <w:szCs w:val="20"/>
                  <w:color w:val="0000EE"/>
                </w:rPr>
                <w:t>Solicitation of Proxies, Shareholder Proposals and Other Matters</w:t>
              </w:r>
            </w:hyperlink>
          </w:p>
        </w:tc>
        <w:tc>
          <w:tcPr>
            <w:tcW w:w="1000" w:type="dxa"/>
            <w:vAlign w:val="bottom"/>
          </w:tcPr>
          <w:p>
            <w:pPr>
              <w:jc w:val="right"/>
              <w:ind w:right="41"/>
              <w:spacing w:after="0" w:line="196" w:lineRule="exact"/>
              <w:rPr>
                <w:sz w:val="20"/>
                <w:szCs w:val="20"/>
                <w:color w:val="auto"/>
              </w:rPr>
            </w:pPr>
            <w:r>
              <w:rPr>
                <w:rFonts w:ascii="Arial" w:cs="Arial" w:eastAsia="Arial" w:hAnsi="Arial"/>
                <w:sz w:val="20"/>
                <w:szCs w:val="20"/>
                <w:color w:val="auto"/>
              </w:rPr>
              <w:t>35</w:t>
            </w:r>
          </w:p>
        </w:tc>
      </w:tr>
      <w:tr>
        <w:trPr>
          <w:trHeight w:val="223"/>
        </w:trPr>
        <w:tc>
          <w:tcPr>
            <w:tcW w:w="460" w:type="dxa"/>
            <w:vAlign w:val="bottom"/>
          </w:tcPr>
          <w:p>
            <w:pPr>
              <w:spacing w:after="0"/>
              <w:rPr>
                <w:sz w:val="19"/>
                <w:szCs w:val="19"/>
                <w:color w:val="auto"/>
              </w:rPr>
            </w:pPr>
          </w:p>
        </w:tc>
        <w:tc>
          <w:tcPr>
            <w:tcW w:w="2360" w:type="dxa"/>
            <w:vAlign w:val="bottom"/>
            <w:tcBorders>
              <w:top w:val="single" w:sz="8" w:color="0000EE"/>
            </w:tcBorders>
          </w:tcPr>
          <w:p>
            <w:pPr>
              <w:spacing w:after="0"/>
              <w:rPr>
                <w:sz w:val="19"/>
                <w:szCs w:val="19"/>
                <w:color w:val="auto"/>
              </w:rPr>
            </w:pPr>
          </w:p>
        </w:tc>
        <w:tc>
          <w:tcPr>
            <w:tcW w:w="3300" w:type="dxa"/>
            <w:vAlign w:val="bottom"/>
            <w:tcBorders>
              <w:top w:val="single" w:sz="8" w:color="0000EE"/>
            </w:tcBorders>
          </w:tcPr>
          <w:p>
            <w:pPr>
              <w:spacing w:after="0"/>
              <w:rPr>
                <w:sz w:val="19"/>
                <w:szCs w:val="19"/>
                <w:color w:val="auto"/>
              </w:rPr>
            </w:pPr>
          </w:p>
        </w:tc>
        <w:tc>
          <w:tcPr>
            <w:tcW w:w="39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311"/>
        </w:trPr>
        <w:tc>
          <w:tcPr>
            <w:tcW w:w="10020" w:type="dxa"/>
            <w:vAlign w:val="bottom"/>
            <w:gridSpan w:val="4"/>
            <w:shd w:val="clear" w:color="auto" w:fill="1F2A44"/>
          </w:tcPr>
          <w:p>
            <w:pPr>
              <w:ind w:left="60"/>
              <w:spacing w:after="0"/>
              <w:rPr>
                <w:rFonts w:ascii="Arial" w:cs="Arial" w:eastAsia="Arial" w:hAnsi="Arial"/>
                <w:sz w:val="20"/>
                <w:szCs w:val="20"/>
                <w:b w:val="1"/>
                <w:bCs w:val="1"/>
                <w:color w:val="FFFFFF"/>
              </w:rPr>
            </w:pPr>
            <w:hyperlink w:anchor="page42">
              <w:r>
                <w:rPr>
                  <w:rFonts w:ascii="Arial" w:cs="Arial" w:eastAsia="Arial" w:hAnsi="Arial"/>
                  <w:sz w:val="20"/>
                  <w:szCs w:val="20"/>
                  <w:b w:val="1"/>
                  <w:bCs w:val="1"/>
                  <w:color w:val="FFFFFF"/>
                </w:rPr>
                <w:t>Appendix A—Funds From Operations</w:t>
              </w:r>
            </w:hyperlink>
          </w:p>
        </w:tc>
        <w:tc>
          <w:tcPr>
            <w:tcW w:w="1000" w:type="dxa"/>
            <w:vAlign w:val="bottom"/>
            <w:shd w:val="clear" w:color="auto" w:fill="1F2A44"/>
          </w:tcPr>
          <w:p>
            <w:pPr>
              <w:jc w:val="right"/>
              <w:ind w:right="41"/>
              <w:spacing w:after="0"/>
              <w:rPr>
                <w:sz w:val="20"/>
                <w:szCs w:val="20"/>
                <w:color w:val="auto"/>
              </w:rPr>
            </w:pPr>
            <w:r>
              <w:rPr>
                <w:rFonts w:ascii="Arial" w:cs="Arial" w:eastAsia="Arial" w:hAnsi="Arial"/>
                <w:sz w:val="20"/>
                <w:szCs w:val="20"/>
                <w:b w:val="1"/>
                <w:bCs w:val="1"/>
                <w:color w:val="FFFFFF"/>
              </w:rPr>
              <w:t>36</w:t>
            </w:r>
          </w:p>
        </w:tc>
      </w:tr>
      <w:tr>
        <w:trPr>
          <w:trHeight w:val="81"/>
        </w:trPr>
        <w:tc>
          <w:tcPr>
            <w:tcW w:w="460" w:type="dxa"/>
            <w:vAlign w:val="bottom"/>
            <w:shd w:val="clear" w:color="auto" w:fill="1F2A44"/>
          </w:tcPr>
          <w:p>
            <w:pPr>
              <w:spacing w:after="0"/>
              <w:rPr>
                <w:sz w:val="7"/>
                <w:szCs w:val="7"/>
                <w:color w:val="auto"/>
              </w:rPr>
            </w:pPr>
          </w:p>
        </w:tc>
        <w:tc>
          <w:tcPr>
            <w:tcW w:w="2360" w:type="dxa"/>
            <w:vAlign w:val="bottom"/>
            <w:shd w:val="clear" w:color="auto" w:fill="1F2A44"/>
          </w:tcPr>
          <w:p>
            <w:pPr>
              <w:spacing w:after="0"/>
              <w:rPr>
                <w:sz w:val="7"/>
                <w:szCs w:val="7"/>
                <w:color w:val="auto"/>
              </w:rPr>
            </w:pPr>
          </w:p>
        </w:tc>
        <w:tc>
          <w:tcPr>
            <w:tcW w:w="3300" w:type="dxa"/>
            <w:vAlign w:val="bottom"/>
            <w:shd w:val="clear" w:color="auto" w:fill="1F2A44"/>
          </w:tcPr>
          <w:p>
            <w:pPr>
              <w:spacing w:after="0"/>
              <w:rPr>
                <w:sz w:val="7"/>
                <w:szCs w:val="7"/>
                <w:color w:val="auto"/>
              </w:rPr>
            </w:pPr>
          </w:p>
        </w:tc>
        <w:tc>
          <w:tcPr>
            <w:tcW w:w="3900" w:type="dxa"/>
            <w:vAlign w:val="bottom"/>
            <w:shd w:val="clear" w:color="auto" w:fill="1F2A44"/>
          </w:tcPr>
          <w:p>
            <w:pPr>
              <w:spacing w:after="0"/>
              <w:rPr>
                <w:sz w:val="7"/>
                <w:szCs w:val="7"/>
                <w:color w:val="auto"/>
              </w:rPr>
            </w:pPr>
          </w:p>
        </w:tc>
        <w:tc>
          <w:tcPr>
            <w:tcW w:w="1000" w:type="dxa"/>
            <w:vAlign w:val="bottom"/>
            <w:shd w:val="clear" w:color="auto" w:fill="1F2A44"/>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-736600</wp:posOffset>
            </wp:positionV>
            <wp:extent cx="11944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94435" cy="8890"/>
                    </a:xfrm>
                    <a:prstGeom prst="rect">
                      <a:avLst/>
                    </a:prstGeom>
                    <a:noFill/>
                  </pic:spPr>
                </pic:pic>
              </a:graphicData>
            </a:graphic>
          </wp:anchor>
        </w:drawing>
        <w:drawing>
          <wp:anchor simplePos="0" relativeHeight="251657728" behindDoc="1" locked="0" layoutInCell="0" allowOverlap="1">
            <wp:simplePos x="0" y="0"/>
            <wp:positionH relativeFrom="column">
              <wp:posOffset>174625</wp:posOffset>
            </wp:positionH>
            <wp:positionV relativeFrom="paragraph">
              <wp:posOffset>-76835</wp:posOffset>
            </wp:positionV>
            <wp:extent cx="22485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248535" cy="8890"/>
                    </a:xfrm>
                    <a:prstGeom prst="rect">
                      <a:avLst/>
                    </a:prstGeom>
                    <a:noFill/>
                  </pic:spPr>
                </pic:pic>
              </a:graphicData>
            </a:graphic>
          </wp:anchor>
        </w:drawing>
      </w:r>
    </w:p>
    <w:p>
      <w:pPr>
        <w:sectPr>
          <w:pgSz w:w="11900" w:h="16838" w:orient="portrait"/>
          <w:cols w:equalWidth="0" w:num="1">
            <w:col w:w="11240"/>
          </w:cols>
          <w:pgMar w:left="240" w:top="446"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ABOUT FEDERAL REALTY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8" w:lineRule="exact"/>
        <w:rPr>
          <w:sz w:val="20"/>
          <w:szCs w:val="20"/>
          <w:color w:val="auto"/>
        </w:rPr>
      </w:pPr>
    </w:p>
    <w:p>
      <w:pPr>
        <w:jc w:val="both"/>
        <w:ind w:left="200" w:right="20"/>
        <w:spacing w:after="0" w:line="237" w:lineRule="auto"/>
        <w:rPr>
          <w:sz w:val="20"/>
          <w:szCs w:val="20"/>
          <w:color w:val="auto"/>
        </w:rPr>
      </w:pPr>
      <w:r>
        <w:rPr>
          <w:rFonts w:ascii="Arial" w:cs="Arial" w:eastAsia="Arial" w:hAnsi="Arial"/>
          <w:sz w:val="18"/>
          <w:szCs w:val="18"/>
          <w:color w:val="auto"/>
        </w:rPr>
        <w:t>Federal Realty Investment Trust is a recognized leader in the ownership, operation and redevelopment of high-quality retail based real estate located primarily in major coastal markets from Washington, D.C. to Boston as well as San Francisco and Los Angeles. Founded in 1962, our mission is to deliver long term, sustainable growth through investing in densely populated, affluent communities where retail demand exceeds supply. Our expertise includes creating urban, mixed-use neighborhoods like Santana Row in San Jose, California, Pike &amp; Rose in North Bethesda, Maryland and Assembly Row in Somerville, Massachusetts. These unique and vibrant environments that combine shopping, dining, living and working provide a destination experience valued by their respective communities. Federal Realty’s 105 properties include approximately 3,000 tenants, in approximately 24 million square feet, and over 2,600 residential units.</w:t>
      </w:r>
    </w:p>
    <w:p>
      <w:pPr>
        <w:spacing w:after="0" w:line="163" w:lineRule="exact"/>
        <w:rPr>
          <w:sz w:val="20"/>
          <w:szCs w:val="20"/>
          <w:color w:val="auto"/>
        </w:rPr>
      </w:pPr>
    </w:p>
    <w:p>
      <w:pPr>
        <w:jc w:val="both"/>
        <w:ind w:left="200" w:right="20"/>
        <w:spacing w:after="0"/>
        <w:rPr>
          <w:sz w:val="20"/>
          <w:szCs w:val="20"/>
          <w:color w:val="auto"/>
        </w:rPr>
      </w:pPr>
      <w:r>
        <w:rPr>
          <w:rFonts w:ascii="Arial" w:cs="Arial" w:eastAsia="Arial" w:hAnsi="Arial"/>
          <w:sz w:val="18"/>
          <w:szCs w:val="18"/>
          <w:color w:val="auto"/>
        </w:rPr>
        <w:t>Throughout this proxy statement, we use the terms “Federal Realty”, “Company”, “Trust”, “we”, “our” and “us” to refer to Federal Realty Investment Trust and the terms “Board” and “Trustees” used throughout this proxy statement refer to the Board of Trustees of Federal Realty Investment Trust.</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ANNUAL 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45" w:lineRule="exact"/>
        <w:rPr>
          <w:sz w:val="20"/>
          <w:szCs w:val="20"/>
          <w:color w:val="auto"/>
        </w:rPr>
      </w:pPr>
    </w:p>
    <w:p>
      <w:pPr>
        <w:jc w:val="both"/>
        <w:ind w:left="200" w:right="20"/>
        <w:spacing w:after="0" w:line="246" w:lineRule="auto"/>
        <w:rPr>
          <w:sz w:val="20"/>
          <w:szCs w:val="20"/>
          <w:color w:val="auto"/>
        </w:rPr>
      </w:pPr>
      <w:r>
        <w:rPr>
          <w:rFonts w:ascii="Arial" w:cs="Arial" w:eastAsia="Arial" w:hAnsi="Arial"/>
          <w:sz w:val="18"/>
          <w:szCs w:val="18"/>
          <w:color w:val="auto"/>
        </w:rPr>
        <w:t>We are providing these proxy materials in connection with the 2019 Annual Meeting of the Shareholders of the Trust. These materials will assist you in voting your Shares by providing information on matters that will be presented at the Annual Meeting.</w:t>
      </w:r>
    </w:p>
    <w:p>
      <w:pPr>
        <w:spacing w:after="0" w:line="205" w:lineRule="exact"/>
        <w:rPr>
          <w:sz w:val="20"/>
          <w:szCs w:val="20"/>
          <w:color w:val="auto"/>
        </w:rPr>
      </w:pPr>
    </w:p>
    <w:tbl>
      <w:tblPr>
        <w:tblLayout w:type="fixed"/>
        <w:tblInd w:w="230" w:type="dxa"/>
        <w:tblCellMar>
          <w:top w:w="0" w:type="dxa"/>
          <w:left w:w="0" w:type="dxa"/>
          <w:bottom w:w="0" w:type="dxa"/>
          <w:right w:w="0" w:type="dxa"/>
        </w:tblCellMar>
      </w:tblPr>
      <w:tr>
        <w:trPr>
          <w:trHeight w:val="284"/>
        </w:trPr>
        <w:tc>
          <w:tcPr>
            <w:tcW w:w="1900" w:type="dxa"/>
            <w:vAlign w:val="bottom"/>
            <w:tcBorders>
              <w:top w:val="single" w:sz="8" w:color="auto"/>
              <w:left w:val="single" w:sz="8" w:color="auto"/>
              <w:right w:val="single" w:sz="8" w:color="auto"/>
            </w:tcBorders>
            <w:shd w:val="clear" w:color="auto" w:fill="FEC221"/>
          </w:tcPr>
          <w:p>
            <w:pPr>
              <w:ind w:left="140"/>
              <w:spacing w:after="0"/>
              <w:rPr>
                <w:sz w:val="20"/>
                <w:szCs w:val="20"/>
                <w:color w:val="auto"/>
              </w:rPr>
            </w:pPr>
            <w:r>
              <w:rPr>
                <w:rFonts w:ascii="Arial" w:cs="Arial" w:eastAsia="Arial" w:hAnsi="Arial"/>
                <w:sz w:val="18"/>
                <w:szCs w:val="18"/>
                <w:b w:val="1"/>
                <w:bCs w:val="1"/>
                <w:i w:val="1"/>
                <w:iCs w:val="1"/>
                <w:color w:val="auto"/>
              </w:rPr>
              <w:t>Meeting Date:</w:t>
            </w:r>
          </w:p>
        </w:tc>
        <w:tc>
          <w:tcPr>
            <w:tcW w:w="9140" w:type="dxa"/>
            <w:vAlign w:val="bottom"/>
            <w:tcBorders>
              <w:top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Wednesday, May 1, 2019</w:t>
            </w:r>
          </w:p>
        </w:tc>
      </w:tr>
      <w:tr>
        <w:trPr>
          <w:trHeight w:val="284"/>
        </w:trPr>
        <w:tc>
          <w:tcPr>
            <w:tcW w:w="1900" w:type="dxa"/>
            <w:vAlign w:val="bottom"/>
            <w:tcBorders>
              <w:left w:val="single" w:sz="8" w:color="auto"/>
              <w:right w:val="single" w:sz="8" w:color="auto"/>
            </w:tcBorders>
            <w:shd w:val="clear" w:color="auto" w:fill="FEC221"/>
          </w:tcPr>
          <w:p>
            <w:pPr>
              <w:ind w:left="140"/>
              <w:spacing w:after="0"/>
              <w:rPr>
                <w:sz w:val="20"/>
                <w:szCs w:val="20"/>
                <w:color w:val="auto"/>
              </w:rPr>
            </w:pPr>
            <w:r>
              <w:rPr>
                <w:rFonts w:ascii="Arial" w:cs="Arial" w:eastAsia="Arial" w:hAnsi="Arial"/>
                <w:sz w:val="18"/>
                <w:szCs w:val="18"/>
                <w:b w:val="1"/>
                <w:bCs w:val="1"/>
                <w:i w:val="1"/>
                <w:iCs w:val="1"/>
                <w:color w:val="auto"/>
              </w:rPr>
              <w:t>Meeting Time:</w:t>
            </w:r>
          </w:p>
        </w:tc>
        <w:tc>
          <w:tcPr>
            <w:tcW w:w="914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10:00 a.m. local time</w:t>
            </w:r>
          </w:p>
        </w:tc>
      </w:tr>
      <w:tr>
        <w:trPr>
          <w:trHeight w:val="284"/>
        </w:trPr>
        <w:tc>
          <w:tcPr>
            <w:tcW w:w="1900" w:type="dxa"/>
            <w:vAlign w:val="bottom"/>
            <w:tcBorders>
              <w:left w:val="single" w:sz="8" w:color="auto"/>
              <w:right w:val="single" w:sz="8" w:color="auto"/>
            </w:tcBorders>
            <w:shd w:val="clear" w:color="auto" w:fill="FEC221"/>
          </w:tcPr>
          <w:p>
            <w:pPr>
              <w:ind w:left="140"/>
              <w:spacing w:after="0"/>
              <w:rPr>
                <w:sz w:val="20"/>
                <w:szCs w:val="20"/>
                <w:color w:val="auto"/>
              </w:rPr>
            </w:pPr>
            <w:r>
              <w:rPr>
                <w:rFonts w:ascii="Arial" w:cs="Arial" w:eastAsia="Arial" w:hAnsi="Arial"/>
                <w:sz w:val="18"/>
                <w:szCs w:val="18"/>
                <w:b w:val="1"/>
                <w:bCs w:val="1"/>
                <w:i w:val="1"/>
                <w:iCs w:val="1"/>
                <w:color w:val="auto"/>
              </w:rPr>
              <w:t>Meeting Location:</w:t>
            </w:r>
          </w:p>
        </w:tc>
        <w:tc>
          <w:tcPr>
            <w:tcW w:w="914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AMP by Strathmore, 11810 Grand Park Avenue, North Bethesda, Maryland</w:t>
            </w:r>
          </w:p>
        </w:tc>
      </w:tr>
      <w:tr>
        <w:trPr>
          <w:trHeight w:val="291"/>
        </w:trPr>
        <w:tc>
          <w:tcPr>
            <w:tcW w:w="1900" w:type="dxa"/>
            <w:vAlign w:val="bottom"/>
            <w:tcBorders>
              <w:left w:val="single" w:sz="8" w:color="auto"/>
              <w:bottom w:val="single" w:sz="8" w:color="auto"/>
              <w:right w:val="single" w:sz="8" w:color="auto"/>
            </w:tcBorders>
            <w:shd w:val="clear" w:color="auto" w:fill="FEC221"/>
          </w:tcPr>
          <w:p>
            <w:pPr>
              <w:ind w:left="140"/>
              <w:spacing w:after="0"/>
              <w:rPr>
                <w:sz w:val="20"/>
                <w:szCs w:val="20"/>
                <w:color w:val="auto"/>
              </w:rPr>
            </w:pPr>
            <w:r>
              <w:rPr>
                <w:rFonts w:ascii="Arial" w:cs="Arial" w:eastAsia="Arial" w:hAnsi="Arial"/>
                <w:sz w:val="18"/>
                <w:szCs w:val="18"/>
                <w:b w:val="1"/>
                <w:bCs w:val="1"/>
                <w:i w:val="1"/>
                <w:iCs w:val="1"/>
                <w:color w:val="auto"/>
              </w:rPr>
              <w:t>Record Date:</w:t>
            </w:r>
          </w:p>
        </w:tc>
        <w:tc>
          <w:tcPr>
            <w:tcW w:w="914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March 14, 2019</w:t>
            </w:r>
          </w:p>
        </w:tc>
      </w:tr>
    </w:tbl>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matters are being presented for a vote at the 2019 Annual Meeting of Shareholders:</w:t>
      </w:r>
    </w:p>
    <w:p>
      <w:pPr>
        <w:spacing w:after="0" w:line="220" w:lineRule="exact"/>
        <w:rPr>
          <w:sz w:val="20"/>
          <w:szCs w:val="20"/>
          <w:color w:val="auto"/>
        </w:rPr>
      </w:pPr>
    </w:p>
    <w:tbl>
      <w:tblPr>
        <w:tblLayout w:type="fixed"/>
        <w:tblInd w:w="230" w:type="dxa"/>
        <w:tblCellMar>
          <w:top w:w="0" w:type="dxa"/>
          <w:left w:w="0" w:type="dxa"/>
          <w:bottom w:w="0" w:type="dxa"/>
          <w:right w:w="0" w:type="dxa"/>
        </w:tblCellMar>
      </w:tblPr>
      <w:tr>
        <w:trPr>
          <w:trHeight w:val="207"/>
        </w:trPr>
        <w:tc>
          <w:tcPr>
            <w:tcW w:w="6900" w:type="dxa"/>
            <w:vAlign w:val="bottom"/>
            <w:tcBorders>
              <w:top w:val="single" w:sz="8" w:color="auto"/>
              <w:left w:val="single" w:sz="8" w:color="auto"/>
              <w:right w:val="single" w:sz="8" w:color="auto"/>
            </w:tcBorders>
            <w:shd w:val="clear" w:color="auto" w:fill="1F2A44"/>
          </w:tcPr>
          <w:p>
            <w:pPr>
              <w:spacing w:after="0"/>
              <w:rPr>
                <w:sz w:val="17"/>
                <w:szCs w:val="17"/>
                <w:color w:val="auto"/>
              </w:rPr>
            </w:pPr>
          </w:p>
        </w:tc>
        <w:tc>
          <w:tcPr>
            <w:tcW w:w="1900" w:type="dxa"/>
            <w:vAlign w:val="bottom"/>
            <w:tcBorders>
              <w:top w:val="single" w:sz="8" w:color="auto"/>
              <w:right w:val="single" w:sz="8" w:color="auto"/>
            </w:tcBorders>
            <w:shd w:val="clear" w:color="auto" w:fill="1F2A44"/>
          </w:tcPr>
          <w:p>
            <w:pPr>
              <w:ind w:left="720"/>
              <w:spacing w:after="0"/>
              <w:rPr>
                <w:sz w:val="20"/>
                <w:szCs w:val="20"/>
                <w:color w:val="auto"/>
              </w:rPr>
            </w:pPr>
            <w:r>
              <w:rPr>
                <w:rFonts w:ascii="Arial" w:cs="Arial" w:eastAsia="Arial" w:hAnsi="Arial"/>
                <w:sz w:val="18"/>
                <w:szCs w:val="18"/>
                <w:b w:val="1"/>
                <w:bCs w:val="1"/>
                <w:i w:val="1"/>
                <w:iCs w:val="1"/>
                <w:color w:val="FFFFFF"/>
              </w:rPr>
              <w:t>Board</w:t>
            </w:r>
          </w:p>
        </w:tc>
        <w:tc>
          <w:tcPr>
            <w:tcW w:w="2240" w:type="dxa"/>
            <w:vAlign w:val="bottom"/>
            <w:tcBorders>
              <w:top w:val="single" w:sz="8" w:color="auto"/>
              <w:right w:val="single" w:sz="8" w:color="auto"/>
            </w:tcBorders>
            <w:shd w:val="clear" w:color="auto" w:fill="1F2A44"/>
          </w:tcPr>
          <w:p>
            <w:pPr>
              <w:jc w:val="center"/>
              <w:ind w:left="30"/>
              <w:spacing w:after="0"/>
              <w:rPr>
                <w:sz w:val="20"/>
                <w:szCs w:val="20"/>
                <w:color w:val="auto"/>
              </w:rPr>
            </w:pPr>
            <w:r>
              <w:rPr>
                <w:rFonts w:ascii="Arial" w:cs="Arial" w:eastAsia="Arial" w:hAnsi="Arial"/>
                <w:sz w:val="18"/>
                <w:szCs w:val="18"/>
                <w:b w:val="1"/>
                <w:bCs w:val="1"/>
                <w:i w:val="1"/>
                <w:iCs w:val="1"/>
                <w:color w:val="FFFFFF"/>
                <w:w w:val="98"/>
              </w:rPr>
              <w:t>Vote Required</w:t>
            </w:r>
          </w:p>
        </w:tc>
      </w:tr>
      <w:tr>
        <w:trPr>
          <w:trHeight w:val="252"/>
        </w:trPr>
        <w:tc>
          <w:tcPr>
            <w:tcW w:w="6900" w:type="dxa"/>
            <w:vAlign w:val="bottom"/>
            <w:tcBorders>
              <w:left w:val="single" w:sz="8" w:color="auto"/>
              <w:right w:val="single" w:sz="8" w:color="auto"/>
            </w:tcBorders>
            <w:shd w:val="clear" w:color="auto" w:fill="1F2A44"/>
          </w:tcPr>
          <w:p>
            <w:pPr>
              <w:ind w:left="140"/>
              <w:spacing w:after="0"/>
              <w:rPr>
                <w:sz w:val="20"/>
                <w:szCs w:val="20"/>
                <w:color w:val="auto"/>
              </w:rPr>
            </w:pPr>
            <w:r>
              <w:rPr>
                <w:rFonts w:ascii="Arial" w:cs="Arial" w:eastAsia="Arial" w:hAnsi="Arial"/>
                <w:sz w:val="18"/>
                <w:szCs w:val="18"/>
                <w:b w:val="1"/>
                <w:bCs w:val="1"/>
                <w:i w:val="1"/>
                <w:iCs w:val="1"/>
                <w:color w:val="FFFFFF"/>
              </w:rPr>
              <w:t>Proposal</w:t>
            </w:r>
          </w:p>
        </w:tc>
        <w:tc>
          <w:tcPr>
            <w:tcW w:w="1900" w:type="dxa"/>
            <w:vAlign w:val="bottom"/>
            <w:tcBorders>
              <w:right w:val="single" w:sz="8" w:color="auto"/>
            </w:tcBorders>
            <w:shd w:val="clear" w:color="auto" w:fill="1F2A44"/>
          </w:tcPr>
          <w:p>
            <w:pPr>
              <w:ind w:left="220"/>
              <w:spacing w:after="0"/>
              <w:rPr>
                <w:sz w:val="20"/>
                <w:szCs w:val="20"/>
                <w:color w:val="auto"/>
              </w:rPr>
            </w:pPr>
            <w:r>
              <w:rPr>
                <w:rFonts w:ascii="Arial" w:cs="Arial" w:eastAsia="Arial" w:hAnsi="Arial"/>
                <w:sz w:val="18"/>
                <w:szCs w:val="18"/>
                <w:b w:val="1"/>
                <w:bCs w:val="1"/>
                <w:i w:val="1"/>
                <w:iCs w:val="1"/>
                <w:color w:val="FFFFFF"/>
              </w:rPr>
              <w:t>Recommendation</w:t>
            </w:r>
          </w:p>
        </w:tc>
        <w:tc>
          <w:tcPr>
            <w:tcW w:w="2240" w:type="dxa"/>
            <w:vAlign w:val="bottom"/>
            <w:tcBorders>
              <w:right w:val="single" w:sz="8" w:color="auto"/>
            </w:tcBorders>
            <w:shd w:val="clear" w:color="auto" w:fill="1F2A44"/>
          </w:tcPr>
          <w:p>
            <w:pPr>
              <w:jc w:val="center"/>
              <w:ind w:left="30"/>
              <w:spacing w:after="0"/>
              <w:rPr>
                <w:sz w:val="20"/>
                <w:szCs w:val="20"/>
                <w:color w:val="auto"/>
              </w:rPr>
            </w:pPr>
            <w:r>
              <w:rPr>
                <w:rFonts w:ascii="Arial" w:cs="Arial" w:eastAsia="Arial" w:hAnsi="Arial"/>
                <w:sz w:val="18"/>
                <w:szCs w:val="18"/>
                <w:b w:val="1"/>
                <w:bCs w:val="1"/>
                <w:i w:val="1"/>
                <w:iCs w:val="1"/>
                <w:color w:val="FFFFFF"/>
                <w:w w:val="99"/>
              </w:rPr>
              <w:t>For Approval</w:t>
            </w:r>
          </w:p>
        </w:tc>
      </w:tr>
      <w:tr>
        <w:trPr>
          <w:trHeight w:val="284"/>
        </w:trPr>
        <w:tc>
          <w:tcPr>
            <w:tcW w:w="69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Election of 8 Trustees to serve until our 2020 annual meeting</w:t>
            </w:r>
          </w:p>
        </w:tc>
        <w:tc>
          <w:tcPr>
            <w:tcW w:w="190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i w:val="1"/>
                <w:iCs w:val="1"/>
                <w:color w:val="auto"/>
              </w:rPr>
              <w:t>FOR each nominee</w:t>
            </w:r>
          </w:p>
        </w:tc>
        <w:tc>
          <w:tcPr>
            <w:tcW w:w="224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Majority of votes cast</w:t>
            </w:r>
          </w:p>
        </w:tc>
      </w:tr>
      <w:tr>
        <w:trPr>
          <w:trHeight w:val="297"/>
        </w:trPr>
        <w:tc>
          <w:tcPr>
            <w:tcW w:w="69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Advisory vote on the compensation of our named executive officers</w:t>
            </w:r>
          </w:p>
        </w:tc>
        <w:tc>
          <w:tcPr>
            <w:tcW w:w="1900" w:type="dxa"/>
            <w:vAlign w:val="bottom"/>
            <w:tcBorders>
              <w:right w:val="single" w:sz="8" w:color="auto"/>
            </w:tcBorders>
          </w:tcPr>
          <w:p>
            <w:pPr>
              <w:ind w:left="740"/>
              <w:spacing w:after="0"/>
              <w:rPr>
                <w:sz w:val="20"/>
                <w:szCs w:val="20"/>
                <w:color w:val="auto"/>
              </w:rPr>
            </w:pPr>
            <w:r>
              <w:rPr>
                <w:rFonts w:ascii="Arial" w:cs="Arial" w:eastAsia="Arial" w:hAnsi="Arial"/>
                <w:sz w:val="18"/>
                <w:szCs w:val="18"/>
                <w:b w:val="1"/>
                <w:bCs w:val="1"/>
                <w:i w:val="1"/>
                <w:iCs w:val="1"/>
                <w:color w:val="auto"/>
              </w:rPr>
              <w:t>FOR</w:t>
            </w:r>
          </w:p>
        </w:tc>
        <w:tc>
          <w:tcPr>
            <w:tcW w:w="224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Majority of votes cast</w:t>
            </w:r>
          </w:p>
        </w:tc>
      </w:tr>
      <w:tr>
        <w:trPr>
          <w:trHeight w:val="304"/>
        </w:trPr>
        <w:tc>
          <w:tcPr>
            <w:tcW w:w="69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Ratification of the appointment of Grant Thornton LLP as our auditors</w:t>
            </w:r>
          </w:p>
        </w:tc>
        <w:tc>
          <w:tcPr>
            <w:tcW w:w="1900" w:type="dxa"/>
            <w:vAlign w:val="bottom"/>
            <w:tcBorders>
              <w:bottom w:val="single" w:sz="8" w:color="auto"/>
              <w:right w:val="single" w:sz="8" w:color="auto"/>
            </w:tcBorders>
          </w:tcPr>
          <w:p>
            <w:pPr>
              <w:ind w:left="740"/>
              <w:spacing w:after="0"/>
              <w:rPr>
                <w:sz w:val="20"/>
                <w:szCs w:val="20"/>
                <w:color w:val="auto"/>
              </w:rPr>
            </w:pPr>
            <w:r>
              <w:rPr>
                <w:rFonts w:ascii="Arial" w:cs="Arial" w:eastAsia="Arial" w:hAnsi="Arial"/>
                <w:sz w:val="18"/>
                <w:szCs w:val="18"/>
                <w:b w:val="1"/>
                <w:bCs w:val="1"/>
                <w:i w:val="1"/>
                <w:iCs w:val="1"/>
                <w:color w:val="auto"/>
              </w:rPr>
              <w:t>FOR</w:t>
            </w:r>
          </w:p>
        </w:tc>
        <w:tc>
          <w:tcPr>
            <w:tcW w:w="224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Majority of votes cast</w:t>
            </w:r>
          </w:p>
        </w:tc>
      </w:tr>
    </w:tbl>
    <w:p>
      <w:pPr>
        <w:spacing w:after="0" w:line="18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NOTICE OF ELECTRONIC AVAILABILITY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45" w:lineRule="exact"/>
        <w:rPr>
          <w:sz w:val="20"/>
          <w:szCs w:val="20"/>
          <w:color w:val="auto"/>
        </w:rPr>
      </w:pPr>
    </w:p>
    <w:p>
      <w:pPr>
        <w:jc w:val="both"/>
        <w:ind w:left="200" w:right="20"/>
        <w:spacing w:after="0" w:line="237" w:lineRule="auto"/>
        <w:rPr>
          <w:sz w:val="20"/>
          <w:szCs w:val="20"/>
          <w:color w:val="auto"/>
        </w:rPr>
      </w:pPr>
      <w:r>
        <w:rPr>
          <w:rFonts w:ascii="Arial" w:cs="Arial" w:eastAsia="Arial" w:hAnsi="Arial"/>
          <w:sz w:val="18"/>
          <w:szCs w:val="18"/>
          <w:color w:val="auto"/>
        </w:rPr>
        <w:t>We are furnishing proxy materials including this proxy statement and our 2018 Annual Report to Shareholders, which includes our Annual Report on Form 10-K for the year ended December 31, 2018 (“Annual Report”), to each shareholder by providing access to such documents on the Internet. On or about March 22, 2019, we mailed to our shareholders a “Notice of Internet Availability of Proxy Materials” (“Notice”) containing instructions on how to access and review this proxy statement and our Annual Report and how to submit your vote on the Internet or by telephone. You cannot vote by marking the Notice and returning it. If you received the Notice, you will not automatically receive a printed copy of our proxy materials or Annual Report unless you follow the instructions for requesting these materials included in the Notice. This section does not apply if you previously requested to receive these materials by mail.</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240" w:top="459" w:right="4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4" w:lineRule="exact"/>
        <w:rPr>
          <w:sz w:val="20"/>
          <w:szCs w:val="20"/>
          <w:color w:val="auto"/>
        </w:rPr>
      </w:pPr>
    </w:p>
    <w:p>
      <w:pPr>
        <w:ind w:left="280"/>
        <w:spacing w:after="0"/>
        <w:rPr>
          <w:sz w:val="20"/>
          <w:szCs w:val="20"/>
          <w:color w:val="auto"/>
        </w:rPr>
      </w:pPr>
      <w:r>
        <w:rPr>
          <w:rFonts w:ascii="Arial" w:cs="Arial" w:eastAsia="Arial" w:hAnsi="Arial"/>
          <w:sz w:val="29"/>
          <w:szCs w:val="29"/>
          <w:b w:val="1"/>
          <w:bCs w:val="1"/>
          <w:color w:val="FFFFFF"/>
        </w:rPr>
        <w:t>CORPORATE GOVERNANCE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-185420</wp:posOffset>
            </wp:positionV>
            <wp:extent cx="6997700" cy="2146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7700" cy="214630"/>
                    </a:xfrm>
                    <a:prstGeom prst="rect">
                      <a:avLst/>
                    </a:prstGeom>
                    <a:noFill/>
                  </pic:spPr>
                </pic:pic>
              </a:graphicData>
            </a:graphic>
          </wp:anchor>
        </w:drawing>
      </w:r>
    </w:p>
    <w:p>
      <w:pPr>
        <w:spacing w:after="0" w:line="212" w:lineRule="exact"/>
        <w:rPr>
          <w:sz w:val="20"/>
          <w:szCs w:val="20"/>
          <w:color w:val="auto"/>
        </w:rPr>
      </w:pPr>
    </w:p>
    <w:p>
      <w:pPr>
        <w:jc w:val="both"/>
        <w:ind w:left="200" w:right="20"/>
        <w:spacing w:after="0" w:line="239" w:lineRule="auto"/>
        <w:rPr>
          <w:sz w:val="20"/>
          <w:szCs w:val="20"/>
          <w:color w:val="auto"/>
        </w:rPr>
      </w:pPr>
      <w:r>
        <w:rPr>
          <w:rFonts w:ascii="Arial" w:cs="Arial" w:eastAsia="Arial" w:hAnsi="Arial"/>
          <w:sz w:val="18"/>
          <w:szCs w:val="18"/>
          <w:color w:val="auto"/>
        </w:rPr>
        <w:t>The Board is responsible for providing governance and oversight of the strategy, operations and management of the Trust on behalf of our shareholders. Our Board has adopted the following key documents, together with our Bylaws, that form the governance framework for the Trust. Each of these documents is periodically reviewed and updated to confirm they provide the appropriate governance framework for the Trust and to comply with current regulatory and governance requirements.</w:t>
      </w:r>
    </w:p>
    <w:p>
      <w:pPr>
        <w:spacing w:after="0" w:line="198" w:lineRule="exact"/>
        <w:rPr>
          <w:sz w:val="20"/>
          <w:szCs w:val="20"/>
          <w:color w:val="auto"/>
        </w:rPr>
      </w:pPr>
    </w:p>
    <w:p>
      <w:pPr>
        <w:ind w:left="860" w:hanging="332"/>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Corporate Governance Guidelines</w:t>
      </w:r>
    </w:p>
    <w:p>
      <w:pPr>
        <w:ind w:left="860" w:hanging="332"/>
        <w:spacing w:after="0" w:line="234"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Code of Business Conduct</w:t>
      </w:r>
    </w:p>
    <w:p>
      <w:pPr>
        <w:ind w:left="860" w:hanging="332"/>
        <w:spacing w:after="0" w:line="234"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Code of Ethics for Senior Financial Officers</w:t>
      </w:r>
    </w:p>
    <w:p>
      <w:pPr>
        <w:ind w:left="860" w:hanging="332"/>
        <w:spacing w:after="0" w:line="234"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Committee Charters</w:t>
      </w:r>
    </w:p>
    <w:p>
      <w:pPr>
        <w:ind w:left="860" w:hanging="332"/>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Declaration of Trust</w:t>
      </w:r>
    </w:p>
    <w:p>
      <w:pPr>
        <w:spacing w:after="0" w:line="171" w:lineRule="exact"/>
        <w:rPr>
          <w:sz w:val="20"/>
          <w:szCs w:val="20"/>
          <w:color w:val="auto"/>
        </w:rPr>
      </w:pPr>
    </w:p>
    <w:p>
      <w:pPr>
        <w:jc w:val="both"/>
        <w:ind w:left="200" w:right="20"/>
        <w:spacing w:after="0"/>
        <w:rPr>
          <w:sz w:val="20"/>
          <w:szCs w:val="20"/>
          <w:color w:val="auto"/>
        </w:rPr>
      </w:pPr>
      <w:r>
        <w:rPr>
          <w:rFonts w:ascii="Arial" w:cs="Arial" w:eastAsia="Arial" w:hAnsi="Arial"/>
          <w:sz w:val="18"/>
          <w:szCs w:val="18"/>
          <w:color w:val="auto"/>
        </w:rPr>
        <w:t xml:space="preserve">These documents are available under the Investors/Corporate Governance section of our website at </w:t>
      </w:r>
      <w:r>
        <w:rPr>
          <w:rFonts w:ascii="Arial" w:cs="Arial" w:eastAsia="Arial" w:hAnsi="Arial"/>
          <w:sz w:val="18"/>
          <w:szCs w:val="18"/>
          <w:u w:val="single" w:color="auto"/>
          <w:color w:val="auto"/>
        </w:rPr>
        <w:t>www.federalrealty.com</w:t>
      </w:r>
      <w:r>
        <w:rPr>
          <w:rFonts w:ascii="Arial" w:cs="Arial" w:eastAsia="Arial" w:hAnsi="Arial"/>
          <w:sz w:val="18"/>
          <w:szCs w:val="18"/>
          <w:color w:val="auto"/>
        </w:rPr>
        <w:t>. Printed copies of these documents are also available free of charge upon written request to our Investor Relations Department at 1626 East Jefferson Street, Rockville, Maryland 20852.</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CORPORATE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45" w:lineRule="exact"/>
        <w:rPr>
          <w:sz w:val="20"/>
          <w:szCs w:val="20"/>
          <w:color w:val="auto"/>
        </w:rPr>
      </w:pPr>
    </w:p>
    <w:p>
      <w:pPr>
        <w:jc w:val="both"/>
        <w:ind w:left="200" w:right="20"/>
        <w:spacing w:after="0" w:line="246" w:lineRule="auto"/>
        <w:rPr>
          <w:sz w:val="20"/>
          <w:szCs w:val="20"/>
          <w:color w:val="auto"/>
        </w:rPr>
      </w:pPr>
      <w:r>
        <w:rPr>
          <w:rFonts w:ascii="Arial" w:cs="Arial" w:eastAsia="Arial" w:hAnsi="Arial"/>
          <w:sz w:val="18"/>
          <w:szCs w:val="18"/>
          <w:color w:val="auto"/>
        </w:rPr>
        <w:t>The Trust has a history of strong corporate governance and is committed to practices and policies that best serve the interests of our shareholders. Our practices and policies include, among other things, the following:</w:t>
      </w:r>
    </w:p>
    <w:p>
      <w:pPr>
        <w:spacing w:after="0" w:line="205" w:lineRule="exact"/>
        <w:rPr>
          <w:sz w:val="20"/>
          <w:szCs w:val="20"/>
          <w:color w:val="auto"/>
        </w:rPr>
      </w:pPr>
    </w:p>
    <w:tbl>
      <w:tblPr>
        <w:tblLayout w:type="fixed"/>
        <w:tblInd w:w="230" w:type="dxa"/>
        <w:tblCellMar>
          <w:top w:w="0" w:type="dxa"/>
          <w:left w:w="0" w:type="dxa"/>
          <w:bottom w:w="0" w:type="dxa"/>
          <w:right w:w="0" w:type="dxa"/>
        </w:tblCellMar>
      </w:tblPr>
      <w:tr>
        <w:trPr>
          <w:trHeight w:val="291"/>
        </w:trPr>
        <w:tc>
          <w:tcPr>
            <w:tcW w:w="3560" w:type="dxa"/>
            <w:vAlign w:val="bottom"/>
            <w:tcBorders>
              <w:top w:val="single" w:sz="8" w:color="auto"/>
              <w:left w:val="single" w:sz="8" w:color="auto"/>
              <w:bottom w:val="single" w:sz="8" w:color="auto"/>
              <w:right w:val="single" w:sz="8" w:color="auto"/>
            </w:tcBorders>
            <w:shd w:val="clear" w:color="auto" w:fill="FEC221"/>
          </w:tcPr>
          <w:p>
            <w:pPr>
              <w:jc w:val="center"/>
              <w:ind w:left="30"/>
              <w:spacing w:after="0"/>
              <w:rPr>
                <w:sz w:val="20"/>
                <w:szCs w:val="20"/>
                <w:color w:val="auto"/>
              </w:rPr>
            </w:pPr>
            <w:r>
              <w:rPr>
                <w:rFonts w:ascii="Arial" w:cs="Arial" w:eastAsia="Arial" w:hAnsi="Arial"/>
                <w:sz w:val="18"/>
                <w:szCs w:val="18"/>
                <w:b w:val="1"/>
                <w:bCs w:val="1"/>
                <w:i w:val="1"/>
                <w:iCs w:val="1"/>
                <w:color w:val="1F2A44"/>
              </w:rPr>
              <w:t>Board Composition</w:t>
            </w:r>
          </w:p>
        </w:tc>
        <w:tc>
          <w:tcPr>
            <w:tcW w:w="3660" w:type="dxa"/>
            <w:vAlign w:val="bottom"/>
            <w:tcBorders>
              <w:top w:val="single" w:sz="8" w:color="auto"/>
              <w:bottom w:val="single" w:sz="8" w:color="auto"/>
              <w:right w:val="single" w:sz="8" w:color="auto"/>
            </w:tcBorders>
            <w:shd w:val="clear" w:color="auto" w:fill="FEC221"/>
          </w:tcPr>
          <w:p>
            <w:pPr>
              <w:jc w:val="center"/>
              <w:ind w:left="70"/>
              <w:spacing w:after="0"/>
              <w:rPr>
                <w:sz w:val="20"/>
                <w:szCs w:val="20"/>
                <w:color w:val="auto"/>
              </w:rPr>
            </w:pPr>
            <w:r>
              <w:rPr>
                <w:rFonts w:ascii="Arial" w:cs="Arial" w:eastAsia="Arial" w:hAnsi="Arial"/>
                <w:sz w:val="18"/>
                <w:szCs w:val="18"/>
                <w:b w:val="1"/>
                <w:bCs w:val="1"/>
                <w:i w:val="1"/>
                <w:iCs w:val="1"/>
                <w:color w:val="1F2A44"/>
                <w:w w:val="99"/>
              </w:rPr>
              <w:t>Shareholder Rights</w:t>
            </w:r>
          </w:p>
        </w:tc>
        <w:tc>
          <w:tcPr>
            <w:tcW w:w="3820" w:type="dxa"/>
            <w:vAlign w:val="bottom"/>
            <w:tcBorders>
              <w:top w:val="single" w:sz="8" w:color="auto"/>
              <w:bottom w:val="single" w:sz="8" w:color="auto"/>
              <w:right w:val="single" w:sz="8" w:color="auto"/>
            </w:tcBorders>
            <w:shd w:val="clear" w:color="auto" w:fill="FEC221"/>
          </w:tcPr>
          <w:p>
            <w:pPr>
              <w:jc w:val="center"/>
              <w:ind w:left="30"/>
              <w:spacing w:after="0"/>
              <w:rPr>
                <w:sz w:val="20"/>
                <w:szCs w:val="20"/>
                <w:color w:val="auto"/>
              </w:rPr>
            </w:pPr>
            <w:r>
              <w:rPr>
                <w:rFonts w:ascii="Arial" w:cs="Arial" w:eastAsia="Arial" w:hAnsi="Arial"/>
                <w:sz w:val="18"/>
                <w:szCs w:val="18"/>
                <w:b w:val="1"/>
                <w:bCs w:val="1"/>
                <w:i w:val="1"/>
                <w:iCs w:val="1"/>
                <w:color w:val="1F2A44"/>
                <w:w w:val="99"/>
              </w:rPr>
              <w:t>Key Policies</w:t>
            </w:r>
          </w:p>
        </w:tc>
      </w:tr>
      <w:tr>
        <w:trPr>
          <w:trHeight w:val="310"/>
        </w:trPr>
        <w:tc>
          <w:tcPr>
            <w:tcW w:w="3560" w:type="dxa"/>
            <w:vAlign w:val="bottom"/>
            <w:tcBorders>
              <w:left w:val="single" w:sz="8" w:color="auto"/>
              <w:right w:val="single" w:sz="8" w:color="auto"/>
            </w:tcBorders>
          </w:tcPr>
          <w:p>
            <w:pPr>
              <w:jc w:val="center"/>
              <w:ind w:left="30"/>
              <w:spacing w:after="0" w:line="207" w:lineRule="exact"/>
              <w:rPr>
                <w:sz w:val="20"/>
                <w:szCs w:val="20"/>
                <w:color w:val="auto"/>
              </w:rPr>
            </w:pPr>
            <w:r>
              <w:rPr>
                <w:rFonts w:ascii="MS PGothic" w:cs="MS PGothic" w:eastAsia="MS PGothic" w:hAnsi="MS PGothic"/>
                <w:sz w:val="18"/>
                <w:szCs w:val="18"/>
                <w:color w:val="auto"/>
                <w:w w:val="98"/>
              </w:rPr>
              <w:t>✓</w:t>
            </w:r>
            <w:r>
              <w:rPr>
                <w:rFonts w:ascii="Arial" w:cs="Arial" w:eastAsia="Arial" w:hAnsi="Arial"/>
                <w:sz w:val="18"/>
                <w:szCs w:val="18"/>
                <w:color w:val="auto"/>
                <w:w w:val="98"/>
              </w:rPr>
              <w:t xml:space="preserve"> 75% of Board is Independent</w:t>
            </w:r>
          </w:p>
        </w:tc>
        <w:tc>
          <w:tcPr>
            <w:tcW w:w="3660" w:type="dxa"/>
            <w:vAlign w:val="bottom"/>
            <w:tcBorders>
              <w:right w:val="single" w:sz="8" w:color="auto"/>
            </w:tcBorders>
          </w:tcPr>
          <w:p>
            <w:pPr>
              <w:jc w:val="center"/>
              <w:ind w:left="70"/>
              <w:spacing w:after="0" w:line="207" w:lineRule="exact"/>
              <w:rPr>
                <w:sz w:val="20"/>
                <w:szCs w:val="20"/>
                <w:color w:val="auto"/>
              </w:rPr>
            </w:pPr>
            <w:r>
              <w:rPr>
                <w:rFonts w:ascii="MS PGothic" w:cs="MS PGothic" w:eastAsia="MS PGothic" w:hAnsi="MS PGothic"/>
                <w:sz w:val="18"/>
                <w:szCs w:val="18"/>
                <w:color w:val="auto"/>
                <w:w w:val="99"/>
              </w:rPr>
              <w:t>✓</w:t>
            </w:r>
            <w:r>
              <w:rPr>
                <w:rFonts w:ascii="Arial" w:cs="Arial" w:eastAsia="Arial" w:hAnsi="Arial"/>
                <w:sz w:val="18"/>
                <w:szCs w:val="18"/>
                <w:color w:val="auto"/>
                <w:w w:val="99"/>
              </w:rPr>
              <w:t xml:space="preserve"> Shareholder Right to Call Special</w:t>
            </w:r>
          </w:p>
        </w:tc>
        <w:tc>
          <w:tcPr>
            <w:tcW w:w="3820" w:type="dxa"/>
            <w:vAlign w:val="bottom"/>
            <w:tcBorders>
              <w:right w:val="single" w:sz="8" w:color="auto"/>
            </w:tcBorders>
          </w:tcPr>
          <w:p>
            <w:pPr>
              <w:jc w:val="center"/>
              <w:ind w:left="30"/>
              <w:spacing w:after="0" w:line="207" w:lineRule="exact"/>
              <w:rPr>
                <w:sz w:val="20"/>
                <w:szCs w:val="20"/>
                <w:color w:val="auto"/>
              </w:rPr>
            </w:pPr>
            <w:r>
              <w:rPr>
                <w:rFonts w:ascii="MS PGothic" w:cs="MS PGothic" w:eastAsia="MS PGothic" w:hAnsi="MS PGothic"/>
                <w:sz w:val="18"/>
                <w:szCs w:val="18"/>
                <w:color w:val="auto"/>
                <w:w w:val="98"/>
              </w:rPr>
              <w:t>✓</w:t>
            </w:r>
            <w:r>
              <w:rPr>
                <w:rFonts w:ascii="Arial" w:cs="Arial" w:eastAsia="Arial" w:hAnsi="Arial"/>
                <w:sz w:val="18"/>
                <w:szCs w:val="18"/>
                <w:color w:val="auto"/>
                <w:w w:val="98"/>
              </w:rPr>
              <w:t xml:space="preserve"> Pay for Performance Executive</w:t>
            </w:r>
          </w:p>
        </w:tc>
      </w:tr>
      <w:tr>
        <w:trPr>
          <w:trHeight w:val="230"/>
        </w:trPr>
        <w:tc>
          <w:tcPr>
            <w:tcW w:w="3560" w:type="dxa"/>
            <w:vAlign w:val="bottom"/>
            <w:tcBorders>
              <w:left w:val="single" w:sz="8" w:color="auto"/>
              <w:right w:val="single" w:sz="8" w:color="auto"/>
            </w:tcBorders>
          </w:tcPr>
          <w:p>
            <w:pPr>
              <w:spacing w:after="0"/>
              <w:rPr>
                <w:sz w:val="20"/>
                <w:szCs w:val="20"/>
                <w:color w:val="auto"/>
              </w:rPr>
            </w:pPr>
          </w:p>
        </w:tc>
        <w:tc>
          <w:tcPr>
            <w:tcW w:w="3660" w:type="dxa"/>
            <w:vAlign w:val="bottom"/>
            <w:tcBorders>
              <w:right w:val="single" w:sz="8" w:color="auto"/>
            </w:tcBorders>
          </w:tcPr>
          <w:p>
            <w:pPr>
              <w:jc w:val="center"/>
              <w:ind w:left="90"/>
              <w:spacing w:after="0"/>
              <w:rPr>
                <w:sz w:val="20"/>
                <w:szCs w:val="20"/>
                <w:color w:val="auto"/>
              </w:rPr>
            </w:pPr>
            <w:r>
              <w:rPr>
                <w:rFonts w:ascii="Arial" w:cs="Arial" w:eastAsia="Arial" w:hAnsi="Arial"/>
                <w:sz w:val="18"/>
                <w:szCs w:val="18"/>
                <w:color w:val="auto"/>
                <w:w w:val="99"/>
              </w:rPr>
              <w:t>Meeting without Significant Restriction</w:t>
            </w:r>
          </w:p>
        </w:tc>
        <w:tc>
          <w:tcPr>
            <w:tcW w:w="3820" w:type="dxa"/>
            <w:vAlign w:val="bottom"/>
            <w:tcBorders>
              <w:right w:val="single" w:sz="8" w:color="auto"/>
            </w:tcBorders>
          </w:tcPr>
          <w:p>
            <w:pPr>
              <w:jc w:val="center"/>
              <w:ind w:left="30"/>
              <w:spacing w:after="0"/>
              <w:rPr>
                <w:sz w:val="20"/>
                <w:szCs w:val="20"/>
                <w:color w:val="auto"/>
              </w:rPr>
            </w:pPr>
            <w:r>
              <w:rPr>
                <w:rFonts w:ascii="Arial" w:cs="Arial" w:eastAsia="Arial" w:hAnsi="Arial"/>
                <w:sz w:val="18"/>
                <w:szCs w:val="18"/>
                <w:color w:val="auto"/>
              </w:rPr>
              <w:t>Compensation Philosophy</w:t>
            </w:r>
          </w:p>
        </w:tc>
      </w:tr>
      <w:tr>
        <w:trPr>
          <w:trHeight w:val="323"/>
        </w:trPr>
        <w:tc>
          <w:tcPr>
            <w:tcW w:w="3560" w:type="dxa"/>
            <w:vAlign w:val="bottom"/>
            <w:tcBorders>
              <w:left w:val="single" w:sz="8" w:color="auto"/>
              <w:right w:val="single" w:sz="8" w:color="auto"/>
            </w:tcBorders>
          </w:tcPr>
          <w:p>
            <w:pPr>
              <w:jc w:val="center"/>
              <w:ind w:left="30"/>
              <w:spacing w:after="0" w:line="207" w:lineRule="exact"/>
              <w:rPr>
                <w:sz w:val="20"/>
                <w:szCs w:val="20"/>
                <w:color w:val="auto"/>
              </w:rPr>
            </w:pPr>
            <w:r>
              <w:rPr>
                <w:rFonts w:ascii="MS PGothic" w:cs="MS PGothic" w:eastAsia="MS PGothic" w:hAnsi="MS PGothic"/>
                <w:sz w:val="18"/>
                <w:szCs w:val="18"/>
                <w:color w:val="auto"/>
                <w:w w:val="98"/>
              </w:rPr>
              <w:t>✓</w:t>
            </w:r>
            <w:r>
              <w:rPr>
                <w:rFonts w:ascii="Arial" w:cs="Arial" w:eastAsia="Arial" w:hAnsi="Arial"/>
                <w:sz w:val="18"/>
                <w:szCs w:val="18"/>
                <w:color w:val="auto"/>
                <w:w w:val="98"/>
              </w:rPr>
              <w:t xml:space="preserve"> Independent Board Chairman</w:t>
            </w:r>
          </w:p>
        </w:tc>
        <w:tc>
          <w:tcPr>
            <w:tcW w:w="3660" w:type="dxa"/>
            <w:vAlign w:val="bottom"/>
            <w:tcBorders>
              <w:right w:val="single" w:sz="8" w:color="auto"/>
            </w:tcBorders>
          </w:tcPr>
          <w:p>
            <w:pPr>
              <w:jc w:val="center"/>
              <w:ind w:left="90"/>
              <w:spacing w:after="0" w:line="207" w:lineRule="exact"/>
              <w:rPr>
                <w:sz w:val="20"/>
                <w:szCs w:val="20"/>
                <w:color w:val="auto"/>
              </w:rPr>
            </w:pPr>
            <w:r>
              <w:rPr>
                <w:rFonts w:ascii="MS PGothic" w:cs="MS PGothic" w:eastAsia="MS PGothic" w:hAnsi="MS PGothic"/>
                <w:sz w:val="18"/>
                <w:szCs w:val="18"/>
                <w:color w:val="auto"/>
                <w:w w:val="98"/>
              </w:rPr>
              <w:t>✓</w:t>
            </w:r>
            <w:r>
              <w:rPr>
                <w:rFonts w:ascii="Arial" w:cs="Arial" w:eastAsia="Arial" w:hAnsi="Arial"/>
                <w:sz w:val="18"/>
                <w:szCs w:val="18"/>
                <w:color w:val="auto"/>
                <w:w w:val="98"/>
              </w:rPr>
              <w:t xml:space="preserve"> Annual Election of Trustees</w:t>
            </w:r>
          </w:p>
        </w:tc>
        <w:tc>
          <w:tcPr>
            <w:tcW w:w="3820" w:type="dxa"/>
            <w:vAlign w:val="bottom"/>
            <w:tcBorders>
              <w:right w:val="single" w:sz="8" w:color="auto"/>
            </w:tcBorders>
          </w:tcPr>
          <w:p>
            <w:pPr>
              <w:jc w:val="center"/>
              <w:ind w:left="30"/>
              <w:spacing w:after="0" w:line="207" w:lineRule="exact"/>
              <w:rPr>
                <w:sz w:val="20"/>
                <w:szCs w:val="20"/>
                <w:color w:val="auto"/>
              </w:rPr>
            </w:pPr>
            <w:r>
              <w:rPr>
                <w:rFonts w:ascii="MS PGothic" w:cs="MS PGothic" w:eastAsia="MS PGothic" w:hAnsi="MS PGothic"/>
                <w:sz w:val="18"/>
                <w:szCs w:val="18"/>
                <w:color w:val="auto"/>
                <w:w w:val="98"/>
              </w:rPr>
              <w:t>✓</w:t>
            </w:r>
            <w:r>
              <w:rPr>
                <w:rFonts w:ascii="Arial" w:cs="Arial" w:eastAsia="Arial" w:hAnsi="Arial"/>
                <w:sz w:val="18"/>
                <w:szCs w:val="18"/>
                <w:color w:val="auto"/>
                <w:w w:val="98"/>
              </w:rPr>
              <w:t xml:space="preserve"> Stock Ownership Guidelines for Trustees</w:t>
            </w:r>
          </w:p>
        </w:tc>
      </w:tr>
      <w:tr>
        <w:trPr>
          <w:trHeight w:val="217"/>
        </w:trPr>
        <w:tc>
          <w:tcPr>
            <w:tcW w:w="3560" w:type="dxa"/>
            <w:vAlign w:val="bottom"/>
            <w:tcBorders>
              <w:left w:val="single" w:sz="8" w:color="auto"/>
              <w:right w:val="single" w:sz="8" w:color="auto"/>
            </w:tcBorders>
          </w:tcPr>
          <w:p>
            <w:pPr>
              <w:spacing w:after="0"/>
              <w:rPr>
                <w:sz w:val="18"/>
                <w:szCs w:val="18"/>
                <w:color w:val="auto"/>
              </w:rPr>
            </w:pPr>
          </w:p>
        </w:tc>
        <w:tc>
          <w:tcPr>
            <w:tcW w:w="366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tcPr>
          <w:p>
            <w:pPr>
              <w:jc w:val="center"/>
              <w:ind w:left="30"/>
              <w:spacing w:after="0"/>
              <w:rPr>
                <w:sz w:val="20"/>
                <w:szCs w:val="20"/>
                <w:color w:val="auto"/>
              </w:rPr>
            </w:pPr>
            <w:r>
              <w:rPr>
                <w:rFonts w:ascii="Arial" w:cs="Arial" w:eastAsia="Arial" w:hAnsi="Arial"/>
                <w:sz w:val="18"/>
                <w:szCs w:val="18"/>
                <w:color w:val="auto"/>
                <w:w w:val="98"/>
              </w:rPr>
              <w:t>and Executive Officers</w:t>
            </w:r>
          </w:p>
        </w:tc>
      </w:tr>
      <w:tr>
        <w:trPr>
          <w:trHeight w:val="337"/>
        </w:trPr>
        <w:tc>
          <w:tcPr>
            <w:tcW w:w="3560" w:type="dxa"/>
            <w:vAlign w:val="bottom"/>
            <w:tcBorders>
              <w:left w:val="single" w:sz="8" w:color="auto"/>
              <w:right w:val="single" w:sz="8" w:color="auto"/>
            </w:tcBorders>
          </w:tcPr>
          <w:p>
            <w:pPr>
              <w:jc w:val="center"/>
              <w:ind w:left="10"/>
              <w:spacing w:after="0" w:line="207" w:lineRule="exact"/>
              <w:rPr>
                <w:sz w:val="20"/>
                <w:szCs w:val="20"/>
                <w:color w:val="auto"/>
              </w:rPr>
            </w:pPr>
            <w:r>
              <w:rPr>
                <w:rFonts w:ascii="MS PGothic" w:cs="MS PGothic" w:eastAsia="MS PGothic" w:hAnsi="MS PGothic"/>
                <w:sz w:val="18"/>
                <w:szCs w:val="18"/>
                <w:color w:val="auto"/>
                <w:w w:val="98"/>
              </w:rPr>
              <w:t>✓</w:t>
            </w:r>
            <w:r>
              <w:rPr>
                <w:rFonts w:ascii="Arial" w:cs="Arial" w:eastAsia="Arial" w:hAnsi="Arial"/>
                <w:sz w:val="18"/>
                <w:szCs w:val="18"/>
                <w:color w:val="auto"/>
                <w:w w:val="98"/>
              </w:rPr>
              <w:t xml:space="preserve"> Independent Audit, Nominating and</w:t>
            </w:r>
          </w:p>
        </w:tc>
        <w:tc>
          <w:tcPr>
            <w:tcW w:w="3660" w:type="dxa"/>
            <w:vAlign w:val="bottom"/>
            <w:tcBorders>
              <w:right w:val="single" w:sz="8" w:color="auto"/>
            </w:tcBorders>
          </w:tcPr>
          <w:p>
            <w:pPr>
              <w:jc w:val="center"/>
              <w:ind w:left="90"/>
              <w:spacing w:after="0" w:line="207" w:lineRule="exact"/>
              <w:rPr>
                <w:sz w:val="20"/>
                <w:szCs w:val="20"/>
                <w:color w:val="auto"/>
              </w:rPr>
            </w:pPr>
            <w:r>
              <w:rPr>
                <w:rFonts w:ascii="MS PGothic" w:cs="MS PGothic" w:eastAsia="MS PGothic" w:hAnsi="MS PGothic"/>
                <w:sz w:val="18"/>
                <w:szCs w:val="18"/>
                <w:color w:val="auto"/>
                <w:w w:val="98"/>
              </w:rPr>
              <w:t>✓</w:t>
            </w:r>
            <w:r>
              <w:rPr>
                <w:rFonts w:ascii="Arial" w:cs="Arial" w:eastAsia="Arial" w:hAnsi="Arial"/>
                <w:sz w:val="18"/>
                <w:szCs w:val="18"/>
                <w:color w:val="auto"/>
                <w:w w:val="98"/>
              </w:rPr>
              <w:t xml:space="preserve"> Shareholder Approval Required to</w:t>
            </w:r>
          </w:p>
        </w:tc>
        <w:tc>
          <w:tcPr>
            <w:tcW w:w="3820" w:type="dxa"/>
            <w:vAlign w:val="bottom"/>
            <w:tcBorders>
              <w:right w:val="single" w:sz="8" w:color="auto"/>
            </w:tcBorders>
          </w:tcPr>
          <w:p>
            <w:pPr>
              <w:jc w:val="center"/>
              <w:ind w:left="30"/>
              <w:spacing w:after="0" w:line="207" w:lineRule="exact"/>
              <w:rPr>
                <w:sz w:val="20"/>
                <w:szCs w:val="20"/>
                <w:color w:val="auto"/>
              </w:rPr>
            </w:pPr>
            <w:r>
              <w:rPr>
                <w:rFonts w:ascii="MS PGothic" w:cs="MS PGothic" w:eastAsia="MS PGothic" w:hAnsi="MS PGothic"/>
                <w:sz w:val="18"/>
                <w:szCs w:val="18"/>
                <w:color w:val="auto"/>
                <w:w w:val="98"/>
              </w:rPr>
              <w:t>✓</w:t>
            </w:r>
            <w:r>
              <w:rPr>
                <w:rFonts w:ascii="Arial" w:cs="Arial" w:eastAsia="Arial" w:hAnsi="Arial"/>
                <w:sz w:val="18"/>
                <w:szCs w:val="18"/>
                <w:color w:val="auto"/>
                <w:w w:val="98"/>
              </w:rPr>
              <w:t xml:space="preserve"> Prohibition on Hedging Trust Stock</w:t>
            </w:r>
          </w:p>
        </w:tc>
      </w:tr>
      <w:tr>
        <w:trPr>
          <w:trHeight w:val="217"/>
        </w:trPr>
        <w:tc>
          <w:tcPr>
            <w:tcW w:w="3560" w:type="dxa"/>
            <w:vAlign w:val="bottom"/>
            <w:tcBorders>
              <w:left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99"/>
              </w:rPr>
              <w:t>Compensation Committees</w:t>
            </w:r>
          </w:p>
        </w:tc>
        <w:tc>
          <w:tcPr>
            <w:tcW w:w="3660" w:type="dxa"/>
            <w:vAlign w:val="bottom"/>
            <w:tcBorders>
              <w:right w:val="single" w:sz="8" w:color="auto"/>
            </w:tcBorders>
          </w:tcPr>
          <w:p>
            <w:pPr>
              <w:jc w:val="center"/>
              <w:ind w:left="90"/>
              <w:spacing w:after="0"/>
              <w:rPr>
                <w:sz w:val="20"/>
                <w:szCs w:val="20"/>
                <w:color w:val="auto"/>
              </w:rPr>
            </w:pPr>
            <w:r>
              <w:rPr>
                <w:rFonts w:ascii="Arial" w:cs="Arial" w:eastAsia="Arial" w:hAnsi="Arial"/>
                <w:sz w:val="18"/>
                <w:szCs w:val="18"/>
                <w:color w:val="auto"/>
                <w:w w:val="99"/>
              </w:rPr>
              <w:t>Classify Board</w:t>
            </w:r>
          </w:p>
        </w:tc>
        <w:tc>
          <w:tcPr>
            <w:tcW w:w="3820" w:type="dxa"/>
            <w:vAlign w:val="bottom"/>
            <w:tcBorders>
              <w:right w:val="single" w:sz="8" w:color="auto"/>
            </w:tcBorders>
          </w:tcPr>
          <w:p>
            <w:pPr>
              <w:spacing w:after="0"/>
              <w:rPr>
                <w:sz w:val="18"/>
                <w:szCs w:val="18"/>
                <w:color w:val="auto"/>
              </w:rPr>
            </w:pPr>
          </w:p>
        </w:tc>
      </w:tr>
      <w:tr>
        <w:trPr>
          <w:trHeight w:val="337"/>
        </w:trPr>
        <w:tc>
          <w:tcPr>
            <w:tcW w:w="3560" w:type="dxa"/>
            <w:vAlign w:val="bottom"/>
            <w:tcBorders>
              <w:left w:val="single" w:sz="8" w:color="auto"/>
              <w:right w:val="single" w:sz="8" w:color="auto"/>
            </w:tcBorders>
          </w:tcPr>
          <w:p>
            <w:pPr>
              <w:jc w:val="center"/>
              <w:ind w:left="30"/>
              <w:spacing w:after="0" w:line="207" w:lineRule="exact"/>
              <w:rPr>
                <w:sz w:val="20"/>
                <w:szCs w:val="20"/>
                <w:color w:val="auto"/>
              </w:rPr>
            </w:pPr>
            <w:r>
              <w:rPr>
                <w:rFonts w:ascii="MS PGothic" w:cs="MS PGothic" w:eastAsia="MS PGothic" w:hAnsi="MS PGothic"/>
                <w:sz w:val="18"/>
                <w:szCs w:val="18"/>
                <w:color w:val="auto"/>
                <w:w w:val="99"/>
              </w:rPr>
              <w:t>✓</w:t>
            </w:r>
            <w:r>
              <w:rPr>
                <w:rFonts w:ascii="Arial" w:cs="Arial" w:eastAsia="Arial" w:hAnsi="Arial"/>
                <w:sz w:val="18"/>
                <w:szCs w:val="18"/>
                <w:color w:val="auto"/>
                <w:w w:val="99"/>
              </w:rPr>
              <w:t xml:space="preserve"> Engaged and Diverse Board with</w:t>
            </w:r>
          </w:p>
        </w:tc>
        <w:tc>
          <w:tcPr>
            <w:tcW w:w="3660" w:type="dxa"/>
            <w:vAlign w:val="bottom"/>
            <w:tcBorders>
              <w:right w:val="single" w:sz="8" w:color="auto"/>
            </w:tcBorders>
          </w:tcPr>
          <w:p>
            <w:pPr>
              <w:jc w:val="center"/>
              <w:ind w:left="70"/>
              <w:spacing w:after="0" w:line="207" w:lineRule="exact"/>
              <w:rPr>
                <w:sz w:val="20"/>
                <w:szCs w:val="20"/>
                <w:color w:val="auto"/>
              </w:rPr>
            </w:pPr>
            <w:r>
              <w:rPr>
                <w:rFonts w:ascii="MS PGothic" w:cs="MS PGothic" w:eastAsia="MS PGothic" w:hAnsi="MS PGothic"/>
                <w:sz w:val="18"/>
                <w:szCs w:val="18"/>
                <w:color w:val="auto"/>
                <w:w w:val="99"/>
              </w:rPr>
              <w:t>✓</w:t>
            </w:r>
            <w:r>
              <w:rPr>
                <w:rFonts w:ascii="Arial" w:cs="Arial" w:eastAsia="Arial" w:hAnsi="Arial"/>
                <w:sz w:val="18"/>
                <w:szCs w:val="18"/>
                <w:color w:val="auto"/>
                <w:w w:val="99"/>
              </w:rPr>
              <w:t xml:space="preserve"> Majority Voting in Uncontested Elections</w:t>
            </w:r>
          </w:p>
        </w:tc>
        <w:tc>
          <w:tcPr>
            <w:tcW w:w="3820" w:type="dxa"/>
            <w:vAlign w:val="bottom"/>
            <w:tcBorders>
              <w:right w:val="single" w:sz="8" w:color="auto"/>
            </w:tcBorders>
          </w:tcPr>
          <w:p>
            <w:pPr>
              <w:jc w:val="center"/>
              <w:ind w:left="30"/>
              <w:spacing w:after="0" w:line="207" w:lineRule="exact"/>
              <w:rPr>
                <w:sz w:val="20"/>
                <w:szCs w:val="20"/>
                <w:color w:val="auto"/>
              </w:rPr>
            </w:pPr>
            <w:r>
              <w:rPr>
                <w:rFonts w:ascii="MS PGothic" w:cs="MS PGothic" w:eastAsia="MS PGothic" w:hAnsi="MS PGothic"/>
                <w:sz w:val="18"/>
                <w:szCs w:val="18"/>
                <w:color w:val="auto"/>
                <w:w w:val="99"/>
              </w:rPr>
              <w:t>✓</w:t>
            </w:r>
            <w:r>
              <w:rPr>
                <w:rFonts w:ascii="Arial" w:cs="Arial" w:eastAsia="Arial" w:hAnsi="Arial"/>
                <w:sz w:val="18"/>
                <w:szCs w:val="18"/>
                <w:color w:val="auto"/>
                <w:w w:val="99"/>
              </w:rPr>
              <w:t xml:space="preserve"> Prohibition on Pledging Trust Stock</w:t>
            </w:r>
          </w:p>
        </w:tc>
      </w:tr>
      <w:tr>
        <w:trPr>
          <w:trHeight w:val="217"/>
        </w:trPr>
        <w:tc>
          <w:tcPr>
            <w:tcW w:w="3560" w:type="dxa"/>
            <w:vAlign w:val="bottom"/>
            <w:tcBorders>
              <w:left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98"/>
              </w:rPr>
              <w:t>2 Female Trustees</w:t>
            </w:r>
          </w:p>
        </w:tc>
        <w:tc>
          <w:tcPr>
            <w:tcW w:w="366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tcPr>
          <w:p>
            <w:pPr>
              <w:spacing w:after="0"/>
              <w:rPr>
                <w:sz w:val="18"/>
                <w:szCs w:val="18"/>
                <w:color w:val="auto"/>
              </w:rPr>
            </w:pPr>
          </w:p>
        </w:tc>
      </w:tr>
      <w:tr>
        <w:trPr>
          <w:trHeight w:val="337"/>
        </w:trPr>
        <w:tc>
          <w:tcPr>
            <w:tcW w:w="3560" w:type="dxa"/>
            <w:vAlign w:val="bottom"/>
            <w:tcBorders>
              <w:left w:val="single" w:sz="8" w:color="auto"/>
              <w:right w:val="single" w:sz="8" w:color="auto"/>
            </w:tcBorders>
          </w:tcPr>
          <w:p>
            <w:pPr>
              <w:jc w:val="center"/>
              <w:ind w:left="30"/>
              <w:spacing w:after="0" w:line="207" w:lineRule="exact"/>
              <w:rPr>
                <w:sz w:val="20"/>
                <w:szCs w:val="20"/>
                <w:color w:val="auto"/>
              </w:rPr>
            </w:pPr>
            <w:r>
              <w:rPr>
                <w:rFonts w:ascii="MS PGothic" w:cs="MS PGothic" w:eastAsia="MS PGothic" w:hAnsi="MS PGothic"/>
                <w:sz w:val="18"/>
                <w:szCs w:val="18"/>
                <w:color w:val="auto"/>
                <w:w w:val="98"/>
              </w:rPr>
              <w:t>✓</w:t>
            </w:r>
            <w:r>
              <w:rPr>
                <w:rFonts w:ascii="Arial" w:cs="Arial" w:eastAsia="Arial" w:hAnsi="Arial"/>
                <w:sz w:val="18"/>
                <w:szCs w:val="18"/>
                <w:color w:val="auto"/>
                <w:w w:val="98"/>
              </w:rPr>
              <w:t xml:space="preserve"> Annual Board and Committee</w:t>
            </w:r>
          </w:p>
        </w:tc>
        <w:tc>
          <w:tcPr>
            <w:tcW w:w="3660" w:type="dxa"/>
            <w:vAlign w:val="bottom"/>
            <w:tcBorders>
              <w:right w:val="single" w:sz="8" w:color="auto"/>
            </w:tcBorders>
          </w:tcPr>
          <w:p>
            <w:pPr>
              <w:jc w:val="center"/>
              <w:ind w:left="70"/>
              <w:spacing w:after="0" w:line="207" w:lineRule="exact"/>
              <w:rPr>
                <w:sz w:val="20"/>
                <w:szCs w:val="20"/>
                <w:color w:val="auto"/>
              </w:rPr>
            </w:pPr>
            <w:r>
              <w:rPr>
                <w:rFonts w:ascii="MS PGothic" w:cs="MS PGothic" w:eastAsia="MS PGothic" w:hAnsi="MS PGothic"/>
                <w:sz w:val="18"/>
                <w:szCs w:val="18"/>
                <w:color w:val="auto"/>
                <w:w w:val="98"/>
              </w:rPr>
              <w:t>✓</w:t>
            </w:r>
            <w:r>
              <w:rPr>
                <w:rFonts w:ascii="Arial" w:cs="Arial" w:eastAsia="Arial" w:hAnsi="Arial"/>
                <w:sz w:val="18"/>
                <w:szCs w:val="18"/>
                <w:color w:val="auto"/>
                <w:w w:val="98"/>
              </w:rPr>
              <w:t xml:space="preserve"> Shareholder Right to Act by Written</w:t>
            </w:r>
          </w:p>
        </w:tc>
        <w:tc>
          <w:tcPr>
            <w:tcW w:w="3820" w:type="dxa"/>
            <w:vAlign w:val="bottom"/>
            <w:tcBorders>
              <w:right w:val="single" w:sz="8" w:color="auto"/>
            </w:tcBorders>
          </w:tcPr>
          <w:p>
            <w:pPr>
              <w:jc w:val="center"/>
              <w:ind w:left="30"/>
              <w:spacing w:after="0" w:line="207" w:lineRule="exact"/>
              <w:rPr>
                <w:sz w:val="20"/>
                <w:szCs w:val="20"/>
                <w:color w:val="auto"/>
              </w:rPr>
            </w:pPr>
            <w:r>
              <w:rPr>
                <w:rFonts w:ascii="MS PGothic" w:cs="MS PGothic" w:eastAsia="MS PGothic" w:hAnsi="MS PGothic"/>
                <w:sz w:val="18"/>
                <w:szCs w:val="18"/>
                <w:color w:val="auto"/>
                <w:w w:val="97"/>
              </w:rPr>
              <w:t>✓</w:t>
            </w:r>
            <w:r>
              <w:rPr>
                <w:rFonts w:ascii="Arial" w:cs="Arial" w:eastAsia="Arial" w:hAnsi="Arial"/>
                <w:sz w:val="18"/>
                <w:szCs w:val="18"/>
                <w:color w:val="auto"/>
                <w:w w:val="97"/>
              </w:rPr>
              <w:t xml:space="preserve"> Clawback Policy in Place</w:t>
            </w:r>
          </w:p>
        </w:tc>
      </w:tr>
      <w:tr>
        <w:trPr>
          <w:trHeight w:val="216"/>
        </w:trPr>
        <w:tc>
          <w:tcPr>
            <w:tcW w:w="3560" w:type="dxa"/>
            <w:vAlign w:val="bottom"/>
            <w:tcBorders>
              <w:left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99"/>
              </w:rPr>
              <w:t>Evaluations, including individual Trustee</w:t>
            </w:r>
          </w:p>
        </w:tc>
        <w:tc>
          <w:tcPr>
            <w:tcW w:w="3660" w:type="dxa"/>
            <w:vAlign w:val="bottom"/>
            <w:tcBorders>
              <w:right w:val="single" w:sz="8" w:color="auto"/>
            </w:tcBorders>
          </w:tcPr>
          <w:p>
            <w:pPr>
              <w:jc w:val="center"/>
              <w:ind w:left="70"/>
              <w:spacing w:after="0"/>
              <w:rPr>
                <w:sz w:val="20"/>
                <w:szCs w:val="20"/>
                <w:color w:val="auto"/>
              </w:rPr>
            </w:pPr>
            <w:r>
              <w:rPr>
                <w:rFonts w:ascii="Arial" w:cs="Arial" w:eastAsia="Arial" w:hAnsi="Arial"/>
                <w:sz w:val="18"/>
                <w:szCs w:val="18"/>
                <w:color w:val="auto"/>
                <w:w w:val="98"/>
              </w:rPr>
              <w:t>Consent</w:t>
            </w:r>
          </w:p>
        </w:tc>
        <w:tc>
          <w:tcPr>
            <w:tcW w:w="3820" w:type="dxa"/>
            <w:vAlign w:val="bottom"/>
            <w:tcBorders>
              <w:right w:val="single" w:sz="8" w:color="auto"/>
            </w:tcBorders>
          </w:tcPr>
          <w:p>
            <w:pPr>
              <w:spacing w:after="0"/>
              <w:rPr>
                <w:sz w:val="18"/>
                <w:szCs w:val="18"/>
                <w:color w:val="auto"/>
              </w:rPr>
            </w:pPr>
          </w:p>
        </w:tc>
      </w:tr>
      <w:tr>
        <w:trPr>
          <w:trHeight w:val="217"/>
        </w:trPr>
        <w:tc>
          <w:tcPr>
            <w:tcW w:w="3560" w:type="dxa"/>
            <w:vAlign w:val="bottom"/>
            <w:tcBorders>
              <w:left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rPr>
              <w:t>evaluations</w:t>
            </w:r>
          </w:p>
        </w:tc>
        <w:tc>
          <w:tcPr>
            <w:tcW w:w="366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tcPr>
          <w:p>
            <w:pPr>
              <w:spacing w:after="0"/>
              <w:rPr>
                <w:sz w:val="18"/>
                <w:szCs w:val="18"/>
                <w:color w:val="auto"/>
              </w:rPr>
            </w:pPr>
          </w:p>
        </w:tc>
      </w:tr>
      <w:tr>
        <w:trPr>
          <w:trHeight w:val="348"/>
        </w:trPr>
        <w:tc>
          <w:tcPr>
            <w:tcW w:w="3560" w:type="dxa"/>
            <w:vAlign w:val="bottom"/>
            <w:tcBorders>
              <w:left w:val="single" w:sz="8" w:color="auto"/>
              <w:bottom w:val="single" w:sz="8" w:color="auto"/>
              <w:right w:val="single" w:sz="8" w:color="auto"/>
            </w:tcBorders>
          </w:tcPr>
          <w:p>
            <w:pPr>
              <w:spacing w:after="0"/>
              <w:rPr>
                <w:sz w:val="24"/>
                <w:szCs w:val="24"/>
                <w:color w:val="auto"/>
              </w:rPr>
            </w:pPr>
          </w:p>
        </w:tc>
        <w:tc>
          <w:tcPr>
            <w:tcW w:w="3660" w:type="dxa"/>
            <w:vAlign w:val="bottom"/>
            <w:tcBorders>
              <w:bottom w:val="single" w:sz="8" w:color="auto"/>
              <w:right w:val="single" w:sz="8" w:color="auto"/>
            </w:tcBorders>
          </w:tcPr>
          <w:p>
            <w:pPr>
              <w:jc w:val="center"/>
              <w:ind w:left="70"/>
              <w:spacing w:after="0" w:line="207" w:lineRule="exact"/>
              <w:rPr>
                <w:sz w:val="20"/>
                <w:szCs w:val="20"/>
                <w:color w:val="auto"/>
              </w:rPr>
            </w:pPr>
            <w:r>
              <w:rPr>
                <w:rFonts w:ascii="MS PGothic" w:cs="MS PGothic" w:eastAsia="MS PGothic" w:hAnsi="MS PGothic"/>
                <w:sz w:val="18"/>
                <w:szCs w:val="18"/>
                <w:color w:val="auto"/>
                <w:w w:val="98"/>
              </w:rPr>
              <w:t>✓</w:t>
            </w:r>
            <w:r>
              <w:rPr>
                <w:rFonts w:ascii="Arial" w:cs="Arial" w:eastAsia="Arial" w:hAnsi="Arial"/>
                <w:sz w:val="18"/>
                <w:szCs w:val="18"/>
                <w:color w:val="auto"/>
                <w:w w:val="98"/>
              </w:rPr>
              <w:t xml:space="preserve"> No Poison Pill in Effect</w:t>
            </w:r>
          </w:p>
        </w:tc>
        <w:tc>
          <w:tcPr>
            <w:tcW w:w="3820" w:type="dxa"/>
            <w:vAlign w:val="bottom"/>
            <w:tcBorders>
              <w:bottom w:val="single" w:sz="8" w:color="auto"/>
              <w:right w:val="single" w:sz="8" w:color="auto"/>
            </w:tcBorders>
          </w:tcPr>
          <w:p>
            <w:pPr>
              <w:spacing w:after="0"/>
              <w:rPr>
                <w:sz w:val="24"/>
                <w:szCs w:val="24"/>
                <w:color w:val="auto"/>
              </w:rPr>
            </w:pPr>
          </w:p>
        </w:tc>
      </w:tr>
    </w:tbl>
    <w:p>
      <w:pPr>
        <w:spacing w:after="0" w:line="18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BOARD LEADERSHIP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8" w:lineRule="exact"/>
        <w:rPr>
          <w:sz w:val="20"/>
          <w:szCs w:val="20"/>
          <w:color w:val="auto"/>
        </w:rPr>
      </w:pPr>
    </w:p>
    <w:p>
      <w:pPr>
        <w:jc w:val="both"/>
        <w:ind w:left="200" w:right="20"/>
        <w:spacing w:after="0" w:line="238" w:lineRule="auto"/>
        <w:rPr>
          <w:sz w:val="20"/>
          <w:szCs w:val="20"/>
          <w:color w:val="auto"/>
        </w:rPr>
      </w:pPr>
      <w:r>
        <w:rPr>
          <w:rFonts w:ascii="Arial" w:cs="Arial" w:eastAsia="Arial" w:hAnsi="Arial"/>
          <w:sz w:val="18"/>
          <w:szCs w:val="18"/>
          <w:color w:val="auto"/>
        </w:rPr>
        <w:t>Our Board has been directed by a Non-Executive Chairman of the Board since 2003. The Board believes that having its own leadership separate from our Chief Executive Officer provides the Board with an effective way to ensure that they are fully informed and have the opportunity to fully debate all important issues in order to fulfill its oversight responsibilities and hold management accountable for the performance of the Trust. This also allows our Chief Executive Officer to focus his time on running our day-to-day business. Our Non-Executive Chairman presides at all meetings of the Board and helps to set the agendas for Board meetings.</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INDEPENDENCE OF TRUSTEES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8" w:lineRule="exact"/>
        <w:rPr>
          <w:sz w:val="20"/>
          <w:szCs w:val="20"/>
          <w:color w:val="auto"/>
        </w:rPr>
      </w:pPr>
    </w:p>
    <w:p>
      <w:pPr>
        <w:jc w:val="both"/>
        <w:ind w:left="200" w:right="20"/>
        <w:spacing w:after="0" w:line="237" w:lineRule="auto"/>
        <w:rPr>
          <w:sz w:val="20"/>
          <w:szCs w:val="20"/>
          <w:color w:val="auto"/>
        </w:rPr>
      </w:pPr>
      <w:r>
        <w:rPr>
          <w:rFonts w:ascii="Arial" w:cs="Arial" w:eastAsia="Arial" w:hAnsi="Arial"/>
          <w:sz w:val="18"/>
          <w:szCs w:val="18"/>
          <w:color w:val="auto"/>
        </w:rPr>
        <w:t>The Board reviews on an ongoing basis all relationships between us and each Trustee to determine whether each Trustee is independent or otherwise has any relationship to the Trust that could adversely affect the Trustee’s ability to exercise independent judgment. This review also determines whether each Trustee satisfies the independence requirements of the New York Stock Exchange (“NYSE”) and our Corporate Governance Guidelines. Our Corporate Governance Guidelines include a standard that a Trustee’s position as a director, officer or owner of a company with which we do business does not constitute a material relationship so long as payments made by that company do not account for more than five percent (5%) of our gross revenues or more than ten percent (10%) of the gross revenues of that company.</w:t>
      </w:r>
    </w:p>
    <w:p>
      <w:pPr>
        <w:spacing w:after="0" w:line="163" w:lineRule="exact"/>
        <w:rPr>
          <w:sz w:val="20"/>
          <w:szCs w:val="20"/>
          <w:color w:val="auto"/>
        </w:rPr>
      </w:pPr>
    </w:p>
    <w:p>
      <w:pPr>
        <w:jc w:val="both"/>
        <w:ind w:left="200" w:right="20"/>
        <w:spacing w:after="0" w:line="239" w:lineRule="auto"/>
        <w:rPr>
          <w:sz w:val="20"/>
          <w:szCs w:val="20"/>
          <w:color w:val="auto"/>
        </w:rPr>
      </w:pPr>
      <w:r>
        <w:rPr>
          <w:rFonts w:ascii="Arial" w:cs="Arial" w:eastAsia="Arial" w:hAnsi="Arial"/>
          <w:sz w:val="18"/>
          <w:szCs w:val="18"/>
          <w:color w:val="auto"/>
        </w:rPr>
        <w:t>The Board, on recommendation of the Nominating and Corporate Governance Committee, considered all relevant facts and circumstances and determined that all Trustees other than Mr. Ordan and Mr. Wood are independent for purposes of Board and committee service under the standards of the NYSE, our Corporate Governance Guidelines and applicable law. In making the independence determination, the Nominating and Corporate Governance Committee and the Board considered the following:</w:t>
      </w:r>
    </w:p>
    <w:p>
      <w:pPr>
        <w:spacing w:after="0" w:line="183" w:lineRule="exact"/>
        <w:rPr>
          <w:sz w:val="20"/>
          <w:szCs w:val="20"/>
          <w:color w:val="auto"/>
        </w:rPr>
      </w:pPr>
    </w:p>
    <w:tbl>
      <w:tblPr>
        <w:tblLayout w:type="fixed"/>
        <w:tblInd w:w="230" w:type="dxa"/>
        <w:tblCellMar>
          <w:top w:w="0" w:type="dxa"/>
          <w:left w:w="0" w:type="dxa"/>
          <w:bottom w:w="0" w:type="dxa"/>
          <w:right w:w="0" w:type="dxa"/>
        </w:tblCellMar>
      </w:tblPr>
      <w:tr>
        <w:trPr>
          <w:trHeight w:val="256"/>
        </w:trPr>
        <w:tc>
          <w:tcPr>
            <w:tcW w:w="154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Mr. Bortz</w:t>
            </w:r>
          </w:p>
        </w:tc>
        <w:tc>
          <w:tcPr>
            <w:tcW w:w="950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Occasional usage by Trust employees for business purposes of hotels owned by Pebblebrook Hotel Trust. Mr. Bortz</w:t>
            </w:r>
          </w:p>
        </w:tc>
      </w:tr>
      <w:tr>
        <w:trPr>
          <w:trHeight w:val="217"/>
        </w:trPr>
        <w:tc>
          <w:tcPr>
            <w:tcW w:w="1540" w:type="dxa"/>
            <w:vAlign w:val="bottom"/>
            <w:tcBorders>
              <w:left w:val="single" w:sz="8" w:color="auto"/>
              <w:right w:val="single" w:sz="8" w:color="auto"/>
            </w:tcBorders>
          </w:tcPr>
          <w:p>
            <w:pPr>
              <w:spacing w:after="0"/>
              <w:rPr>
                <w:sz w:val="18"/>
                <w:szCs w:val="18"/>
                <w:color w:val="auto"/>
              </w:rPr>
            </w:pPr>
          </w:p>
        </w:tc>
        <w:tc>
          <w:tcPr>
            <w:tcW w:w="95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is the CEO of Pebblebrook Hotel Trust.</w:t>
            </w:r>
          </w:p>
        </w:tc>
      </w:tr>
      <w:tr>
        <w:trPr>
          <w:trHeight w:val="41"/>
        </w:trPr>
        <w:tc>
          <w:tcPr>
            <w:tcW w:w="1540" w:type="dxa"/>
            <w:vAlign w:val="bottom"/>
            <w:tcBorders>
              <w:left w:val="single" w:sz="8" w:color="auto"/>
              <w:bottom w:val="single" w:sz="8" w:color="auto"/>
              <w:right w:val="single" w:sz="8" w:color="auto"/>
            </w:tcBorders>
          </w:tcPr>
          <w:p>
            <w:pPr>
              <w:spacing w:after="0"/>
              <w:rPr>
                <w:sz w:val="3"/>
                <w:szCs w:val="3"/>
                <w:color w:val="auto"/>
              </w:rPr>
            </w:pPr>
          </w:p>
        </w:tc>
        <w:tc>
          <w:tcPr>
            <w:tcW w:w="9500" w:type="dxa"/>
            <w:vAlign w:val="bottom"/>
            <w:tcBorders>
              <w:bottom w:val="single" w:sz="8" w:color="auto"/>
              <w:right w:val="single" w:sz="8" w:color="auto"/>
            </w:tcBorders>
          </w:tcPr>
          <w:p>
            <w:pPr>
              <w:spacing w:after="0"/>
              <w:rPr>
                <w:sz w:val="3"/>
                <w:szCs w:val="3"/>
                <w:color w:val="auto"/>
              </w:rPr>
            </w:pPr>
          </w:p>
        </w:tc>
      </w:tr>
      <w:tr>
        <w:trPr>
          <w:trHeight w:val="250"/>
        </w:trPr>
        <w:tc>
          <w:tcPr>
            <w:tcW w:w="15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Mr. Faeder</w:t>
            </w:r>
          </w:p>
        </w:tc>
        <w:tc>
          <w:tcPr>
            <w:tcW w:w="95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9"/>
              </w:rPr>
              <w:t>A 1-year lease of space at a Trust property that expired in January, 2017 by an entity in which Mr. Faeder is a partner.</w:t>
            </w:r>
          </w:p>
        </w:tc>
      </w:tr>
      <w:tr>
        <w:trPr>
          <w:trHeight w:val="41"/>
        </w:trPr>
        <w:tc>
          <w:tcPr>
            <w:tcW w:w="1540" w:type="dxa"/>
            <w:vAlign w:val="bottom"/>
            <w:tcBorders>
              <w:left w:val="single" w:sz="8" w:color="auto"/>
              <w:bottom w:val="single" w:sz="8" w:color="auto"/>
              <w:right w:val="single" w:sz="8" w:color="auto"/>
            </w:tcBorders>
          </w:tcPr>
          <w:p>
            <w:pPr>
              <w:spacing w:after="0"/>
              <w:rPr>
                <w:sz w:val="3"/>
                <w:szCs w:val="3"/>
                <w:color w:val="auto"/>
              </w:rPr>
            </w:pPr>
          </w:p>
        </w:tc>
        <w:tc>
          <w:tcPr>
            <w:tcW w:w="9500" w:type="dxa"/>
            <w:vAlign w:val="bottom"/>
            <w:tcBorders>
              <w:bottom w:val="single" w:sz="8" w:color="auto"/>
              <w:right w:val="single" w:sz="8" w:color="auto"/>
            </w:tcBorders>
          </w:tcPr>
          <w:p>
            <w:pPr>
              <w:spacing w:after="0"/>
              <w:rPr>
                <w:sz w:val="3"/>
                <w:szCs w:val="3"/>
                <w:color w:val="auto"/>
              </w:rPr>
            </w:pPr>
          </w:p>
        </w:tc>
      </w:tr>
      <w:tr>
        <w:trPr>
          <w:trHeight w:val="250"/>
        </w:trPr>
        <w:tc>
          <w:tcPr>
            <w:tcW w:w="15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Mr. Thompson</w:t>
            </w:r>
          </w:p>
        </w:tc>
        <w:tc>
          <w:tcPr>
            <w:tcW w:w="95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The items described in “Certain Relationships and Related Transactions” section below.</w:t>
            </w:r>
          </w:p>
        </w:tc>
      </w:tr>
      <w:tr>
        <w:trPr>
          <w:trHeight w:val="41"/>
        </w:trPr>
        <w:tc>
          <w:tcPr>
            <w:tcW w:w="1540" w:type="dxa"/>
            <w:vAlign w:val="bottom"/>
            <w:tcBorders>
              <w:left w:val="single" w:sz="8" w:color="auto"/>
              <w:bottom w:val="single" w:sz="8" w:color="auto"/>
              <w:right w:val="single" w:sz="8" w:color="auto"/>
            </w:tcBorders>
          </w:tcPr>
          <w:p>
            <w:pPr>
              <w:spacing w:after="0"/>
              <w:rPr>
                <w:sz w:val="3"/>
                <w:szCs w:val="3"/>
                <w:color w:val="auto"/>
              </w:rPr>
            </w:pPr>
          </w:p>
        </w:tc>
        <w:tc>
          <w:tcPr>
            <w:tcW w:w="9500" w:type="dxa"/>
            <w:vAlign w:val="bottom"/>
            <w:tcBorders>
              <w:bottom w:val="single" w:sz="8" w:color="auto"/>
              <w:right w:val="single" w:sz="8" w:color="auto"/>
            </w:tcBorders>
          </w:tcPr>
          <w:p>
            <w:pPr>
              <w:spacing w:after="0"/>
              <w:rPr>
                <w:sz w:val="3"/>
                <w:szCs w:val="3"/>
                <w:color w:val="auto"/>
              </w:rPr>
            </w:pPr>
          </w:p>
        </w:tc>
      </w:tr>
      <w:tr>
        <w:trPr>
          <w:trHeight w:val="236"/>
        </w:trPr>
        <w:tc>
          <w:tcPr>
            <w:tcW w:w="15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Mr. Vassalluzzo</w:t>
            </w:r>
          </w:p>
        </w:tc>
        <w:tc>
          <w:tcPr>
            <w:tcW w:w="95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5 leases between Office Depot, Inc. and the Trust. Mr. Vassalluzzo is the Non-Executive Chairman of the Board of</w:t>
            </w:r>
          </w:p>
        </w:tc>
      </w:tr>
      <w:tr>
        <w:trPr>
          <w:trHeight w:val="217"/>
        </w:trPr>
        <w:tc>
          <w:tcPr>
            <w:tcW w:w="1540" w:type="dxa"/>
            <w:vAlign w:val="bottom"/>
            <w:tcBorders>
              <w:left w:val="single" w:sz="8" w:color="auto"/>
              <w:right w:val="single" w:sz="8" w:color="auto"/>
            </w:tcBorders>
          </w:tcPr>
          <w:p>
            <w:pPr>
              <w:spacing w:after="0"/>
              <w:rPr>
                <w:sz w:val="18"/>
                <w:szCs w:val="18"/>
                <w:color w:val="auto"/>
              </w:rPr>
            </w:pPr>
          </w:p>
        </w:tc>
        <w:tc>
          <w:tcPr>
            <w:tcW w:w="95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Office Depot, Inc.</w:t>
            </w:r>
          </w:p>
        </w:tc>
      </w:tr>
      <w:tr>
        <w:trPr>
          <w:trHeight w:val="41"/>
        </w:trPr>
        <w:tc>
          <w:tcPr>
            <w:tcW w:w="1540" w:type="dxa"/>
            <w:vAlign w:val="bottom"/>
            <w:tcBorders>
              <w:left w:val="single" w:sz="8" w:color="auto"/>
              <w:bottom w:val="single" w:sz="8" w:color="auto"/>
              <w:right w:val="single" w:sz="8" w:color="auto"/>
            </w:tcBorders>
          </w:tcPr>
          <w:p>
            <w:pPr>
              <w:spacing w:after="0"/>
              <w:rPr>
                <w:sz w:val="3"/>
                <w:szCs w:val="3"/>
                <w:color w:val="auto"/>
              </w:rPr>
            </w:pPr>
          </w:p>
        </w:tc>
        <w:tc>
          <w:tcPr>
            <w:tcW w:w="9500" w:type="dxa"/>
            <w:vAlign w:val="bottom"/>
            <w:tcBorders>
              <w:bottom w:val="single" w:sz="8" w:color="auto"/>
              <w:right w:val="single" w:sz="8" w:color="auto"/>
            </w:tcBorders>
          </w:tcPr>
          <w:p>
            <w:pPr>
              <w:spacing w:after="0"/>
              <w:rPr>
                <w:sz w:val="3"/>
                <w:szCs w:val="3"/>
                <w:color w:val="auto"/>
              </w:rPr>
            </w:pPr>
          </w:p>
        </w:tc>
      </w:tr>
    </w:tbl>
    <w:p>
      <w:pPr>
        <w:spacing w:after="0" w:line="18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BOARD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45" w:lineRule="exact"/>
        <w:rPr>
          <w:sz w:val="20"/>
          <w:szCs w:val="20"/>
          <w:color w:val="auto"/>
        </w:rPr>
      </w:pPr>
    </w:p>
    <w:p>
      <w:pPr>
        <w:jc w:val="both"/>
        <w:ind w:left="200" w:right="20"/>
        <w:spacing w:after="0" w:line="237" w:lineRule="auto"/>
        <w:rPr>
          <w:sz w:val="20"/>
          <w:szCs w:val="20"/>
          <w:color w:val="auto"/>
        </w:rPr>
      </w:pPr>
      <w:r>
        <w:rPr>
          <w:rFonts w:ascii="Arial" w:cs="Arial" w:eastAsia="Arial" w:hAnsi="Arial"/>
          <w:sz w:val="18"/>
          <w:szCs w:val="18"/>
          <w:color w:val="auto"/>
        </w:rPr>
        <w:t>The Board of Trustees holds regularly scheduled in-person meetings and if needed, will also act through telephonic meetings, action by written consent and other communications with management. During 2018, the Board of Trustees held five meetings, four of which were in-person meetings. The non-management, independent Trustees held an executive session at each of those four in-person meetings. Mr. Vassalluzzo, the Non-Executive Chairman of the Board, presided over all Board meetings as well as all executive sessions of the non-management, independent Trustees. The Non-Executive Chairman of the Board is expected to preside over all future Board meetings and executive sessions of non-management, independent Trustees.</w:t>
      </w:r>
    </w:p>
    <w:p>
      <w:pPr>
        <w:spacing w:after="0" w:line="178" w:lineRule="exact"/>
        <w:rPr>
          <w:sz w:val="20"/>
          <w:szCs w:val="20"/>
          <w:color w:val="auto"/>
        </w:rPr>
      </w:pPr>
    </w:p>
    <w:p>
      <w:pPr>
        <w:jc w:val="both"/>
        <w:ind w:left="200" w:right="20"/>
        <w:spacing w:after="0"/>
        <w:rPr>
          <w:sz w:val="20"/>
          <w:szCs w:val="20"/>
          <w:color w:val="auto"/>
        </w:rPr>
      </w:pPr>
      <w:r>
        <w:rPr>
          <w:rFonts w:ascii="Arial" w:cs="Arial" w:eastAsia="Arial" w:hAnsi="Arial"/>
          <w:sz w:val="18"/>
          <w:szCs w:val="18"/>
          <w:color w:val="auto"/>
        </w:rPr>
        <w:t>Each of the Trustees attended 100% of the meetings of the Board as well as 100% of all committee meetings, including committees on which the Trustee did not serve during 2018. It is the Trust’s policy for all Trustees to attend our annual meeting of shareholders absent exceptional cause. All Trustees attended our 2018 Annual Meeting of Shareholders.</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459" w:right="4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8" w:lineRule="exact"/>
        <w:rPr>
          <w:sz w:val="20"/>
          <w:szCs w:val="20"/>
          <w:color w:val="auto"/>
        </w:rPr>
      </w:pPr>
    </w:p>
    <w:p>
      <w:pPr>
        <w:jc w:val="both"/>
        <w:ind w:left="200" w:right="20"/>
        <w:spacing w:after="0" w:line="238" w:lineRule="auto"/>
        <w:rPr>
          <w:sz w:val="20"/>
          <w:szCs w:val="20"/>
          <w:color w:val="auto"/>
        </w:rPr>
      </w:pPr>
      <w:r>
        <w:rPr>
          <w:rFonts w:ascii="Arial" w:cs="Arial" w:eastAsia="Arial" w:hAnsi="Arial"/>
          <w:sz w:val="18"/>
          <w:szCs w:val="18"/>
          <w:color w:val="auto"/>
        </w:rPr>
        <w:t xml:space="preserve">The Board has three standing committees – the Audit Committee, the Compensation Committee and the Nominating and Corporate Governance Committee. Each committee operates under a written charter which is available in the Investors section of our website at </w:t>
      </w:r>
      <w:r>
        <w:rPr>
          <w:rFonts w:ascii="Arial" w:cs="Arial" w:eastAsia="Arial" w:hAnsi="Arial"/>
          <w:sz w:val="18"/>
          <w:szCs w:val="18"/>
          <w:i w:val="1"/>
          <w:iCs w:val="1"/>
          <w:u w:val="single" w:color="auto"/>
          <w:color w:val="auto"/>
        </w:rPr>
        <w:t>www.federalrealty.com</w:t>
      </w:r>
      <w:r>
        <w:rPr>
          <w:rFonts w:ascii="Arial" w:cs="Arial" w:eastAsia="Arial" w:hAnsi="Arial"/>
          <w:sz w:val="18"/>
          <w:szCs w:val="18"/>
          <w:color w:val="auto"/>
        </w:rPr>
        <w:t>. Each committee member meets the independence, experience and, with respect to the Audit Committee, the</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literacy requirements, of the NYSE, the SEC and our Corporate Governance Guidelines. Information about each of these committees is included in the chart below:</w:t>
      </w:r>
    </w:p>
    <w:p>
      <w:pPr>
        <w:spacing w:after="0" w:line="211" w:lineRule="exact"/>
        <w:rPr>
          <w:sz w:val="20"/>
          <w:szCs w:val="20"/>
          <w:color w:val="auto"/>
        </w:rPr>
      </w:pPr>
    </w:p>
    <w:tbl>
      <w:tblPr>
        <w:tblLayout w:type="fixed"/>
        <w:tblInd w:w="210" w:type="dxa"/>
        <w:tblCellMar>
          <w:top w:w="0" w:type="dxa"/>
          <w:left w:w="0" w:type="dxa"/>
          <w:bottom w:w="0" w:type="dxa"/>
          <w:right w:w="0" w:type="dxa"/>
        </w:tblCellMar>
      </w:tblPr>
      <w:tr>
        <w:trPr>
          <w:trHeight w:val="193"/>
        </w:trPr>
        <w:tc>
          <w:tcPr>
            <w:tcW w:w="280" w:type="dxa"/>
            <w:vAlign w:val="bottom"/>
            <w:tcBorders>
              <w:top w:val="single" w:sz="8" w:color="auto"/>
              <w:left w:val="single" w:sz="8" w:color="auto"/>
            </w:tcBorders>
            <w:shd w:val="clear" w:color="auto" w:fill="FEC221"/>
          </w:tcPr>
          <w:p>
            <w:pPr>
              <w:spacing w:after="0"/>
              <w:rPr>
                <w:sz w:val="16"/>
                <w:szCs w:val="16"/>
                <w:color w:val="auto"/>
              </w:rPr>
            </w:pPr>
          </w:p>
        </w:tc>
        <w:tc>
          <w:tcPr>
            <w:tcW w:w="2420" w:type="dxa"/>
            <w:vAlign w:val="bottom"/>
            <w:tcBorders>
              <w:top w:val="single" w:sz="8" w:color="auto"/>
              <w:right w:val="single" w:sz="8" w:color="auto"/>
            </w:tcBorders>
            <w:shd w:val="clear" w:color="auto" w:fill="FEC221"/>
          </w:tcPr>
          <w:p>
            <w:pPr>
              <w:spacing w:after="0"/>
              <w:rPr>
                <w:sz w:val="16"/>
                <w:szCs w:val="16"/>
                <w:color w:val="auto"/>
              </w:rPr>
            </w:pPr>
          </w:p>
        </w:tc>
        <w:tc>
          <w:tcPr>
            <w:tcW w:w="480" w:type="dxa"/>
            <w:vAlign w:val="bottom"/>
            <w:tcBorders>
              <w:top w:val="single" w:sz="8" w:color="auto"/>
            </w:tcBorders>
            <w:shd w:val="clear" w:color="auto" w:fill="FEC221"/>
          </w:tcPr>
          <w:p>
            <w:pPr>
              <w:spacing w:after="0"/>
              <w:rPr>
                <w:sz w:val="16"/>
                <w:szCs w:val="16"/>
                <w:color w:val="auto"/>
              </w:rPr>
            </w:pPr>
          </w:p>
        </w:tc>
        <w:tc>
          <w:tcPr>
            <w:tcW w:w="6300" w:type="dxa"/>
            <w:vAlign w:val="bottom"/>
            <w:tcBorders>
              <w:top w:val="single" w:sz="8" w:color="auto"/>
              <w:right w:val="single" w:sz="8" w:color="auto"/>
            </w:tcBorders>
            <w:shd w:val="clear" w:color="auto" w:fill="FEC221"/>
          </w:tcPr>
          <w:p>
            <w:pPr>
              <w:spacing w:after="0"/>
              <w:rPr>
                <w:sz w:val="16"/>
                <w:szCs w:val="16"/>
                <w:color w:val="auto"/>
              </w:rPr>
            </w:pPr>
          </w:p>
        </w:tc>
        <w:tc>
          <w:tcPr>
            <w:tcW w:w="1580" w:type="dxa"/>
            <w:vAlign w:val="bottom"/>
            <w:tcBorders>
              <w:top w:val="single" w:sz="8" w:color="auto"/>
              <w:right w:val="single" w:sz="8" w:color="auto"/>
            </w:tcBorders>
            <w:shd w:val="clear" w:color="auto" w:fill="FEC221"/>
          </w:tcPr>
          <w:p>
            <w:pPr>
              <w:jc w:val="center"/>
              <w:ind w:right="190"/>
              <w:spacing w:after="0" w:line="194" w:lineRule="exact"/>
              <w:rPr>
                <w:sz w:val="20"/>
                <w:szCs w:val="20"/>
                <w:color w:val="auto"/>
              </w:rPr>
            </w:pPr>
            <w:r>
              <w:rPr>
                <w:rFonts w:ascii="Arial" w:cs="Arial" w:eastAsia="Arial" w:hAnsi="Arial"/>
                <w:sz w:val="18"/>
                <w:szCs w:val="18"/>
                <w:b w:val="1"/>
                <w:bCs w:val="1"/>
                <w:color w:val="1F2A44"/>
              </w:rPr>
              <w:t># of 2018</w:t>
            </w:r>
          </w:p>
        </w:tc>
      </w:tr>
      <w:tr>
        <w:trPr>
          <w:trHeight w:val="252"/>
        </w:trPr>
        <w:tc>
          <w:tcPr>
            <w:tcW w:w="2700" w:type="dxa"/>
            <w:vAlign w:val="bottom"/>
            <w:tcBorders>
              <w:left w:val="single" w:sz="8" w:color="auto"/>
              <w:right w:val="single" w:sz="8" w:color="auto"/>
            </w:tcBorders>
            <w:gridSpan w:val="2"/>
            <w:shd w:val="clear" w:color="auto" w:fill="FEC221"/>
          </w:tcPr>
          <w:p>
            <w:pPr>
              <w:ind w:left="160"/>
              <w:spacing w:after="0"/>
              <w:rPr>
                <w:sz w:val="20"/>
                <w:szCs w:val="20"/>
                <w:color w:val="auto"/>
              </w:rPr>
            </w:pPr>
            <w:r>
              <w:rPr>
                <w:rFonts w:ascii="Arial" w:cs="Arial" w:eastAsia="Arial" w:hAnsi="Arial"/>
                <w:sz w:val="18"/>
                <w:szCs w:val="18"/>
                <w:b w:val="1"/>
                <w:bCs w:val="1"/>
                <w:color w:val="1F2A44"/>
              </w:rPr>
              <w:t>Committee/Membership</w:t>
            </w:r>
          </w:p>
        </w:tc>
        <w:tc>
          <w:tcPr>
            <w:tcW w:w="6780" w:type="dxa"/>
            <w:vAlign w:val="bottom"/>
            <w:tcBorders>
              <w:right w:val="single" w:sz="8" w:color="auto"/>
            </w:tcBorders>
            <w:gridSpan w:val="2"/>
            <w:shd w:val="clear" w:color="auto" w:fill="FEC221"/>
          </w:tcPr>
          <w:p>
            <w:pPr>
              <w:ind w:left="260"/>
              <w:spacing w:after="0"/>
              <w:rPr>
                <w:sz w:val="20"/>
                <w:szCs w:val="20"/>
                <w:color w:val="auto"/>
              </w:rPr>
            </w:pPr>
            <w:r>
              <w:rPr>
                <w:rFonts w:ascii="Arial" w:cs="Arial" w:eastAsia="Arial" w:hAnsi="Arial"/>
                <w:sz w:val="18"/>
                <w:szCs w:val="18"/>
                <w:b w:val="1"/>
                <w:bCs w:val="1"/>
                <w:color w:val="1F2A44"/>
              </w:rPr>
              <w:t>Primary Responsibilities</w:t>
            </w:r>
          </w:p>
        </w:tc>
        <w:tc>
          <w:tcPr>
            <w:tcW w:w="1580" w:type="dxa"/>
            <w:vAlign w:val="bottom"/>
            <w:tcBorders>
              <w:right w:val="single" w:sz="8" w:color="auto"/>
            </w:tcBorders>
            <w:shd w:val="clear" w:color="auto" w:fill="FEC221"/>
          </w:tcPr>
          <w:p>
            <w:pPr>
              <w:jc w:val="center"/>
              <w:ind w:right="190"/>
              <w:spacing w:after="0"/>
              <w:rPr>
                <w:sz w:val="20"/>
                <w:szCs w:val="20"/>
                <w:color w:val="auto"/>
              </w:rPr>
            </w:pPr>
            <w:r>
              <w:rPr>
                <w:rFonts w:ascii="Arial" w:cs="Arial" w:eastAsia="Arial" w:hAnsi="Arial"/>
                <w:sz w:val="18"/>
                <w:szCs w:val="18"/>
                <w:b w:val="1"/>
                <w:bCs w:val="1"/>
                <w:color w:val="1F2A44"/>
                <w:w w:val="99"/>
              </w:rPr>
              <w:t>Meetings</w:t>
            </w:r>
          </w:p>
        </w:tc>
      </w:tr>
      <w:tr>
        <w:trPr>
          <w:trHeight w:val="270"/>
        </w:trPr>
        <w:tc>
          <w:tcPr>
            <w:tcW w:w="2700" w:type="dxa"/>
            <w:vAlign w:val="bottom"/>
            <w:tcBorders>
              <w:left w:val="single" w:sz="8" w:color="auto"/>
              <w:right w:val="single" w:sz="8" w:color="1F2A44"/>
            </w:tcBorders>
            <w:gridSpan w:val="2"/>
            <w:shd w:val="clear" w:color="auto" w:fill="1F2A44"/>
          </w:tcPr>
          <w:p>
            <w:pPr>
              <w:ind w:left="160"/>
              <w:spacing w:after="0"/>
              <w:rPr>
                <w:sz w:val="20"/>
                <w:szCs w:val="20"/>
                <w:color w:val="auto"/>
              </w:rPr>
            </w:pPr>
            <w:r>
              <w:rPr>
                <w:rFonts w:ascii="Arial" w:cs="Arial" w:eastAsia="Arial" w:hAnsi="Arial"/>
                <w:sz w:val="18"/>
                <w:szCs w:val="18"/>
                <w:b w:val="1"/>
                <w:bCs w:val="1"/>
                <w:color w:val="FFFFFF"/>
              </w:rPr>
              <w:t>Audit Committee:</w:t>
            </w:r>
          </w:p>
        </w:tc>
        <w:tc>
          <w:tcPr>
            <w:tcW w:w="480" w:type="dxa"/>
            <w:vAlign w:val="bottom"/>
            <w:shd w:val="clear" w:color="auto" w:fill="1F2A44"/>
          </w:tcPr>
          <w:p>
            <w:pPr>
              <w:spacing w:after="0"/>
              <w:rPr>
                <w:sz w:val="23"/>
                <w:szCs w:val="23"/>
                <w:color w:val="auto"/>
              </w:rPr>
            </w:pPr>
          </w:p>
        </w:tc>
        <w:tc>
          <w:tcPr>
            <w:tcW w:w="6300" w:type="dxa"/>
            <w:vAlign w:val="bottom"/>
            <w:tcBorders>
              <w:right w:val="single" w:sz="8" w:color="1F2A44"/>
            </w:tcBorders>
            <w:shd w:val="clear" w:color="auto" w:fill="1F2A44"/>
          </w:tcPr>
          <w:p>
            <w:pPr>
              <w:spacing w:after="0"/>
              <w:rPr>
                <w:sz w:val="23"/>
                <w:szCs w:val="23"/>
                <w:color w:val="auto"/>
              </w:rPr>
            </w:pPr>
          </w:p>
        </w:tc>
        <w:tc>
          <w:tcPr>
            <w:tcW w:w="1580" w:type="dxa"/>
            <w:vAlign w:val="bottom"/>
            <w:tcBorders>
              <w:right w:val="single" w:sz="8" w:color="auto"/>
            </w:tcBorders>
            <w:shd w:val="clear" w:color="auto" w:fill="1F2A44"/>
          </w:tcPr>
          <w:p>
            <w:pPr>
              <w:spacing w:after="0"/>
              <w:rPr>
                <w:sz w:val="23"/>
                <w:szCs w:val="23"/>
                <w:color w:val="auto"/>
              </w:rPr>
            </w:pPr>
          </w:p>
        </w:tc>
      </w:tr>
      <w:tr>
        <w:trPr>
          <w:trHeight w:val="269"/>
        </w:trPr>
        <w:tc>
          <w:tcPr>
            <w:tcW w:w="280" w:type="dxa"/>
            <w:vAlign w:val="bottom"/>
            <w:tcBorders>
              <w:left w:val="single" w:sz="8" w:color="auto"/>
            </w:tcBorders>
          </w:tcPr>
          <w:p>
            <w:pPr>
              <w:spacing w:after="0"/>
              <w:rPr>
                <w:sz w:val="23"/>
                <w:szCs w:val="23"/>
                <w:color w:val="auto"/>
              </w:rPr>
            </w:pPr>
          </w:p>
        </w:tc>
        <w:tc>
          <w:tcPr>
            <w:tcW w:w="2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Gail P. Steinel</w:t>
            </w:r>
            <w:r>
              <w:rPr>
                <w:rFonts w:ascii="Arial" w:cs="Arial" w:eastAsia="Arial" w:hAnsi="Arial"/>
                <w:sz w:val="15"/>
                <w:szCs w:val="15"/>
                <w:color w:val="auto"/>
              </w:rPr>
              <w:t>(1)</w:t>
            </w:r>
          </w:p>
        </w:tc>
        <w:tc>
          <w:tcPr>
            <w:tcW w:w="480" w:type="dxa"/>
            <w:vAlign w:val="bottom"/>
          </w:tcPr>
          <w:p>
            <w:pPr>
              <w:ind w:left="260"/>
              <w:spacing w:after="0"/>
              <w:rPr>
                <w:sz w:val="20"/>
                <w:szCs w:val="20"/>
                <w:color w:val="auto"/>
              </w:rPr>
            </w:pPr>
            <w:r>
              <w:rPr>
                <w:rFonts w:ascii="Arial" w:cs="Arial" w:eastAsia="Arial" w:hAnsi="Arial"/>
                <w:sz w:val="18"/>
                <w:szCs w:val="18"/>
                <w:color w:val="auto"/>
              </w:rPr>
              <w:t>•</w:t>
            </w:r>
          </w:p>
        </w:tc>
        <w:tc>
          <w:tcPr>
            <w:tcW w:w="63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Selecting our independent auditor and approving and overseeing its work</w:t>
            </w:r>
          </w:p>
        </w:tc>
        <w:tc>
          <w:tcPr>
            <w:tcW w:w="1580" w:type="dxa"/>
            <w:vAlign w:val="bottom"/>
            <w:tcBorders>
              <w:right w:val="single" w:sz="8" w:color="auto"/>
            </w:tcBorders>
          </w:tcPr>
          <w:p>
            <w:pPr>
              <w:jc w:val="center"/>
              <w:ind w:right="190"/>
              <w:spacing w:after="0"/>
              <w:rPr>
                <w:sz w:val="20"/>
                <w:szCs w:val="20"/>
                <w:color w:val="auto"/>
              </w:rPr>
            </w:pPr>
            <w:r>
              <w:rPr>
                <w:rFonts w:ascii="Arial" w:cs="Arial" w:eastAsia="Arial" w:hAnsi="Arial"/>
                <w:sz w:val="18"/>
                <w:szCs w:val="18"/>
                <w:color w:val="auto"/>
                <w:w w:val="99"/>
              </w:rPr>
              <w:t>4</w:t>
            </w:r>
          </w:p>
        </w:tc>
      </w:tr>
      <w:tr>
        <w:trPr>
          <w:trHeight w:val="200"/>
        </w:trPr>
        <w:tc>
          <w:tcPr>
            <w:tcW w:w="280" w:type="dxa"/>
            <w:vAlign w:val="bottom"/>
            <w:tcBorders>
              <w:left w:val="single" w:sz="8" w:color="auto"/>
            </w:tcBorders>
          </w:tcPr>
          <w:p>
            <w:pPr>
              <w:spacing w:after="0"/>
              <w:rPr>
                <w:sz w:val="17"/>
                <w:szCs w:val="17"/>
                <w:color w:val="auto"/>
              </w:rPr>
            </w:pPr>
          </w:p>
        </w:tc>
        <w:tc>
          <w:tcPr>
            <w:tcW w:w="2420" w:type="dxa"/>
            <w:vAlign w:val="bottom"/>
            <w:tcBorders>
              <w:right w:val="single" w:sz="8" w:color="auto"/>
            </w:tcBorders>
          </w:tcPr>
          <w:p>
            <w:pPr>
              <w:ind w:left="60"/>
              <w:spacing w:after="0" w:line="200" w:lineRule="exact"/>
              <w:rPr>
                <w:sz w:val="20"/>
                <w:szCs w:val="20"/>
                <w:color w:val="auto"/>
              </w:rPr>
            </w:pPr>
            <w:r>
              <w:rPr>
                <w:rFonts w:ascii="Arial" w:cs="Arial" w:eastAsia="Arial" w:hAnsi="Arial"/>
                <w:sz w:val="18"/>
                <w:szCs w:val="18"/>
                <w:color w:val="auto"/>
              </w:rPr>
              <w:t>Jon E. Bortz</w:t>
            </w:r>
          </w:p>
        </w:tc>
        <w:tc>
          <w:tcPr>
            <w:tcW w:w="480" w:type="dxa"/>
            <w:vAlign w:val="bottom"/>
          </w:tcPr>
          <w:p>
            <w:pPr>
              <w:ind w:left="260"/>
              <w:spacing w:after="0" w:line="200" w:lineRule="exact"/>
              <w:rPr>
                <w:sz w:val="20"/>
                <w:szCs w:val="20"/>
                <w:color w:val="auto"/>
              </w:rPr>
            </w:pPr>
            <w:r>
              <w:rPr>
                <w:rFonts w:ascii="Arial" w:cs="Arial" w:eastAsia="Arial" w:hAnsi="Arial"/>
                <w:sz w:val="18"/>
                <w:szCs w:val="18"/>
                <w:color w:val="auto"/>
              </w:rPr>
              <w:t>•</w:t>
            </w:r>
          </w:p>
        </w:tc>
        <w:tc>
          <w:tcPr>
            <w:tcW w:w="6300" w:type="dxa"/>
            <w:vAlign w:val="bottom"/>
            <w:tcBorders>
              <w:right w:val="single" w:sz="8" w:color="auto"/>
            </w:tcBorders>
          </w:tcPr>
          <w:p>
            <w:pPr>
              <w:ind w:left="140"/>
              <w:spacing w:after="0" w:line="200" w:lineRule="exact"/>
              <w:rPr>
                <w:sz w:val="20"/>
                <w:szCs w:val="20"/>
                <w:color w:val="auto"/>
              </w:rPr>
            </w:pPr>
            <w:r>
              <w:rPr>
                <w:rFonts w:ascii="Arial" w:cs="Arial" w:eastAsia="Arial" w:hAnsi="Arial"/>
                <w:sz w:val="18"/>
                <w:szCs w:val="18"/>
                <w:color w:val="auto"/>
              </w:rPr>
              <w:t>Overseeing our financial reporting, including reviewing results with</w:t>
            </w:r>
          </w:p>
        </w:tc>
        <w:tc>
          <w:tcPr>
            <w:tcW w:w="1580" w:type="dxa"/>
            <w:vAlign w:val="bottom"/>
            <w:tcBorders>
              <w:right w:val="single" w:sz="8" w:color="auto"/>
            </w:tcBorders>
          </w:tcPr>
          <w:p>
            <w:pPr>
              <w:spacing w:after="0"/>
              <w:rPr>
                <w:sz w:val="17"/>
                <w:szCs w:val="17"/>
                <w:color w:val="auto"/>
              </w:rPr>
            </w:pPr>
          </w:p>
        </w:tc>
      </w:tr>
      <w:tr>
        <w:trPr>
          <w:trHeight w:val="205"/>
        </w:trPr>
        <w:tc>
          <w:tcPr>
            <w:tcW w:w="280" w:type="dxa"/>
            <w:vAlign w:val="bottom"/>
            <w:tcBorders>
              <w:left w:val="single" w:sz="8" w:color="auto"/>
            </w:tcBorders>
          </w:tcPr>
          <w:p>
            <w:pPr>
              <w:spacing w:after="0"/>
              <w:rPr>
                <w:sz w:val="17"/>
                <w:szCs w:val="17"/>
                <w:color w:val="auto"/>
              </w:rPr>
            </w:pPr>
          </w:p>
        </w:tc>
        <w:tc>
          <w:tcPr>
            <w:tcW w:w="2420" w:type="dxa"/>
            <w:vAlign w:val="bottom"/>
            <w:tcBorders>
              <w:right w:val="single" w:sz="8" w:color="auto"/>
            </w:tcBorders>
          </w:tcPr>
          <w:p>
            <w:pPr>
              <w:ind w:left="60"/>
              <w:spacing w:after="0" w:line="205" w:lineRule="exact"/>
              <w:rPr>
                <w:sz w:val="20"/>
                <w:szCs w:val="20"/>
                <w:color w:val="auto"/>
              </w:rPr>
            </w:pPr>
            <w:r>
              <w:rPr>
                <w:rFonts w:ascii="Arial" w:cs="Arial" w:eastAsia="Arial" w:hAnsi="Arial"/>
                <w:sz w:val="18"/>
                <w:szCs w:val="18"/>
                <w:color w:val="auto"/>
              </w:rPr>
              <w:t>David W. Faeder</w:t>
            </w:r>
            <w:r>
              <w:rPr>
                <w:rFonts w:ascii="Arial" w:cs="Arial" w:eastAsia="Arial" w:hAnsi="Arial"/>
                <w:sz w:val="15"/>
                <w:szCs w:val="15"/>
                <w:color w:val="auto"/>
              </w:rPr>
              <w:t>(2)</w:t>
            </w:r>
          </w:p>
        </w:tc>
        <w:tc>
          <w:tcPr>
            <w:tcW w:w="480" w:type="dxa"/>
            <w:vAlign w:val="bottom"/>
          </w:tcPr>
          <w:p>
            <w:pPr>
              <w:spacing w:after="0"/>
              <w:rPr>
                <w:sz w:val="17"/>
                <w:szCs w:val="17"/>
                <w:color w:val="auto"/>
              </w:rPr>
            </w:pPr>
          </w:p>
        </w:tc>
        <w:tc>
          <w:tcPr>
            <w:tcW w:w="6300" w:type="dxa"/>
            <w:vAlign w:val="bottom"/>
            <w:tcBorders>
              <w:right w:val="single" w:sz="8" w:color="auto"/>
            </w:tcBorders>
          </w:tcPr>
          <w:p>
            <w:pPr>
              <w:ind w:left="140"/>
              <w:spacing w:after="0" w:line="205" w:lineRule="exact"/>
              <w:rPr>
                <w:sz w:val="20"/>
                <w:szCs w:val="20"/>
                <w:color w:val="auto"/>
              </w:rPr>
            </w:pPr>
            <w:r>
              <w:rPr>
                <w:rFonts w:ascii="Arial" w:cs="Arial" w:eastAsia="Arial" w:hAnsi="Arial"/>
                <w:sz w:val="18"/>
                <w:szCs w:val="18"/>
                <w:color w:val="auto"/>
              </w:rPr>
              <w:t>management and our independent auditor</w:t>
            </w:r>
          </w:p>
        </w:tc>
        <w:tc>
          <w:tcPr>
            <w:tcW w:w="1580" w:type="dxa"/>
            <w:vAlign w:val="bottom"/>
            <w:tcBorders>
              <w:right w:val="single" w:sz="8" w:color="auto"/>
            </w:tcBorders>
          </w:tcPr>
          <w:p>
            <w:pPr>
              <w:spacing w:after="0"/>
              <w:rPr>
                <w:sz w:val="17"/>
                <w:szCs w:val="17"/>
                <w:color w:val="auto"/>
              </w:rPr>
            </w:pPr>
          </w:p>
        </w:tc>
      </w:tr>
      <w:tr>
        <w:trPr>
          <w:trHeight w:val="203"/>
        </w:trPr>
        <w:tc>
          <w:tcPr>
            <w:tcW w:w="280" w:type="dxa"/>
            <w:vAlign w:val="bottom"/>
            <w:tcBorders>
              <w:left w:val="single" w:sz="8" w:color="auto"/>
            </w:tcBorders>
          </w:tcPr>
          <w:p>
            <w:pPr>
              <w:spacing w:after="0"/>
              <w:rPr>
                <w:sz w:val="17"/>
                <w:szCs w:val="17"/>
                <w:color w:val="auto"/>
              </w:rPr>
            </w:pPr>
          </w:p>
        </w:tc>
        <w:tc>
          <w:tcPr>
            <w:tcW w:w="242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Warren M. Thompson</w:t>
            </w:r>
          </w:p>
        </w:tc>
        <w:tc>
          <w:tcPr>
            <w:tcW w:w="480" w:type="dxa"/>
            <w:vAlign w:val="bottom"/>
          </w:tcPr>
          <w:p>
            <w:pPr>
              <w:ind w:left="260"/>
              <w:spacing w:after="0" w:line="202" w:lineRule="exact"/>
              <w:rPr>
                <w:sz w:val="20"/>
                <w:szCs w:val="20"/>
                <w:color w:val="auto"/>
              </w:rPr>
            </w:pPr>
            <w:r>
              <w:rPr>
                <w:rFonts w:ascii="Arial" w:cs="Arial" w:eastAsia="Arial" w:hAnsi="Arial"/>
                <w:sz w:val="18"/>
                <w:szCs w:val="18"/>
                <w:color w:val="auto"/>
              </w:rPr>
              <w:t>•</w:t>
            </w:r>
          </w:p>
        </w:tc>
        <w:tc>
          <w:tcPr>
            <w:tcW w:w="630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Overseeing our internal systems of accounting and controls</w:t>
            </w:r>
          </w:p>
        </w:tc>
        <w:tc>
          <w:tcPr>
            <w:tcW w:w="1580" w:type="dxa"/>
            <w:vAlign w:val="bottom"/>
            <w:tcBorders>
              <w:right w:val="single" w:sz="8" w:color="auto"/>
            </w:tcBorders>
          </w:tcPr>
          <w:p>
            <w:pPr>
              <w:spacing w:after="0"/>
              <w:rPr>
                <w:sz w:val="17"/>
                <w:szCs w:val="17"/>
                <w:color w:val="auto"/>
              </w:rPr>
            </w:pPr>
          </w:p>
        </w:tc>
      </w:tr>
      <w:tr>
        <w:trPr>
          <w:trHeight w:val="203"/>
        </w:trPr>
        <w:tc>
          <w:tcPr>
            <w:tcW w:w="280" w:type="dxa"/>
            <w:vAlign w:val="bottom"/>
            <w:tcBorders>
              <w:left w:val="single" w:sz="8" w:color="auto"/>
            </w:tcBorders>
          </w:tcPr>
          <w:p>
            <w:pPr>
              <w:spacing w:after="0"/>
              <w:rPr>
                <w:sz w:val="17"/>
                <w:szCs w:val="17"/>
                <w:color w:val="auto"/>
              </w:rPr>
            </w:pPr>
          </w:p>
        </w:tc>
        <w:tc>
          <w:tcPr>
            <w:tcW w:w="2420" w:type="dxa"/>
            <w:vAlign w:val="bottom"/>
            <w:tcBorders>
              <w:right w:val="single" w:sz="8" w:color="auto"/>
            </w:tcBorders>
          </w:tcPr>
          <w:p>
            <w:pPr>
              <w:spacing w:after="0"/>
              <w:rPr>
                <w:sz w:val="17"/>
                <w:szCs w:val="17"/>
                <w:color w:val="auto"/>
              </w:rPr>
            </w:pPr>
          </w:p>
        </w:tc>
        <w:tc>
          <w:tcPr>
            <w:tcW w:w="480" w:type="dxa"/>
            <w:vAlign w:val="bottom"/>
          </w:tcPr>
          <w:p>
            <w:pPr>
              <w:ind w:left="260"/>
              <w:spacing w:after="0" w:line="203" w:lineRule="exact"/>
              <w:rPr>
                <w:sz w:val="20"/>
                <w:szCs w:val="20"/>
                <w:color w:val="auto"/>
              </w:rPr>
            </w:pPr>
            <w:r>
              <w:rPr>
                <w:rFonts w:ascii="Arial" w:cs="Arial" w:eastAsia="Arial" w:hAnsi="Arial"/>
                <w:sz w:val="18"/>
                <w:szCs w:val="18"/>
                <w:color w:val="auto"/>
              </w:rPr>
              <w:t>•</w:t>
            </w:r>
          </w:p>
        </w:tc>
        <w:tc>
          <w:tcPr>
            <w:tcW w:w="6300" w:type="dxa"/>
            <w:vAlign w:val="bottom"/>
            <w:tcBorders>
              <w:right w:val="single" w:sz="8" w:color="auto"/>
            </w:tcBorders>
          </w:tcPr>
          <w:p>
            <w:pPr>
              <w:ind w:left="140"/>
              <w:spacing w:after="0" w:line="203" w:lineRule="exact"/>
              <w:rPr>
                <w:sz w:val="20"/>
                <w:szCs w:val="20"/>
                <w:color w:val="auto"/>
              </w:rPr>
            </w:pPr>
            <w:r>
              <w:rPr>
                <w:rFonts w:ascii="Arial" w:cs="Arial" w:eastAsia="Arial" w:hAnsi="Arial"/>
                <w:sz w:val="18"/>
                <w:szCs w:val="18"/>
                <w:color w:val="auto"/>
              </w:rPr>
              <w:t>Overseeing financial, cybersecurity and similar risks</w:t>
            </w:r>
          </w:p>
        </w:tc>
        <w:tc>
          <w:tcPr>
            <w:tcW w:w="1580" w:type="dxa"/>
            <w:vAlign w:val="bottom"/>
            <w:tcBorders>
              <w:right w:val="single" w:sz="8" w:color="auto"/>
            </w:tcBorders>
          </w:tcPr>
          <w:p>
            <w:pPr>
              <w:spacing w:after="0"/>
              <w:rPr>
                <w:sz w:val="17"/>
                <w:szCs w:val="17"/>
                <w:color w:val="auto"/>
              </w:rPr>
            </w:pPr>
          </w:p>
        </w:tc>
      </w:tr>
      <w:tr>
        <w:trPr>
          <w:trHeight w:val="243"/>
        </w:trPr>
        <w:tc>
          <w:tcPr>
            <w:tcW w:w="2700" w:type="dxa"/>
            <w:vAlign w:val="bottom"/>
            <w:tcBorders>
              <w:left w:val="single" w:sz="8" w:color="auto"/>
              <w:right w:val="single" w:sz="8" w:color="1F2A44"/>
            </w:tcBorders>
            <w:gridSpan w:val="2"/>
            <w:shd w:val="clear" w:color="auto" w:fill="1F2A44"/>
          </w:tcPr>
          <w:p>
            <w:pPr>
              <w:ind w:left="160"/>
              <w:spacing w:after="0"/>
              <w:rPr>
                <w:sz w:val="20"/>
                <w:szCs w:val="20"/>
                <w:color w:val="auto"/>
              </w:rPr>
            </w:pPr>
            <w:r>
              <w:rPr>
                <w:rFonts w:ascii="Arial" w:cs="Arial" w:eastAsia="Arial" w:hAnsi="Arial"/>
                <w:sz w:val="18"/>
                <w:szCs w:val="18"/>
                <w:b w:val="1"/>
                <w:bCs w:val="1"/>
                <w:color w:val="FFFFFF"/>
              </w:rPr>
              <w:t>Compensation Committee:</w:t>
            </w:r>
          </w:p>
        </w:tc>
        <w:tc>
          <w:tcPr>
            <w:tcW w:w="480" w:type="dxa"/>
            <w:vAlign w:val="bottom"/>
            <w:shd w:val="clear" w:color="auto" w:fill="1F2A44"/>
          </w:tcPr>
          <w:p>
            <w:pPr>
              <w:spacing w:after="0"/>
              <w:rPr>
                <w:sz w:val="21"/>
                <w:szCs w:val="21"/>
                <w:color w:val="auto"/>
              </w:rPr>
            </w:pPr>
          </w:p>
        </w:tc>
        <w:tc>
          <w:tcPr>
            <w:tcW w:w="6300" w:type="dxa"/>
            <w:vAlign w:val="bottom"/>
            <w:tcBorders>
              <w:right w:val="single" w:sz="8" w:color="1F2A44"/>
            </w:tcBorders>
            <w:shd w:val="clear" w:color="auto" w:fill="1F2A44"/>
          </w:tcPr>
          <w:p>
            <w:pPr>
              <w:spacing w:after="0"/>
              <w:rPr>
                <w:sz w:val="21"/>
                <w:szCs w:val="21"/>
                <w:color w:val="auto"/>
              </w:rPr>
            </w:pPr>
          </w:p>
        </w:tc>
        <w:tc>
          <w:tcPr>
            <w:tcW w:w="1580" w:type="dxa"/>
            <w:vAlign w:val="bottom"/>
            <w:tcBorders>
              <w:right w:val="single" w:sz="8" w:color="auto"/>
            </w:tcBorders>
            <w:shd w:val="clear" w:color="auto" w:fill="1F2A44"/>
          </w:tcPr>
          <w:p>
            <w:pPr>
              <w:spacing w:after="0"/>
              <w:rPr>
                <w:sz w:val="21"/>
                <w:szCs w:val="21"/>
                <w:color w:val="auto"/>
              </w:rPr>
            </w:pPr>
          </w:p>
        </w:tc>
      </w:tr>
      <w:tr>
        <w:trPr>
          <w:trHeight w:val="269"/>
        </w:trPr>
        <w:tc>
          <w:tcPr>
            <w:tcW w:w="280" w:type="dxa"/>
            <w:vAlign w:val="bottom"/>
            <w:tcBorders>
              <w:left w:val="single" w:sz="8" w:color="auto"/>
            </w:tcBorders>
          </w:tcPr>
          <w:p>
            <w:pPr>
              <w:spacing w:after="0"/>
              <w:rPr>
                <w:sz w:val="23"/>
                <w:szCs w:val="23"/>
                <w:color w:val="auto"/>
              </w:rPr>
            </w:pPr>
          </w:p>
        </w:tc>
        <w:tc>
          <w:tcPr>
            <w:tcW w:w="2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David W. Faeder</w:t>
            </w:r>
            <w:r>
              <w:rPr>
                <w:rFonts w:ascii="Arial" w:cs="Arial" w:eastAsia="Arial" w:hAnsi="Arial"/>
                <w:sz w:val="15"/>
                <w:szCs w:val="15"/>
                <w:color w:val="auto"/>
              </w:rPr>
              <w:t>(1)</w:t>
            </w:r>
          </w:p>
        </w:tc>
        <w:tc>
          <w:tcPr>
            <w:tcW w:w="480" w:type="dxa"/>
            <w:vAlign w:val="bottom"/>
          </w:tcPr>
          <w:p>
            <w:pPr>
              <w:ind w:left="260"/>
              <w:spacing w:after="0"/>
              <w:rPr>
                <w:sz w:val="20"/>
                <w:szCs w:val="20"/>
                <w:color w:val="auto"/>
              </w:rPr>
            </w:pPr>
            <w:r>
              <w:rPr>
                <w:rFonts w:ascii="Arial" w:cs="Arial" w:eastAsia="Arial" w:hAnsi="Arial"/>
                <w:sz w:val="18"/>
                <w:szCs w:val="18"/>
                <w:color w:val="auto"/>
              </w:rPr>
              <w:t>•</w:t>
            </w:r>
          </w:p>
        </w:tc>
        <w:tc>
          <w:tcPr>
            <w:tcW w:w="63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Reviewing and recommending compensation for our senior officers</w:t>
            </w:r>
          </w:p>
        </w:tc>
        <w:tc>
          <w:tcPr>
            <w:tcW w:w="1580" w:type="dxa"/>
            <w:vAlign w:val="bottom"/>
            <w:tcBorders>
              <w:right w:val="single" w:sz="8" w:color="auto"/>
            </w:tcBorders>
          </w:tcPr>
          <w:p>
            <w:pPr>
              <w:jc w:val="center"/>
              <w:ind w:right="190"/>
              <w:spacing w:after="0"/>
              <w:rPr>
                <w:sz w:val="20"/>
                <w:szCs w:val="20"/>
                <w:color w:val="auto"/>
              </w:rPr>
            </w:pPr>
            <w:r>
              <w:rPr>
                <w:rFonts w:ascii="Arial" w:cs="Arial" w:eastAsia="Arial" w:hAnsi="Arial"/>
                <w:sz w:val="18"/>
                <w:szCs w:val="18"/>
                <w:color w:val="auto"/>
                <w:w w:val="99"/>
              </w:rPr>
              <w:t>2</w:t>
            </w:r>
          </w:p>
        </w:tc>
      </w:tr>
      <w:tr>
        <w:trPr>
          <w:trHeight w:val="203"/>
        </w:trPr>
        <w:tc>
          <w:tcPr>
            <w:tcW w:w="280" w:type="dxa"/>
            <w:vAlign w:val="bottom"/>
            <w:tcBorders>
              <w:left w:val="single" w:sz="8" w:color="auto"/>
            </w:tcBorders>
          </w:tcPr>
          <w:p>
            <w:pPr>
              <w:spacing w:after="0"/>
              <w:rPr>
                <w:sz w:val="17"/>
                <w:szCs w:val="17"/>
                <w:color w:val="auto"/>
              </w:rPr>
            </w:pPr>
          </w:p>
        </w:tc>
        <w:tc>
          <w:tcPr>
            <w:tcW w:w="242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Elizabeth I. Holland</w:t>
            </w:r>
          </w:p>
        </w:tc>
        <w:tc>
          <w:tcPr>
            <w:tcW w:w="480" w:type="dxa"/>
            <w:vAlign w:val="bottom"/>
          </w:tcPr>
          <w:p>
            <w:pPr>
              <w:ind w:left="260"/>
              <w:spacing w:after="0" w:line="202" w:lineRule="exact"/>
              <w:rPr>
                <w:sz w:val="20"/>
                <w:szCs w:val="20"/>
                <w:color w:val="auto"/>
              </w:rPr>
            </w:pPr>
            <w:r>
              <w:rPr>
                <w:rFonts w:ascii="Arial" w:cs="Arial" w:eastAsia="Arial" w:hAnsi="Arial"/>
                <w:sz w:val="18"/>
                <w:szCs w:val="18"/>
                <w:color w:val="auto"/>
              </w:rPr>
              <w:t>•</w:t>
            </w:r>
          </w:p>
        </w:tc>
        <w:tc>
          <w:tcPr>
            <w:tcW w:w="630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Administering and making awards under our long-term incentive award plans</w:t>
            </w:r>
          </w:p>
        </w:tc>
        <w:tc>
          <w:tcPr>
            <w:tcW w:w="1580" w:type="dxa"/>
            <w:vAlign w:val="bottom"/>
            <w:tcBorders>
              <w:right w:val="single" w:sz="8" w:color="auto"/>
            </w:tcBorders>
          </w:tcPr>
          <w:p>
            <w:pPr>
              <w:spacing w:after="0"/>
              <w:rPr>
                <w:sz w:val="17"/>
                <w:szCs w:val="17"/>
                <w:color w:val="auto"/>
              </w:rPr>
            </w:pPr>
          </w:p>
        </w:tc>
      </w:tr>
      <w:tr>
        <w:trPr>
          <w:trHeight w:val="203"/>
        </w:trPr>
        <w:tc>
          <w:tcPr>
            <w:tcW w:w="280" w:type="dxa"/>
            <w:vAlign w:val="bottom"/>
            <w:tcBorders>
              <w:left w:val="single" w:sz="8" w:color="auto"/>
            </w:tcBorders>
          </w:tcPr>
          <w:p>
            <w:pPr>
              <w:spacing w:after="0"/>
              <w:rPr>
                <w:sz w:val="17"/>
                <w:szCs w:val="17"/>
                <w:color w:val="auto"/>
              </w:rPr>
            </w:pPr>
          </w:p>
        </w:tc>
        <w:tc>
          <w:tcPr>
            <w:tcW w:w="242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Gail P. Steinel</w:t>
            </w:r>
          </w:p>
        </w:tc>
        <w:tc>
          <w:tcPr>
            <w:tcW w:w="480" w:type="dxa"/>
            <w:vAlign w:val="bottom"/>
          </w:tcPr>
          <w:p>
            <w:pPr>
              <w:ind w:left="260"/>
              <w:spacing w:after="0" w:line="202" w:lineRule="exact"/>
              <w:rPr>
                <w:sz w:val="20"/>
                <w:szCs w:val="20"/>
                <w:color w:val="auto"/>
              </w:rPr>
            </w:pPr>
            <w:r>
              <w:rPr>
                <w:rFonts w:ascii="Arial" w:cs="Arial" w:eastAsia="Arial" w:hAnsi="Arial"/>
                <w:sz w:val="18"/>
                <w:szCs w:val="18"/>
                <w:color w:val="auto"/>
              </w:rPr>
              <w:t>•</w:t>
            </w:r>
          </w:p>
        </w:tc>
        <w:tc>
          <w:tcPr>
            <w:tcW w:w="630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Administering other benefit programs of the Trust</w:t>
            </w:r>
          </w:p>
        </w:tc>
        <w:tc>
          <w:tcPr>
            <w:tcW w:w="1580" w:type="dxa"/>
            <w:vAlign w:val="bottom"/>
            <w:tcBorders>
              <w:right w:val="single" w:sz="8" w:color="auto"/>
            </w:tcBorders>
          </w:tcPr>
          <w:p>
            <w:pPr>
              <w:spacing w:after="0"/>
              <w:rPr>
                <w:sz w:val="17"/>
                <w:szCs w:val="17"/>
                <w:color w:val="auto"/>
              </w:rPr>
            </w:pPr>
          </w:p>
        </w:tc>
      </w:tr>
      <w:tr>
        <w:trPr>
          <w:trHeight w:val="257"/>
        </w:trPr>
        <w:tc>
          <w:tcPr>
            <w:tcW w:w="280" w:type="dxa"/>
            <w:vAlign w:val="bottom"/>
            <w:tcBorders>
              <w:left w:val="single" w:sz="8" w:color="auto"/>
            </w:tcBorders>
          </w:tcPr>
          <w:p>
            <w:pPr>
              <w:spacing w:after="0"/>
              <w:rPr>
                <w:sz w:val="22"/>
                <w:szCs w:val="22"/>
                <w:color w:val="auto"/>
              </w:rPr>
            </w:pPr>
          </w:p>
        </w:tc>
        <w:tc>
          <w:tcPr>
            <w:tcW w:w="2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Joseph Vassalluzzo</w:t>
            </w:r>
          </w:p>
        </w:tc>
        <w:tc>
          <w:tcPr>
            <w:tcW w:w="480" w:type="dxa"/>
            <w:vAlign w:val="bottom"/>
          </w:tcPr>
          <w:p>
            <w:pPr>
              <w:spacing w:after="0"/>
              <w:rPr>
                <w:sz w:val="22"/>
                <w:szCs w:val="22"/>
                <w:color w:val="auto"/>
              </w:rPr>
            </w:pPr>
          </w:p>
        </w:tc>
        <w:tc>
          <w:tcPr>
            <w:tcW w:w="6300" w:type="dxa"/>
            <w:vAlign w:val="bottom"/>
            <w:tcBorders>
              <w:right w:val="single" w:sz="8" w:color="auto"/>
            </w:tcBorders>
          </w:tcPr>
          <w:p>
            <w:pPr>
              <w:spacing w:after="0"/>
              <w:rPr>
                <w:sz w:val="22"/>
                <w:szCs w:val="22"/>
                <w:color w:val="auto"/>
              </w:rPr>
            </w:pPr>
          </w:p>
        </w:tc>
        <w:tc>
          <w:tcPr>
            <w:tcW w:w="1580" w:type="dxa"/>
            <w:vAlign w:val="bottom"/>
            <w:tcBorders>
              <w:right w:val="single" w:sz="8" w:color="auto"/>
            </w:tcBorders>
          </w:tcPr>
          <w:p>
            <w:pPr>
              <w:spacing w:after="0"/>
              <w:rPr>
                <w:sz w:val="22"/>
                <w:szCs w:val="22"/>
                <w:color w:val="auto"/>
              </w:rPr>
            </w:pPr>
          </w:p>
        </w:tc>
      </w:tr>
      <w:tr>
        <w:trPr>
          <w:trHeight w:val="243"/>
        </w:trPr>
        <w:tc>
          <w:tcPr>
            <w:tcW w:w="9480" w:type="dxa"/>
            <w:vAlign w:val="bottom"/>
            <w:tcBorders>
              <w:left w:val="single" w:sz="8" w:color="auto"/>
              <w:right w:val="single" w:sz="8" w:color="1F2A44"/>
            </w:tcBorders>
            <w:gridSpan w:val="4"/>
            <w:shd w:val="clear" w:color="auto" w:fill="1F2A44"/>
          </w:tcPr>
          <w:p>
            <w:pPr>
              <w:ind w:left="160"/>
              <w:spacing w:after="0"/>
              <w:rPr>
                <w:sz w:val="20"/>
                <w:szCs w:val="20"/>
                <w:color w:val="auto"/>
              </w:rPr>
            </w:pPr>
            <w:r>
              <w:rPr>
                <w:rFonts w:ascii="Arial" w:cs="Arial" w:eastAsia="Arial" w:hAnsi="Arial"/>
                <w:sz w:val="18"/>
                <w:szCs w:val="18"/>
                <w:b w:val="1"/>
                <w:bCs w:val="1"/>
                <w:color w:val="FFFFFF"/>
              </w:rPr>
              <w:t>Nominating and Corporate Governance Committee:</w:t>
            </w:r>
          </w:p>
        </w:tc>
        <w:tc>
          <w:tcPr>
            <w:tcW w:w="1580" w:type="dxa"/>
            <w:vAlign w:val="bottom"/>
            <w:tcBorders>
              <w:right w:val="single" w:sz="8" w:color="auto"/>
            </w:tcBorders>
            <w:shd w:val="clear" w:color="auto" w:fill="1F2A44"/>
          </w:tcPr>
          <w:p>
            <w:pPr>
              <w:spacing w:after="0"/>
              <w:rPr>
                <w:sz w:val="21"/>
                <w:szCs w:val="21"/>
                <w:color w:val="auto"/>
              </w:rPr>
            </w:pPr>
          </w:p>
        </w:tc>
      </w:tr>
      <w:tr>
        <w:trPr>
          <w:trHeight w:val="269"/>
        </w:trPr>
        <w:tc>
          <w:tcPr>
            <w:tcW w:w="280" w:type="dxa"/>
            <w:vAlign w:val="bottom"/>
            <w:tcBorders>
              <w:left w:val="single" w:sz="8" w:color="auto"/>
            </w:tcBorders>
          </w:tcPr>
          <w:p>
            <w:pPr>
              <w:spacing w:after="0"/>
              <w:rPr>
                <w:sz w:val="23"/>
                <w:szCs w:val="23"/>
                <w:color w:val="auto"/>
              </w:rPr>
            </w:pPr>
          </w:p>
        </w:tc>
        <w:tc>
          <w:tcPr>
            <w:tcW w:w="2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Warren M. Thompson</w:t>
            </w:r>
            <w:r>
              <w:rPr>
                <w:rFonts w:ascii="Arial" w:cs="Arial" w:eastAsia="Arial" w:hAnsi="Arial"/>
                <w:sz w:val="15"/>
                <w:szCs w:val="15"/>
                <w:color w:val="auto"/>
              </w:rPr>
              <w:t>(1)</w:t>
            </w:r>
          </w:p>
        </w:tc>
        <w:tc>
          <w:tcPr>
            <w:tcW w:w="480" w:type="dxa"/>
            <w:vAlign w:val="bottom"/>
          </w:tcPr>
          <w:p>
            <w:pPr>
              <w:ind w:left="260"/>
              <w:spacing w:after="0"/>
              <w:rPr>
                <w:sz w:val="20"/>
                <w:szCs w:val="20"/>
                <w:color w:val="auto"/>
              </w:rPr>
            </w:pPr>
            <w:r>
              <w:rPr>
                <w:rFonts w:ascii="Arial" w:cs="Arial" w:eastAsia="Arial" w:hAnsi="Arial"/>
                <w:sz w:val="18"/>
                <w:szCs w:val="18"/>
                <w:color w:val="auto"/>
              </w:rPr>
              <w:t>•</w:t>
            </w:r>
          </w:p>
        </w:tc>
        <w:tc>
          <w:tcPr>
            <w:tcW w:w="63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Recommending individuals to stand for election to the Board</w:t>
            </w:r>
          </w:p>
        </w:tc>
        <w:tc>
          <w:tcPr>
            <w:tcW w:w="1580" w:type="dxa"/>
            <w:vAlign w:val="bottom"/>
            <w:tcBorders>
              <w:right w:val="single" w:sz="8" w:color="auto"/>
            </w:tcBorders>
          </w:tcPr>
          <w:p>
            <w:pPr>
              <w:jc w:val="center"/>
              <w:ind w:right="190"/>
              <w:spacing w:after="0"/>
              <w:rPr>
                <w:sz w:val="20"/>
                <w:szCs w:val="20"/>
                <w:color w:val="auto"/>
              </w:rPr>
            </w:pPr>
            <w:r>
              <w:rPr>
                <w:rFonts w:ascii="Arial" w:cs="Arial" w:eastAsia="Arial" w:hAnsi="Arial"/>
                <w:sz w:val="18"/>
                <w:szCs w:val="18"/>
                <w:color w:val="auto"/>
                <w:w w:val="99"/>
              </w:rPr>
              <w:t>2</w:t>
            </w:r>
          </w:p>
        </w:tc>
      </w:tr>
      <w:tr>
        <w:trPr>
          <w:trHeight w:val="203"/>
        </w:trPr>
        <w:tc>
          <w:tcPr>
            <w:tcW w:w="280" w:type="dxa"/>
            <w:vAlign w:val="bottom"/>
            <w:tcBorders>
              <w:left w:val="single" w:sz="8" w:color="auto"/>
            </w:tcBorders>
          </w:tcPr>
          <w:p>
            <w:pPr>
              <w:spacing w:after="0"/>
              <w:rPr>
                <w:sz w:val="17"/>
                <w:szCs w:val="17"/>
                <w:color w:val="auto"/>
              </w:rPr>
            </w:pPr>
          </w:p>
        </w:tc>
        <w:tc>
          <w:tcPr>
            <w:tcW w:w="242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Jon E. Bortz</w:t>
            </w:r>
          </w:p>
        </w:tc>
        <w:tc>
          <w:tcPr>
            <w:tcW w:w="480" w:type="dxa"/>
            <w:vAlign w:val="bottom"/>
          </w:tcPr>
          <w:p>
            <w:pPr>
              <w:ind w:left="260"/>
              <w:spacing w:after="0" w:line="202" w:lineRule="exact"/>
              <w:rPr>
                <w:sz w:val="20"/>
                <w:szCs w:val="20"/>
                <w:color w:val="auto"/>
              </w:rPr>
            </w:pPr>
            <w:r>
              <w:rPr>
                <w:rFonts w:ascii="Arial" w:cs="Arial" w:eastAsia="Arial" w:hAnsi="Arial"/>
                <w:sz w:val="18"/>
                <w:szCs w:val="18"/>
                <w:color w:val="auto"/>
              </w:rPr>
              <w:t>•</w:t>
            </w:r>
          </w:p>
        </w:tc>
        <w:tc>
          <w:tcPr>
            <w:tcW w:w="630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Making recommendations regarding committee memberships</w:t>
            </w:r>
          </w:p>
        </w:tc>
        <w:tc>
          <w:tcPr>
            <w:tcW w:w="1580" w:type="dxa"/>
            <w:vAlign w:val="bottom"/>
            <w:tcBorders>
              <w:right w:val="single" w:sz="8" w:color="auto"/>
            </w:tcBorders>
          </w:tcPr>
          <w:p>
            <w:pPr>
              <w:spacing w:after="0"/>
              <w:rPr>
                <w:sz w:val="17"/>
                <w:szCs w:val="17"/>
                <w:color w:val="auto"/>
              </w:rPr>
            </w:pPr>
          </w:p>
        </w:tc>
      </w:tr>
      <w:tr>
        <w:trPr>
          <w:trHeight w:val="203"/>
        </w:trPr>
        <w:tc>
          <w:tcPr>
            <w:tcW w:w="280" w:type="dxa"/>
            <w:vAlign w:val="bottom"/>
            <w:tcBorders>
              <w:left w:val="single" w:sz="8" w:color="auto"/>
            </w:tcBorders>
          </w:tcPr>
          <w:p>
            <w:pPr>
              <w:spacing w:after="0"/>
              <w:rPr>
                <w:sz w:val="17"/>
                <w:szCs w:val="17"/>
                <w:color w:val="auto"/>
              </w:rPr>
            </w:pPr>
          </w:p>
        </w:tc>
        <w:tc>
          <w:tcPr>
            <w:tcW w:w="242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Elizabeth I. Holland</w:t>
            </w:r>
          </w:p>
        </w:tc>
        <w:tc>
          <w:tcPr>
            <w:tcW w:w="480" w:type="dxa"/>
            <w:vAlign w:val="bottom"/>
          </w:tcPr>
          <w:p>
            <w:pPr>
              <w:ind w:left="260"/>
              <w:spacing w:after="0" w:line="202" w:lineRule="exact"/>
              <w:rPr>
                <w:sz w:val="20"/>
                <w:szCs w:val="20"/>
                <w:color w:val="auto"/>
              </w:rPr>
            </w:pPr>
            <w:r>
              <w:rPr>
                <w:rFonts w:ascii="Arial" w:cs="Arial" w:eastAsia="Arial" w:hAnsi="Arial"/>
                <w:sz w:val="18"/>
                <w:szCs w:val="18"/>
                <w:color w:val="auto"/>
              </w:rPr>
              <w:t>•</w:t>
            </w:r>
          </w:p>
        </w:tc>
        <w:tc>
          <w:tcPr>
            <w:tcW w:w="630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Overseeing our corporate governance policies and procedures, including</w:t>
            </w:r>
          </w:p>
        </w:tc>
        <w:tc>
          <w:tcPr>
            <w:tcW w:w="1580" w:type="dxa"/>
            <w:vAlign w:val="bottom"/>
            <w:tcBorders>
              <w:right w:val="single" w:sz="8" w:color="auto"/>
            </w:tcBorders>
          </w:tcPr>
          <w:p>
            <w:pPr>
              <w:spacing w:after="0"/>
              <w:rPr>
                <w:sz w:val="17"/>
                <w:szCs w:val="17"/>
                <w:color w:val="auto"/>
              </w:rPr>
            </w:pPr>
          </w:p>
        </w:tc>
      </w:tr>
      <w:tr>
        <w:trPr>
          <w:trHeight w:val="217"/>
        </w:trPr>
        <w:tc>
          <w:tcPr>
            <w:tcW w:w="280" w:type="dxa"/>
            <w:vAlign w:val="bottom"/>
            <w:tcBorders>
              <w:left w:val="single" w:sz="8" w:color="auto"/>
            </w:tcBorders>
          </w:tcPr>
          <w:p>
            <w:pPr>
              <w:spacing w:after="0"/>
              <w:rPr>
                <w:sz w:val="18"/>
                <w:szCs w:val="18"/>
                <w:color w:val="auto"/>
              </w:rPr>
            </w:pPr>
          </w:p>
        </w:tc>
        <w:tc>
          <w:tcPr>
            <w:tcW w:w="2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Joseph S. Vassalluzzo</w:t>
            </w:r>
          </w:p>
        </w:tc>
        <w:tc>
          <w:tcPr>
            <w:tcW w:w="480" w:type="dxa"/>
            <w:vAlign w:val="bottom"/>
          </w:tcPr>
          <w:p>
            <w:pPr>
              <w:spacing w:after="0"/>
              <w:rPr>
                <w:sz w:val="18"/>
                <w:szCs w:val="18"/>
                <w:color w:val="auto"/>
              </w:rPr>
            </w:pPr>
          </w:p>
        </w:tc>
        <w:tc>
          <w:tcPr>
            <w:tcW w:w="63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Board and Trustee evaluations</w:t>
            </w:r>
          </w:p>
        </w:tc>
        <w:tc>
          <w:tcPr>
            <w:tcW w:w="1580" w:type="dxa"/>
            <w:vAlign w:val="bottom"/>
            <w:tcBorders>
              <w:right w:val="single" w:sz="8" w:color="auto"/>
            </w:tcBorders>
          </w:tcPr>
          <w:p>
            <w:pPr>
              <w:spacing w:after="0"/>
              <w:rPr>
                <w:sz w:val="18"/>
                <w:szCs w:val="18"/>
                <w:color w:val="auto"/>
              </w:rPr>
            </w:pPr>
          </w:p>
        </w:tc>
      </w:tr>
      <w:tr>
        <w:trPr>
          <w:trHeight w:val="41"/>
        </w:trPr>
        <w:tc>
          <w:tcPr>
            <w:tcW w:w="280" w:type="dxa"/>
            <w:vAlign w:val="bottom"/>
            <w:tcBorders>
              <w:left w:val="single" w:sz="8" w:color="auto"/>
              <w:bottom w:val="single" w:sz="8" w:color="auto"/>
            </w:tcBorders>
          </w:tcPr>
          <w:p>
            <w:pPr>
              <w:spacing w:after="0"/>
              <w:rPr>
                <w:sz w:val="3"/>
                <w:szCs w:val="3"/>
                <w:color w:val="auto"/>
              </w:rPr>
            </w:pPr>
          </w:p>
        </w:tc>
        <w:tc>
          <w:tcPr>
            <w:tcW w:w="242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30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r>
      <w:tr>
        <w:trPr>
          <w:trHeight w:val="411"/>
        </w:trPr>
        <w:tc>
          <w:tcPr>
            <w:tcW w:w="280" w:type="dxa"/>
            <w:vAlign w:val="bottom"/>
          </w:tcPr>
          <w:p>
            <w:pPr>
              <w:spacing w:after="0"/>
              <w:rPr>
                <w:sz w:val="20"/>
                <w:szCs w:val="20"/>
                <w:color w:val="auto"/>
              </w:rPr>
            </w:pPr>
            <w:r>
              <w:rPr>
                <w:rFonts w:ascii="Arial" w:cs="Arial" w:eastAsia="Arial" w:hAnsi="Arial"/>
                <w:sz w:val="18"/>
                <w:szCs w:val="18"/>
                <w:color w:val="auto"/>
              </w:rPr>
              <w:t>(1)</w:t>
            </w:r>
          </w:p>
        </w:tc>
        <w:tc>
          <w:tcPr>
            <w:tcW w:w="2420" w:type="dxa"/>
            <w:vAlign w:val="bottom"/>
          </w:tcPr>
          <w:p>
            <w:pPr>
              <w:ind w:left="160"/>
              <w:spacing w:after="0"/>
              <w:rPr>
                <w:sz w:val="20"/>
                <w:szCs w:val="20"/>
                <w:color w:val="auto"/>
              </w:rPr>
            </w:pPr>
            <w:r>
              <w:rPr>
                <w:rFonts w:ascii="Arial" w:cs="Arial" w:eastAsia="Arial" w:hAnsi="Arial"/>
                <w:sz w:val="18"/>
                <w:szCs w:val="18"/>
                <w:color w:val="auto"/>
              </w:rPr>
              <w:t>Committee chairperson</w:t>
            </w:r>
          </w:p>
        </w:tc>
        <w:tc>
          <w:tcPr>
            <w:tcW w:w="48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17"/>
        </w:trPr>
        <w:tc>
          <w:tcPr>
            <w:tcW w:w="280" w:type="dxa"/>
            <w:vAlign w:val="bottom"/>
          </w:tcPr>
          <w:p>
            <w:pPr>
              <w:spacing w:after="0"/>
              <w:rPr>
                <w:sz w:val="20"/>
                <w:szCs w:val="20"/>
                <w:color w:val="auto"/>
              </w:rPr>
            </w:pPr>
            <w:r>
              <w:rPr>
                <w:rFonts w:ascii="Arial" w:cs="Arial" w:eastAsia="Arial" w:hAnsi="Arial"/>
                <w:sz w:val="18"/>
                <w:szCs w:val="18"/>
                <w:color w:val="auto"/>
              </w:rPr>
              <w:t>(2)</w:t>
            </w:r>
          </w:p>
        </w:tc>
        <w:tc>
          <w:tcPr>
            <w:tcW w:w="2420" w:type="dxa"/>
            <w:vAlign w:val="bottom"/>
          </w:tcPr>
          <w:p>
            <w:pPr>
              <w:ind w:left="160"/>
              <w:spacing w:after="0"/>
              <w:rPr>
                <w:sz w:val="20"/>
                <w:szCs w:val="20"/>
                <w:color w:val="auto"/>
              </w:rPr>
            </w:pPr>
            <w:r>
              <w:rPr>
                <w:rFonts w:ascii="Arial" w:cs="Arial" w:eastAsia="Arial" w:hAnsi="Arial"/>
                <w:sz w:val="18"/>
                <w:szCs w:val="18"/>
                <w:color w:val="auto"/>
              </w:rPr>
              <w:t>Financial expert</w:t>
            </w:r>
          </w:p>
        </w:tc>
        <w:tc>
          <w:tcPr>
            <w:tcW w:w="48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580" w:type="dxa"/>
            <w:vAlign w:val="bottom"/>
          </w:tcPr>
          <w:p>
            <w:pPr>
              <w:spacing w:after="0"/>
              <w:rPr>
                <w:sz w:val="18"/>
                <w:szCs w:val="18"/>
                <w:color w:val="auto"/>
              </w:rPr>
            </w:pPr>
          </w:p>
        </w:tc>
      </w:tr>
    </w:tbl>
    <w:p>
      <w:pPr>
        <w:spacing w:after="0" w:line="130"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RISK MANAGEMENT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45" w:lineRule="exact"/>
        <w:rPr>
          <w:sz w:val="20"/>
          <w:szCs w:val="20"/>
          <w:color w:val="auto"/>
        </w:rPr>
      </w:pPr>
    </w:p>
    <w:p>
      <w:pPr>
        <w:jc w:val="both"/>
        <w:ind w:left="200" w:right="20"/>
        <w:spacing w:after="0" w:line="237" w:lineRule="auto"/>
        <w:rPr>
          <w:sz w:val="20"/>
          <w:szCs w:val="20"/>
          <w:color w:val="auto"/>
        </w:rPr>
      </w:pPr>
      <w:r>
        <w:rPr>
          <w:rFonts w:ascii="Arial" w:cs="Arial" w:eastAsia="Arial" w:hAnsi="Arial"/>
          <w:sz w:val="18"/>
          <w:szCs w:val="18"/>
          <w:color w:val="auto"/>
        </w:rPr>
        <w:t>The Board is responsible for overseeing enterprise level risk of the Trust and does so directly and through its committees. As part of carrying out its risk oversight responsibilities, the entire Board regularly receives updates from management on the continued viability of our business plan, market conditions, capital position, and our business results and specifically reviews potential business risks from time to time. The Board reviews that information together with our quarterly and annual financial statements and operating results and short and long-term business prospects to assess the risks that we may encounter and to establish appropriate direction to avoid or minimize the potential impact of the identified risks. Some of the details that are discussed as part of the Board’s review of potential risks facing us include, without limitation:</w:t>
      </w:r>
    </w:p>
    <w:p>
      <w:pPr>
        <w:spacing w:after="0" w:line="199" w:lineRule="exact"/>
        <w:rPr>
          <w:sz w:val="20"/>
          <w:szCs w:val="20"/>
          <w:color w:val="auto"/>
        </w:rPr>
      </w:pPr>
    </w:p>
    <w:p>
      <w:pPr>
        <w:ind w:left="860" w:hanging="332"/>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market conditions on our business;</w:t>
      </w:r>
    </w:p>
    <w:p>
      <w:pPr>
        <w:ind w:left="860" w:right="20" w:hanging="332"/>
        <w:spacing w:after="0" w:line="234" w:lineRule="auto"/>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operational risks such as the ability of our tenants to be successful and the ability to grow the company through increasing rents and redeveloping our properties;</w:t>
      </w:r>
    </w:p>
    <w:p>
      <w:pPr>
        <w:spacing w:after="0" w:line="1" w:lineRule="exact"/>
        <w:rPr>
          <w:rFonts w:ascii="Arial" w:cs="Arial" w:eastAsia="Arial" w:hAnsi="Arial"/>
          <w:sz w:val="18"/>
          <w:szCs w:val="18"/>
          <w:color w:val="auto"/>
        </w:rPr>
      </w:pPr>
    </w:p>
    <w:p>
      <w:pPr>
        <w:ind w:left="860" w:right="20" w:hanging="332"/>
        <w:spacing w:after="0" w:line="234" w:lineRule="auto"/>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liquidity and credit risks, including our ability to access capital to run and grow our business and our overall cost of capital and the impact on our profitability;</w:t>
      </w:r>
    </w:p>
    <w:p>
      <w:pPr>
        <w:spacing w:after="0" w:line="1" w:lineRule="exact"/>
        <w:rPr>
          <w:rFonts w:ascii="Arial" w:cs="Arial" w:eastAsia="Arial" w:hAnsi="Arial"/>
          <w:sz w:val="18"/>
          <w:szCs w:val="18"/>
          <w:color w:val="auto"/>
        </w:rPr>
      </w:pPr>
    </w:p>
    <w:p>
      <w:pPr>
        <w:ind w:left="860" w:hanging="332"/>
        <w:spacing w:after="0" w:line="234" w:lineRule="auto"/>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investment risks from acquisitions and our development and redevelopment projects;</w:t>
      </w:r>
    </w:p>
    <w:p>
      <w:pPr>
        <w:ind w:left="860" w:hanging="332"/>
        <w:spacing w:after="0" w:line="234" w:lineRule="auto"/>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regulatory risks that may impact our profitability;</w:t>
      </w:r>
    </w:p>
    <w:p>
      <w:pPr>
        <w:ind w:left="860" w:hanging="332"/>
        <w:spacing w:after="0" w:line="234" w:lineRule="auto"/>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relating to our status as a real estate investment trust;</w:t>
      </w:r>
    </w:p>
    <w:p>
      <w:pPr>
        <w:ind w:left="860" w:hanging="332"/>
        <w:spacing w:after="0" w:line="234" w:lineRule="auto"/>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environmental related risks;</w:t>
      </w:r>
    </w:p>
    <w:p>
      <w:pPr>
        <w:ind w:left="860" w:hanging="332"/>
        <w:spacing w:after="0" w:line="234" w:lineRule="auto"/>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cybersecurity risks; and</w:t>
      </w:r>
    </w:p>
    <w:p>
      <w:pPr>
        <w:ind w:left="860" w:hanging="332"/>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risks inherent in the real estate industry.</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459" w:right="4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COMPENSATION RISK 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8" w:lineRule="exact"/>
        <w:rPr>
          <w:sz w:val="20"/>
          <w:szCs w:val="20"/>
          <w:color w:val="auto"/>
        </w:rPr>
      </w:pPr>
    </w:p>
    <w:p>
      <w:pPr>
        <w:jc w:val="both"/>
        <w:ind w:left="200"/>
        <w:spacing w:after="0" w:line="237" w:lineRule="auto"/>
        <w:rPr>
          <w:sz w:val="20"/>
          <w:szCs w:val="20"/>
          <w:color w:val="auto"/>
        </w:rPr>
      </w:pPr>
      <w:r>
        <w:rPr>
          <w:rFonts w:ascii="Arial" w:cs="Arial" w:eastAsia="Arial" w:hAnsi="Arial"/>
          <w:sz w:val="18"/>
          <w:szCs w:val="18"/>
          <w:color w:val="auto"/>
        </w:rPr>
        <w:t>In February 2019, our Compensation Committee reviewed our compensation policies and practices for all of our employees to determine whether any of such policies or programs created any risk that is reasonably likely to have a material adverse effect on the Trust. Based on that review, the Committee does not believe that our compensation programs encourage unnecessary or excessive risk taking. Specifically, the incentive compensation of 95% of our employees is based solely on corporate performance objectives. For the approximately 5% of our employees who earn all or a portion of their compensation by completing leasing transactions or closing acquisitions, they cannot complete any deals without first obtaining approvals from either the Board and/or one or more members of senior management whose incentive compensation is tied to corporate performance.</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COMMUNICATIONS WITH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45" w:lineRule="exact"/>
        <w:rPr>
          <w:sz w:val="20"/>
          <w:szCs w:val="20"/>
          <w:color w:val="auto"/>
        </w:rPr>
      </w:pPr>
    </w:p>
    <w:p>
      <w:pPr>
        <w:jc w:val="both"/>
        <w:ind w:left="200"/>
        <w:spacing w:after="0" w:line="237" w:lineRule="auto"/>
        <w:rPr>
          <w:sz w:val="20"/>
          <w:szCs w:val="20"/>
          <w:color w:val="auto"/>
        </w:rPr>
      </w:pPr>
      <w:r>
        <w:rPr>
          <w:rFonts w:ascii="Arial" w:cs="Arial" w:eastAsia="Arial" w:hAnsi="Arial"/>
          <w:sz w:val="18"/>
          <w:szCs w:val="18"/>
          <w:color w:val="auto"/>
        </w:rPr>
        <w:t>Any shareholder or other interested party may communicate with the Board or any Trustee by sending the communication to the Trust’s corporate offices at 1626 East Jefferson Street, Rockville, MD 20852 in care of the Trust’s Secretary. All communications should identify the party to whom it is being sent, and any communication which indicates it is for the Board of Trustees or fails to identify a particular Trustee will be deemed to be a communication intended for the Trust’s Non-Executive Chairman of the Board. The Trust’s Secretary will promptly forward to the appropriate Trustee all communications she receives for the Board or any individual Trustee which relate to the Trust’s business, operations, financial condition, management, employees or similar matters. The Trust’s Secretary will not forward to any Trustee any advertising, solicitation or similar materials.</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CERTAIN RELATIONSHIPS AND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Review and Approval of Related Party Transactions</w:t>
      </w:r>
    </w:p>
    <w:p>
      <w:pPr>
        <w:spacing w:after="0" w:line="207" w:lineRule="exact"/>
        <w:rPr>
          <w:sz w:val="20"/>
          <w:szCs w:val="20"/>
          <w:color w:val="auto"/>
        </w:rPr>
      </w:pPr>
    </w:p>
    <w:p>
      <w:pPr>
        <w:jc w:val="both"/>
        <w:ind w:left="200"/>
        <w:spacing w:after="0" w:line="238" w:lineRule="auto"/>
        <w:rPr>
          <w:sz w:val="20"/>
          <w:szCs w:val="20"/>
          <w:color w:val="auto"/>
        </w:rPr>
      </w:pPr>
      <w:r>
        <w:rPr>
          <w:rFonts w:ascii="Arial" w:cs="Arial" w:eastAsia="Arial" w:hAnsi="Arial"/>
          <w:sz w:val="18"/>
          <w:szCs w:val="18"/>
          <w:color w:val="auto"/>
        </w:rPr>
        <w:t>Our Code of Business Conduct requires that our Trustees and all of our employees deal with the Trust on an arms-length basis in any related party transaction. All transactions between us and any of our Trustees, our named executive officers or other vice presidents, or entity in which any of them has an ownership interest must be approved in advance by the Audit Committee. Audit Committee approval is not required for us to enter into a lease with an entity in which any of our Trustees is a director, employee or owner so long as the lease is entered into in the ordinary course of business and is negotiated at arms-length and on market terms.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Related Party Transactions</w:t>
      </w:r>
    </w:p>
    <w:p>
      <w:pPr>
        <w:spacing w:after="0" w:line="193" w:lineRule="exact"/>
        <w:rPr>
          <w:sz w:val="20"/>
          <w:szCs w:val="20"/>
          <w:color w:val="auto"/>
        </w:rPr>
      </w:pPr>
    </w:p>
    <w:p>
      <w:pPr>
        <w:jc w:val="both"/>
        <w:ind w:left="200"/>
        <w:spacing w:after="0" w:line="236" w:lineRule="auto"/>
        <w:rPr>
          <w:sz w:val="20"/>
          <w:szCs w:val="20"/>
          <w:color w:val="auto"/>
        </w:rPr>
      </w:pPr>
      <w:r>
        <w:rPr>
          <w:rFonts w:ascii="Arial" w:cs="Arial" w:eastAsia="Arial" w:hAnsi="Arial"/>
          <w:sz w:val="18"/>
          <w:szCs w:val="18"/>
          <w:color w:val="auto"/>
        </w:rPr>
        <w:t>Mr. Thompson, one of our Trustees, serves as the President and Chairman of the Board of Directors of Thompson Hospitality Corporation (“THC”). THC leases from us two restaurant locations. Those leases were negotiated at arms’ length, reflecting market conditions at the time they were negotiated, and are scheduled to expire on June 30, 2020 and December 31, 2027. In addition, in 2018 THC acquired an ownership interest in two additional restaurant tenants. Both of these restaurant leases were negotiated at arms’ length prior to their acquisition by THC and are scheduled to expire on November 30, 2020 and October 31, 2027, subject to a tenant extension option. In the aggregate, we received approximately $1.1 million in rent and other related charges in 2018, anticipate receiving approximately $1.5 million in rent and other charges in each of 2019 and 2020 and then less than $1.0 million annually in rent and other charges through the remaining terms of these leases.</w:t>
      </w:r>
    </w:p>
    <w:p>
      <w:pPr>
        <w:spacing w:after="0" w:line="208" w:lineRule="exact"/>
        <w:rPr>
          <w:sz w:val="20"/>
          <w:szCs w:val="20"/>
          <w:color w:val="auto"/>
        </w:rPr>
      </w:pPr>
    </w:p>
    <w:p>
      <w:pPr>
        <w:jc w:val="both"/>
        <w:ind w:left="200"/>
        <w:spacing w:after="0" w:line="246" w:lineRule="auto"/>
        <w:rPr>
          <w:sz w:val="20"/>
          <w:szCs w:val="20"/>
          <w:color w:val="auto"/>
        </w:rPr>
      </w:pPr>
      <w:r>
        <w:rPr>
          <w:rFonts w:ascii="Arial" w:cs="Arial" w:eastAsia="Arial" w:hAnsi="Arial"/>
          <w:sz w:val="18"/>
          <w:szCs w:val="18"/>
          <w:color w:val="auto"/>
        </w:rPr>
        <w:t>The Board reviewed these relationships with Mr. Thompson and determined that Mr. Thompson met in 2018 and currently meets all independence requirements for his service as a Trustee as described in the “Independence of Trustees” section above.</w:t>
      </w:r>
    </w:p>
    <w:p>
      <w:pPr>
        <w:spacing w:after="0" w:line="156"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None of our named executive officers had or has any indebtedness to the Trust or any relationship with the Trust other than as an employee and shareholder. Employment and change-in-control arrangements between the Trust and the named executive officers are described in the “Potential Payments on Termination of Employment and Change-in-Control” section below.</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3771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7700" cy="377190"/>
                    </a:xfrm>
                    <a:prstGeom prst="rect">
                      <a:avLst/>
                    </a:prstGeom>
                    <a:noFill/>
                  </pic:spPr>
                </pic:pic>
              </a:graphicData>
            </a:graphic>
          </wp:anchor>
        </w:drawing>
      </w:r>
    </w:p>
    <w:p>
      <w:pPr>
        <w:spacing w:after="0" w:line="385" w:lineRule="exact"/>
        <w:rPr>
          <w:sz w:val="20"/>
          <w:szCs w:val="20"/>
          <w:color w:val="auto"/>
        </w:rPr>
      </w:pPr>
    </w:p>
    <w:p>
      <w:pPr>
        <w:ind w:left="280"/>
        <w:spacing w:after="0"/>
        <w:rPr>
          <w:sz w:val="20"/>
          <w:szCs w:val="20"/>
          <w:color w:val="auto"/>
        </w:rPr>
      </w:pPr>
      <w:r>
        <w:rPr>
          <w:rFonts w:ascii="Arial" w:cs="Arial" w:eastAsia="Arial" w:hAnsi="Arial"/>
          <w:sz w:val="29"/>
          <w:szCs w:val="29"/>
          <w:b w:val="1"/>
          <w:bCs w:val="1"/>
          <w:color w:val="FFFFFF"/>
        </w:rPr>
        <w:t>TRUSTEE INFORMATION</w:t>
      </w:r>
    </w:p>
    <w:p>
      <w:pPr>
        <w:spacing w:after="0" w:line="36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PROPOSAL 1 – ELECTION OF TRUSTEES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8" w:lineRule="exact"/>
        <w:rPr>
          <w:sz w:val="20"/>
          <w:szCs w:val="20"/>
          <w:color w:val="auto"/>
        </w:rPr>
      </w:pPr>
    </w:p>
    <w:p>
      <w:pPr>
        <w:jc w:val="both"/>
        <w:ind w:left="200"/>
        <w:spacing w:after="0" w:line="238" w:lineRule="auto"/>
        <w:rPr>
          <w:sz w:val="20"/>
          <w:szCs w:val="20"/>
          <w:color w:val="auto"/>
        </w:rPr>
      </w:pPr>
      <w:r>
        <w:rPr>
          <w:rFonts w:ascii="Arial" w:cs="Arial" w:eastAsia="Arial" w:hAnsi="Arial"/>
          <w:sz w:val="18"/>
          <w:szCs w:val="18"/>
          <w:color w:val="auto"/>
        </w:rPr>
        <w:t>Our Board of Trustees currently has eight Trustees, all of whom have been nominated to stand for election at the 2019 Annual Meeting. All trustees elected at the meeting will hold office until the 2020 Annual Meeting of Shareholders and until their successors have been duly elected and qualified. You are entitled to cast one vote per Share for each of the eight named individuals. Proxies may not be voted for more than eight individuals. Our Bylaws provide that in uncontested elections such as this one, a nominee must receive a majority of votes cast in order to be elected. An “abstention” or “broker non-vote” will have no effect on the outcome of the vote for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146685</wp:posOffset>
            </wp:positionV>
            <wp:extent cx="6997700" cy="4546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7700" cy="45466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The Board recommends that you vote “FOR” each of the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174625</wp:posOffset>
            </wp:positionV>
            <wp:extent cx="6997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45"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The Nominating and Corporate Governance Committee is responsible for identifying individuals who are qualified candidates to serve on our Board. The committee has identified the following eight individuals to stand for election at our 2019 Annual Meeting of Shareholders. Each of these nominees is currently a member of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146685</wp:posOffset>
            </wp:positionV>
            <wp:extent cx="7006590" cy="26416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06590" cy="2641600"/>
                    </a:xfrm>
                    <a:prstGeom prst="rect">
                      <a:avLst/>
                    </a:prstGeom>
                    <a:noFill/>
                  </pic:spPr>
                </pic:pic>
              </a:graphicData>
            </a:graphic>
          </wp:anchor>
        </w:drawing>
      </w:r>
    </w:p>
    <w:p>
      <w:pPr>
        <w:spacing w:after="0" w:line="288" w:lineRule="exact"/>
        <w:rPr>
          <w:sz w:val="20"/>
          <w:szCs w:val="20"/>
          <w:color w:val="auto"/>
        </w:rPr>
      </w:pPr>
    </w:p>
    <w:p>
      <w:pPr>
        <w:ind w:left="360"/>
        <w:spacing w:after="0"/>
        <w:rPr>
          <w:sz w:val="20"/>
          <w:szCs w:val="20"/>
          <w:color w:val="auto"/>
        </w:rPr>
      </w:pPr>
      <w:r>
        <w:rPr>
          <w:rFonts w:ascii="Arial" w:cs="Arial" w:eastAsia="Arial" w:hAnsi="Arial"/>
          <w:sz w:val="25"/>
          <w:szCs w:val="25"/>
          <w:b w:val="1"/>
          <w:bCs w:val="1"/>
          <w:color w:val="FFFFFF"/>
        </w:rPr>
        <w:t>Jon E. Bortz</w:t>
      </w:r>
    </w:p>
    <w:p>
      <w:pPr>
        <w:spacing w:after="0" w:line="139" w:lineRule="exact"/>
        <w:rPr>
          <w:sz w:val="20"/>
          <w:szCs w:val="20"/>
          <w:color w:val="auto"/>
        </w:rPr>
      </w:pPr>
    </w:p>
    <w:tbl>
      <w:tblPr>
        <w:tblLayout w:type="fixed"/>
        <w:tblInd w:w="2440" w:type="dxa"/>
        <w:tblCellMar>
          <w:top w:w="0" w:type="dxa"/>
          <w:left w:w="0" w:type="dxa"/>
          <w:bottom w:w="0" w:type="dxa"/>
          <w:right w:w="0" w:type="dxa"/>
        </w:tblCellMar>
      </w:tblPr>
      <w:tr>
        <w:trPr>
          <w:trHeight w:val="225"/>
        </w:trPr>
        <w:tc>
          <w:tcPr>
            <w:tcW w:w="2260" w:type="dxa"/>
            <w:vAlign w:val="bottom"/>
            <w:vMerge w:val="restart"/>
          </w:tcPr>
          <w:p>
            <w:pPr>
              <w:spacing w:after="0"/>
              <w:rPr>
                <w:sz w:val="20"/>
                <w:szCs w:val="20"/>
                <w:color w:val="auto"/>
              </w:rPr>
            </w:pPr>
            <w:r>
              <w:rPr>
                <w:rFonts w:ascii="Arial" w:cs="Arial" w:eastAsia="Arial" w:hAnsi="Arial"/>
                <w:sz w:val="18"/>
                <w:szCs w:val="18"/>
                <w:color w:val="auto"/>
              </w:rPr>
              <w:t>Age: 62</w:t>
            </w:r>
          </w:p>
        </w:tc>
        <w:tc>
          <w:tcPr>
            <w:tcW w:w="6480" w:type="dxa"/>
            <w:vAlign w:val="bottom"/>
          </w:tcPr>
          <w:p>
            <w:pPr>
              <w:jc w:val="right"/>
              <w:ind w:right="3850"/>
              <w:spacing w:after="0"/>
              <w:rPr>
                <w:sz w:val="20"/>
                <w:szCs w:val="20"/>
                <w:color w:val="auto"/>
              </w:rPr>
            </w:pPr>
            <w:r>
              <w:rPr>
                <w:rFonts w:ascii="Arial" w:cs="Arial" w:eastAsia="Arial" w:hAnsi="Arial"/>
                <w:sz w:val="18"/>
                <w:szCs w:val="18"/>
                <w:b w:val="1"/>
                <w:bCs w:val="1"/>
                <w:color w:val="auto"/>
              </w:rPr>
              <w:t>Business Experience:</w:t>
            </w:r>
          </w:p>
        </w:tc>
        <w:tc>
          <w:tcPr>
            <w:tcW w:w="0" w:type="dxa"/>
            <w:vAlign w:val="bottom"/>
          </w:tcPr>
          <w:p>
            <w:pPr>
              <w:spacing w:after="0"/>
              <w:rPr>
                <w:sz w:val="1"/>
                <w:szCs w:val="1"/>
                <w:color w:val="auto"/>
              </w:rPr>
            </w:pPr>
          </w:p>
        </w:tc>
      </w:tr>
      <w:tr>
        <w:trPr>
          <w:trHeight w:val="176"/>
        </w:trPr>
        <w:tc>
          <w:tcPr>
            <w:tcW w:w="2260" w:type="dxa"/>
            <w:vAlign w:val="bottom"/>
            <w:vMerge w:val="continue"/>
          </w:tcPr>
          <w:p>
            <w:pPr>
              <w:spacing w:after="0"/>
              <w:rPr>
                <w:sz w:val="15"/>
                <w:szCs w:val="15"/>
                <w:color w:val="auto"/>
              </w:rPr>
            </w:pPr>
          </w:p>
        </w:tc>
        <w:tc>
          <w:tcPr>
            <w:tcW w:w="6480" w:type="dxa"/>
            <w:vAlign w:val="bottom"/>
          </w:tcPr>
          <w:p>
            <w:pPr>
              <w:jc w:val="right"/>
              <w:spacing w:after="0" w:line="176" w:lineRule="exact"/>
              <w:rPr>
                <w:sz w:val="20"/>
                <w:szCs w:val="20"/>
                <w:color w:val="auto"/>
              </w:rPr>
            </w:pPr>
            <w:r>
              <w:rPr>
                <w:rFonts w:ascii="Arial" w:cs="Arial" w:eastAsia="Arial" w:hAnsi="Arial"/>
                <w:sz w:val="18"/>
                <w:szCs w:val="18"/>
                <w:color w:val="auto"/>
              </w:rPr>
              <w:t>•   President, Chief Executive Officer and Chairman of the Board of</w:t>
            </w:r>
          </w:p>
        </w:tc>
        <w:tc>
          <w:tcPr>
            <w:tcW w:w="0" w:type="dxa"/>
            <w:vAlign w:val="bottom"/>
          </w:tcPr>
          <w:p>
            <w:pPr>
              <w:spacing w:after="0"/>
              <w:rPr>
                <w:sz w:val="1"/>
                <w:szCs w:val="1"/>
                <w:color w:val="auto"/>
              </w:rPr>
            </w:pPr>
          </w:p>
        </w:tc>
      </w:tr>
      <w:tr>
        <w:trPr>
          <w:trHeight w:val="203"/>
        </w:trPr>
        <w:tc>
          <w:tcPr>
            <w:tcW w:w="2260" w:type="dxa"/>
            <w:vAlign w:val="bottom"/>
          </w:tcPr>
          <w:p>
            <w:pPr>
              <w:spacing w:after="0" w:line="202" w:lineRule="exact"/>
              <w:rPr>
                <w:sz w:val="20"/>
                <w:szCs w:val="20"/>
                <w:color w:val="auto"/>
              </w:rPr>
            </w:pPr>
            <w:r>
              <w:rPr>
                <w:rFonts w:ascii="Arial" w:cs="Arial" w:eastAsia="Arial" w:hAnsi="Arial"/>
                <w:sz w:val="18"/>
                <w:szCs w:val="18"/>
                <w:color w:val="auto"/>
              </w:rPr>
              <w:t>Trustee since: 2005</w:t>
            </w:r>
          </w:p>
        </w:tc>
        <w:tc>
          <w:tcPr>
            <w:tcW w:w="6480" w:type="dxa"/>
            <w:vAlign w:val="bottom"/>
          </w:tcPr>
          <w:p>
            <w:pPr>
              <w:ind w:left="960"/>
              <w:spacing w:after="0" w:line="202" w:lineRule="exact"/>
              <w:rPr>
                <w:sz w:val="20"/>
                <w:szCs w:val="20"/>
                <w:color w:val="auto"/>
              </w:rPr>
            </w:pPr>
            <w:r>
              <w:rPr>
                <w:rFonts w:ascii="Arial" w:cs="Arial" w:eastAsia="Arial" w:hAnsi="Arial"/>
                <w:sz w:val="18"/>
                <w:szCs w:val="18"/>
                <w:color w:val="auto"/>
              </w:rPr>
              <w:t>Pebblebrook Hotel Trust (2009 – present)</w:t>
            </w:r>
          </w:p>
        </w:tc>
        <w:tc>
          <w:tcPr>
            <w:tcW w:w="0" w:type="dxa"/>
            <w:vAlign w:val="bottom"/>
          </w:tcPr>
          <w:p>
            <w:pPr>
              <w:spacing w:after="0"/>
              <w:rPr>
                <w:sz w:val="1"/>
                <w:szCs w:val="1"/>
                <w:color w:val="auto"/>
              </w:rPr>
            </w:pPr>
          </w:p>
        </w:tc>
      </w:tr>
      <w:tr>
        <w:trPr>
          <w:trHeight w:val="230"/>
        </w:trPr>
        <w:tc>
          <w:tcPr>
            <w:tcW w:w="2260" w:type="dxa"/>
            <w:vAlign w:val="bottom"/>
          </w:tcPr>
          <w:p>
            <w:pPr>
              <w:spacing w:after="0"/>
              <w:rPr>
                <w:sz w:val="20"/>
                <w:szCs w:val="20"/>
                <w:color w:val="auto"/>
              </w:rPr>
            </w:pPr>
            <w:r>
              <w:rPr>
                <w:rFonts w:ascii="Arial" w:cs="Arial" w:eastAsia="Arial" w:hAnsi="Arial"/>
                <w:sz w:val="18"/>
                <w:szCs w:val="18"/>
                <w:color w:val="auto"/>
              </w:rPr>
              <w:t>Independent</w:t>
            </w:r>
          </w:p>
        </w:tc>
        <w:tc>
          <w:tcPr>
            <w:tcW w:w="6480" w:type="dxa"/>
            <w:vAlign w:val="bottom"/>
          </w:tcPr>
          <w:p>
            <w:pPr>
              <w:jc w:val="right"/>
              <w:spacing w:after="0"/>
              <w:rPr>
                <w:sz w:val="20"/>
                <w:szCs w:val="20"/>
                <w:color w:val="auto"/>
              </w:rPr>
            </w:pPr>
            <w:r>
              <w:rPr>
                <w:rFonts w:ascii="Arial" w:cs="Arial" w:eastAsia="Arial" w:hAnsi="Arial"/>
                <w:sz w:val="18"/>
                <w:szCs w:val="18"/>
                <w:color w:val="auto"/>
              </w:rPr>
              <w:t>•   Various positions with LaSalle Hotel Properties including President,</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6480" w:type="dxa"/>
            <w:vAlign w:val="bottom"/>
          </w:tcPr>
          <w:p>
            <w:pPr>
              <w:jc w:val="right"/>
              <w:spacing w:after="0" w:line="202" w:lineRule="exact"/>
              <w:rPr>
                <w:sz w:val="20"/>
                <w:szCs w:val="20"/>
                <w:color w:val="auto"/>
              </w:rPr>
            </w:pPr>
            <w:r>
              <w:rPr>
                <w:rFonts w:ascii="Arial" w:cs="Arial" w:eastAsia="Arial" w:hAnsi="Arial"/>
                <w:sz w:val="18"/>
                <w:szCs w:val="18"/>
                <w:color w:val="auto"/>
              </w:rPr>
              <w:t>Chief Executive Officer, Trustee and Chairman of the Board (1998 –</w:t>
            </w:r>
          </w:p>
        </w:tc>
        <w:tc>
          <w:tcPr>
            <w:tcW w:w="0" w:type="dxa"/>
            <w:vAlign w:val="bottom"/>
          </w:tcPr>
          <w:p>
            <w:pPr>
              <w:spacing w:after="0"/>
              <w:rPr>
                <w:sz w:val="1"/>
                <w:szCs w:val="1"/>
                <w:color w:val="auto"/>
              </w:rPr>
            </w:pPr>
          </w:p>
        </w:tc>
      </w:tr>
      <w:tr>
        <w:trPr>
          <w:trHeight w:val="217"/>
        </w:trPr>
        <w:tc>
          <w:tcPr>
            <w:tcW w:w="2260" w:type="dxa"/>
            <w:vAlign w:val="bottom"/>
          </w:tcPr>
          <w:p>
            <w:pPr>
              <w:spacing w:after="0"/>
              <w:rPr>
                <w:sz w:val="18"/>
                <w:szCs w:val="18"/>
                <w:color w:val="auto"/>
              </w:rPr>
            </w:pPr>
          </w:p>
        </w:tc>
        <w:tc>
          <w:tcPr>
            <w:tcW w:w="6480" w:type="dxa"/>
            <w:vAlign w:val="bottom"/>
          </w:tcPr>
          <w:p>
            <w:pPr>
              <w:ind w:left="960"/>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360" w:type="dxa"/>
        <w:tblCellMar>
          <w:top w:w="0" w:type="dxa"/>
          <w:left w:w="0" w:type="dxa"/>
          <w:bottom w:w="0" w:type="dxa"/>
          <w:right w:w="0" w:type="dxa"/>
        </w:tblCellMar>
      </w:tblPr>
      <w:tr>
        <w:trPr>
          <w:trHeight w:val="238"/>
        </w:trPr>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Committees:</w:t>
            </w:r>
          </w:p>
        </w:tc>
        <w:tc>
          <w:tcPr>
            <w:tcW w:w="4380" w:type="dxa"/>
            <w:vAlign w:val="bottom"/>
          </w:tcPr>
          <w:p>
            <w:pPr>
              <w:ind w:left="800"/>
              <w:spacing w:after="0"/>
              <w:rPr>
                <w:sz w:val="20"/>
                <w:szCs w:val="20"/>
                <w:color w:val="auto"/>
              </w:rPr>
            </w:pPr>
            <w:r>
              <w:rPr>
                <w:rFonts w:ascii="Arial" w:cs="Arial" w:eastAsia="Arial" w:hAnsi="Arial"/>
                <w:sz w:val="18"/>
                <w:szCs w:val="18"/>
                <w:b w:val="1"/>
                <w:bCs w:val="1"/>
                <w:color w:val="auto"/>
              </w:rPr>
              <w:t>Public Company Boards</w:t>
            </w:r>
          </w:p>
        </w:tc>
      </w:tr>
      <w:tr>
        <w:trPr>
          <w:trHeight w:val="203"/>
        </w:trPr>
        <w:tc>
          <w:tcPr>
            <w:tcW w:w="1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4040" w:type="dxa"/>
            <w:vAlign w:val="bottom"/>
          </w:tcPr>
          <w:p>
            <w:pPr>
              <w:ind w:left="100"/>
              <w:spacing w:after="0" w:line="202" w:lineRule="exact"/>
              <w:rPr>
                <w:sz w:val="20"/>
                <w:szCs w:val="20"/>
                <w:color w:val="auto"/>
              </w:rPr>
            </w:pPr>
            <w:r>
              <w:rPr>
                <w:rFonts w:ascii="Arial" w:cs="Arial" w:eastAsia="Arial" w:hAnsi="Arial"/>
                <w:sz w:val="18"/>
                <w:szCs w:val="18"/>
                <w:color w:val="auto"/>
              </w:rPr>
              <w:t>Audit</w:t>
            </w:r>
          </w:p>
        </w:tc>
        <w:tc>
          <w:tcPr>
            <w:tcW w:w="4380" w:type="dxa"/>
            <w:vAlign w:val="bottom"/>
          </w:tcPr>
          <w:p>
            <w:pPr>
              <w:ind w:left="800"/>
              <w:spacing w:after="0" w:line="202" w:lineRule="exact"/>
              <w:rPr>
                <w:sz w:val="20"/>
                <w:szCs w:val="20"/>
                <w:color w:val="auto"/>
              </w:rPr>
            </w:pPr>
            <w:r>
              <w:rPr>
                <w:rFonts w:ascii="Arial" w:cs="Arial" w:eastAsia="Arial" w:hAnsi="Arial"/>
                <w:sz w:val="18"/>
                <w:szCs w:val="18"/>
                <w:color w:val="auto"/>
              </w:rPr>
              <w:t>•  Pebblebrook Hotel Trust (2009 – present)</w:t>
            </w:r>
          </w:p>
        </w:tc>
      </w:tr>
      <w:tr>
        <w:trPr>
          <w:trHeight w:val="217"/>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4040" w:type="dxa"/>
            <w:vAlign w:val="bottom"/>
          </w:tcPr>
          <w:p>
            <w:pPr>
              <w:ind w:left="100"/>
              <w:spacing w:after="0"/>
              <w:rPr>
                <w:sz w:val="20"/>
                <w:szCs w:val="20"/>
                <w:color w:val="auto"/>
              </w:rPr>
            </w:pPr>
            <w:r>
              <w:rPr>
                <w:rFonts w:ascii="Arial" w:cs="Arial" w:eastAsia="Arial" w:hAnsi="Arial"/>
                <w:sz w:val="18"/>
                <w:szCs w:val="18"/>
                <w:color w:val="auto"/>
              </w:rPr>
              <w:t>Nominating and Corporate Governance</w:t>
            </w:r>
          </w:p>
        </w:tc>
        <w:tc>
          <w:tcPr>
            <w:tcW w:w="4380" w:type="dxa"/>
            <w:vAlign w:val="bottom"/>
          </w:tcPr>
          <w:p>
            <w:pPr>
              <w:spacing w:after="0"/>
              <w:rPr>
                <w:sz w:val="18"/>
                <w:szCs w:val="18"/>
                <w:color w:val="auto"/>
              </w:rPr>
            </w:pPr>
          </w:p>
        </w:tc>
      </w:tr>
    </w:tbl>
    <w:p>
      <w:pPr>
        <w:spacing w:after="0" w:line="1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Specific Qualifications and Skills:</w:t>
      </w:r>
    </w:p>
    <w:p>
      <w:pPr>
        <w:spacing w:after="0" w:line="18" w:lineRule="exact"/>
        <w:rPr>
          <w:sz w:val="20"/>
          <w:szCs w:val="20"/>
          <w:color w:val="auto"/>
        </w:rPr>
      </w:pPr>
    </w:p>
    <w:p>
      <w:pPr>
        <w:jc w:val="both"/>
        <w:ind w:left="360" w:right="40"/>
        <w:spacing w:after="0"/>
        <w:rPr>
          <w:sz w:val="20"/>
          <w:szCs w:val="20"/>
          <w:color w:val="auto"/>
        </w:rPr>
      </w:pPr>
      <w:r>
        <w:rPr>
          <w:rFonts w:ascii="Arial" w:cs="Arial" w:eastAsia="Arial" w:hAnsi="Arial"/>
          <w:sz w:val="18"/>
          <w:szCs w:val="18"/>
          <w:color w:val="auto"/>
        </w:rPr>
        <w:t>Mr. Bortz brings to the Board public company, REIT and real estate experience. His experience as chief executive officer of LaSalle Hotel Properties and Pebblebrook Hotel Trust provide a valuable perspective for running a public real estate company while his real estate experience at Jones Lang LaSalle provides fundamental real estate experience critical to our core business.</w:t>
      </w:r>
    </w:p>
    <w:p>
      <w:pPr>
        <w:spacing w:after="0" w:line="16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24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7006590" cy="24955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06590" cy="2495550"/>
                    </a:xfrm>
                    <a:prstGeom prst="rect">
                      <a:avLst/>
                    </a:prstGeom>
                    <a:noFill/>
                  </pic:spPr>
                </pic:pic>
              </a:graphicData>
            </a:graphic>
          </wp:anchor>
        </w:drawing>
      </w:r>
    </w:p>
    <w:p>
      <w:pPr>
        <w:spacing w:after="0" w:line="382" w:lineRule="exact"/>
        <w:rPr>
          <w:sz w:val="20"/>
          <w:szCs w:val="20"/>
          <w:color w:val="auto"/>
        </w:rPr>
      </w:pPr>
    </w:p>
    <w:p>
      <w:pPr>
        <w:ind w:left="360"/>
        <w:spacing w:after="0"/>
        <w:rPr>
          <w:sz w:val="20"/>
          <w:szCs w:val="20"/>
          <w:color w:val="auto"/>
        </w:rPr>
      </w:pPr>
      <w:r>
        <w:rPr>
          <w:rFonts w:ascii="Arial" w:cs="Arial" w:eastAsia="Arial" w:hAnsi="Arial"/>
          <w:sz w:val="25"/>
          <w:szCs w:val="25"/>
          <w:b w:val="1"/>
          <w:bCs w:val="1"/>
          <w:color w:val="FFFFFF"/>
        </w:rPr>
        <w:t>David W. Faeder</w:t>
      </w:r>
    </w:p>
    <w:p>
      <w:pPr>
        <w:spacing w:after="0" w:line="112" w:lineRule="exact"/>
        <w:rPr>
          <w:sz w:val="20"/>
          <w:szCs w:val="20"/>
          <w:color w:val="auto"/>
        </w:rPr>
      </w:pPr>
    </w:p>
    <w:tbl>
      <w:tblPr>
        <w:tblLayout w:type="fixed"/>
        <w:tblInd w:w="2440" w:type="dxa"/>
        <w:tblCellMar>
          <w:top w:w="0" w:type="dxa"/>
          <w:left w:w="0" w:type="dxa"/>
          <w:bottom w:w="0" w:type="dxa"/>
          <w:right w:w="0" w:type="dxa"/>
        </w:tblCellMar>
      </w:tblPr>
      <w:tr>
        <w:trPr>
          <w:trHeight w:val="225"/>
        </w:trPr>
        <w:tc>
          <w:tcPr>
            <w:tcW w:w="2260" w:type="dxa"/>
            <w:vAlign w:val="bottom"/>
          </w:tcPr>
          <w:p>
            <w:pPr>
              <w:spacing w:after="0"/>
              <w:rPr>
                <w:sz w:val="19"/>
                <w:szCs w:val="19"/>
                <w:color w:val="auto"/>
              </w:rPr>
            </w:pPr>
          </w:p>
        </w:tc>
        <w:tc>
          <w:tcPr>
            <w:tcW w:w="6480" w:type="dxa"/>
            <w:vAlign w:val="bottom"/>
            <w:gridSpan w:val="2"/>
          </w:tcPr>
          <w:p>
            <w:pPr>
              <w:ind w:left="660"/>
              <w:spacing w:after="0"/>
              <w:rPr>
                <w:sz w:val="20"/>
                <w:szCs w:val="20"/>
                <w:color w:val="auto"/>
              </w:rPr>
            </w:pPr>
            <w:r>
              <w:rPr>
                <w:rFonts w:ascii="Arial" w:cs="Arial" w:eastAsia="Arial" w:hAnsi="Arial"/>
                <w:sz w:val="18"/>
                <w:szCs w:val="18"/>
                <w:b w:val="1"/>
                <w:bCs w:val="1"/>
                <w:color w:val="auto"/>
              </w:rPr>
              <w:t>Business Experience:</w:t>
            </w:r>
          </w:p>
        </w:tc>
      </w:tr>
      <w:tr>
        <w:trPr>
          <w:trHeight w:val="203"/>
        </w:trPr>
        <w:tc>
          <w:tcPr>
            <w:tcW w:w="2260" w:type="dxa"/>
            <w:vAlign w:val="bottom"/>
          </w:tcPr>
          <w:p>
            <w:pPr>
              <w:spacing w:after="0" w:line="202" w:lineRule="exact"/>
              <w:rPr>
                <w:sz w:val="20"/>
                <w:szCs w:val="20"/>
                <w:color w:val="auto"/>
              </w:rPr>
            </w:pPr>
            <w:r>
              <w:rPr>
                <w:rFonts w:ascii="Arial" w:cs="Arial" w:eastAsia="Arial" w:hAnsi="Arial"/>
                <w:sz w:val="18"/>
                <w:szCs w:val="18"/>
                <w:color w:val="auto"/>
              </w:rPr>
              <w:t>Age: 62</w:t>
            </w:r>
          </w:p>
        </w:tc>
        <w:tc>
          <w:tcPr>
            <w:tcW w:w="840" w:type="dxa"/>
            <w:vAlign w:val="bottom"/>
          </w:tcPr>
          <w:p>
            <w:pPr>
              <w:ind w:left="660"/>
              <w:spacing w:after="0" w:line="202" w:lineRule="exact"/>
              <w:rPr>
                <w:sz w:val="20"/>
                <w:szCs w:val="20"/>
                <w:color w:val="auto"/>
              </w:rPr>
            </w:pPr>
            <w:r>
              <w:rPr>
                <w:rFonts w:ascii="Arial" w:cs="Arial" w:eastAsia="Arial" w:hAnsi="Arial"/>
                <w:sz w:val="18"/>
                <w:szCs w:val="18"/>
                <w:color w:val="auto"/>
              </w:rPr>
              <w:t>•</w:t>
            </w:r>
          </w:p>
        </w:tc>
        <w:tc>
          <w:tcPr>
            <w:tcW w:w="5640" w:type="dxa"/>
            <w:vAlign w:val="bottom"/>
          </w:tcPr>
          <w:p>
            <w:pPr>
              <w:ind w:left="140"/>
              <w:spacing w:after="0" w:line="202" w:lineRule="exact"/>
              <w:rPr>
                <w:sz w:val="20"/>
                <w:szCs w:val="20"/>
                <w:color w:val="auto"/>
              </w:rPr>
            </w:pPr>
            <w:r>
              <w:rPr>
                <w:rFonts w:ascii="Arial" w:cs="Arial" w:eastAsia="Arial" w:hAnsi="Arial"/>
                <w:sz w:val="18"/>
                <w:szCs w:val="18"/>
                <w:color w:val="auto"/>
              </w:rPr>
              <w:t>Managing Partner of Fountain Square Properties (2003 – present)</w:t>
            </w:r>
          </w:p>
        </w:tc>
      </w:tr>
      <w:tr>
        <w:trPr>
          <w:trHeight w:val="203"/>
        </w:trPr>
        <w:tc>
          <w:tcPr>
            <w:tcW w:w="2260" w:type="dxa"/>
            <w:vAlign w:val="bottom"/>
          </w:tcPr>
          <w:p>
            <w:pPr>
              <w:spacing w:after="0" w:line="202" w:lineRule="exact"/>
              <w:rPr>
                <w:sz w:val="20"/>
                <w:szCs w:val="20"/>
                <w:color w:val="auto"/>
              </w:rPr>
            </w:pPr>
            <w:r>
              <w:rPr>
                <w:rFonts w:ascii="Arial" w:cs="Arial" w:eastAsia="Arial" w:hAnsi="Arial"/>
                <w:sz w:val="18"/>
                <w:szCs w:val="18"/>
                <w:color w:val="auto"/>
              </w:rPr>
              <w:t>Trustee since: 2003</w:t>
            </w:r>
          </w:p>
        </w:tc>
        <w:tc>
          <w:tcPr>
            <w:tcW w:w="840" w:type="dxa"/>
            <w:vAlign w:val="bottom"/>
          </w:tcPr>
          <w:p>
            <w:pPr>
              <w:ind w:left="660"/>
              <w:spacing w:after="0" w:line="202" w:lineRule="exact"/>
              <w:rPr>
                <w:sz w:val="20"/>
                <w:szCs w:val="20"/>
                <w:color w:val="auto"/>
              </w:rPr>
            </w:pPr>
            <w:r>
              <w:rPr>
                <w:rFonts w:ascii="Arial" w:cs="Arial" w:eastAsia="Arial" w:hAnsi="Arial"/>
                <w:sz w:val="18"/>
                <w:szCs w:val="18"/>
                <w:color w:val="auto"/>
              </w:rPr>
              <w:t>•</w:t>
            </w:r>
          </w:p>
        </w:tc>
        <w:tc>
          <w:tcPr>
            <w:tcW w:w="5640" w:type="dxa"/>
            <w:vAlign w:val="bottom"/>
          </w:tcPr>
          <w:p>
            <w:pPr>
              <w:ind w:left="140"/>
              <w:spacing w:after="0" w:line="202" w:lineRule="exact"/>
              <w:rPr>
                <w:sz w:val="20"/>
                <w:szCs w:val="20"/>
                <w:color w:val="auto"/>
              </w:rPr>
            </w:pPr>
            <w:r>
              <w:rPr>
                <w:rFonts w:ascii="Arial" w:cs="Arial" w:eastAsia="Arial" w:hAnsi="Arial"/>
                <w:sz w:val="18"/>
                <w:szCs w:val="18"/>
                <w:color w:val="auto"/>
              </w:rPr>
              <w:t>Various positions with Sunrise Senior Living, Inc. including Vice</w:t>
            </w:r>
          </w:p>
        </w:tc>
      </w:tr>
      <w:tr>
        <w:trPr>
          <w:trHeight w:val="203"/>
        </w:trPr>
        <w:tc>
          <w:tcPr>
            <w:tcW w:w="2260" w:type="dxa"/>
            <w:vAlign w:val="bottom"/>
          </w:tcPr>
          <w:p>
            <w:pPr>
              <w:spacing w:after="0" w:line="202" w:lineRule="exact"/>
              <w:rPr>
                <w:sz w:val="20"/>
                <w:szCs w:val="20"/>
                <w:color w:val="auto"/>
              </w:rPr>
            </w:pPr>
            <w:r>
              <w:rPr>
                <w:rFonts w:ascii="Arial" w:cs="Arial" w:eastAsia="Arial" w:hAnsi="Arial"/>
                <w:sz w:val="18"/>
                <w:szCs w:val="18"/>
                <w:color w:val="auto"/>
              </w:rPr>
              <w:t>Independent</w:t>
            </w:r>
          </w:p>
        </w:tc>
        <w:tc>
          <w:tcPr>
            <w:tcW w:w="840" w:type="dxa"/>
            <w:vAlign w:val="bottom"/>
          </w:tcPr>
          <w:p>
            <w:pPr>
              <w:spacing w:after="0"/>
              <w:rPr>
                <w:sz w:val="17"/>
                <w:szCs w:val="17"/>
                <w:color w:val="auto"/>
              </w:rPr>
            </w:pPr>
          </w:p>
        </w:tc>
        <w:tc>
          <w:tcPr>
            <w:tcW w:w="5640" w:type="dxa"/>
            <w:vAlign w:val="bottom"/>
          </w:tcPr>
          <w:p>
            <w:pPr>
              <w:ind w:left="120"/>
              <w:spacing w:after="0" w:line="202" w:lineRule="exact"/>
              <w:rPr>
                <w:sz w:val="20"/>
                <w:szCs w:val="20"/>
                <w:color w:val="auto"/>
              </w:rPr>
            </w:pPr>
            <w:r>
              <w:rPr>
                <w:rFonts w:ascii="Arial" w:cs="Arial" w:eastAsia="Arial" w:hAnsi="Arial"/>
                <w:sz w:val="18"/>
                <w:szCs w:val="18"/>
                <w:color w:val="auto"/>
              </w:rPr>
              <w:t>Chairman-President and Executive Vice President-Chief Financial</w:t>
            </w:r>
          </w:p>
        </w:tc>
      </w:tr>
      <w:tr>
        <w:trPr>
          <w:trHeight w:val="217"/>
        </w:trPr>
        <w:tc>
          <w:tcPr>
            <w:tcW w:w="2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40" w:type="dxa"/>
            <w:vAlign w:val="bottom"/>
          </w:tcPr>
          <w:p>
            <w:pPr>
              <w:ind w:left="120"/>
              <w:spacing w:after="0"/>
              <w:rPr>
                <w:sz w:val="20"/>
                <w:szCs w:val="20"/>
                <w:color w:val="auto"/>
              </w:rPr>
            </w:pPr>
            <w:r>
              <w:rPr>
                <w:rFonts w:ascii="Arial" w:cs="Arial" w:eastAsia="Arial" w:hAnsi="Arial"/>
                <w:sz w:val="18"/>
                <w:szCs w:val="18"/>
                <w:color w:val="auto"/>
              </w:rPr>
              <w:t>Officer (1993 – 2003)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360" w:type="dxa"/>
        <w:tblCellMar>
          <w:top w:w="0" w:type="dxa"/>
          <w:left w:w="0" w:type="dxa"/>
          <w:bottom w:w="0" w:type="dxa"/>
          <w:right w:w="0" w:type="dxa"/>
        </w:tblCellMar>
      </w:tblPr>
      <w:tr>
        <w:trPr>
          <w:trHeight w:val="238"/>
        </w:trPr>
        <w:tc>
          <w:tcPr>
            <w:tcW w:w="3520" w:type="dxa"/>
            <w:vAlign w:val="bottom"/>
            <w:gridSpan w:val="2"/>
          </w:tcPr>
          <w:p>
            <w:pPr>
              <w:spacing w:after="0"/>
              <w:rPr>
                <w:sz w:val="20"/>
                <w:szCs w:val="20"/>
                <w:color w:val="auto"/>
              </w:rPr>
            </w:pPr>
            <w:r>
              <w:rPr>
                <w:rFonts w:ascii="Arial" w:cs="Arial" w:eastAsia="Arial" w:hAnsi="Arial"/>
                <w:sz w:val="18"/>
                <w:szCs w:val="18"/>
                <w:b w:val="1"/>
                <w:bCs w:val="1"/>
                <w:color w:val="auto"/>
              </w:rPr>
              <w:t>Board Committees:</w:t>
            </w:r>
          </w:p>
        </w:tc>
        <w:tc>
          <w:tcPr>
            <w:tcW w:w="5740" w:type="dxa"/>
            <w:vAlign w:val="bottom"/>
          </w:tcPr>
          <w:p>
            <w:pPr>
              <w:ind w:left="1480"/>
              <w:spacing w:after="0"/>
              <w:rPr>
                <w:sz w:val="20"/>
                <w:szCs w:val="20"/>
                <w:color w:val="auto"/>
              </w:rPr>
            </w:pPr>
            <w:r>
              <w:rPr>
                <w:rFonts w:ascii="Arial" w:cs="Arial" w:eastAsia="Arial" w:hAnsi="Arial"/>
                <w:sz w:val="18"/>
                <w:szCs w:val="18"/>
                <w:b w:val="1"/>
                <w:bCs w:val="1"/>
                <w:color w:val="auto"/>
              </w:rPr>
              <w:t>Public Company Boards:</w:t>
            </w:r>
          </w:p>
        </w:tc>
      </w:tr>
      <w:tr>
        <w:trPr>
          <w:trHeight w:val="203"/>
        </w:trPr>
        <w:tc>
          <w:tcPr>
            <w:tcW w:w="1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3360" w:type="dxa"/>
            <w:vAlign w:val="bottom"/>
          </w:tcPr>
          <w:p>
            <w:pPr>
              <w:ind w:left="100"/>
              <w:spacing w:after="0" w:line="202" w:lineRule="exact"/>
              <w:rPr>
                <w:sz w:val="20"/>
                <w:szCs w:val="20"/>
                <w:color w:val="auto"/>
              </w:rPr>
            </w:pPr>
            <w:r>
              <w:rPr>
                <w:rFonts w:ascii="Arial" w:cs="Arial" w:eastAsia="Arial" w:hAnsi="Arial"/>
                <w:sz w:val="18"/>
                <w:szCs w:val="18"/>
                <w:color w:val="auto"/>
              </w:rPr>
              <w:t>Audit</w:t>
            </w:r>
          </w:p>
        </w:tc>
        <w:tc>
          <w:tcPr>
            <w:tcW w:w="5740" w:type="dxa"/>
            <w:vAlign w:val="bottom"/>
          </w:tcPr>
          <w:p>
            <w:pPr>
              <w:ind w:left="1480"/>
              <w:spacing w:after="0" w:line="202" w:lineRule="exact"/>
              <w:rPr>
                <w:sz w:val="20"/>
                <w:szCs w:val="20"/>
                <w:color w:val="auto"/>
              </w:rPr>
            </w:pPr>
            <w:r>
              <w:rPr>
                <w:rFonts w:ascii="Arial" w:cs="Arial" w:eastAsia="Arial" w:hAnsi="Arial"/>
                <w:sz w:val="18"/>
                <w:szCs w:val="18"/>
                <w:color w:val="auto"/>
              </w:rPr>
              <w:t>•  Arlington Asset Investment Corp. (2013 – present)</w:t>
            </w:r>
          </w:p>
        </w:tc>
      </w:tr>
      <w:tr>
        <w:trPr>
          <w:trHeight w:val="217"/>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360" w:type="dxa"/>
            <w:vAlign w:val="bottom"/>
          </w:tcPr>
          <w:p>
            <w:pPr>
              <w:ind w:left="100"/>
              <w:spacing w:after="0"/>
              <w:rPr>
                <w:sz w:val="20"/>
                <w:szCs w:val="20"/>
                <w:color w:val="auto"/>
              </w:rPr>
            </w:pPr>
            <w:r>
              <w:rPr>
                <w:rFonts w:ascii="Arial" w:cs="Arial" w:eastAsia="Arial" w:hAnsi="Arial"/>
                <w:sz w:val="18"/>
                <w:szCs w:val="18"/>
                <w:color w:val="auto"/>
              </w:rPr>
              <w:t>Compensation (Chair)</w:t>
            </w:r>
          </w:p>
        </w:tc>
        <w:tc>
          <w:tcPr>
            <w:tcW w:w="5740" w:type="dxa"/>
            <w:vAlign w:val="bottom"/>
          </w:tcPr>
          <w:p>
            <w:pPr>
              <w:spacing w:after="0"/>
              <w:rPr>
                <w:sz w:val="18"/>
                <w:szCs w:val="18"/>
                <w:color w:val="auto"/>
              </w:rPr>
            </w:pPr>
          </w:p>
        </w:tc>
      </w:tr>
    </w:tbl>
    <w:p>
      <w:pPr>
        <w:spacing w:after="0" w:line="1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Specific Qualifications and Skills:</w:t>
      </w:r>
    </w:p>
    <w:p>
      <w:pPr>
        <w:spacing w:after="0" w:line="18" w:lineRule="exact"/>
        <w:rPr>
          <w:sz w:val="20"/>
          <w:szCs w:val="20"/>
          <w:color w:val="auto"/>
        </w:rPr>
      </w:pPr>
    </w:p>
    <w:p>
      <w:pPr>
        <w:jc w:val="both"/>
        <w:ind w:left="360" w:right="60"/>
        <w:spacing w:after="0" w:line="246" w:lineRule="auto"/>
        <w:rPr>
          <w:sz w:val="20"/>
          <w:szCs w:val="20"/>
          <w:color w:val="auto"/>
        </w:rPr>
      </w:pPr>
      <w:r>
        <w:rPr>
          <w:rFonts w:ascii="Arial" w:cs="Arial" w:eastAsia="Arial" w:hAnsi="Arial"/>
          <w:sz w:val="18"/>
          <w:szCs w:val="18"/>
          <w:color w:val="auto"/>
        </w:rPr>
        <w:t>Mr. Faeder provides public company experience, accounting experience and real estate investing acumen to the Board, having previously served as the president and chief financial officer of Sunrise Senior Living and as an active private real estate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160020</wp:posOffset>
            </wp:positionV>
            <wp:extent cx="7006590" cy="25298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06590" cy="2529840"/>
                    </a:xfrm>
                    <a:prstGeom prst="rect">
                      <a:avLst/>
                    </a:prstGeom>
                    <a:noFill/>
                  </pic:spPr>
                </pic:pic>
              </a:graphicData>
            </a:graphic>
          </wp:anchor>
        </w:drawing>
      </w:r>
    </w:p>
    <w:p>
      <w:pPr>
        <w:spacing w:after="0" w:line="232" w:lineRule="exact"/>
        <w:rPr>
          <w:sz w:val="20"/>
          <w:szCs w:val="20"/>
          <w:color w:val="auto"/>
        </w:rPr>
      </w:pPr>
    </w:p>
    <w:tbl>
      <w:tblPr>
        <w:tblLayout w:type="fixed"/>
        <w:tblInd w:w="220" w:type="dxa"/>
        <w:tblCellMar>
          <w:top w:w="0" w:type="dxa"/>
          <w:left w:w="0" w:type="dxa"/>
          <w:bottom w:w="0" w:type="dxa"/>
          <w:right w:w="0" w:type="dxa"/>
        </w:tblCellMar>
      </w:tblPr>
      <w:tr>
        <w:trPr>
          <w:trHeight w:val="311"/>
        </w:trPr>
        <w:tc>
          <w:tcPr>
            <w:tcW w:w="4480" w:type="dxa"/>
            <w:vAlign w:val="bottom"/>
            <w:shd w:val="clear" w:color="auto" w:fill="1F2A44"/>
          </w:tcPr>
          <w:p>
            <w:pPr>
              <w:ind w:left="140"/>
              <w:spacing w:after="0"/>
              <w:rPr>
                <w:sz w:val="20"/>
                <w:szCs w:val="20"/>
                <w:color w:val="auto"/>
              </w:rPr>
            </w:pPr>
            <w:r>
              <w:rPr>
                <w:rFonts w:ascii="Arial" w:cs="Arial" w:eastAsia="Arial" w:hAnsi="Arial"/>
                <w:sz w:val="18"/>
                <w:szCs w:val="18"/>
                <w:b w:val="1"/>
                <w:bCs w:val="1"/>
                <w:color w:val="FFFFFF"/>
              </w:rPr>
              <w:t>Elizabeth I. Holland</w:t>
            </w:r>
          </w:p>
        </w:tc>
        <w:tc>
          <w:tcPr>
            <w:tcW w:w="6540" w:type="dxa"/>
            <w:vAlign w:val="bottom"/>
            <w:shd w:val="clear" w:color="auto" w:fill="1F2A44"/>
          </w:tcPr>
          <w:p>
            <w:pPr>
              <w:spacing w:after="0"/>
              <w:rPr>
                <w:sz w:val="24"/>
                <w:szCs w:val="24"/>
                <w:color w:val="auto"/>
              </w:rPr>
            </w:pPr>
          </w:p>
        </w:tc>
      </w:tr>
      <w:tr>
        <w:trPr>
          <w:trHeight w:val="242"/>
        </w:trPr>
        <w:tc>
          <w:tcPr>
            <w:tcW w:w="4480" w:type="dxa"/>
            <w:vAlign w:val="bottom"/>
          </w:tcPr>
          <w:p>
            <w:pPr>
              <w:spacing w:after="0"/>
              <w:rPr>
                <w:sz w:val="21"/>
                <w:szCs w:val="21"/>
                <w:color w:val="auto"/>
              </w:rPr>
            </w:pPr>
          </w:p>
        </w:tc>
        <w:tc>
          <w:tcPr>
            <w:tcW w:w="6540" w:type="dxa"/>
            <w:vAlign w:val="bottom"/>
          </w:tcPr>
          <w:p>
            <w:pPr>
              <w:ind w:left="660"/>
              <w:spacing w:after="0"/>
              <w:rPr>
                <w:sz w:val="20"/>
                <w:szCs w:val="20"/>
                <w:color w:val="auto"/>
              </w:rPr>
            </w:pPr>
            <w:r>
              <w:rPr>
                <w:rFonts w:ascii="Arial" w:cs="Arial" w:eastAsia="Arial" w:hAnsi="Arial"/>
                <w:sz w:val="18"/>
                <w:szCs w:val="18"/>
                <w:b w:val="1"/>
                <w:bCs w:val="1"/>
                <w:color w:val="auto"/>
              </w:rPr>
              <w:t>Business Experience:</w:t>
            </w:r>
          </w:p>
        </w:tc>
      </w:tr>
      <w:tr>
        <w:trPr>
          <w:trHeight w:val="203"/>
        </w:trPr>
        <w:tc>
          <w:tcPr>
            <w:tcW w:w="4480" w:type="dxa"/>
            <w:vAlign w:val="bottom"/>
          </w:tcPr>
          <w:p>
            <w:pPr>
              <w:ind w:left="2220"/>
              <w:spacing w:after="0" w:line="202" w:lineRule="exact"/>
              <w:rPr>
                <w:sz w:val="20"/>
                <w:szCs w:val="20"/>
                <w:color w:val="auto"/>
              </w:rPr>
            </w:pPr>
            <w:r>
              <w:rPr>
                <w:rFonts w:ascii="Arial" w:cs="Arial" w:eastAsia="Arial" w:hAnsi="Arial"/>
                <w:sz w:val="18"/>
                <w:szCs w:val="18"/>
                <w:color w:val="auto"/>
              </w:rPr>
              <w:t>Age: 53</w:t>
            </w:r>
          </w:p>
        </w:tc>
        <w:tc>
          <w:tcPr>
            <w:tcW w:w="6540" w:type="dxa"/>
            <w:vAlign w:val="bottom"/>
          </w:tcPr>
          <w:p>
            <w:pPr>
              <w:ind w:left="660"/>
              <w:spacing w:after="0" w:line="202" w:lineRule="exact"/>
              <w:rPr>
                <w:sz w:val="20"/>
                <w:szCs w:val="20"/>
                <w:color w:val="auto"/>
              </w:rPr>
            </w:pPr>
            <w:r>
              <w:rPr>
                <w:rFonts w:ascii="Arial" w:cs="Arial" w:eastAsia="Arial" w:hAnsi="Arial"/>
                <w:sz w:val="18"/>
                <w:szCs w:val="18"/>
                <w:color w:val="auto"/>
              </w:rPr>
              <w:t>•   Chief Executive Officer of Abbell Credit Corporation and Abbell</w:t>
            </w:r>
          </w:p>
        </w:tc>
      </w:tr>
      <w:tr>
        <w:trPr>
          <w:trHeight w:val="203"/>
        </w:trPr>
        <w:tc>
          <w:tcPr>
            <w:tcW w:w="4480" w:type="dxa"/>
            <w:vAlign w:val="bottom"/>
          </w:tcPr>
          <w:p>
            <w:pPr>
              <w:ind w:left="2220"/>
              <w:spacing w:after="0" w:line="202" w:lineRule="exact"/>
              <w:rPr>
                <w:sz w:val="20"/>
                <w:szCs w:val="20"/>
                <w:color w:val="auto"/>
              </w:rPr>
            </w:pPr>
            <w:r>
              <w:rPr>
                <w:rFonts w:ascii="Arial" w:cs="Arial" w:eastAsia="Arial" w:hAnsi="Arial"/>
                <w:sz w:val="18"/>
                <w:szCs w:val="18"/>
                <w:color w:val="auto"/>
              </w:rPr>
              <w:t>Trustee since: 2017</w:t>
            </w:r>
          </w:p>
        </w:tc>
        <w:tc>
          <w:tcPr>
            <w:tcW w:w="6540" w:type="dxa"/>
            <w:vAlign w:val="bottom"/>
          </w:tcPr>
          <w:p>
            <w:pPr>
              <w:ind w:left="960"/>
              <w:spacing w:after="0" w:line="202" w:lineRule="exact"/>
              <w:rPr>
                <w:sz w:val="20"/>
                <w:szCs w:val="20"/>
                <w:color w:val="auto"/>
              </w:rPr>
            </w:pPr>
            <w:r>
              <w:rPr>
                <w:rFonts w:ascii="Arial" w:cs="Arial" w:eastAsia="Arial" w:hAnsi="Arial"/>
                <w:sz w:val="18"/>
                <w:szCs w:val="18"/>
                <w:color w:val="auto"/>
              </w:rPr>
              <w:t>Associates, LLC (1997 – present)</w:t>
            </w:r>
          </w:p>
        </w:tc>
      </w:tr>
      <w:tr>
        <w:trPr>
          <w:trHeight w:val="203"/>
        </w:trPr>
        <w:tc>
          <w:tcPr>
            <w:tcW w:w="4480" w:type="dxa"/>
            <w:vAlign w:val="bottom"/>
          </w:tcPr>
          <w:p>
            <w:pPr>
              <w:ind w:left="2220"/>
              <w:spacing w:after="0" w:line="202" w:lineRule="exact"/>
              <w:rPr>
                <w:sz w:val="20"/>
                <w:szCs w:val="20"/>
                <w:color w:val="auto"/>
              </w:rPr>
            </w:pPr>
            <w:r>
              <w:rPr>
                <w:rFonts w:ascii="Arial" w:cs="Arial" w:eastAsia="Arial" w:hAnsi="Arial"/>
                <w:sz w:val="18"/>
                <w:szCs w:val="18"/>
                <w:color w:val="auto"/>
              </w:rPr>
              <w:t>Independent</w:t>
            </w:r>
          </w:p>
        </w:tc>
        <w:tc>
          <w:tcPr>
            <w:tcW w:w="6540" w:type="dxa"/>
            <w:vAlign w:val="bottom"/>
          </w:tcPr>
          <w:p>
            <w:pPr>
              <w:ind w:left="660"/>
              <w:spacing w:after="0" w:line="202" w:lineRule="exact"/>
              <w:rPr>
                <w:sz w:val="20"/>
                <w:szCs w:val="20"/>
                <w:color w:val="auto"/>
              </w:rPr>
            </w:pPr>
            <w:r>
              <w:rPr>
                <w:rFonts w:ascii="Arial" w:cs="Arial" w:eastAsia="Arial" w:hAnsi="Arial"/>
                <w:sz w:val="18"/>
                <w:szCs w:val="18"/>
                <w:color w:val="auto"/>
              </w:rPr>
              <w:t>•   Board of Trustees of the International Council of Shopping Centers</w:t>
            </w:r>
          </w:p>
        </w:tc>
      </w:tr>
      <w:tr>
        <w:trPr>
          <w:trHeight w:val="203"/>
        </w:trPr>
        <w:tc>
          <w:tcPr>
            <w:tcW w:w="4480" w:type="dxa"/>
            <w:vAlign w:val="bottom"/>
          </w:tcPr>
          <w:p>
            <w:pPr>
              <w:spacing w:after="0"/>
              <w:rPr>
                <w:sz w:val="17"/>
                <w:szCs w:val="17"/>
                <w:color w:val="auto"/>
              </w:rPr>
            </w:pPr>
          </w:p>
        </w:tc>
        <w:tc>
          <w:tcPr>
            <w:tcW w:w="6540" w:type="dxa"/>
            <w:vAlign w:val="bottom"/>
          </w:tcPr>
          <w:p>
            <w:pPr>
              <w:ind w:left="960"/>
              <w:spacing w:after="0" w:line="202" w:lineRule="exact"/>
              <w:rPr>
                <w:sz w:val="20"/>
                <w:szCs w:val="20"/>
                <w:color w:val="auto"/>
              </w:rPr>
            </w:pPr>
            <w:r>
              <w:rPr>
                <w:rFonts w:ascii="Arial" w:cs="Arial" w:eastAsia="Arial" w:hAnsi="Arial"/>
                <w:sz w:val="18"/>
                <w:szCs w:val="18"/>
                <w:color w:val="auto"/>
              </w:rPr>
              <w:t>(from 2004 – 2010 and 2015 – present), Chairman of the Board of</w:t>
            </w:r>
          </w:p>
        </w:tc>
      </w:tr>
      <w:tr>
        <w:trPr>
          <w:trHeight w:val="203"/>
        </w:trPr>
        <w:tc>
          <w:tcPr>
            <w:tcW w:w="4480" w:type="dxa"/>
            <w:vAlign w:val="bottom"/>
          </w:tcPr>
          <w:p>
            <w:pPr>
              <w:spacing w:after="0"/>
              <w:rPr>
                <w:sz w:val="17"/>
                <w:szCs w:val="17"/>
                <w:color w:val="auto"/>
              </w:rPr>
            </w:pPr>
          </w:p>
        </w:tc>
        <w:tc>
          <w:tcPr>
            <w:tcW w:w="6540" w:type="dxa"/>
            <w:vAlign w:val="bottom"/>
          </w:tcPr>
          <w:p>
            <w:pPr>
              <w:ind w:left="960"/>
              <w:spacing w:after="0" w:line="202" w:lineRule="exact"/>
              <w:rPr>
                <w:sz w:val="20"/>
                <w:szCs w:val="20"/>
                <w:color w:val="auto"/>
              </w:rPr>
            </w:pPr>
            <w:r>
              <w:rPr>
                <w:rFonts w:ascii="Arial" w:cs="Arial" w:eastAsia="Arial" w:hAnsi="Arial"/>
                <w:sz w:val="18"/>
                <w:szCs w:val="18"/>
                <w:color w:val="auto"/>
              </w:rPr>
              <w:t>Trustees (2016 – 2017) and Vice Chairman of the Board of Trustees</w:t>
            </w:r>
          </w:p>
        </w:tc>
      </w:tr>
      <w:tr>
        <w:trPr>
          <w:trHeight w:val="217"/>
        </w:trPr>
        <w:tc>
          <w:tcPr>
            <w:tcW w:w="4480" w:type="dxa"/>
            <w:vAlign w:val="bottom"/>
          </w:tcPr>
          <w:p>
            <w:pPr>
              <w:spacing w:after="0"/>
              <w:rPr>
                <w:sz w:val="18"/>
                <w:szCs w:val="18"/>
                <w:color w:val="auto"/>
              </w:rPr>
            </w:pPr>
          </w:p>
        </w:tc>
        <w:tc>
          <w:tcPr>
            <w:tcW w:w="6540" w:type="dxa"/>
            <w:vAlign w:val="bottom"/>
          </w:tcPr>
          <w:p>
            <w:pPr>
              <w:ind w:left="960"/>
              <w:spacing w:after="0"/>
              <w:rPr>
                <w:sz w:val="20"/>
                <w:szCs w:val="20"/>
                <w:color w:val="auto"/>
              </w:rPr>
            </w:pPr>
            <w:r>
              <w:rPr>
                <w:rFonts w:ascii="Arial" w:cs="Arial" w:eastAsia="Arial" w:hAnsi="Arial"/>
                <w:sz w:val="18"/>
                <w:szCs w:val="18"/>
                <w:color w:val="auto"/>
              </w:rPr>
              <w:t>(2015 – 2016)</w:t>
            </w: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360" w:type="dxa"/>
        <w:tblCellMar>
          <w:top w:w="0" w:type="dxa"/>
          <w:left w:w="0" w:type="dxa"/>
          <w:bottom w:w="0" w:type="dxa"/>
          <w:right w:w="0" w:type="dxa"/>
        </w:tblCellMar>
      </w:tblPr>
      <w:tr>
        <w:trPr>
          <w:trHeight w:val="238"/>
        </w:trPr>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Board Committees:</w:t>
            </w:r>
          </w:p>
        </w:tc>
        <w:tc>
          <w:tcPr>
            <w:tcW w:w="4040" w:type="dxa"/>
            <w:vAlign w:val="bottom"/>
          </w:tcPr>
          <w:p>
            <w:pPr>
              <w:ind w:left="800"/>
              <w:spacing w:after="0"/>
              <w:rPr>
                <w:sz w:val="20"/>
                <w:szCs w:val="20"/>
                <w:color w:val="auto"/>
              </w:rPr>
            </w:pPr>
            <w:r>
              <w:rPr>
                <w:rFonts w:ascii="Arial" w:cs="Arial" w:eastAsia="Arial" w:hAnsi="Arial"/>
                <w:sz w:val="18"/>
                <w:szCs w:val="18"/>
                <w:b w:val="1"/>
                <w:bCs w:val="1"/>
                <w:color w:val="auto"/>
              </w:rPr>
              <w:t>Public Company Boards:</w:t>
            </w:r>
          </w:p>
        </w:tc>
      </w:tr>
      <w:tr>
        <w:trPr>
          <w:trHeight w:val="203"/>
        </w:trPr>
        <w:tc>
          <w:tcPr>
            <w:tcW w:w="1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4040" w:type="dxa"/>
            <w:vAlign w:val="bottom"/>
          </w:tcPr>
          <w:p>
            <w:pPr>
              <w:ind w:left="100"/>
              <w:spacing w:after="0" w:line="202" w:lineRule="exact"/>
              <w:rPr>
                <w:sz w:val="20"/>
                <w:szCs w:val="20"/>
                <w:color w:val="auto"/>
              </w:rPr>
            </w:pPr>
            <w:r>
              <w:rPr>
                <w:rFonts w:ascii="Arial" w:cs="Arial" w:eastAsia="Arial" w:hAnsi="Arial"/>
                <w:sz w:val="18"/>
                <w:szCs w:val="18"/>
                <w:color w:val="auto"/>
              </w:rPr>
              <w:t>Compensation</w:t>
            </w:r>
          </w:p>
        </w:tc>
        <w:tc>
          <w:tcPr>
            <w:tcW w:w="4040" w:type="dxa"/>
            <w:vAlign w:val="bottom"/>
          </w:tcPr>
          <w:p>
            <w:pPr>
              <w:ind w:left="800"/>
              <w:spacing w:after="0" w:line="202" w:lineRule="exact"/>
              <w:rPr>
                <w:sz w:val="20"/>
                <w:szCs w:val="20"/>
                <w:color w:val="auto"/>
              </w:rPr>
            </w:pPr>
            <w:r>
              <w:rPr>
                <w:rFonts w:ascii="Arial" w:cs="Arial" w:eastAsia="Arial" w:hAnsi="Arial"/>
                <w:sz w:val="18"/>
                <w:szCs w:val="18"/>
                <w:color w:val="auto"/>
              </w:rPr>
              <w:t>•  VICI Properties, Inc. (2017 – present)</w:t>
            </w:r>
          </w:p>
        </w:tc>
      </w:tr>
      <w:tr>
        <w:trPr>
          <w:trHeight w:val="217"/>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4040" w:type="dxa"/>
            <w:vAlign w:val="bottom"/>
          </w:tcPr>
          <w:p>
            <w:pPr>
              <w:ind w:left="100"/>
              <w:spacing w:after="0"/>
              <w:rPr>
                <w:sz w:val="20"/>
                <w:szCs w:val="20"/>
                <w:color w:val="auto"/>
              </w:rPr>
            </w:pPr>
            <w:r>
              <w:rPr>
                <w:rFonts w:ascii="Arial" w:cs="Arial" w:eastAsia="Arial" w:hAnsi="Arial"/>
                <w:sz w:val="18"/>
                <w:szCs w:val="18"/>
                <w:color w:val="auto"/>
              </w:rPr>
              <w:t>Nominating and Corporate Governance</w:t>
            </w:r>
          </w:p>
        </w:tc>
        <w:tc>
          <w:tcPr>
            <w:tcW w:w="4040" w:type="dxa"/>
            <w:vAlign w:val="bottom"/>
          </w:tcPr>
          <w:p>
            <w:pPr>
              <w:spacing w:after="0"/>
              <w:rPr>
                <w:sz w:val="18"/>
                <w:szCs w:val="18"/>
                <w:color w:val="auto"/>
              </w:rPr>
            </w:pPr>
          </w:p>
        </w:tc>
      </w:tr>
    </w:tbl>
    <w:p>
      <w:pPr>
        <w:spacing w:after="0" w:line="1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Specific Qualifications and Skills:</w:t>
      </w:r>
    </w:p>
    <w:p>
      <w:pPr>
        <w:spacing w:after="0" w:line="18" w:lineRule="exact"/>
        <w:rPr>
          <w:sz w:val="20"/>
          <w:szCs w:val="20"/>
          <w:color w:val="auto"/>
        </w:rPr>
      </w:pPr>
    </w:p>
    <w:p>
      <w:pPr>
        <w:jc w:val="both"/>
        <w:ind w:left="360" w:right="60"/>
        <w:spacing w:after="0"/>
        <w:rPr>
          <w:sz w:val="20"/>
          <w:szCs w:val="20"/>
          <w:color w:val="auto"/>
        </w:rPr>
      </w:pPr>
      <w:r>
        <w:rPr>
          <w:rFonts w:ascii="Arial" w:cs="Arial" w:eastAsia="Arial" w:hAnsi="Arial"/>
          <w:sz w:val="18"/>
          <w:szCs w:val="18"/>
          <w:color w:val="auto"/>
        </w:rPr>
        <w:t>Ms. Holland brings to the Board a deep understanding of owning and investing in retail real estate from her experience as a private investor. Her insights into issues affecting many of our tenants learned from her experience as Chairman of the International Council of Shopping Centers also provides a valuable perspective for the Board to understand the Trust’s business.</w:t>
      </w:r>
    </w:p>
    <w:p>
      <w:pPr>
        <w:spacing w:after="0" w:line="16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240" w:top="459" w:right="4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7006590" cy="27012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06590" cy="2701290"/>
                    </a:xfrm>
                    <a:prstGeom prst="rect">
                      <a:avLst/>
                    </a:prstGeom>
                    <a:noFill/>
                  </pic:spPr>
                </pic:pic>
              </a:graphicData>
            </a:graphic>
          </wp:anchor>
        </w:drawing>
      </w:r>
    </w:p>
    <w:p>
      <w:pPr>
        <w:spacing w:after="0" w:line="382" w:lineRule="exact"/>
        <w:rPr>
          <w:sz w:val="20"/>
          <w:szCs w:val="20"/>
          <w:color w:val="auto"/>
        </w:rPr>
      </w:pPr>
    </w:p>
    <w:p>
      <w:pPr>
        <w:ind w:left="360"/>
        <w:spacing w:after="0"/>
        <w:rPr>
          <w:sz w:val="20"/>
          <w:szCs w:val="20"/>
          <w:color w:val="auto"/>
        </w:rPr>
      </w:pPr>
      <w:r>
        <w:rPr>
          <w:rFonts w:ascii="Arial" w:cs="Arial" w:eastAsia="Arial" w:hAnsi="Arial"/>
          <w:sz w:val="25"/>
          <w:szCs w:val="25"/>
          <w:b w:val="1"/>
          <w:bCs w:val="1"/>
          <w:color w:val="FFFFFF"/>
        </w:rPr>
        <w:t>Mark S. Ordan</w:t>
      </w:r>
    </w:p>
    <w:p>
      <w:pPr>
        <w:spacing w:after="0" w:line="71" w:lineRule="exact"/>
        <w:rPr>
          <w:sz w:val="20"/>
          <w:szCs w:val="20"/>
          <w:color w:val="auto"/>
        </w:rPr>
      </w:pPr>
    </w:p>
    <w:tbl>
      <w:tblPr>
        <w:tblLayout w:type="fixed"/>
        <w:tblInd w:w="2440" w:type="dxa"/>
        <w:tblCellMar>
          <w:top w:w="0" w:type="dxa"/>
          <w:left w:w="0" w:type="dxa"/>
          <w:bottom w:w="0" w:type="dxa"/>
          <w:right w:w="0" w:type="dxa"/>
        </w:tblCellMar>
      </w:tblPr>
      <w:tr>
        <w:trPr>
          <w:trHeight w:val="225"/>
        </w:trPr>
        <w:tc>
          <w:tcPr>
            <w:tcW w:w="2260" w:type="dxa"/>
            <w:vAlign w:val="bottom"/>
          </w:tcPr>
          <w:p>
            <w:pPr>
              <w:spacing w:after="0"/>
              <w:rPr>
                <w:sz w:val="19"/>
                <w:szCs w:val="19"/>
                <w:color w:val="auto"/>
              </w:rPr>
            </w:pPr>
          </w:p>
        </w:tc>
        <w:tc>
          <w:tcPr>
            <w:tcW w:w="6480" w:type="dxa"/>
            <w:vAlign w:val="bottom"/>
          </w:tcPr>
          <w:p>
            <w:pPr>
              <w:ind w:left="660"/>
              <w:spacing w:after="0"/>
              <w:rPr>
                <w:sz w:val="20"/>
                <w:szCs w:val="20"/>
                <w:color w:val="auto"/>
              </w:rPr>
            </w:pPr>
            <w:r>
              <w:rPr>
                <w:rFonts w:ascii="Arial" w:cs="Arial" w:eastAsia="Arial" w:hAnsi="Arial"/>
                <w:sz w:val="18"/>
                <w:szCs w:val="18"/>
                <w:b w:val="1"/>
                <w:bCs w:val="1"/>
                <w:color w:val="auto"/>
              </w:rPr>
              <w:t>Business Experience:</w:t>
            </w:r>
          </w:p>
        </w:tc>
      </w:tr>
      <w:tr>
        <w:trPr>
          <w:trHeight w:val="203"/>
        </w:trPr>
        <w:tc>
          <w:tcPr>
            <w:tcW w:w="2260" w:type="dxa"/>
            <w:vAlign w:val="bottom"/>
          </w:tcPr>
          <w:p>
            <w:pPr>
              <w:spacing w:after="0" w:line="202" w:lineRule="exact"/>
              <w:rPr>
                <w:sz w:val="20"/>
                <w:szCs w:val="20"/>
                <w:color w:val="auto"/>
              </w:rPr>
            </w:pPr>
            <w:r>
              <w:rPr>
                <w:rFonts w:ascii="Arial" w:cs="Arial" w:eastAsia="Arial" w:hAnsi="Arial"/>
                <w:sz w:val="18"/>
                <w:szCs w:val="18"/>
                <w:color w:val="auto"/>
              </w:rPr>
              <w:t>Age: 60</w:t>
            </w:r>
          </w:p>
        </w:tc>
        <w:tc>
          <w:tcPr>
            <w:tcW w:w="6480" w:type="dxa"/>
            <w:vAlign w:val="bottom"/>
          </w:tcPr>
          <w:p>
            <w:pPr>
              <w:ind w:left="660"/>
              <w:spacing w:after="0" w:line="202" w:lineRule="exact"/>
              <w:rPr>
                <w:sz w:val="20"/>
                <w:szCs w:val="20"/>
                <w:color w:val="auto"/>
              </w:rPr>
            </w:pPr>
            <w:r>
              <w:rPr>
                <w:rFonts w:ascii="Arial" w:cs="Arial" w:eastAsia="Arial" w:hAnsi="Arial"/>
                <w:sz w:val="18"/>
                <w:szCs w:val="18"/>
                <w:color w:val="auto"/>
              </w:rPr>
              <w:t>•   Chief Executive Officer and Chairman of the Board of Quality Care</w:t>
            </w:r>
          </w:p>
        </w:tc>
      </w:tr>
      <w:tr>
        <w:trPr>
          <w:trHeight w:val="203"/>
        </w:trPr>
        <w:tc>
          <w:tcPr>
            <w:tcW w:w="2260" w:type="dxa"/>
            <w:vAlign w:val="bottom"/>
          </w:tcPr>
          <w:p>
            <w:pPr>
              <w:spacing w:after="0" w:line="203" w:lineRule="exact"/>
              <w:rPr>
                <w:sz w:val="20"/>
                <w:szCs w:val="20"/>
                <w:color w:val="auto"/>
              </w:rPr>
            </w:pPr>
            <w:r>
              <w:rPr>
                <w:rFonts w:ascii="Arial" w:cs="Arial" w:eastAsia="Arial" w:hAnsi="Arial"/>
                <w:sz w:val="18"/>
                <w:szCs w:val="18"/>
                <w:color w:val="auto"/>
              </w:rPr>
              <w:t>Trustee since: 2019</w:t>
            </w:r>
          </w:p>
        </w:tc>
        <w:tc>
          <w:tcPr>
            <w:tcW w:w="6480" w:type="dxa"/>
            <w:vAlign w:val="bottom"/>
          </w:tcPr>
          <w:p>
            <w:pPr>
              <w:ind w:left="960"/>
              <w:spacing w:after="0" w:line="203" w:lineRule="exact"/>
              <w:rPr>
                <w:sz w:val="20"/>
                <w:szCs w:val="20"/>
                <w:color w:val="auto"/>
              </w:rPr>
            </w:pPr>
            <w:r>
              <w:rPr>
                <w:rFonts w:ascii="Arial" w:cs="Arial" w:eastAsia="Arial" w:hAnsi="Arial"/>
                <w:sz w:val="18"/>
                <w:szCs w:val="18"/>
                <w:color w:val="auto"/>
              </w:rPr>
              <w:t>Properties (2016 – 2018)</w:t>
            </w:r>
          </w:p>
        </w:tc>
      </w:tr>
      <w:tr>
        <w:trPr>
          <w:trHeight w:val="203"/>
        </w:trPr>
        <w:tc>
          <w:tcPr>
            <w:tcW w:w="2260" w:type="dxa"/>
            <w:vAlign w:val="bottom"/>
          </w:tcPr>
          <w:p>
            <w:pPr>
              <w:spacing w:after="0" w:line="202" w:lineRule="exact"/>
              <w:rPr>
                <w:sz w:val="20"/>
                <w:szCs w:val="20"/>
                <w:color w:val="auto"/>
              </w:rPr>
            </w:pPr>
            <w:r>
              <w:rPr>
                <w:rFonts w:ascii="Arial" w:cs="Arial" w:eastAsia="Arial" w:hAnsi="Arial"/>
                <w:sz w:val="18"/>
                <w:szCs w:val="18"/>
                <w:color w:val="auto"/>
              </w:rPr>
              <w:t>Non-Management</w:t>
            </w:r>
          </w:p>
        </w:tc>
        <w:tc>
          <w:tcPr>
            <w:tcW w:w="6480" w:type="dxa"/>
            <w:vAlign w:val="bottom"/>
          </w:tcPr>
          <w:p>
            <w:pPr>
              <w:ind w:left="660"/>
              <w:spacing w:after="0" w:line="202" w:lineRule="exact"/>
              <w:rPr>
                <w:sz w:val="20"/>
                <w:szCs w:val="20"/>
                <w:color w:val="auto"/>
              </w:rPr>
            </w:pPr>
            <w:r>
              <w:rPr>
                <w:rFonts w:ascii="Arial" w:cs="Arial" w:eastAsia="Arial" w:hAnsi="Arial"/>
                <w:sz w:val="18"/>
                <w:szCs w:val="18"/>
                <w:color w:val="auto"/>
              </w:rPr>
              <w:t>•   Executive Chairman of the Board (2015 – 2016) and Chief Executive</w:t>
            </w:r>
          </w:p>
        </w:tc>
      </w:tr>
      <w:tr>
        <w:trPr>
          <w:trHeight w:val="202"/>
        </w:trPr>
        <w:tc>
          <w:tcPr>
            <w:tcW w:w="2260" w:type="dxa"/>
            <w:vAlign w:val="bottom"/>
          </w:tcPr>
          <w:p>
            <w:pPr>
              <w:spacing w:after="0"/>
              <w:rPr>
                <w:sz w:val="17"/>
                <w:szCs w:val="17"/>
                <w:color w:val="auto"/>
              </w:rPr>
            </w:pPr>
          </w:p>
        </w:tc>
        <w:tc>
          <w:tcPr>
            <w:tcW w:w="6480" w:type="dxa"/>
            <w:vAlign w:val="bottom"/>
          </w:tcPr>
          <w:p>
            <w:pPr>
              <w:ind w:left="960"/>
              <w:spacing w:after="0" w:line="201" w:lineRule="exact"/>
              <w:rPr>
                <w:sz w:val="20"/>
                <w:szCs w:val="20"/>
                <w:color w:val="auto"/>
              </w:rPr>
            </w:pPr>
            <w:r>
              <w:rPr>
                <w:rFonts w:ascii="Arial" w:cs="Arial" w:eastAsia="Arial" w:hAnsi="Arial"/>
                <w:sz w:val="18"/>
                <w:szCs w:val="18"/>
                <w:color w:val="auto"/>
              </w:rPr>
              <w:t>Officer (2014 – 2015) of Washington Prime Group</w:t>
            </w:r>
          </w:p>
        </w:tc>
      </w:tr>
      <w:tr>
        <w:trPr>
          <w:trHeight w:val="203"/>
        </w:trPr>
        <w:tc>
          <w:tcPr>
            <w:tcW w:w="2260" w:type="dxa"/>
            <w:vAlign w:val="bottom"/>
          </w:tcPr>
          <w:p>
            <w:pPr>
              <w:spacing w:after="0"/>
              <w:rPr>
                <w:sz w:val="17"/>
                <w:szCs w:val="17"/>
                <w:color w:val="auto"/>
              </w:rPr>
            </w:pPr>
          </w:p>
        </w:tc>
        <w:tc>
          <w:tcPr>
            <w:tcW w:w="6480" w:type="dxa"/>
            <w:vAlign w:val="bottom"/>
          </w:tcPr>
          <w:p>
            <w:pPr>
              <w:ind w:left="660"/>
              <w:spacing w:after="0" w:line="202" w:lineRule="exact"/>
              <w:rPr>
                <w:sz w:val="20"/>
                <w:szCs w:val="20"/>
                <w:color w:val="auto"/>
              </w:rPr>
            </w:pPr>
            <w:r>
              <w:rPr>
                <w:rFonts w:ascii="Arial" w:cs="Arial" w:eastAsia="Arial" w:hAnsi="Arial"/>
                <w:sz w:val="18"/>
                <w:szCs w:val="18"/>
                <w:color w:val="auto"/>
              </w:rPr>
              <w:t>•   Chief Executive Officer of Sunrise Senior Living, Inc.</w:t>
            </w:r>
          </w:p>
        </w:tc>
      </w:tr>
      <w:tr>
        <w:trPr>
          <w:trHeight w:val="203"/>
        </w:trPr>
        <w:tc>
          <w:tcPr>
            <w:tcW w:w="2260" w:type="dxa"/>
            <w:vAlign w:val="bottom"/>
          </w:tcPr>
          <w:p>
            <w:pPr>
              <w:spacing w:after="0"/>
              <w:rPr>
                <w:sz w:val="17"/>
                <w:szCs w:val="17"/>
                <w:color w:val="auto"/>
              </w:rPr>
            </w:pPr>
          </w:p>
        </w:tc>
        <w:tc>
          <w:tcPr>
            <w:tcW w:w="6480" w:type="dxa"/>
            <w:vAlign w:val="bottom"/>
          </w:tcPr>
          <w:p>
            <w:pPr>
              <w:ind w:left="960"/>
              <w:spacing w:after="0" w:line="202" w:lineRule="exact"/>
              <w:rPr>
                <w:sz w:val="20"/>
                <w:szCs w:val="20"/>
                <w:color w:val="auto"/>
              </w:rPr>
            </w:pPr>
            <w:r>
              <w:rPr>
                <w:rFonts w:ascii="Arial" w:cs="Arial" w:eastAsia="Arial" w:hAnsi="Arial"/>
                <w:sz w:val="18"/>
                <w:szCs w:val="18"/>
                <w:color w:val="auto"/>
              </w:rPr>
              <w:t>(2008 – 2013) and Chief Executive Officer of Sunrise Senior Living,</w:t>
            </w:r>
          </w:p>
        </w:tc>
      </w:tr>
      <w:tr>
        <w:trPr>
          <w:trHeight w:val="203"/>
        </w:trPr>
        <w:tc>
          <w:tcPr>
            <w:tcW w:w="2260" w:type="dxa"/>
            <w:vAlign w:val="bottom"/>
          </w:tcPr>
          <w:p>
            <w:pPr>
              <w:spacing w:after="0"/>
              <w:rPr>
                <w:sz w:val="17"/>
                <w:szCs w:val="17"/>
                <w:color w:val="auto"/>
              </w:rPr>
            </w:pPr>
          </w:p>
        </w:tc>
        <w:tc>
          <w:tcPr>
            <w:tcW w:w="6480" w:type="dxa"/>
            <w:vAlign w:val="bottom"/>
          </w:tcPr>
          <w:p>
            <w:pPr>
              <w:ind w:left="960"/>
              <w:spacing w:after="0" w:line="202" w:lineRule="exact"/>
              <w:rPr>
                <w:sz w:val="20"/>
                <w:szCs w:val="20"/>
                <w:color w:val="auto"/>
              </w:rPr>
            </w:pPr>
            <w:r>
              <w:rPr>
                <w:rFonts w:ascii="Arial" w:cs="Arial" w:eastAsia="Arial" w:hAnsi="Arial"/>
                <w:sz w:val="18"/>
                <w:szCs w:val="18"/>
                <w:color w:val="auto"/>
              </w:rPr>
              <w:t>LLC (2013), its successor</w:t>
            </w:r>
          </w:p>
        </w:tc>
      </w:tr>
      <w:tr>
        <w:trPr>
          <w:trHeight w:val="203"/>
        </w:trPr>
        <w:tc>
          <w:tcPr>
            <w:tcW w:w="2260" w:type="dxa"/>
            <w:vAlign w:val="bottom"/>
          </w:tcPr>
          <w:p>
            <w:pPr>
              <w:spacing w:after="0"/>
              <w:rPr>
                <w:sz w:val="17"/>
                <w:szCs w:val="17"/>
                <w:color w:val="auto"/>
              </w:rPr>
            </w:pPr>
          </w:p>
        </w:tc>
        <w:tc>
          <w:tcPr>
            <w:tcW w:w="6480" w:type="dxa"/>
            <w:vAlign w:val="bottom"/>
          </w:tcPr>
          <w:p>
            <w:pPr>
              <w:ind w:left="660"/>
              <w:spacing w:after="0" w:line="202" w:lineRule="exact"/>
              <w:rPr>
                <w:sz w:val="20"/>
                <w:szCs w:val="20"/>
                <w:color w:val="auto"/>
              </w:rPr>
            </w:pPr>
            <w:r>
              <w:rPr>
                <w:rFonts w:ascii="Arial" w:cs="Arial" w:eastAsia="Arial" w:hAnsi="Arial"/>
                <w:sz w:val="18"/>
                <w:szCs w:val="18"/>
                <w:color w:val="auto"/>
              </w:rPr>
              <w:t>•   Chief Executive Officer and President of The Mills Corporation (2006</w:t>
            </w:r>
          </w:p>
        </w:tc>
      </w:tr>
      <w:tr>
        <w:trPr>
          <w:trHeight w:val="217"/>
        </w:trPr>
        <w:tc>
          <w:tcPr>
            <w:tcW w:w="2260" w:type="dxa"/>
            <w:vAlign w:val="bottom"/>
          </w:tcPr>
          <w:p>
            <w:pPr>
              <w:spacing w:after="0"/>
              <w:rPr>
                <w:sz w:val="18"/>
                <w:szCs w:val="18"/>
                <w:color w:val="auto"/>
              </w:rPr>
            </w:pPr>
          </w:p>
        </w:tc>
        <w:tc>
          <w:tcPr>
            <w:tcW w:w="6480" w:type="dxa"/>
            <w:vAlign w:val="bottom"/>
          </w:tcPr>
          <w:p>
            <w:pPr>
              <w:ind w:left="960"/>
              <w:spacing w:after="0"/>
              <w:rPr>
                <w:sz w:val="20"/>
                <w:szCs w:val="20"/>
                <w:color w:val="auto"/>
              </w:rPr>
            </w:pPr>
            <w:r>
              <w:rPr>
                <w:rFonts w:ascii="Arial" w:cs="Arial" w:eastAsia="Arial" w:hAnsi="Arial"/>
                <w:sz w:val="18"/>
                <w:szCs w:val="18"/>
                <w:color w:val="auto"/>
              </w:rPr>
              <w:t>– 2007)</w:t>
            </w:r>
          </w:p>
        </w:tc>
      </w:tr>
    </w:tbl>
    <w:p>
      <w:pPr>
        <w:spacing w:after="0" w:line="48" w:lineRule="exact"/>
        <w:rPr>
          <w:sz w:val="20"/>
          <w:szCs w:val="20"/>
          <w:color w:val="auto"/>
        </w:rPr>
      </w:pPr>
    </w:p>
    <w:tbl>
      <w:tblPr>
        <w:tblLayout w:type="fixed"/>
        <w:tblInd w:w="220" w:type="dxa"/>
        <w:tblCellMar>
          <w:top w:w="0" w:type="dxa"/>
          <w:left w:w="0" w:type="dxa"/>
          <w:bottom w:w="0" w:type="dxa"/>
          <w:right w:w="0" w:type="dxa"/>
        </w:tblCellMar>
      </w:tblPr>
      <w:tr>
        <w:trPr>
          <w:trHeight w:val="215"/>
        </w:trPr>
        <w:tc>
          <w:tcPr>
            <w:tcW w:w="4080" w:type="dxa"/>
            <w:vAlign w:val="bottom"/>
            <w:tcBorders>
              <w:top w:val="single" w:sz="8" w:color="auto"/>
            </w:tcBorders>
          </w:tcPr>
          <w:p>
            <w:pPr>
              <w:ind w:left="140"/>
              <w:spacing w:after="0"/>
              <w:rPr>
                <w:sz w:val="20"/>
                <w:szCs w:val="20"/>
                <w:color w:val="auto"/>
              </w:rPr>
            </w:pPr>
            <w:r>
              <w:rPr>
                <w:rFonts w:ascii="Arial" w:cs="Arial" w:eastAsia="Arial" w:hAnsi="Arial"/>
                <w:sz w:val="18"/>
                <w:szCs w:val="18"/>
                <w:b w:val="1"/>
                <w:bCs w:val="1"/>
                <w:color w:val="auto"/>
              </w:rPr>
              <w:t>Board Committees:</w:t>
            </w:r>
          </w:p>
        </w:tc>
        <w:tc>
          <w:tcPr>
            <w:tcW w:w="6940" w:type="dxa"/>
            <w:vAlign w:val="bottom"/>
            <w:tcBorders>
              <w:top w:val="single" w:sz="8" w:color="auto"/>
            </w:tcBorders>
          </w:tcPr>
          <w:p>
            <w:pPr>
              <w:ind w:left="1060"/>
              <w:spacing w:after="0"/>
              <w:rPr>
                <w:sz w:val="20"/>
                <w:szCs w:val="20"/>
                <w:color w:val="auto"/>
              </w:rPr>
            </w:pPr>
            <w:r>
              <w:rPr>
                <w:rFonts w:ascii="Arial" w:cs="Arial" w:eastAsia="Arial" w:hAnsi="Arial"/>
                <w:sz w:val="18"/>
                <w:szCs w:val="18"/>
                <w:b w:val="1"/>
                <w:bCs w:val="1"/>
                <w:color w:val="auto"/>
              </w:rPr>
              <w:t>Public Company Boards:</w:t>
            </w:r>
          </w:p>
        </w:tc>
      </w:tr>
      <w:tr>
        <w:trPr>
          <w:trHeight w:val="203"/>
        </w:trPr>
        <w:tc>
          <w:tcPr>
            <w:tcW w:w="4080" w:type="dxa"/>
            <w:vAlign w:val="bottom"/>
          </w:tcPr>
          <w:p>
            <w:pPr>
              <w:ind w:left="140"/>
              <w:spacing w:after="0" w:line="202" w:lineRule="exact"/>
              <w:rPr>
                <w:sz w:val="20"/>
                <w:szCs w:val="20"/>
                <w:color w:val="auto"/>
              </w:rPr>
            </w:pPr>
            <w:r>
              <w:rPr>
                <w:rFonts w:ascii="Arial" w:cs="Arial" w:eastAsia="Arial" w:hAnsi="Arial"/>
                <w:sz w:val="18"/>
                <w:szCs w:val="18"/>
                <w:color w:val="auto"/>
              </w:rPr>
              <w:t>•  None</w:t>
            </w:r>
          </w:p>
        </w:tc>
        <w:tc>
          <w:tcPr>
            <w:tcW w:w="6940" w:type="dxa"/>
            <w:vAlign w:val="bottom"/>
          </w:tcPr>
          <w:p>
            <w:pPr>
              <w:ind w:left="1060"/>
              <w:spacing w:after="0" w:line="202" w:lineRule="exact"/>
              <w:rPr>
                <w:sz w:val="20"/>
                <w:szCs w:val="20"/>
                <w:color w:val="auto"/>
              </w:rPr>
            </w:pPr>
            <w:r>
              <w:rPr>
                <w:rFonts w:ascii="Arial" w:cs="Arial" w:eastAsia="Arial" w:hAnsi="Arial"/>
                <w:sz w:val="18"/>
                <w:szCs w:val="18"/>
                <w:color w:val="auto"/>
              </w:rPr>
              <w:t>•  VEREIT, Inc. (2015 – present)</w:t>
            </w:r>
          </w:p>
        </w:tc>
      </w:tr>
      <w:tr>
        <w:trPr>
          <w:trHeight w:val="203"/>
        </w:trPr>
        <w:tc>
          <w:tcPr>
            <w:tcW w:w="4080" w:type="dxa"/>
            <w:vAlign w:val="bottom"/>
          </w:tcPr>
          <w:p>
            <w:pPr>
              <w:spacing w:after="0"/>
              <w:rPr>
                <w:sz w:val="17"/>
                <w:szCs w:val="17"/>
                <w:color w:val="auto"/>
              </w:rPr>
            </w:pPr>
          </w:p>
        </w:tc>
        <w:tc>
          <w:tcPr>
            <w:tcW w:w="6940" w:type="dxa"/>
            <w:vAlign w:val="bottom"/>
          </w:tcPr>
          <w:p>
            <w:pPr>
              <w:ind w:left="1060"/>
              <w:spacing w:after="0" w:line="202" w:lineRule="exact"/>
              <w:rPr>
                <w:sz w:val="20"/>
                <w:szCs w:val="20"/>
                <w:color w:val="auto"/>
              </w:rPr>
            </w:pPr>
            <w:r>
              <w:rPr>
                <w:rFonts w:ascii="Arial" w:cs="Arial" w:eastAsia="Arial" w:hAnsi="Arial"/>
                <w:sz w:val="18"/>
                <w:szCs w:val="18"/>
                <w:color w:val="auto"/>
              </w:rPr>
              <w:t>•  Forest City Realty Trust, Inc. (2018)</w:t>
            </w:r>
          </w:p>
        </w:tc>
      </w:tr>
      <w:tr>
        <w:trPr>
          <w:trHeight w:val="203"/>
        </w:trPr>
        <w:tc>
          <w:tcPr>
            <w:tcW w:w="4080" w:type="dxa"/>
            <w:vAlign w:val="bottom"/>
          </w:tcPr>
          <w:p>
            <w:pPr>
              <w:spacing w:after="0"/>
              <w:rPr>
                <w:sz w:val="17"/>
                <w:szCs w:val="17"/>
                <w:color w:val="auto"/>
              </w:rPr>
            </w:pPr>
          </w:p>
        </w:tc>
        <w:tc>
          <w:tcPr>
            <w:tcW w:w="6940" w:type="dxa"/>
            <w:vAlign w:val="bottom"/>
          </w:tcPr>
          <w:p>
            <w:pPr>
              <w:ind w:left="1060"/>
              <w:spacing w:after="0" w:line="202" w:lineRule="exact"/>
              <w:rPr>
                <w:sz w:val="20"/>
                <w:szCs w:val="20"/>
                <w:color w:val="auto"/>
              </w:rPr>
            </w:pPr>
            <w:r>
              <w:rPr>
                <w:rFonts w:ascii="Arial" w:cs="Arial" w:eastAsia="Arial" w:hAnsi="Arial"/>
                <w:sz w:val="18"/>
                <w:szCs w:val="18"/>
                <w:color w:val="auto"/>
              </w:rPr>
              <w:t>•  Quality Care Properties, Inc. (2016 – 2018)</w:t>
            </w:r>
          </w:p>
        </w:tc>
      </w:tr>
      <w:tr>
        <w:trPr>
          <w:trHeight w:val="217"/>
        </w:trPr>
        <w:tc>
          <w:tcPr>
            <w:tcW w:w="4080" w:type="dxa"/>
            <w:vAlign w:val="bottom"/>
            <w:tcBorders>
              <w:bottom w:val="single" w:sz="8" w:color="auto"/>
            </w:tcBorders>
          </w:tcPr>
          <w:p>
            <w:pPr>
              <w:spacing w:after="0"/>
              <w:rPr>
                <w:sz w:val="18"/>
                <w:szCs w:val="18"/>
                <w:color w:val="auto"/>
              </w:rPr>
            </w:pPr>
          </w:p>
        </w:tc>
        <w:tc>
          <w:tcPr>
            <w:tcW w:w="694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  Washington Prime Group (2014 – 2017)</w:t>
            </w:r>
          </w:p>
        </w:tc>
      </w:tr>
      <w:tr>
        <w:trPr>
          <w:trHeight w:val="195"/>
        </w:trPr>
        <w:tc>
          <w:tcPr>
            <w:tcW w:w="4080" w:type="dxa"/>
            <w:vAlign w:val="bottom"/>
          </w:tcPr>
          <w:p>
            <w:pPr>
              <w:ind w:left="140"/>
              <w:spacing w:after="0" w:line="195" w:lineRule="exact"/>
              <w:rPr>
                <w:sz w:val="20"/>
                <w:szCs w:val="20"/>
                <w:color w:val="auto"/>
              </w:rPr>
            </w:pPr>
            <w:r>
              <w:rPr>
                <w:rFonts w:ascii="Arial" w:cs="Arial" w:eastAsia="Arial" w:hAnsi="Arial"/>
                <w:sz w:val="18"/>
                <w:szCs w:val="18"/>
                <w:b w:val="1"/>
                <w:bCs w:val="1"/>
                <w:color w:val="auto"/>
              </w:rPr>
              <w:t>Specific Qualifications and Skills:</w:t>
            </w:r>
          </w:p>
        </w:tc>
        <w:tc>
          <w:tcPr>
            <w:tcW w:w="6940" w:type="dxa"/>
            <w:vAlign w:val="bottom"/>
          </w:tcPr>
          <w:p>
            <w:pPr>
              <w:spacing w:after="0"/>
              <w:rPr>
                <w:sz w:val="16"/>
                <w:szCs w:val="16"/>
                <w:color w:val="auto"/>
              </w:rPr>
            </w:pPr>
          </w:p>
        </w:tc>
      </w:tr>
    </w:tbl>
    <w:p>
      <w:pPr>
        <w:ind w:left="360" w:right="60"/>
        <w:spacing w:after="0" w:line="246" w:lineRule="auto"/>
        <w:rPr>
          <w:sz w:val="20"/>
          <w:szCs w:val="20"/>
          <w:color w:val="auto"/>
        </w:rPr>
      </w:pPr>
      <w:r>
        <w:rPr>
          <w:rFonts w:ascii="Arial" w:cs="Arial" w:eastAsia="Arial" w:hAnsi="Arial"/>
          <w:sz w:val="18"/>
          <w:szCs w:val="18"/>
          <w:color w:val="auto"/>
        </w:rPr>
        <w:t>Mr. Ordan’s extensive public company leadership experience in the REIT industry and past retailing experience provides the Board and management with retail, real estate and public company perspectives that are critical to the day to day operation of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160020</wp:posOffset>
            </wp:positionV>
            <wp:extent cx="7006590" cy="24955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06590" cy="2495550"/>
                    </a:xfrm>
                    <a:prstGeom prst="rect">
                      <a:avLst/>
                    </a:prstGeom>
                    <a:noFill/>
                  </pic:spPr>
                </pic:pic>
              </a:graphicData>
            </a:graphic>
          </wp:anchor>
        </w:drawing>
      </w:r>
    </w:p>
    <w:p>
      <w:pPr>
        <w:spacing w:after="0" w:line="309" w:lineRule="exact"/>
        <w:rPr>
          <w:sz w:val="20"/>
          <w:szCs w:val="20"/>
          <w:color w:val="auto"/>
        </w:rPr>
      </w:pPr>
    </w:p>
    <w:p>
      <w:pPr>
        <w:ind w:left="360"/>
        <w:spacing w:after="0"/>
        <w:rPr>
          <w:sz w:val="20"/>
          <w:szCs w:val="20"/>
          <w:color w:val="auto"/>
        </w:rPr>
      </w:pPr>
      <w:r>
        <w:rPr>
          <w:rFonts w:ascii="Arial" w:cs="Arial" w:eastAsia="Arial" w:hAnsi="Arial"/>
          <w:sz w:val="25"/>
          <w:szCs w:val="25"/>
          <w:b w:val="1"/>
          <w:bCs w:val="1"/>
          <w:color w:val="FFFFFF"/>
        </w:rPr>
        <w:t>Gail P. Steinel</w:t>
      </w:r>
    </w:p>
    <w:p>
      <w:pPr>
        <w:spacing w:after="0" w:line="112" w:lineRule="exact"/>
        <w:rPr>
          <w:sz w:val="20"/>
          <w:szCs w:val="20"/>
          <w:color w:val="auto"/>
        </w:rPr>
      </w:pPr>
    </w:p>
    <w:tbl>
      <w:tblPr>
        <w:tblLayout w:type="fixed"/>
        <w:tblInd w:w="2440" w:type="dxa"/>
        <w:tblCellMar>
          <w:top w:w="0" w:type="dxa"/>
          <w:left w:w="0" w:type="dxa"/>
          <w:bottom w:w="0" w:type="dxa"/>
          <w:right w:w="0" w:type="dxa"/>
        </w:tblCellMar>
      </w:tblPr>
      <w:tr>
        <w:trPr>
          <w:trHeight w:val="225"/>
        </w:trPr>
        <w:tc>
          <w:tcPr>
            <w:tcW w:w="2260" w:type="dxa"/>
            <w:vAlign w:val="bottom"/>
          </w:tcPr>
          <w:p>
            <w:pPr>
              <w:spacing w:after="0"/>
              <w:rPr>
                <w:sz w:val="19"/>
                <w:szCs w:val="19"/>
                <w:color w:val="auto"/>
              </w:rPr>
            </w:pPr>
          </w:p>
        </w:tc>
        <w:tc>
          <w:tcPr>
            <w:tcW w:w="6480" w:type="dxa"/>
            <w:vAlign w:val="bottom"/>
            <w:gridSpan w:val="2"/>
          </w:tcPr>
          <w:p>
            <w:pPr>
              <w:ind w:left="660"/>
              <w:spacing w:after="0"/>
              <w:rPr>
                <w:sz w:val="20"/>
                <w:szCs w:val="20"/>
                <w:color w:val="auto"/>
              </w:rPr>
            </w:pPr>
            <w:r>
              <w:rPr>
                <w:rFonts w:ascii="Arial" w:cs="Arial" w:eastAsia="Arial" w:hAnsi="Arial"/>
                <w:sz w:val="18"/>
                <w:szCs w:val="18"/>
                <w:b w:val="1"/>
                <w:bCs w:val="1"/>
                <w:color w:val="auto"/>
              </w:rPr>
              <w:t>Business Experience:</w:t>
            </w:r>
          </w:p>
        </w:tc>
      </w:tr>
      <w:tr>
        <w:trPr>
          <w:trHeight w:val="203"/>
        </w:trPr>
        <w:tc>
          <w:tcPr>
            <w:tcW w:w="2260" w:type="dxa"/>
            <w:vAlign w:val="bottom"/>
          </w:tcPr>
          <w:p>
            <w:pPr>
              <w:spacing w:after="0" w:line="202" w:lineRule="exact"/>
              <w:rPr>
                <w:sz w:val="20"/>
                <w:szCs w:val="20"/>
                <w:color w:val="auto"/>
              </w:rPr>
            </w:pPr>
            <w:r>
              <w:rPr>
                <w:rFonts w:ascii="Arial" w:cs="Arial" w:eastAsia="Arial" w:hAnsi="Arial"/>
                <w:sz w:val="18"/>
                <w:szCs w:val="18"/>
                <w:color w:val="auto"/>
              </w:rPr>
              <w:t>Age: 62</w:t>
            </w:r>
          </w:p>
        </w:tc>
        <w:tc>
          <w:tcPr>
            <w:tcW w:w="64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   Owner of Executive Advisors (2007 – present)</w:t>
            </w:r>
          </w:p>
        </w:tc>
      </w:tr>
      <w:tr>
        <w:trPr>
          <w:trHeight w:val="203"/>
        </w:trPr>
        <w:tc>
          <w:tcPr>
            <w:tcW w:w="2260" w:type="dxa"/>
            <w:vAlign w:val="bottom"/>
          </w:tcPr>
          <w:p>
            <w:pPr>
              <w:spacing w:after="0" w:line="202" w:lineRule="exact"/>
              <w:rPr>
                <w:sz w:val="20"/>
                <w:szCs w:val="20"/>
                <w:color w:val="auto"/>
              </w:rPr>
            </w:pPr>
            <w:r>
              <w:rPr>
                <w:rFonts w:ascii="Arial" w:cs="Arial" w:eastAsia="Arial" w:hAnsi="Arial"/>
                <w:sz w:val="18"/>
                <w:szCs w:val="18"/>
                <w:color w:val="auto"/>
              </w:rPr>
              <w:t>Trustee since: 2006</w:t>
            </w:r>
          </w:p>
        </w:tc>
        <w:tc>
          <w:tcPr>
            <w:tcW w:w="840" w:type="dxa"/>
            <w:vAlign w:val="bottom"/>
          </w:tcPr>
          <w:p>
            <w:pPr>
              <w:ind w:left="660"/>
              <w:spacing w:after="0" w:line="202" w:lineRule="exact"/>
              <w:rPr>
                <w:sz w:val="20"/>
                <w:szCs w:val="20"/>
                <w:color w:val="auto"/>
              </w:rPr>
            </w:pPr>
            <w:r>
              <w:rPr>
                <w:rFonts w:ascii="Arial" w:cs="Arial" w:eastAsia="Arial" w:hAnsi="Arial"/>
                <w:sz w:val="18"/>
                <w:szCs w:val="18"/>
                <w:color w:val="auto"/>
              </w:rPr>
              <w:t>•</w:t>
            </w:r>
          </w:p>
        </w:tc>
        <w:tc>
          <w:tcPr>
            <w:tcW w:w="5640" w:type="dxa"/>
            <w:vAlign w:val="bottom"/>
          </w:tcPr>
          <w:p>
            <w:pPr>
              <w:ind w:left="140"/>
              <w:spacing w:after="0" w:line="202" w:lineRule="exact"/>
              <w:rPr>
                <w:sz w:val="20"/>
                <w:szCs w:val="20"/>
                <w:color w:val="auto"/>
              </w:rPr>
            </w:pPr>
            <w:r>
              <w:rPr>
                <w:rFonts w:ascii="Arial" w:cs="Arial" w:eastAsia="Arial" w:hAnsi="Arial"/>
                <w:sz w:val="18"/>
                <w:szCs w:val="18"/>
                <w:color w:val="auto"/>
              </w:rPr>
              <w:t>Executive Vice President of BearingPoint, Inc. (2002 – 2007)</w:t>
            </w:r>
          </w:p>
        </w:tc>
      </w:tr>
      <w:tr>
        <w:trPr>
          <w:trHeight w:val="203"/>
        </w:trPr>
        <w:tc>
          <w:tcPr>
            <w:tcW w:w="2260" w:type="dxa"/>
            <w:vAlign w:val="bottom"/>
          </w:tcPr>
          <w:p>
            <w:pPr>
              <w:spacing w:after="0" w:line="202" w:lineRule="exact"/>
              <w:rPr>
                <w:sz w:val="20"/>
                <w:szCs w:val="20"/>
                <w:color w:val="auto"/>
              </w:rPr>
            </w:pPr>
            <w:r>
              <w:rPr>
                <w:rFonts w:ascii="Arial" w:cs="Arial" w:eastAsia="Arial" w:hAnsi="Arial"/>
                <w:sz w:val="18"/>
                <w:szCs w:val="18"/>
                <w:color w:val="auto"/>
              </w:rPr>
              <w:t>Independent</w:t>
            </w:r>
          </w:p>
        </w:tc>
        <w:tc>
          <w:tcPr>
            <w:tcW w:w="840" w:type="dxa"/>
            <w:vAlign w:val="bottom"/>
          </w:tcPr>
          <w:p>
            <w:pPr>
              <w:ind w:left="660"/>
              <w:spacing w:after="0" w:line="202" w:lineRule="exact"/>
              <w:rPr>
                <w:sz w:val="20"/>
                <w:szCs w:val="20"/>
                <w:color w:val="auto"/>
              </w:rPr>
            </w:pPr>
            <w:r>
              <w:rPr>
                <w:rFonts w:ascii="Arial" w:cs="Arial" w:eastAsia="Arial" w:hAnsi="Arial"/>
                <w:sz w:val="18"/>
                <w:szCs w:val="18"/>
                <w:color w:val="auto"/>
              </w:rPr>
              <w:t>•</w:t>
            </w:r>
          </w:p>
        </w:tc>
        <w:tc>
          <w:tcPr>
            <w:tcW w:w="5640" w:type="dxa"/>
            <w:vAlign w:val="bottom"/>
          </w:tcPr>
          <w:p>
            <w:pPr>
              <w:ind w:left="140"/>
              <w:spacing w:after="0" w:line="202" w:lineRule="exact"/>
              <w:rPr>
                <w:sz w:val="20"/>
                <w:szCs w:val="20"/>
                <w:color w:val="auto"/>
              </w:rPr>
            </w:pPr>
            <w:r>
              <w:rPr>
                <w:rFonts w:ascii="Arial" w:cs="Arial" w:eastAsia="Arial" w:hAnsi="Arial"/>
                <w:sz w:val="18"/>
                <w:szCs w:val="18"/>
                <w:color w:val="auto"/>
              </w:rPr>
              <w:t>Global  Managing  Partner  of  Management  and  Technology</w:t>
            </w:r>
          </w:p>
        </w:tc>
      </w:tr>
      <w:tr>
        <w:trPr>
          <w:trHeight w:val="217"/>
        </w:trPr>
        <w:tc>
          <w:tcPr>
            <w:tcW w:w="2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40" w:type="dxa"/>
            <w:vAlign w:val="bottom"/>
          </w:tcPr>
          <w:p>
            <w:pPr>
              <w:ind w:left="120"/>
              <w:spacing w:after="0"/>
              <w:rPr>
                <w:sz w:val="20"/>
                <w:szCs w:val="20"/>
                <w:color w:val="auto"/>
              </w:rPr>
            </w:pPr>
            <w:r>
              <w:rPr>
                <w:rFonts w:ascii="Arial" w:cs="Arial" w:eastAsia="Arial" w:hAnsi="Arial"/>
                <w:sz w:val="18"/>
                <w:szCs w:val="18"/>
                <w:color w:val="auto"/>
              </w:rPr>
              <w:t>Consulting Practice for Arthur Andersen (1984 – 2002)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360" w:type="dxa"/>
        <w:tblCellMar>
          <w:top w:w="0" w:type="dxa"/>
          <w:left w:w="0" w:type="dxa"/>
          <w:bottom w:w="0" w:type="dxa"/>
          <w:right w:w="0" w:type="dxa"/>
        </w:tblCellMar>
      </w:tblPr>
      <w:tr>
        <w:trPr>
          <w:trHeight w:val="238"/>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Board Committees:</w:t>
            </w:r>
          </w:p>
        </w:tc>
        <w:tc>
          <w:tcPr>
            <w:tcW w:w="5400" w:type="dxa"/>
            <w:vAlign w:val="bottom"/>
          </w:tcPr>
          <w:p>
            <w:pPr>
              <w:ind w:left="1660"/>
              <w:spacing w:after="0"/>
              <w:rPr>
                <w:sz w:val="20"/>
                <w:szCs w:val="20"/>
                <w:color w:val="auto"/>
              </w:rPr>
            </w:pPr>
            <w:r>
              <w:rPr>
                <w:rFonts w:ascii="Arial" w:cs="Arial" w:eastAsia="Arial" w:hAnsi="Arial"/>
                <w:sz w:val="18"/>
                <w:szCs w:val="18"/>
                <w:b w:val="1"/>
                <w:bCs w:val="1"/>
                <w:color w:val="auto"/>
              </w:rPr>
              <w:t>Public Company Boards:</w:t>
            </w:r>
          </w:p>
        </w:tc>
      </w:tr>
      <w:tr>
        <w:trPr>
          <w:trHeight w:val="203"/>
        </w:trPr>
        <w:tc>
          <w:tcPr>
            <w:tcW w:w="1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3180" w:type="dxa"/>
            <w:vAlign w:val="bottom"/>
          </w:tcPr>
          <w:p>
            <w:pPr>
              <w:ind w:left="100"/>
              <w:spacing w:after="0" w:line="202" w:lineRule="exact"/>
              <w:rPr>
                <w:sz w:val="20"/>
                <w:szCs w:val="20"/>
                <w:color w:val="auto"/>
              </w:rPr>
            </w:pPr>
            <w:r>
              <w:rPr>
                <w:rFonts w:ascii="Arial" w:cs="Arial" w:eastAsia="Arial" w:hAnsi="Arial"/>
                <w:sz w:val="18"/>
                <w:szCs w:val="18"/>
                <w:color w:val="auto"/>
              </w:rPr>
              <w:t>Audit (Chair)</w:t>
            </w:r>
          </w:p>
        </w:tc>
        <w:tc>
          <w:tcPr>
            <w:tcW w:w="5400" w:type="dxa"/>
            <w:vAlign w:val="bottom"/>
          </w:tcPr>
          <w:p>
            <w:pPr>
              <w:ind w:left="1660"/>
              <w:spacing w:after="0" w:line="202" w:lineRule="exact"/>
              <w:rPr>
                <w:sz w:val="20"/>
                <w:szCs w:val="20"/>
                <w:color w:val="auto"/>
              </w:rPr>
            </w:pPr>
            <w:r>
              <w:rPr>
                <w:rFonts w:ascii="Arial" w:cs="Arial" w:eastAsia="Arial" w:hAnsi="Arial"/>
                <w:sz w:val="18"/>
                <w:szCs w:val="18"/>
                <w:color w:val="auto"/>
              </w:rPr>
              <w:t>•  MTS Systems Corporation (2009 – present)</w:t>
            </w:r>
          </w:p>
        </w:tc>
      </w:tr>
      <w:tr>
        <w:trPr>
          <w:trHeight w:val="217"/>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180" w:type="dxa"/>
            <w:vAlign w:val="bottom"/>
          </w:tcPr>
          <w:p>
            <w:pPr>
              <w:ind w:left="100"/>
              <w:spacing w:after="0"/>
              <w:rPr>
                <w:sz w:val="20"/>
                <w:szCs w:val="20"/>
                <w:color w:val="auto"/>
              </w:rPr>
            </w:pPr>
            <w:r>
              <w:rPr>
                <w:rFonts w:ascii="Arial" w:cs="Arial" w:eastAsia="Arial" w:hAnsi="Arial"/>
                <w:sz w:val="18"/>
                <w:szCs w:val="18"/>
                <w:color w:val="auto"/>
              </w:rPr>
              <w:t>Compensation</w:t>
            </w:r>
          </w:p>
        </w:tc>
        <w:tc>
          <w:tcPr>
            <w:tcW w:w="5400" w:type="dxa"/>
            <w:vAlign w:val="bottom"/>
          </w:tcPr>
          <w:p>
            <w:pPr>
              <w:spacing w:after="0"/>
              <w:rPr>
                <w:sz w:val="18"/>
                <w:szCs w:val="18"/>
                <w:color w:val="auto"/>
              </w:rPr>
            </w:pPr>
          </w:p>
        </w:tc>
      </w:tr>
    </w:tbl>
    <w:p>
      <w:pPr>
        <w:spacing w:after="0" w:line="1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Specific Qualifications and Skills:</w:t>
      </w:r>
    </w:p>
    <w:p>
      <w:pPr>
        <w:spacing w:after="0" w:line="18" w:lineRule="exact"/>
        <w:rPr>
          <w:sz w:val="20"/>
          <w:szCs w:val="20"/>
          <w:color w:val="auto"/>
        </w:rPr>
      </w:pPr>
    </w:p>
    <w:p>
      <w:pPr>
        <w:ind w:left="360" w:right="60"/>
        <w:spacing w:after="0" w:line="246" w:lineRule="auto"/>
        <w:rPr>
          <w:sz w:val="20"/>
          <w:szCs w:val="20"/>
          <w:color w:val="auto"/>
        </w:rPr>
      </w:pPr>
      <w:r>
        <w:rPr>
          <w:rFonts w:ascii="Arial" w:cs="Arial" w:eastAsia="Arial" w:hAnsi="Arial"/>
          <w:sz w:val="18"/>
          <w:szCs w:val="18"/>
          <w:color w:val="auto"/>
        </w:rPr>
        <w:t>Ms. Steinel has over 25 years of auditing and consulting experience that provides the Board with valuable accounting and financial expertise, as well as a helpful perspective on leadership and on managing risk and systems operations.</w:t>
      </w:r>
    </w:p>
    <w:p>
      <w:pPr>
        <w:spacing w:after="0" w:line="15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240" w:top="459" w:right="4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7006590" cy="24441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06590" cy="2444115"/>
                    </a:xfrm>
                    <a:prstGeom prst="rect">
                      <a:avLst/>
                    </a:prstGeom>
                    <a:noFill/>
                  </pic:spPr>
                </pic:pic>
              </a:graphicData>
            </a:graphic>
          </wp:anchor>
        </w:drawing>
      </w:r>
    </w:p>
    <w:p>
      <w:pPr>
        <w:spacing w:after="0" w:line="382" w:lineRule="exact"/>
        <w:rPr>
          <w:sz w:val="20"/>
          <w:szCs w:val="20"/>
          <w:color w:val="auto"/>
        </w:rPr>
      </w:pPr>
    </w:p>
    <w:p>
      <w:pPr>
        <w:ind w:left="360"/>
        <w:spacing w:after="0"/>
        <w:rPr>
          <w:sz w:val="20"/>
          <w:szCs w:val="20"/>
          <w:color w:val="auto"/>
        </w:rPr>
      </w:pPr>
      <w:r>
        <w:rPr>
          <w:rFonts w:ascii="Arial" w:cs="Arial" w:eastAsia="Arial" w:hAnsi="Arial"/>
          <w:sz w:val="25"/>
          <w:szCs w:val="25"/>
          <w:b w:val="1"/>
          <w:bCs w:val="1"/>
          <w:color w:val="FFFFFF"/>
        </w:rPr>
        <w:t>Warren M. Thompson</w:t>
      </w:r>
    </w:p>
    <w:p>
      <w:pPr>
        <w:spacing w:after="0" w:line="112" w:lineRule="exact"/>
        <w:rPr>
          <w:sz w:val="20"/>
          <w:szCs w:val="20"/>
          <w:color w:val="auto"/>
        </w:rPr>
      </w:pPr>
    </w:p>
    <w:tbl>
      <w:tblPr>
        <w:tblLayout w:type="fixed"/>
        <w:tblInd w:w="2440" w:type="dxa"/>
        <w:tblCellMar>
          <w:top w:w="0" w:type="dxa"/>
          <w:left w:w="0" w:type="dxa"/>
          <w:bottom w:w="0" w:type="dxa"/>
          <w:right w:w="0" w:type="dxa"/>
        </w:tblCellMar>
      </w:tblPr>
      <w:tr>
        <w:trPr>
          <w:trHeight w:val="225"/>
        </w:trPr>
        <w:tc>
          <w:tcPr>
            <w:tcW w:w="2260" w:type="dxa"/>
            <w:vAlign w:val="bottom"/>
          </w:tcPr>
          <w:p>
            <w:pPr>
              <w:spacing w:after="0"/>
              <w:rPr>
                <w:sz w:val="19"/>
                <w:szCs w:val="19"/>
                <w:color w:val="auto"/>
              </w:rPr>
            </w:pPr>
          </w:p>
        </w:tc>
        <w:tc>
          <w:tcPr>
            <w:tcW w:w="6480" w:type="dxa"/>
            <w:vAlign w:val="bottom"/>
          </w:tcPr>
          <w:p>
            <w:pPr>
              <w:ind w:left="660"/>
              <w:spacing w:after="0"/>
              <w:rPr>
                <w:sz w:val="20"/>
                <w:szCs w:val="20"/>
                <w:color w:val="auto"/>
              </w:rPr>
            </w:pPr>
            <w:r>
              <w:rPr>
                <w:rFonts w:ascii="Arial" w:cs="Arial" w:eastAsia="Arial" w:hAnsi="Arial"/>
                <w:sz w:val="18"/>
                <w:szCs w:val="18"/>
                <w:b w:val="1"/>
                <w:bCs w:val="1"/>
                <w:color w:val="auto"/>
              </w:rPr>
              <w:t>Business Experience:</w:t>
            </w:r>
          </w:p>
        </w:tc>
      </w:tr>
      <w:tr>
        <w:trPr>
          <w:trHeight w:val="203"/>
        </w:trPr>
        <w:tc>
          <w:tcPr>
            <w:tcW w:w="2260" w:type="dxa"/>
            <w:vAlign w:val="bottom"/>
          </w:tcPr>
          <w:p>
            <w:pPr>
              <w:spacing w:after="0" w:line="202" w:lineRule="exact"/>
              <w:rPr>
                <w:sz w:val="20"/>
                <w:szCs w:val="20"/>
                <w:color w:val="auto"/>
              </w:rPr>
            </w:pPr>
            <w:r>
              <w:rPr>
                <w:rFonts w:ascii="Arial" w:cs="Arial" w:eastAsia="Arial" w:hAnsi="Arial"/>
                <w:sz w:val="18"/>
                <w:szCs w:val="18"/>
                <w:color w:val="auto"/>
              </w:rPr>
              <w:t>Age: 59</w:t>
            </w:r>
          </w:p>
        </w:tc>
        <w:tc>
          <w:tcPr>
            <w:tcW w:w="6480" w:type="dxa"/>
            <w:vAlign w:val="bottom"/>
          </w:tcPr>
          <w:p>
            <w:pPr>
              <w:ind w:left="660"/>
              <w:spacing w:after="0" w:line="202" w:lineRule="exact"/>
              <w:rPr>
                <w:sz w:val="20"/>
                <w:szCs w:val="20"/>
                <w:color w:val="auto"/>
              </w:rPr>
            </w:pPr>
            <w:r>
              <w:rPr>
                <w:rFonts w:ascii="Arial" w:cs="Arial" w:eastAsia="Arial" w:hAnsi="Arial"/>
                <w:sz w:val="18"/>
                <w:szCs w:val="18"/>
                <w:color w:val="auto"/>
              </w:rPr>
              <w:t>•   President and Chairman of Thompson Hospitality Corporation since</w:t>
            </w:r>
          </w:p>
        </w:tc>
      </w:tr>
      <w:tr>
        <w:trPr>
          <w:trHeight w:val="203"/>
        </w:trPr>
        <w:tc>
          <w:tcPr>
            <w:tcW w:w="2260" w:type="dxa"/>
            <w:vAlign w:val="bottom"/>
          </w:tcPr>
          <w:p>
            <w:pPr>
              <w:spacing w:after="0" w:line="202" w:lineRule="exact"/>
              <w:rPr>
                <w:sz w:val="20"/>
                <w:szCs w:val="20"/>
                <w:color w:val="auto"/>
              </w:rPr>
            </w:pPr>
            <w:r>
              <w:rPr>
                <w:rFonts w:ascii="Arial" w:cs="Arial" w:eastAsia="Arial" w:hAnsi="Arial"/>
                <w:sz w:val="18"/>
                <w:szCs w:val="18"/>
                <w:color w:val="auto"/>
              </w:rPr>
              <w:t>Trustee since: 2007</w:t>
            </w:r>
          </w:p>
        </w:tc>
        <w:tc>
          <w:tcPr>
            <w:tcW w:w="6480" w:type="dxa"/>
            <w:vAlign w:val="bottom"/>
          </w:tcPr>
          <w:p>
            <w:pPr>
              <w:ind w:left="960"/>
              <w:spacing w:after="0" w:line="202" w:lineRule="exact"/>
              <w:rPr>
                <w:sz w:val="20"/>
                <w:szCs w:val="20"/>
                <w:color w:val="auto"/>
              </w:rPr>
            </w:pPr>
            <w:r>
              <w:rPr>
                <w:rFonts w:ascii="Arial" w:cs="Arial" w:eastAsia="Arial" w:hAnsi="Arial"/>
                <w:sz w:val="18"/>
                <w:szCs w:val="18"/>
                <w:color w:val="auto"/>
              </w:rPr>
              <w:t>founding the company (1992 – present)</w:t>
            </w:r>
          </w:p>
        </w:tc>
      </w:tr>
      <w:tr>
        <w:trPr>
          <w:trHeight w:val="217"/>
        </w:trPr>
        <w:tc>
          <w:tcPr>
            <w:tcW w:w="2260" w:type="dxa"/>
            <w:vAlign w:val="bottom"/>
          </w:tcPr>
          <w:p>
            <w:pPr>
              <w:spacing w:after="0"/>
              <w:rPr>
                <w:sz w:val="20"/>
                <w:szCs w:val="20"/>
                <w:color w:val="auto"/>
              </w:rPr>
            </w:pPr>
            <w:r>
              <w:rPr>
                <w:rFonts w:ascii="Arial" w:cs="Arial" w:eastAsia="Arial" w:hAnsi="Arial"/>
                <w:sz w:val="18"/>
                <w:szCs w:val="18"/>
                <w:color w:val="auto"/>
              </w:rPr>
              <w:t>Independent</w:t>
            </w:r>
          </w:p>
        </w:tc>
        <w:tc>
          <w:tcPr>
            <w:tcW w:w="648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220" w:type="dxa"/>
        <w:tblCellMar>
          <w:top w:w="0" w:type="dxa"/>
          <w:left w:w="0" w:type="dxa"/>
          <w:bottom w:w="0" w:type="dxa"/>
          <w:right w:w="0" w:type="dxa"/>
        </w:tblCellMar>
      </w:tblPr>
      <w:tr>
        <w:trPr>
          <w:trHeight w:val="215"/>
        </w:trPr>
        <w:tc>
          <w:tcPr>
            <w:tcW w:w="464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Board Committees:</w:t>
            </w:r>
          </w:p>
        </w:tc>
        <w:tc>
          <w:tcPr>
            <w:tcW w:w="6380" w:type="dxa"/>
            <w:vAlign w:val="bottom"/>
            <w:tcBorders>
              <w:top w:val="single" w:sz="8" w:color="auto"/>
            </w:tcBorders>
          </w:tcPr>
          <w:p>
            <w:pPr>
              <w:ind w:left="500"/>
              <w:spacing w:after="0"/>
              <w:rPr>
                <w:sz w:val="20"/>
                <w:szCs w:val="20"/>
                <w:color w:val="auto"/>
              </w:rPr>
            </w:pPr>
            <w:r>
              <w:rPr>
                <w:rFonts w:ascii="Arial" w:cs="Arial" w:eastAsia="Arial" w:hAnsi="Arial"/>
                <w:sz w:val="18"/>
                <w:szCs w:val="18"/>
                <w:b w:val="1"/>
                <w:bCs w:val="1"/>
                <w:color w:val="auto"/>
              </w:rPr>
              <w:t>Public Company Boards:</w:t>
            </w:r>
          </w:p>
        </w:tc>
      </w:tr>
      <w:tr>
        <w:trPr>
          <w:trHeight w:val="203"/>
        </w:trPr>
        <w:tc>
          <w:tcPr>
            <w:tcW w:w="300" w:type="dxa"/>
            <w:vAlign w:val="bottom"/>
          </w:tcPr>
          <w:p>
            <w:pPr>
              <w:ind w:left="140"/>
              <w:spacing w:after="0" w:line="202" w:lineRule="exact"/>
              <w:rPr>
                <w:sz w:val="20"/>
                <w:szCs w:val="20"/>
                <w:color w:val="auto"/>
              </w:rPr>
            </w:pPr>
            <w:r>
              <w:rPr>
                <w:rFonts w:ascii="Arial" w:cs="Arial" w:eastAsia="Arial" w:hAnsi="Arial"/>
                <w:sz w:val="18"/>
                <w:szCs w:val="18"/>
                <w:color w:val="auto"/>
              </w:rPr>
              <w:t>•</w:t>
            </w:r>
          </w:p>
        </w:tc>
        <w:tc>
          <w:tcPr>
            <w:tcW w:w="4340" w:type="dxa"/>
            <w:vAlign w:val="bottom"/>
          </w:tcPr>
          <w:p>
            <w:pPr>
              <w:ind w:left="100"/>
              <w:spacing w:after="0" w:line="202" w:lineRule="exact"/>
              <w:rPr>
                <w:sz w:val="20"/>
                <w:szCs w:val="20"/>
                <w:color w:val="auto"/>
              </w:rPr>
            </w:pPr>
            <w:r>
              <w:rPr>
                <w:rFonts w:ascii="Arial" w:cs="Arial" w:eastAsia="Arial" w:hAnsi="Arial"/>
                <w:sz w:val="18"/>
                <w:szCs w:val="18"/>
                <w:color w:val="auto"/>
              </w:rPr>
              <w:t>Audit</w:t>
            </w:r>
          </w:p>
        </w:tc>
        <w:tc>
          <w:tcPr>
            <w:tcW w:w="6380" w:type="dxa"/>
            <w:vAlign w:val="bottom"/>
          </w:tcPr>
          <w:p>
            <w:pPr>
              <w:ind w:left="500"/>
              <w:spacing w:after="0" w:line="202" w:lineRule="exact"/>
              <w:rPr>
                <w:sz w:val="20"/>
                <w:szCs w:val="20"/>
                <w:color w:val="auto"/>
              </w:rPr>
            </w:pPr>
            <w:r>
              <w:rPr>
                <w:rFonts w:ascii="Arial" w:cs="Arial" w:eastAsia="Arial" w:hAnsi="Arial"/>
                <w:sz w:val="18"/>
                <w:szCs w:val="18"/>
                <w:color w:val="auto"/>
              </w:rPr>
              <w:t>•  Duke Realty Corporation (2019 – present)</w:t>
            </w:r>
          </w:p>
        </w:tc>
      </w:tr>
      <w:tr>
        <w:trPr>
          <w:trHeight w:val="216"/>
        </w:trPr>
        <w:tc>
          <w:tcPr>
            <w:tcW w:w="300" w:type="dxa"/>
            <w:vAlign w:val="bottom"/>
          </w:tcPr>
          <w:p>
            <w:pPr>
              <w:ind w:left="140"/>
              <w:spacing w:after="0"/>
              <w:rPr>
                <w:sz w:val="20"/>
                <w:szCs w:val="20"/>
                <w:color w:val="auto"/>
              </w:rPr>
            </w:pPr>
            <w:r>
              <w:rPr>
                <w:rFonts w:ascii="Arial" w:cs="Arial" w:eastAsia="Arial" w:hAnsi="Arial"/>
                <w:sz w:val="18"/>
                <w:szCs w:val="18"/>
                <w:color w:val="auto"/>
              </w:rPr>
              <w:t>•</w:t>
            </w:r>
          </w:p>
        </w:tc>
        <w:tc>
          <w:tcPr>
            <w:tcW w:w="4340" w:type="dxa"/>
            <w:vAlign w:val="bottom"/>
          </w:tcPr>
          <w:p>
            <w:pPr>
              <w:ind w:left="100"/>
              <w:spacing w:after="0"/>
              <w:rPr>
                <w:sz w:val="20"/>
                <w:szCs w:val="20"/>
                <w:color w:val="auto"/>
              </w:rPr>
            </w:pPr>
            <w:r>
              <w:rPr>
                <w:rFonts w:ascii="Arial" w:cs="Arial" w:eastAsia="Arial" w:hAnsi="Arial"/>
                <w:sz w:val="18"/>
                <w:szCs w:val="18"/>
                <w:color w:val="auto"/>
              </w:rPr>
              <w:t>Nominating and Corporate Governance (Chair)</w:t>
            </w:r>
          </w:p>
        </w:tc>
        <w:tc>
          <w:tcPr>
            <w:tcW w:w="6380" w:type="dxa"/>
            <w:vAlign w:val="bottom"/>
          </w:tcPr>
          <w:p>
            <w:pPr>
              <w:spacing w:after="0"/>
              <w:rPr>
                <w:sz w:val="18"/>
                <w:szCs w:val="18"/>
                <w:color w:val="auto"/>
              </w:rPr>
            </w:pPr>
          </w:p>
        </w:tc>
      </w:tr>
    </w:tbl>
    <w:p>
      <w:pPr>
        <w:ind w:left="360"/>
        <w:spacing w:after="0" w:line="234" w:lineRule="auto"/>
        <w:rPr>
          <w:sz w:val="20"/>
          <w:szCs w:val="20"/>
          <w:color w:val="auto"/>
        </w:rPr>
      </w:pPr>
      <w:r>
        <w:rPr>
          <w:rFonts w:ascii="Arial" w:cs="Arial" w:eastAsia="Arial" w:hAnsi="Arial"/>
          <w:sz w:val="18"/>
          <w:szCs w:val="18"/>
          <w:b w:val="1"/>
          <w:bCs w:val="1"/>
          <w:color w:val="auto"/>
        </w:rPr>
        <w:t>Specific Qualifications and Skills:</w:t>
      </w:r>
    </w:p>
    <w:p>
      <w:pPr>
        <w:spacing w:after="0" w:line="1" w:lineRule="exact"/>
        <w:rPr>
          <w:sz w:val="20"/>
          <w:szCs w:val="20"/>
          <w:color w:val="auto"/>
        </w:rPr>
      </w:pPr>
    </w:p>
    <w:p>
      <w:pPr>
        <w:jc w:val="both"/>
        <w:ind w:left="360" w:right="60"/>
        <w:spacing w:after="0" w:line="246" w:lineRule="auto"/>
        <w:rPr>
          <w:sz w:val="20"/>
          <w:szCs w:val="20"/>
          <w:color w:val="auto"/>
        </w:rPr>
      </w:pPr>
      <w:r>
        <w:rPr>
          <w:rFonts w:ascii="Arial" w:cs="Arial" w:eastAsia="Arial" w:hAnsi="Arial"/>
          <w:sz w:val="18"/>
          <w:szCs w:val="18"/>
          <w:color w:val="auto"/>
        </w:rPr>
        <w:t>Mr. Thompson’s experience running restaurants owned by Thompson Hospitality provides the Board and management with a unique perspective that is shared by a large percentage of the Trust’s retail tenants.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160020</wp:posOffset>
            </wp:positionV>
            <wp:extent cx="7006590" cy="26244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06590" cy="2624455"/>
                    </a:xfrm>
                    <a:prstGeom prst="rect">
                      <a:avLst/>
                    </a:prstGeom>
                    <a:noFill/>
                  </pic:spPr>
                </pic:pic>
              </a:graphicData>
            </a:graphic>
          </wp:anchor>
        </w:drawing>
      </w:r>
    </w:p>
    <w:p>
      <w:pPr>
        <w:spacing w:after="0" w:line="309" w:lineRule="exact"/>
        <w:rPr>
          <w:sz w:val="20"/>
          <w:szCs w:val="20"/>
          <w:color w:val="auto"/>
        </w:rPr>
      </w:pPr>
    </w:p>
    <w:p>
      <w:pPr>
        <w:ind w:left="360"/>
        <w:spacing w:after="0"/>
        <w:rPr>
          <w:sz w:val="20"/>
          <w:szCs w:val="20"/>
          <w:color w:val="auto"/>
        </w:rPr>
      </w:pPr>
      <w:r>
        <w:rPr>
          <w:rFonts w:ascii="Arial" w:cs="Arial" w:eastAsia="Arial" w:hAnsi="Arial"/>
          <w:sz w:val="25"/>
          <w:szCs w:val="25"/>
          <w:b w:val="1"/>
          <w:bCs w:val="1"/>
          <w:color w:val="FFFFFF"/>
        </w:rPr>
        <w:t>Joseph S. Vassalluzzo</w:t>
      </w:r>
    </w:p>
    <w:p>
      <w:pPr>
        <w:spacing w:after="0" w:line="112" w:lineRule="exact"/>
        <w:rPr>
          <w:sz w:val="20"/>
          <w:szCs w:val="20"/>
          <w:color w:val="auto"/>
        </w:rPr>
      </w:pPr>
    </w:p>
    <w:tbl>
      <w:tblPr>
        <w:tblLayout w:type="fixed"/>
        <w:tblInd w:w="2440" w:type="dxa"/>
        <w:tblCellMar>
          <w:top w:w="0" w:type="dxa"/>
          <w:left w:w="0" w:type="dxa"/>
          <w:bottom w:w="0" w:type="dxa"/>
          <w:right w:w="0" w:type="dxa"/>
        </w:tblCellMar>
      </w:tblPr>
      <w:tr>
        <w:trPr>
          <w:trHeight w:val="225"/>
        </w:trPr>
        <w:tc>
          <w:tcPr>
            <w:tcW w:w="2460" w:type="dxa"/>
            <w:vAlign w:val="bottom"/>
          </w:tcPr>
          <w:p>
            <w:pPr>
              <w:spacing w:after="0"/>
              <w:rPr>
                <w:sz w:val="19"/>
                <w:szCs w:val="19"/>
                <w:color w:val="auto"/>
              </w:rPr>
            </w:pPr>
          </w:p>
        </w:tc>
        <w:tc>
          <w:tcPr>
            <w:tcW w:w="6280" w:type="dxa"/>
            <w:vAlign w:val="bottom"/>
          </w:tcPr>
          <w:p>
            <w:pPr>
              <w:ind w:left="460"/>
              <w:spacing w:after="0"/>
              <w:rPr>
                <w:sz w:val="20"/>
                <w:szCs w:val="20"/>
                <w:color w:val="auto"/>
              </w:rPr>
            </w:pPr>
            <w:r>
              <w:rPr>
                <w:rFonts w:ascii="Arial" w:cs="Arial" w:eastAsia="Arial" w:hAnsi="Arial"/>
                <w:sz w:val="18"/>
                <w:szCs w:val="18"/>
                <w:b w:val="1"/>
                <w:bCs w:val="1"/>
                <w:color w:val="auto"/>
              </w:rPr>
              <w:t>Business Experience:</w:t>
            </w:r>
          </w:p>
        </w:tc>
      </w:tr>
      <w:tr>
        <w:trPr>
          <w:trHeight w:val="203"/>
        </w:trPr>
        <w:tc>
          <w:tcPr>
            <w:tcW w:w="2460" w:type="dxa"/>
            <w:vAlign w:val="bottom"/>
          </w:tcPr>
          <w:p>
            <w:pPr>
              <w:spacing w:after="0" w:line="202" w:lineRule="exact"/>
              <w:rPr>
                <w:sz w:val="20"/>
                <w:szCs w:val="20"/>
                <w:color w:val="auto"/>
              </w:rPr>
            </w:pPr>
            <w:r>
              <w:rPr>
                <w:rFonts w:ascii="Arial" w:cs="Arial" w:eastAsia="Arial" w:hAnsi="Arial"/>
                <w:sz w:val="18"/>
                <w:szCs w:val="18"/>
                <w:color w:val="auto"/>
              </w:rPr>
              <w:t>Age: 71</w:t>
            </w:r>
          </w:p>
        </w:tc>
        <w:tc>
          <w:tcPr>
            <w:tcW w:w="6280" w:type="dxa"/>
            <w:vAlign w:val="bottom"/>
          </w:tcPr>
          <w:p>
            <w:pPr>
              <w:ind w:left="460"/>
              <w:spacing w:after="0" w:line="202" w:lineRule="exact"/>
              <w:rPr>
                <w:sz w:val="20"/>
                <w:szCs w:val="20"/>
                <w:color w:val="auto"/>
              </w:rPr>
            </w:pPr>
            <w:r>
              <w:rPr>
                <w:rFonts w:ascii="Arial" w:cs="Arial" w:eastAsia="Arial" w:hAnsi="Arial"/>
                <w:sz w:val="18"/>
                <w:szCs w:val="18"/>
                <w:color w:val="auto"/>
              </w:rPr>
              <w:t>•   Non-Executive Chairman of the Board of Office Depot, Inc. (2017 –</w:t>
            </w:r>
          </w:p>
        </w:tc>
      </w:tr>
      <w:tr>
        <w:trPr>
          <w:trHeight w:val="203"/>
        </w:trPr>
        <w:tc>
          <w:tcPr>
            <w:tcW w:w="2460" w:type="dxa"/>
            <w:vAlign w:val="bottom"/>
          </w:tcPr>
          <w:p>
            <w:pPr>
              <w:spacing w:after="0" w:line="202" w:lineRule="exact"/>
              <w:rPr>
                <w:sz w:val="20"/>
                <w:szCs w:val="20"/>
                <w:color w:val="auto"/>
              </w:rPr>
            </w:pPr>
            <w:r>
              <w:rPr>
                <w:rFonts w:ascii="Arial" w:cs="Arial" w:eastAsia="Arial" w:hAnsi="Arial"/>
                <w:sz w:val="18"/>
                <w:szCs w:val="18"/>
                <w:color w:val="auto"/>
              </w:rPr>
              <w:t>Trustee since: 2002</w:t>
            </w:r>
          </w:p>
        </w:tc>
        <w:tc>
          <w:tcPr>
            <w:tcW w:w="6280" w:type="dxa"/>
            <w:vAlign w:val="bottom"/>
          </w:tcPr>
          <w:p>
            <w:pPr>
              <w:ind w:left="760"/>
              <w:spacing w:after="0" w:line="202" w:lineRule="exact"/>
              <w:rPr>
                <w:sz w:val="20"/>
                <w:szCs w:val="20"/>
                <w:color w:val="auto"/>
              </w:rPr>
            </w:pPr>
            <w:r>
              <w:rPr>
                <w:rFonts w:ascii="Arial" w:cs="Arial" w:eastAsia="Arial" w:hAnsi="Arial"/>
                <w:sz w:val="18"/>
                <w:szCs w:val="18"/>
                <w:color w:val="auto"/>
              </w:rPr>
              <w:t>present)</w:t>
            </w:r>
          </w:p>
        </w:tc>
      </w:tr>
      <w:tr>
        <w:trPr>
          <w:trHeight w:val="203"/>
        </w:trPr>
        <w:tc>
          <w:tcPr>
            <w:tcW w:w="2460" w:type="dxa"/>
            <w:vAlign w:val="bottom"/>
          </w:tcPr>
          <w:p>
            <w:pPr>
              <w:spacing w:after="0" w:line="202" w:lineRule="exact"/>
              <w:rPr>
                <w:sz w:val="20"/>
                <w:szCs w:val="20"/>
                <w:color w:val="auto"/>
              </w:rPr>
            </w:pPr>
            <w:r>
              <w:rPr>
                <w:rFonts w:ascii="Arial" w:cs="Arial" w:eastAsia="Arial" w:hAnsi="Arial"/>
                <w:sz w:val="18"/>
                <w:szCs w:val="18"/>
                <w:color w:val="auto"/>
              </w:rPr>
              <w:t>Non-Executive Chairman</w:t>
            </w:r>
          </w:p>
        </w:tc>
        <w:tc>
          <w:tcPr>
            <w:tcW w:w="6280" w:type="dxa"/>
            <w:vAlign w:val="bottom"/>
          </w:tcPr>
          <w:p>
            <w:pPr>
              <w:ind w:left="460"/>
              <w:spacing w:after="0" w:line="202" w:lineRule="exact"/>
              <w:rPr>
                <w:sz w:val="20"/>
                <w:szCs w:val="20"/>
                <w:color w:val="auto"/>
              </w:rPr>
            </w:pPr>
            <w:r>
              <w:rPr>
                <w:rFonts w:ascii="Arial" w:cs="Arial" w:eastAsia="Arial" w:hAnsi="Arial"/>
                <w:sz w:val="18"/>
                <w:szCs w:val="18"/>
                <w:color w:val="auto"/>
              </w:rPr>
              <w:t>•   Non-Executive Chairman of the Board of Federal Realty Investment</w:t>
            </w:r>
          </w:p>
        </w:tc>
      </w:tr>
      <w:tr>
        <w:trPr>
          <w:trHeight w:val="203"/>
        </w:trPr>
        <w:tc>
          <w:tcPr>
            <w:tcW w:w="2460" w:type="dxa"/>
            <w:vAlign w:val="bottom"/>
          </w:tcPr>
          <w:p>
            <w:pPr>
              <w:spacing w:after="0" w:line="202" w:lineRule="exact"/>
              <w:rPr>
                <w:sz w:val="20"/>
                <w:szCs w:val="20"/>
                <w:color w:val="auto"/>
              </w:rPr>
            </w:pPr>
            <w:r>
              <w:rPr>
                <w:rFonts w:ascii="Arial" w:cs="Arial" w:eastAsia="Arial" w:hAnsi="Arial"/>
                <w:sz w:val="18"/>
                <w:szCs w:val="18"/>
                <w:color w:val="auto"/>
              </w:rPr>
              <w:t>Independent</w:t>
            </w:r>
          </w:p>
        </w:tc>
        <w:tc>
          <w:tcPr>
            <w:tcW w:w="6280" w:type="dxa"/>
            <w:vAlign w:val="bottom"/>
          </w:tcPr>
          <w:p>
            <w:pPr>
              <w:ind w:left="760"/>
              <w:spacing w:after="0" w:line="202" w:lineRule="exact"/>
              <w:rPr>
                <w:sz w:val="20"/>
                <w:szCs w:val="20"/>
                <w:color w:val="auto"/>
              </w:rPr>
            </w:pPr>
            <w:r>
              <w:rPr>
                <w:rFonts w:ascii="Arial" w:cs="Arial" w:eastAsia="Arial" w:hAnsi="Arial"/>
                <w:sz w:val="18"/>
                <w:szCs w:val="18"/>
                <w:color w:val="auto"/>
              </w:rPr>
              <w:t>Trust (2006 – present)</w:t>
            </w:r>
          </w:p>
        </w:tc>
      </w:tr>
      <w:tr>
        <w:trPr>
          <w:trHeight w:val="203"/>
        </w:trPr>
        <w:tc>
          <w:tcPr>
            <w:tcW w:w="2460" w:type="dxa"/>
            <w:vAlign w:val="bottom"/>
          </w:tcPr>
          <w:p>
            <w:pPr>
              <w:spacing w:after="0"/>
              <w:rPr>
                <w:sz w:val="17"/>
                <w:szCs w:val="17"/>
                <w:color w:val="auto"/>
              </w:rPr>
            </w:pPr>
          </w:p>
        </w:tc>
        <w:tc>
          <w:tcPr>
            <w:tcW w:w="6280" w:type="dxa"/>
            <w:vAlign w:val="bottom"/>
          </w:tcPr>
          <w:p>
            <w:pPr>
              <w:ind w:left="460"/>
              <w:spacing w:after="0" w:line="202" w:lineRule="exact"/>
              <w:rPr>
                <w:sz w:val="20"/>
                <w:szCs w:val="20"/>
                <w:color w:val="auto"/>
              </w:rPr>
            </w:pPr>
            <w:r>
              <w:rPr>
                <w:rFonts w:ascii="Arial" w:cs="Arial" w:eastAsia="Arial" w:hAnsi="Arial"/>
                <w:sz w:val="18"/>
                <w:szCs w:val="18"/>
                <w:color w:val="auto"/>
              </w:rPr>
              <w:t>•   Various positions including Vice Chairman with Staples, Inc. (1989 –</w:t>
            </w:r>
          </w:p>
        </w:tc>
      </w:tr>
      <w:tr>
        <w:trPr>
          <w:trHeight w:val="217"/>
        </w:trPr>
        <w:tc>
          <w:tcPr>
            <w:tcW w:w="2460" w:type="dxa"/>
            <w:vAlign w:val="bottom"/>
          </w:tcPr>
          <w:p>
            <w:pPr>
              <w:spacing w:after="0"/>
              <w:rPr>
                <w:sz w:val="18"/>
                <w:szCs w:val="18"/>
                <w:color w:val="auto"/>
              </w:rPr>
            </w:pPr>
          </w:p>
        </w:tc>
        <w:tc>
          <w:tcPr>
            <w:tcW w:w="6280" w:type="dxa"/>
            <w:vAlign w:val="bottom"/>
          </w:tcPr>
          <w:p>
            <w:pPr>
              <w:ind w:left="760"/>
              <w:spacing w:after="0"/>
              <w:rPr>
                <w:sz w:val="20"/>
                <w:szCs w:val="20"/>
                <w:color w:val="auto"/>
              </w:rPr>
            </w:pPr>
            <w:r>
              <w:rPr>
                <w:rFonts w:ascii="Arial" w:cs="Arial" w:eastAsia="Arial" w:hAnsi="Arial"/>
                <w:sz w:val="18"/>
                <w:szCs w:val="18"/>
                <w:color w:val="auto"/>
              </w:rPr>
              <w:t>2005)</w:t>
            </w: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360" w:type="dxa"/>
        <w:tblCellMar>
          <w:top w:w="0" w:type="dxa"/>
          <w:left w:w="0" w:type="dxa"/>
          <w:bottom w:w="0" w:type="dxa"/>
          <w:right w:w="0" w:type="dxa"/>
        </w:tblCellMar>
      </w:tblPr>
      <w:tr>
        <w:trPr>
          <w:trHeight w:val="238"/>
        </w:trPr>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Board Committees:</w:t>
            </w:r>
          </w:p>
        </w:tc>
        <w:tc>
          <w:tcPr>
            <w:tcW w:w="4000" w:type="dxa"/>
            <w:vAlign w:val="bottom"/>
            <w:gridSpan w:val="2"/>
          </w:tcPr>
          <w:p>
            <w:pPr>
              <w:ind w:left="800"/>
              <w:spacing w:after="0"/>
              <w:rPr>
                <w:sz w:val="20"/>
                <w:szCs w:val="20"/>
                <w:color w:val="auto"/>
              </w:rPr>
            </w:pPr>
            <w:r>
              <w:rPr>
                <w:rFonts w:ascii="Arial" w:cs="Arial" w:eastAsia="Arial" w:hAnsi="Arial"/>
                <w:sz w:val="18"/>
                <w:szCs w:val="18"/>
                <w:b w:val="1"/>
                <w:bCs w:val="1"/>
                <w:color w:val="auto"/>
              </w:rPr>
              <w:t>Public Company Boards:</w:t>
            </w:r>
          </w:p>
        </w:tc>
      </w:tr>
      <w:tr>
        <w:trPr>
          <w:trHeight w:val="203"/>
        </w:trPr>
        <w:tc>
          <w:tcPr>
            <w:tcW w:w="1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4040" w:type="dxa"/>
            <w:vAlign w:val="bottom"/>
          </w:tcPr>
          <w:p>
            <w:pPr>
              <w:ind w:left="100"/>
              <w:spacing w:after="0" w:line="202" w:lineRule="exact"/>
              <w:rPr>
                <w:sz w:val="20"/>
                <w:szCs w:val="20"/>
                <w:color w:val="auto"/>
              </w:rPr>
            </w:pPr>
            <w:r>
              <w:rPr>
                <w:rFonts w:ascii="Arial" w:cs="Arial" w:eastAsia="Arial" w:hAnsi="Arial"/>
                <w:sz w:val="18"/>
                <w:szCs w:val="18"/>
                <w:color w:val="auto"/>
              </w:rPr>
              <w:t>Compensation</w:t>
            </w:r>
          </w:p>
        </w:tc>
        <w:tc>
          <w:tcPr>
            <w:tcW w:w="960" w:type="dxa"/>
            <w:vAlign w:val="bottom"/>
          </w:tcPr>
          <w:p>
            <w:pPr>
              <w:ind w:left="800"/>
              <w:spacing w:after="0" w:line="202" w:lineRule="exact"/>
              <w:rPr>
                <w:sz w:val="20"/>
                <w:szCs w:val="20"/>
                <w:color w:val="auto"/>
              </w:rPr>
            </w:pPr>
            <w:r>
              <w:rPr>
                <w:rFonts w:ascii="Arial" w:cs="Arial" w:eastAsia="Arial" w:hAnsi="Arial"/>
                <w:sz w:val="18"/>
                <w:szCs w:val="18"/>
                <w:color w:val="auto"/>
              </w:rPr>
              <w:t>•</w:t>
            </w:r>
          </w:p>
        </w:tc>
        <w:tc>
          <w:tcPr>
            <w:tcW w:w="3040" w:type="dxa"/>
            <w:vAlign w:val="bottom"/>
          </w:tcPr>
          <w:p>
            <w:pPr>
              <w:ind w:left="100"/>
              <w:spacing w:after="0" w:line="202" w:lineRule="exact"/>
              <w:rPr>
                <w:sz w:val="20"/>
                <w:szCs w:val="20"/>
                <w:color w:val="auto"/>
              </w:rPr>
            </w:pPr>
            <w:r>
              <w:rPr>
                <w:rFonts w:ascii="Arial" w:cs="Arial" w:eastAsia="Arial" w:hAnsi="Arial"/>
                <w:sz w:val="18"/>
                <w:szCs w:val="18"/>
                <w:color w:val="auto"/>
              </w:rPr>
              <w:t>Office Depot, Inc. (2013 – present)</w:t>
            </w:r>
          </w:p>
        </w:tc>
      </w:tr>
      <w:tr>
        <w:trPr>
          <w:trHeight w:val="217"/>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4040" w:type="dxa"/>
            <w:vAlign w:val="bottom"/>
          </w:tcPr>
          <w:p>
            <w:pPr>
              <w:ind w:left="100"/>
              <w:spacing w:after="0"/>
              <w:rPr>
                <w:sz w:val="20"/>
                <w:szCs w:val="20"/>
                <w:color w:val="auto"/>
              </w:rPr>
            </w:pPr>
            <w:r>
              <w:rPr>
                <w:rFonts w:ascii="Arial" w:cs="Arial" w:eastAsia="Arial" w:hAnsi="Arial"/>
                <w:sz w:val="18"/>
                <w:szCs w:val="18"/>
                <w:color w:val="auto"/>
              </w:rPr>
              <w:t>Nominating and Corporate Governance</w:t>
            </w:r>
          </w:p>
        </w:tc>
        <w:tc>
          <w:tcPr>
            <w:tcW w:w="960" w:type="dxa"/>
            <w:vAlign w:val="bottom"/>
          </w:tcPr>
          <w:p>
            <w:pPr>
              <w:ind w:left="800"/>
              <w:spacing w:after="0"/>
              <w:rPr>
                <w:sz w:val="20"/>
                <w:szCs w:val="20"/>
                <w:color w:val="auto"/>
              </w:rPr>
            </w:pPr>
            <w:r>
              <w:rPr>
                <w:rFonts w:ascii="Arial" w:cs="Arial" w:eastAsia="Arial" w:hAnsi="Arial"/>
                <w:sz w:val="18"/>
                <w:szCs w:val="18"/>
                <w:color w:val="auto"/>
              </w:rPr>
              <w:t>•</w:t>
            </w:r>
          </w:p>
        </w:tc>
        <w:tc>
          <w:tcPr>
            <w:tcW w:w="3040" w:type="dxa"/>
            <w:vAlign w:val="bottom"/>
          </w:tcPr>
          <w:p>
            <w:pPr>
              <w:ind w:left="100"/>
              <w:spacing w:after="0"/>
              <w:rPr>
                <w:sz w:val="20"/>
                <w:szCs w:val="20"/>
                <w:color w:val="auto"/>
              </w:rPr>
            </w:pPr>
            <w:r>
              <w:rPr>
                <w:rFonts w:ascii="Arial" w:cs="Arial" w:eastAsia="Arial" w:hAnsi="Arial"/>
                <w:sz w:val="18"/>
                <w:szCs w:val="18"/>
                <w:color w:val="auto"/>
                <w:w w:val="99"/>
              </w:rPr>
              <w:t>Life Time Fitness, Inc. (2006 – 2015)</w:t>
            </w:r>
          </w:p>
        </w:tc>
      </w:tr>
    </w:tbl>
    <w:p>
      <w:pPr>
        <w:spacing w:after="0" w:line="1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Specific Qualifications and Skills:</w:t>
      </w:r>
    </w:p>
    <w:p>
      <w:pPr>
        <w:spacing w:after="0" w:line="18" w:lineRule="exact"/>
        <w:rPr>
          <w:sz w:val="20"/>
          <w:szCs w:val="20"/>
          <w:color w:val="auto"/>
        </w:rPr>
      </w:pPr>
    </w:p>
    <w:p>
      <w:pPr>
        <w:jc w:val="both"/>
        <w:ind w:left="360" w:right="60"/>
        <w:spacing w:after="0"/>
        <w:rPr>
          <w:sz w:val="20"/>
          <w:szCs w:val="20"/>
          <w:color w:val="auto"/>
        </w:rPr>
      </w:pPr>
      <w:r>
        <w:rPr>
          <w:rFonts w:ascii="Arial" w:cs="Arial" w:eastAsia="Arial" w:hAnsi="Arial"/>
          <w:sz w:val="18"/>
          <w:szCs w:val="18"/>
          <w:color w:val="auto"/>
        </w:rPr>
        <w:t>Mr. Vassalluzzo’s extensive background in retail and real estate as a result of having served as an executive with Staples, including his responsibility for expanding Staples real estate presence, as well as his current and prior service on the boards of a number of retailers provides the board and management with retail and retail real estate expertise that is essential to our core business.</w:t>
      </w:r>
    </w:p>
    <w:p>
      <w:pPr>
        <w:spacing w:after="0" w:line="16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240" w:top="459" w:right="4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7006590" cy="24523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06590" cy="2452370"/>
                    </a:xfrm>
                    <a:prstGeom prst="rect">
                      <a:avLst/>
                    </a:prstGeom>
                    <a:noFill/>
                  </pic:spPr>
                </pic:pic>
              </a:graphicData>
            </a:graphic>
          </wp:anchor>
        </w:drawing>
      </w:r>
    </w:p>
    <w:p>
      <w:pPr>
        <w:spacing w:after="0" w:line="382" w:lineRule="exact"/>
        <w:rPr>
          <w:sz w:val="20"/>
          <w:szCs w:val="20"/>
          <w:color w:val="auto"/>
        </w:rPr>
      </w:pPr>
    </w:p>
    <w:p>
      <w:pPr>
        <w:ind w:left="360"/>
        <w:spacing w:after="0"/>
        <w:rPr>
          <w:sz w:val="20"/>
          <w:szCs w:val="20"/>
          <w:color w:val="auto"/>
        </w:rPr>
      </w:pPr>
      <w:r>
        <w:rPr>
          <w:rFonts w:ascii="Arial" w:cs="Arial" w:eastAsia="Arial" w:hAnsi="Arial"/>
          <w:sz w:val="25"/>
          <w:szCs w:val="25"/>
          <w:b w:val="1"/>
          <w:bCs w:val="1"/>
          <w:color w:val="FFFFFF"/>
        </w:rPr>
        <w:t>Donald C. Wood</w:t>
      </w:r>
    </w:p>
    <w:p>
      <w:pPr>
        <w:spacing w:after="0" w:line="71" w:lineRule="exact"/>
        <w:rPr>
          <w:sz w:val="20"/>
          <w:szCs w:val="20"/>
          <w:color w:val="auto"/>
        </w:rPr>
      </w:pPr>
    </w:p>
    <w:tbl>
      <w:tblPr>
        <w:tblLayout w:type="fixed"/>
        <w:tblInd w:w="2440" w:type="dxa"/>
        <w:tblCellMar>
          <w:top w:w="0" w:type="dxa"/>
          <w:left w:w="0" w:type="dxa"/>
          <w:bottom w:w="0" w:type="dxa"/>
          <w:right w:w="0" w:type="dxa"/>
        </w:tblCellMar>
      </w:tblPr>
      <w:tr>
        <w:trPr>
          <w:trHeight w:val="225"/>
        </w:trPr>
        <w:tc>
          <w:tcPr>
            <w:tcW w:w="2260" w:type="dxa"/>
            <w:vAlign w:val="bottom"/>
          </w:tcPr>
          <w:p>
            <w:pPr>
              <w:spacing w:after="0"/>
              <w:rPr>
                <w:sz w:val="19"/>
                <w:szCs w:val="19"/>
                <w:color w:val="auto"/>
              </w:rPr>
            </w:pPr>
          </w:p>
        </w:tc>
        <w:tc>
          <w:tcPr>
            <w:tcW w:w="6480" w:type="dxa"/>
            <w:vAlign w:val="bottom"/>
          </w:tcPr>
          <w:p>
            <w:pPr>
              <w:jc w:val="right"/>
              <w:ind w:right="3850"/>
              <w:spacing w:after="0"/>
              <w:rPr>
                <w:sz w:val="20"/>
                <w:szCs w:val="20"/>
                <w:color w:val="auto"/>
              </w:rPr>
            </w:pPr>
            <w:r>
              <w:rPr>
                <w:rFonts w:ascii="Arial" w:cs="Arial" w:eastAsia="Arial" w:hAnsi="Arial"/>
                <w:sz w:val="18"/>
                <w:szCs w:val="18"/>
                <w:b w:val="1"/>
                <w:bCs w:val="1"/>
                <w:color w:val="auto"/>
              </w:rPr>
              <w:t>Business Experience:</w:t>
            </w:r>
          </w:p>
        </w:tc>
      </w:tr>
      <w:tr>
        <w:trPr>
          <w:trHeight w:val="203"/>
        </w:trPr>
        <w:tc>
          <w:tcPr>
            <w:tcW w:w="2260" w:type="dxa"/>
            <w:vAlign w:val="bottom"/>
          </w:tcPr>
          <w:p>
            <w:pPr>
              <w:spacing w:after="0" w:line="202" w:lineRule="exact"/>
              <w:rPr>
                <w:sz w:val="20"/>
                <w:szCs w:val="20"/>
                <w:color w:val="auto"/>
              </w:rPr>
            </w:pPr>
            <w:r>
              <w:rPr>
                <w:rFonts w:ascii="Arial" w:cs="Arial" w:eastAsia="Arial" w:hAnsi="Arial"/>
                <w:sz w:val="18"/>
                <w:szCs w:val="18"/>
                <w:color w:val="auto"/>
              </w:rPr>
              <w:t>Age: 58</w:t>
            </w:r>
          </w:p>
        </w:tc>
        <w:tc>
          <w:tcPr>
            <w:tcW w:w="6480" w:type="dxa"/>
            <w:vAlign w:val="bottom"/>
          </w:tcPr>
          <w:p>
            <w:pPr>
              <w:jc w:val="right"/>
              <w:spacing w:after="0" w:line="202" w:lineRule="exact"/>
              <w:rPr>
                <w:sz w:val="20"/>
                <w:szCs w:val="20"/>
                <w:color w:val="auto"/>
              </w:rPr>
            </w:pPr>
            <w:r>
              <w:rPr>
                <w:rFonts w:ascii="Arial" w:cs="Arial" w:eastAsia="Arial" w:hAnsi="Arial"/>
                <w:sz w:val="18"/>
                <w:szCs w:val="18"/>
                <w:color w:val="auto"/>
              </w:rPr>
              <w:t>•   President and Chief Executive Officer of Federal Realty Investment</w:t>
            </w:r>
          </w:p>
        </w:tc>
      </w:tr>
      <w:tr>
        <w:trPr>
          <w:trHeight w:val="203"/>
        </w:trPr>
        <w:tc>
          <w:tcPr>
            <w:tcW w:w="2260" w:type="dxa"/>
            <w:vAlign w:val="bottom"/>
          </w:tcPr>
          <w:p>
            <w:pPr>
              <w:spacing w:after="0" w:line="203" w:lineRule="exact"/>
              <w:rPr>
                <w:sz w:val="20"/>
                <w:szCs w:val="20"/>
                <w:color w:val="auto"/>
              </w:rPr>
            </w:pPr>
            <w:r>
              <w:rPr>
                <w:rFonts w:ascii="Arial" w:cs="Arial" w:eastAsia="Arial" w:hAnsi="Arial"/>
                <w:sz w:val="18"/>
                <w:szCs w:val="18"/>
                <w:color w:val="auto"/>
              </w:rPr>
              <w:t>Trustee since: 2003</w:t>
            </w:r>
          </w:p>
        </w:tc>
        <w:tc>
          <w:tcPr>
            <w:tcW w:w="6480" w:type="dxa"/>
            <w:vAlign w:val="bottom"/>
          </w:tcPr>
          <w:p>
            <w:pPr>
              <w:jc w:val="right"/>
              <w:spacing w:after="0" w:line="203" w:lineRule="exact"/>
              <w:rPr>
                <w:sz w:val="20"/>
                <w:szCs w:val="20"/>
                <w:color w:val="auto"/>
              </w:rPr>
            </w:pPr>
            <w:r>
              <w:rPr>
                <w:rFonts w:ascii="Arial" w:cs="Arial" w:eastAsia="Arial" w:hAnsi="Arial"/>
                <w:sz w:val="18"/>
                <w:szCs w:val="18"/>
                <w:color w:val="auto"/>
              </w:rPr>
              <w:t>Trust (2003 – present) and various other positions including Chief</w:t>
            </w:r>
          </w:p>
        </w:tc>
      </w:tr>
      <w:tr>
        <w:trPr>
          <w:trHeight w:val="202"/>
        </w:trPr>
        <w:tc>
          <w:tcPr>
            <w:tcW w:w="2260" w:type="dxa"/>
            <w:vAlign w:val="bottom"/>
          </w:tcPr>
          <w:p>
            <w:pPr>
              <w:spacing w:after="0" w:line="201" w:lineRule="exact"/>
              <w:rPr>
                <w:sz w:val="20"/>
                <w:szCs w:val="20"/>
                <w:color w:val="auto"/>
              </w:rPr>
            </w:pPr>
            <w:r>
              <w:rPr>
                <w:rFonts w:ascii="Arial" w:cs="Arial" w:eastAsia="Arial" w:hAnsi="Arial"/>
                <w:sz w:val="18"/>
                <w:szCs w:val="18"/>
                <w:color w:val="auto"/>
              </w:rPr>
              <w:t>CEO</w:t>
            </w:r>
          </w:p>
        </w:tc>
        <w:tc>
          <w:tcPr>
            <w:tcW w:w="6480" w:type="dxa"/>
            <w:vAlign w:val="bottom"/>
          </w:tcPr>
          <w:p>
            <w:pPr>
              <w:ind w:left="960"/>
              <w:spacing w:after="0" w:line="201" w:lineRule="exact"/>
              <w:rPr>
                <w:sz w:val="20"/>
                <w:szCs w:val="20"/>
                <w:color w:val="auto"/>
              </w:rPr>
            </w:pPr>
            <w:r>
              <w:rPr>
                <w:rFonts w:ascii="Arial" w:cs="Arial" w:eastAsia="Arial" w:hAnsi="Arial"/>
                <w:sz w:val="18"/>
                <w:szCs w:val="18"/>
                <w:color w:val="auto"/>
              </w:rPr>
              <w:t>Financial Officer and Chief Operating Officer (1998 – 2003)</w:t>
            </w:r>
          </w:p>
        </w:tc>
      </w:tr>
      <w:tr>
        <w:trPr>
          <w:trHeight w:val="203"/>
        </w:trPr>
        <w:tc>
          <w:tcPr>
            <w:tcW w:w="2260" w:type="dxa"/>
            <w:vAlign w:val="bottom"/>
          </w:tcPr>
          <w:p>
            <w:pPr>
              <w:spacing w:after="0"/>
              <w:rPr>
                <w:sz w:val="17"/>
                <w:szCs w:val="17"/>
                <w:color w:val="auto"/>
              </w:rPr>
            </w:pPr>
          </w:p>
        </w:tc>
        <w:tc>
          <w:tcPr>
            <w:tcW w:w="6480" w:type="dxa"/>
            <w:vAlign w:val="bottom"/>
          </w:tcPr>
          <w:p>
            <w:pPr>
              <w:jc w:val="right"/>
              <w:spacing w:after="0" w:line="202" w:lineRule="exact"/>
              <w:rPr>
                <w:sz w:val="20"/>
                <w:szCs w:val="20"/>
                <w:color w:val="auto"/>
              </w:rPr>
            </w:pPr>
            <w:r>
              <w:rPr>
                <w:rFonts w:ascii="Arial" w:cs="Arial" w:eastAsia="Arial" w:hAnsi="Arial"/>
                <w:sz w:val="18"/>
                <w:szCs w:val="18"/>
                <w:color w:val="auto"/>
              </w:rPr>
              <w:t>•   Chairman of the Board of the National Association of Real Estate</w:t>
            </w:r>
          </w:p>
        </w:tc>
      </w:tr>
      <w:tr>
        <w:trPr>
          <w:trHeight w:val="203"/>
        </w:trPr>
        <w:tc>
          <w:tcPr>
            <w:tcW w:w="2260" w:type="dxa"/>
            <w:vAlign w:val="bottom"/>
          </w:tcPr>
          <w:p>
            <w:pPr>
              <w:spacing w:after="0"/>
              <w:rPr>
                <w:sz w:val="17"/>
                <w:szCs w:val="17"/>
                <w:color w:val="auto"/>
              </w:rPr>
            </w:pPr>
          </w:p>
        </w:tc>
        <w:tc>
          <w:tcPr>
            <w:tcW w:w="6480" w:type="dxa"/>
            <w:vAlign w:val="bottom"/>
          </w:tcPr>
          <w:p>
            <w:pPr>
              <w:ind w:left="960"/>
              <w:spacing w:after="0" w:line="202" w:lineRule="exact"/>
              <w:rPr>
                <w:sz w:val="20"/>
                <w:szCs w:val="20"/>
                <w:color w:val="auto"/>
              </w:rPr>
            </w:pPr>
            <w:r>
              <w:rPr>
                <w:rFonts w:ascii="Arial" w:cs="Arial" w:eastAsia="Arial" w:hAnsi="Arial"/>
                <w:sz w:val="18"/>
                <w:szCs w:val="18"/>
                <w:color w:val="auto"/>
              </w:rPr>
              <w:t>Investment Trusts (2011 – 2012)</w:t>
            </w:r>
          </w:p>
        </w:tc>
      </w:tr>
      <w:tr>
        <w:trPr>
          <w:trHeight w:val="203"/>
        </w:trPr>
        <w:tc>
          <w:tcPr>
            <w:tcW w:w="2260" w:type="dxa"/>
            <w:vAlign w:val="bottom"/>
          </w:tcPr>
          <w:p>
            <w:pPr>
              <w:spacing w:after="0"/>
              <w:rPr>
                <w:sz w:val="17"/>
                <w:szCs w:val="17"/>
                <w:color w:val="auto"/>
              </w:rPr>
            </w:pPr>
          </w:p>
        </w:tc>
        <w:tc>
          <w:tcPr>
            <w:tcW w:w="6480" w:type="dxa"/>
            <w:vAlign w:val="bottom"/>
          </w:tcPr>
          <w:p>
            <w:pPr>
              <w:jc w:val="right"/>
              <w:spacing w:after="0" w:line="202" w:lineRule="exact"/>
              <w:rPr>
                <w:sz w:val="20"/>
                <w:szCs w:val="20"/>
                <w:color w:val="auto"/>
              </w:rPr>
            </w:pPr>
            <w:r>
              <w:rPr>
                <w:rFonts w:ascii="Arial" w:cs="Arial" w:eastAsia="Arial" w:hAnsi="Arial"/>
                <w:sz w:val="18"/>
                <w:szCs w:val="18"/>
                <w:color w:val="auto"/>
              </w:rPr>
              <w:t>•   Board of Governors of the International Council of Shopping Centers</w:t>
            </w:r>
          </w:p>
        </w:tc>
      </w:tr>
      <w:tr>
        <w:trPr>
          <w:trHeight w:val="217"/>
        </w:trPr>
        <w:tc>
          <w:tcPr>
            <w:tcW w:w="2260" w:type="dxa"/>
            <w:vAlign w:val="bottom"/>
          </w:tcPr>
          <w:p>
            <w:pPr>
              <w:spacing w:after="0"/>
              <w:rPr>
                <w:sz w:val="18"/>
                <w:szCs w:val="18"/>
                <w:color w:val="auto"/>
              </w:rPr>
            </w:pPr>
          </w:p>
        </w:tc>
        <w:tc>
          <w:tcPr>
            <w:tcW w:w="6480" w:type="dxa"/>
            <w:vAlign w:val="bottom"/>
          </w:tcPr>
          <w:p>
            <w:pPr>
              <w:ind w:left="960"/>
              <w:spacing w:after="0"/>
              <w:rPr>
                <w:sz w:val="20"/>
                <w:szCs w:val="20"/>
                <w:color w:val="auto"/>
              </w:rPr>
            </w:pPr>
            <w:r>
              <w:rPr>
                <w:rFonts w:ascii="Arial" w:cs="Arial" w:eastAsia="Arial" w:hAnsi="Arial"/>
                <w:sz w:val="18"/>
                <w:szCs w:val="18"/>
                <w:color w:val="auto"/>
              </w:rPr>
              <w:t>(2010 – present)</w:t>
            </w:r>
          </w:p>
        </w:tc>
      </w:tr>
    </w:tbl>
    <w:p>
      <w:pPr>
        <w:spacing w:after="0" w:line="200" w:lineRule="exact"/>
        <w:rPr>
          <w:sz w:val="20"/>
          <w:szCs w:val="20"/>
          <w:color w:val="auto"/>
        </w:rPr>
      </w:pPr>
    </w:p>
    <w:p>
      <w:pPr>
        <w:spacing w:after="0" w:line="253" w:lineRule="exact"/>
        <w:rPr>
          <w:sz w:val="20"/>
          <w:szCs w:val="20"/>
          <w:color w:val="auto"/>
        </w:rPr>
      </w:pPr>
    </w:p>
    <w:tbl>
      <w:tblPr>
        <w:tblLayout w:type="fixed"/>
        <w:tblInd w:w="220" w:type="dxa"/>
        <w:tblCellMar>
          <w:top w:w="0" w:type="dxa"/>
          <w:left w:w="0" w:type="dxa"/>
          <w:bottom w:w="0" w:type="dxa"/>
          <w:right w:w="0" w:type="dxa"/>
        </w:tblCellMar>
      </w:tblPr>
      <w:tr>
        <w:trPr>
          <w:trHeight w:val="215"/>
        </w:trPr>
        <w:tc>
          <w:tcPr>
            <w:tcW w:w="4080" w:type="dxa"/>
            <w:vAlign w:val="bottom"/>
            <w:tcBorders>
              <w:top w:val="single" w:sz="8" w:color="auto"/>
            </w:tcBorders>
          </w:tcPr>
          <w:p>
            <w:pPr>
              <w:ind w:left="140"/>
              <w:spacing w:after="0"/>
              <w:rPr>
                <w:sz w:val="20"/>
                <w:szCs w:val="20"/>
                <w:color w:val="auto"/>
              </w:rPr>
            </w:pPr>
            <w:r>
              <w:rPr>
                <w:rFonts w:ascii="Arial" w:cs="Arial" w:eastAsia="Arial" w:hAnsi="Arial"/>
                <w:sz w:val="18"/>
                <w:szCs w:val="18"/>
                <w:b w:val="1"/>
                <w:bCs w:val="1"/>
                <w:color w:val="auto"/>
              </w:rPr>
              <w:t>Board Committees</w:t>
            </w:r>
          </w:p>
        </w:tc>
        <w:tc>
          <w:tcPr>
            <w:tcW w:w="6940" w:type="dxa"/>
            <w:vAlign w:val="bottom"/>
            <w:tcBorders>
              <w:top w:val="single" w:sz="8" w:color="auto"/>
            </w:tcBorders>
            <w:gridSpan w:val="2"/>
          </w:tcPr>
          <w:p>
            <w:pPr>
              <w:ind w:left="1060"/>
              <w:spacing w:after="0"/>
              <w:rPr>
                <w:sz w:val="20"/>
                <w:szCs w:val="20"/>
                <w:color w:val="auto"/>
              </w:rPr>
            </w:pPr>
            <w:r>
              <w:rPr>
                <w:rFonts w:ascii="Arial" w:cs="Arial" w:eastAsia="Arial" w:hAnsi="Arial"/>
                <w:sz w:val="18"/>
                <w:szCs w:val="18"/>
                <w:b w:val="1"/>
                <w:bCs w:val="1"/>
                <w:color w:val="auto"/>
              </w:rPr>
              <w:t>Public Company Boards:</w:t>
            </w:r>
          </w:p>
        </w:tc>
      </w:tr>
      <w:tr>
        <w:trPr>
          <w:trHeight w:val="203"/>
        </w:trPr>
        <w:tc>
          <w:tcPr>
            <w:tcW w:w="4080" w:type="dxa"/>
            <w:vAlign w:val="bottom"/>
          </w:tcPr>
          <w:p>
            <w:pPr>
              <w:ind w:left="140"/>
              <w:spacing w:after="0" w:line="202" w:lineRule="exact"/>
              <w:rPr>
                <w:sz w:val="20"/>
                <w:szCs w:val="20"/>
                <w:color w:val="auto"/>
              </w:rPr>
            </w:pPr>
            <w:r>
              <w:rPr>
                <w:rFonts w:ascii="Arial" w:cs="Arial" w:eastAsia="Arial" w:hAnsi="Arial"/>
                <w:sz w:val="18"/>
                <w:szCs w:val="18"/>
                <w:color w:val="auto"/>
              </w:rPr>
              <w:t>•  None</w:t>
            </w:r>
          </w:p>
        </w:tc>
        <w:tc>
          <w:tcPr>
            <w:tcW w:w="1220" w:type="dxa"/>
            <w:vAlign w:val="bottom"/>
          </w:tcPr>
          <w:p>
            <w:pPr>
              <w:ind w:left="1060"/>
              <w:spacing w:after="0" w:line="202" w:lineRule="exact"/>
              <w:rPr>
                <w:sz w:val="20"/>
                <w:szCs w:val="20"/>
                <w:color w:val="auto"/>
              </w:rPr>
            </w:pPr>
            <w:r>
              <w:rPr>
                <w:rFonts w:ascii="Arial" w:cs="Arial" w:eastAsia="Arial" w:hAnsi="Arial"/>
                <w:sz w:val="18"/>
                <w:szCs w:val="18"/>
                <w:color w:val="auto"/>
              </w:rPr>
              <w:t>•</w:t>
            </w:r>
          </w:p>
        </w:tc>
        <w:tc>
          <w:tcPr>
            <w:tcW w:w="5720" w:type="dxa"/>
            <w:vAlign w:val="bottom"/>
          </w:tcPr>
          <w:p>
            <w:pPr>
              <w:ind w:left="100"/>
              <w:spacing w:after="0" w:line="202" w:lineRule="exact"/>
              <w:rPr>
                <w:sz w:val="20"/>
                <w:szCs w:val="20"/>
                <w:color w:val="auto"/>
              </w:rPr>
            </w:pPr>
            <w:r>
              <w:rPr>
                <w:rFonts w:ascii="Arial" w:cs="Arial" w:eastAsia="Arial" w:hAnsi="Arial"/>
                <w:sz w:val="18"/>
                <w:szCs w:val="18"/>
                <w:color w:val="auto"/>
              </w:rPr>
              <w:t>Quality Care Properties, Inc. (2016 – 2018)</w:t>
            </w:r>
          </w:p>
        </w:tc>
      </w:tr>
      <w:tr>
        <w:trPr>
          <w:trHeight w:val="224"/>
        </w:trPr>
        <w:tc>
          <w:tcPr>
            <w:tcW w:w="40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w:t>
            </w:r>
          </w:p>
        </w:tc>
        <w:tc>
          <w:tcPr>
            <w:tcW w:w="5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Post Properties, Inc. (2011 – 2016)</w:t>
            </w:r>
          </w:p>
        </w:tc>
      </w:tr>
      <w:tr>
        <w:trPr>
          <w:trHeight w:val="202"/>
        </w:trPr>
        <w:tc>
          <w:tcPr>
            <w:tcW w:w="4080" w:type="dxa"/>
            <w:vAlign w:val="bottom"/>
          </w:tcPr>
          <w:p>
            <w:pPr>
              <w:ind w:left="140"/>
              <w:spacing w:after="0" w:line="201" w:lineRule="exact"/>
              <w:rPr>
                <w:sz w:val="20"/>
                <w:szCs w:val="20"/>
                <w:color w:val="auto"/>
              </w:rPr>
            </w:pPr>
            <w:r>
              <w:rPr>
                <w:rFonts w:ascii="Arial" w:cs="Arial" w:eastAsia="Arial" w:hAnsi="Arial"/>
                <w:sz w:val="18"/>
                <w:szCs w:val="18"/>
                <w:b w:val="1"/>
                <w:bCs w:val="1"/>
                <w:color w:val="auto"/>
              </w:rPr>
              <w:t>Specific Qualifications and Skills:</w:t>
            </w:r>
          </w:p>
        </w:tc>
        <w:tc>
          <w:tcPr>
            <w:tcW w:w="1220" w:type="dxa"/>
            <w:vAlign w:val="bottom"/>
          </w:tcPr>
          <w:p>
            <w:pPr>
              <w:spacing w:after="0"/>
              <w:rPr>
                <w:sz w:val="17"/>
                <w:szCs w:val="17"/>
                <w:color w:val="auto"/>
              </w:rPr>
            </w:pPr>
          </w:p>
        </w:tc>
        <w:tc>
          <w:tcPr>
            <w:tcW w:w="5720" w:type="dxa"/>
            <w:vAlign w:val="bottom"/>
          </w:tcPr>
          <w:p>
            <w:pPr>
              <w:spacing w:after="0"/>
              <w:rPr>
                <w:sz w:val="17"/>
                <w:szCs w:val="17"/>
                <w:color w:val="auto"/>
              </w:rPr>
            </w:pPr>
          </w:p>
        </w:tc>
      </w:tr>
    </w:tbl>
    <w:p>
      <w:pPr>
        <w:ind w:left="360" w:right="60"/>
        <w:spacing w:after="0" w:line="246" w:lineRule="auto"/>
        <w:rPr>
          <w:sz w:val="20"/>
          <w:szCs w:val="20"/>
          <w:color w:val="auto"/>
        </w:rPr>
      </w:pPr>
      <w:r>
        <w:rPr>
          <w:rFonts w:ascii="Arial" w:cs="Arial" w:eastAsia="Arial" w:hAnsi="Arial"/>
          <w:sz w:val="18"/>
          <w:szCs w:val="18"/>
          <w:color w:val="auto"/>
        </w:rPr>
        <w:t>Mr. Wood’s tenure with the Trust and his responsibilities as chief executive officer provides the Board with familiarity and details on all aspects of the operation of the Trust.</w:t>
      </w:r>
    </w:p>
    <w:p>
      <w:pPr>
        <w:spacing w:after="0" w:line="19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QUALIFICATIONS AND CHARACTERISTICS OF TRUSTEES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8" w:lineRule="exact"/>
        <w:rPr>
          <w:sz w:val="20"/>
          <w:szCs w:val="20"/>
          <w:color w:val="auto"/>
        </w:rPr>
      </w:pPr>
    </w:p>
    <w:p>
      <w:pPr>
        <w:jc w:val="both"/>
        <w:ind w:left="200" w:right="20"/>
        <w:spacing w:after="0" w:line="237" w:lineRule="auto"/>
        <w:rPr>
          <w:sz w:val="20"/>
          <w:szCs w:val="20"/>
          <w:color w:val="auto"/>
        </w:rPr>
      </w:pPr>
      <w:r>
        <w:rPr>
          <w:rFonts w:ascii="Arial" w:cs="Arial" w:eastAsia="Arial" w:hAnsi="Arial"/>
          <w:sz w:val="18"/>
          <w:szCs w:val="18"/>
          <w:color w:val="auto"/>
        </w:rPr>
        <w:t>In determining who should stand for election as a Trustee, the Nominating and Corporate Governance Committee tries to ensure that the Board is composed of individuals whose backgrounds, skills and experiences, when taken together, will provide the Board with the range of skills and expertise to be able to effectively guide and oversee our strategy, operations and management. At a minimum, candidates should have the ability to exercise judgment in fulfilling his/her responsibilities, a professional background that would enable him/her to understand our business, public company, real estate, retail and/or other financial experience and a history of honesty, integrity and fair dealing with third parties. The skills and experience of the Trustees in areas we consider critical to our business are described in detail in the biographies above and summarized below:</w:t>
      </w:r>
    </w:p>
    <w:p>
      <w:pPr>
        <w:spacing w:after="0" w:line="211" w:lineRule="exact"/>
        <w:rPr>
          <w:sz w:val="20"/>
          <w:szCs w:val="20"/>
          <w:color w:val="auto"/>
        </w:rPr>
      </w:pPr>
    </w:p>
    <w:tbl>
      <w:tblPr>
        <w:tblLayout w:type="fixed"/>
        <w:tblInd w:w="230" w:type="dxa"/>
        <w:tblCellMar>
          <w:top w:w="0" w:type="dxa"/>
          <w:left w:w="0" w:type="dxa"/>
          <w:bottom w:w="0" w:type="dxa"/>
          <w:right w:w="0" w:type="dxa"/>
        </w:tblCellMar>
      </w:tblPr>
      <w:tr>
        <w:trPr>
          <w:trHeight w:val="297"/>
        </w:trPr>
        <w:tc>
          <w:tcPr>
            <w:tcW w:w="4860" w:type="dxa"/>
            <w:vAlign w:val="bottom"/>
            <w:tcBorders>
              <w:top w:val="single" w:sz="8" w:color="auto"/>
              <w:left w:val="single" w:sz="8" w:color="auto"/>
              <w:right w:val="single" w:sz="8" w:color="auto"/>
            </w:tcBorders>
            <w:shd w:val="clear" w:color="auto" w:fill="1F2A44"/>
          </w:tcPr>
          <w:p>
            <w:pPr>
              <w:ind w:left="140"/>
              <w:spacing w:after="0"/>
              <w:rPr>
                <w:sz w:val="20"/>
                <w:szCs w:val="20"/>
                <w:color w:val="auto"/>
              </w:rPr>
            </w:pPr>
            <w:r>
              <w:rPr>
                <w:rFonts w:ascii="Arial" w:cs="Arial" w:eastAsia="Arial" w:hAnsi="Arial"/>
                <w:sz w:val="18"/>
                <w:szCs w:val="18"/>
                <w:b w:val="1"/>
                <w:bCs w:val="1"/>
                <w:color w:val="FFFFFF"/>
              </w:rPr>
              <w:t>Qualifications/Skills of Nominees</w:t>
            </w:r>
          </w:p>
        </w:tc>
        <w:tc>
          <w:tcPr>
            <w:tcW w:w="560" w:type="dxa"/>
            <w:vAlign w:val="bottom"/>
            <w:tcBorders>
              <w:top w:val="single" w:sz="8" w:color="auto"/>
              <w:right w:val="single" w:sz="8" w:color="auto"/>
            </w:tcBorders>
            <w:shd w:val="clear" w:color="auto" w:fill="1F2A44"/>
          </w:tcPr>
          <w:p>
            <w:pPr>
              <w:jc w:val="center"/>
              <w:spacing w:after="0"/>
              <w:rPr>
                <w:sz w:val="20"/>
                <w:szCs w:val="20"/>
                <w:color w:val="auto"/>
              </w:rPr>
            </w:pPr>
            <w:r>
              <w:rPr>
                <w:rFonts w:ascii="Arial" w:cs="Arial" w:eastAsia="Arial" w:hAnsi="Arial"/>
                <w:sz w:val="18"/>
                <w:szCs w:val="18"/>
                <w:b w:val="1"/>
                <w:bCs w:val="1"/>
                <w:color w:val="FFFFFF"/>
                <w:w w:val="99"/>
              </w:rPr>
              <w:t>Bortz</w:t>
            </w:r>
          </w:p>
        </w:tc>
        <w:tc>
          <w:tcPr>
            <w:tcW w:w="700" w:type="dxa"/>
            <w:vAlign w:val="bottom"/>
            <w:tcBorders>
              <w:top w:val="single" w:sz="8" w:color="auto"/>
              <w:right w:val="single" w:sz="8" w:color="auto"/>
            </w:tcBorders>
            <w:shd w:val="clear" w:color="auto" w:fill="1F2A44"/>
          </w:tcPr>
          <w:p>
            <w:pPr>
              <w:jc w:val="center"/>
              <w:spacing w:after="0"/>
              <w:rPr>
                <w:sz w:val="20"/>
                <w:szCs w:val="20"/>
                <w:color w:val="auto"/>
              </w:rPr>
            </w:pPr>
            <w:r>
              <w:rPr>
                <w:rFonts w:ascii="Arial" w:cs="Arial" w:eastAsia="Arial" w:hAnsi="Arial"/>
                <w:sz w:val="18"/>
                <w:szCs w:val="18"/>
                <w:b w:val="1"/>
                <w:bCs w:val="1"/>
                <w:color w:val="FFFFFF"/>
                <w:w w:val="98"/>
              </w:rPr>
              <w:t>Faeder</w:t>
            </w:r>
          </w:p>
        </w:tc>
        <w:tc>
          <w:tcPr>
            <w:tcW w:w="760" w:type="dxa"/>
            <w:vAlign w:val="bottom"/>
            <w:tcBorders>
              <w:top w:val="single" w:sz="8" w:color="auto"/>
              <w:right w:val="single" w:sz="8" w:color="auto"/>
            </w:tcBorders>
            <w:shd w:val="clear" w:color="auto" w:fill="1F2A44"/>
          </w:tcPr>
          <w:p>
            <w:pPr>
              <w:jc w:val="center"/>
              <w:spacing w:after="0"/>
              <w:rPr>
                <w:sz w:val="20"/>
                <w:szCs w:val="20"/>
                <w:color w:val="auto"/>
              </w:rPr>
            </w:pPr>
            <w:r>
              <w:rPr>
                <w:rFonts w:ascii="Arial" w:cs="Arial" w:eastAsia="Arial" w:hAnsi="Arial"/>
                <w:sz w:val="18"/>
                <w:szCs w:val="18"/>
                <w:b w:val="1"/>
                <w:bCs w:val="1"/>
                <w:color w:val="FFFFFF"/>
                <w:w w:val="99"/>
              </w:rPr>
              <w:t>Holland</w:t>
            </w:r>
          </w:p>
        </w:tc>
        <w:tc>
          <w:tcPr>
            <w:tcW w:w="640" w:type="dxa"/>
            <w:vAlign w:val="bottom"/>
            <w:tcBorders>
              <w:top w:val="single" w:sz="8" w:color="auto"/>
              <w:right w:val="single" w:sz="8" w:color="auto"/>
            </w:tcBorders>
            <w:shd w:val="clear" w:color="auto" w:fill="1F2A44"/>
          </w:tcPr>
          <w:p>
            <w:pPr>
              <w:jc w:val="center"/>
              <w:spacing w:after="0"/>
              <w:rPr>
                <w:sz w:val="20"/>
                <w:szCs w:val="20"/>
                <w:color w:val="auto"/>
              </w:rPr>
            </w:pPr>
            <w:r>
              <w:rPr>
                <w:rFonts w:ascii="Arial" w:cs="Arial" w:eastAsia="Arial" w:hAnsi="Arial"/>
                <w:sz w:val="18"/>
                <w:szCs w:val="18"/>
                <w:b w:val="1"/>
                <w:bCs w:val="1"/>
                <w:color w:val="FFFFFF"/>
                <w:w w:val="98"/>
              </w:rPr>
              <w:t>Ordan</w:t>
            </w:r>
          </w:p>
        </w:tc>
        <w:tc>
          <w:tcPr>
            <w:tcW w:w="700" w:type="dxa"/>
            <w:vAlign w:val="bottom"/>
            <w:tcBorders>
              <w:top w:val="single" w:sz="8" w:color="auto"/>
              <w:right w:val="single" w:sz="8" w:color="auto"/>
            </w:tcBorders>
            <w:shd w:val="clear" w:color="auto" w:fill="1F2A44"/>
          </w:tcPr>
          <w:p>
            <w:pPr>
              <w:jc w:val="center"/>
              <w:spacing w:after="0"/>
              <w:rPr>
                <w:sz w:val="20"/>
                <w:szCs w:val="20"/>
                <w:color w:val="auto"/>
              </w:rPr>
            </w:pPr>
            <w:r>
              <w:rPr>
                <w:rFonts w:ascii="Arial" w:cs="Arial" w:eastAsia="Arial" w:hAnsi="Arial"/>
                <w:sz w:val="18"/>
                <w:szCs w:val="18"/>
                <w:b w:val="1"/>
                <w:bCs w:val="1"/>
                <w:color w:val="FFFFFF"/>
              </w:rPr>
              <w:t>Steinel</w:t>
            </w:r>
          </w:p>
        </w:tc>
        <w:tc>
          <w:tcPr>
            <w:tcW w:w="1040" w:type="dxa"/>
            <w:vAlign w:val="bottom"/>
            <w:tcBorders>
              <w:top w:val="single" w:sz="8" w:color="auto"/>
              <w:right w:val="single" w:sz="8" w:color="auto"/>
            </w:tcBorders>
            <w:shd w:val="clear" w:color="auto" w:fill="1F2A44"/>
          </w:tcPr>
          <w:p>
            <w:pPr>
              <w:jc w:val="center"/>
              <w:spacing w:after="0"/>
              <w:rPr>
                <w:sz w:val="20"/>
                <w:szCs w:val="20"/>
                <w:color w:val="auto"/>
              </w:rPr>
            </w:pPr>
            <w:r>
              <w:rPr>
                <w:rFonts w:ascii="Arial" w:cs="Arial" w:eastAsia="Arial" w:hAnsi="Arial"/>
                <w:sz w:val="18"/>
                <w:szCs w:val="18"/>
                <w:b w:val="1"/>
                <w:bCs w:val="1"/>
                <w:color w:val="FFFFFF"/>
                <w:w w:val="99"/>
              </w:rPr>
              <w:t>Thompson</w:t>
            </w:r>
          </w:p>
        </w:tc>
        <w:tc>
          <w:tcPr>
            <w:tcW w:w="1120" w:type="dxa"/>
            <w:vAlign w:val="bottom"/>
            <w:tcBorders>
              <w:top w:val="single" w:sz="8" w:color="auto"/>
              <w:right w:val="single" w:sz="8" w:color="auto"/>
            </w:tcBorders>
            <w:shd w:val="clear" w:color="auto" w:fill="1F2A44"/>
          </w:tcPr>
          <w:p>
            <w:pPr>
              <w:jc w:val="center"/>
              <w:spacing w:after="0"/>
              <w:rPr>
                <w:sz w:val="20"/>
                <w:szCs w:val="20"/>
                <w:color w:val="auto"/>
              </w:rPr>
            </w:pPr>
            <w:r>
              <w:rPr>
                <w:rFonts w:ascii="Arial" w:cs="Arial" w:eastAsia="Arial" w:hAnsi="Arial"/>
                <w:sz w:val="18"/>
                <w:szCs w:val="18"/>
                <w:b w:val="1"/>
                <w:bCs w:val="1"/>
                <w:color w:val="FFFFFF"/>
                <w:w w:val="99"/>
              </w:rPr>
              <w:t>Vassalluzzo</w:t>
            </w:r>
          </w:p>
        </w:tc>
        <w:tc>
          <w:tcPr>
            <w:tcW w:w="660" w:type="dxa"/>
            <w:vAlign w:val="bottom"/>
            <w:tcBorders>
              <w:top w:val="single" w:sz="8" w:color="auto"/>
              <w:right w:val="single" w:sz="8" w:color="auto"/>
            </w:tcBorders>
            <w:shd w:val="clear" w:color="auto" w:fill="1F2A44"/>
          </w:tcPr>
          <w:p>
            <w:pPr>
              <w:jc w:val="center"/>
              <w:spacing w:after="0"/>
              <w:rPr>
                <w:sz w:val="20"/>
                <w:szCs w:val="20"/>
                <w:color w:val="auto"/>
              </w:rPr>
            </w:pPr>
            <w:r>
              <w:rPr>
                <w:rFonts w:ascii="Arial" w:cs="Arial" w:eastAsia="Arial" w:hAnsi="Arial"/>
                <w:sz w:val="18"/>
                <w:szCs w:val="18"/>
                <w:b w:val="1"/>
                <w:bCs w:val="1"/>
                <w:color w:val="FFFFFF"/>
                <w:w w:val="99"/>
              </w:rPr>
              <w:t>Wood</w:t>
            </w:r>
          </w:p>
        </w:tc>
      </w:tr>
      <w:tr>
        <w:trPr>
          <w:trHeight w:val="311"/>
        </w:trPr>
        <w:tc>
          <w:tcPr>
            <w:tcW w:w="4860" w:type="dxa"/>
            <w:vAlign w:val="bottom"/>
            <w:tcBorders>
              <w:left w:val="single" w:sz="8" w:color="auto"/>
              <w:bottom w:val="single" w:sz="8" w:color="FEC221"/>
              <w:right w:val="single" w:sz="8" w:color="auto"/>
            </w:tcBorders>
            <w:shd w:val="clear" w:color="auto" w:fill="FEC221"/>
          </w:tcPr>
          <w:p>
            <w:pPr>
              <w:ind w:left="140"/>
              <w:spacing w:after="0"/>
              <w:rPr>
                <w:sz w:val="20"/>
                <w:szCs w:val="20"/>
                <w:color w:val="auto"/>
              </w:rPr>
            </w:pPr>
            <w:r>
              <w:rPr>
                <w:rFonts w:ascii="Arial" w:cs="Arial" w:eastAsia="Arial" w:hAnsi="Arial"/>
                <w:sz w:val="18"/>
                <w:szCs w:val="18"/>
                <w:color w:val="auto"/>
              </w:rPr>
              <w:t>Business/Executive Leadership</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w:t>
            </w: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w:t>
            </w:r>
          </w:p>
        </w:tc>
      </w:tr>
      <w:tr>
        <w:trPr>
          <w:trHeight w:val="284"/>
        </w:trPr>
        <w:tc>
          <w:tcPr>
            <w:tcW w:w="4860" w:type="dxa"/>
            <w:vAlign w:val="bottom"/>
            <w:tcBorders>
              <w:top w:val="single" w:sz="8" w:color="auto"/>
              <w:left w:val="single" w:sz="8" w:color="auto"/>
              <w:bottom w:val="single" w:sz="8" w:color="auto"/>
              <w:right w:val="single" w:sz="8" w:color="auto"/>
            </w:tcBorders>
            <w:shd w:val="clear" w:color="auto" w:fill="FEC221"/>
          </w:tcPr>
          <w:p>
            <w:pPr>
              <w:ind w:left="140"/>
              <w:spacing w:after="0"/>
              <w:rPr>
                <w:sz w:val="20"/>
                <w:szCs w:val="20"/>
                <w:color w:val="auto"/>
              </w:rPr>
            </w:pPr>
            <w:r>
              <w:rPr>
                <w:rFonts w:ascii="Arial" w:cs="Arial" w:eastAsia="Arial" w:hAnsi="Arial"/>
                <w:sz w:val="18"/>
                <w:szCs w:val="18"/>
                <w:color w:val="auto"/>
              </w:rPr>
              <w:t>REIT/Public Company</w:t>
            </w:r>
          </w:p>
        </w:tc>
        <w:tc>
          <w:tcPr>
            <w:tcW w:w="5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w:t>
            </w:r>
          </w:p>
        </w:tc>
        <w:tc>
          <w:tcPr>
            <w:tcW w:w="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w:t>
            </w:r>
          </w:p>
        </w:tc>
        <w:tc>
          <w:tcPr>
            <w:tcW w:w="6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right w:val="single" w:sz="8" w:color="auto"/>
            </w:tcBorders>
          </w:tcPr>
          <w:p>
            <w:pPr>
              <w:spacing w:after="0"/>
              <w:rPr>
                <w:sz w:val="24"/>
                <w:szCs w:val="24"/>
                <w:color w:val="auto"/>
              </w:rPr>
            </w:pPr>
          </w:p>
        </w:tc>
        <w:tc>
          <w:tcPr>
            <w:tcW w:w="11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w:t>
            </w:r>
          </w:p>
        </w:tc>
        <w:tc>
          <w:tcPr>
            <w:tcW w:w="6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w:t>
            </w:r>
          </w:p>
        </w:tc>
      </w:tr>
      <w:tr>
        <w:trPr>
          <w:trHeight w:val="297"/>
        </w:trPr>
        <w:tc>
          <w:tcPr>
            <w:tcW w:w="4860" w:type="dxa"/>
            <w:vAlign w:val="bottom"/>
            <w:tcBorders>
              <w:left w:val="single" w:sz="8" w:color="auto"/>
              <w:bottom w:val="single" w:sz="8" w:color="FEC221"/>
              <w:right w:val="single" w:sz="8" w:color="auto"/>
            </w:tcBorders>
            <w:shd w:val="clear" w:color="auto" w:fill="FEC221"/>
          </w:tcPr>
          <w:p>
            <w:pPr>
              <w:ind w:left="140"/>
              <w:spacing w:after="0"/>
              <w:rPr>
                <w:sz w:val="20"/>
                <w:szCs w:val="20"/>
                <w:color w:val="auto"/>
              </w:rPr>
            </w:pPr>
            <w:r>
              <w:rPr>
                <w:rFonts w:ascii="Arial" w:cs="Arial" w:eastAsia="Arial" w:hAnsi="Arial"/>
                <w:sz w:val="18"/>
                <w:szCs w:val="18"/>
                <w:color w:val="auto"/>
              </w:rPr>
              <w:t>Investment/Financial/Accounting</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w:t>
            </w: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w:t>
            </w:r>
          </w:p>
        </w:tc>
      </w:tr>
      <w:tr>
        <w:trPr>
          <w:trHeight w:val="291"/>
        </w:trPr>
        <w:tc>
          <w:tcPr>
            <w:tcW w:w="4860" w:type="dxa"/>
            <w:vAlign w:val="bottom"/>
            <w:tcBorders>
              <w:top w:val="single" w:sz="8" w:color="auto"/>
              <w:left w:val="single" w:sz="8" w:color="auto"/>
              <w:bottom w:val="single" w:sz="8" w:color="FEC221"/>
              <w:right w:val="single" w:sz="8" w:color="auto"/>
            </w:tcBorders>
            <w:shd w:val="clear" w:color="auto" w:fill="FEC221"/>
          </w:tcPr>
          <w:p>
            <w:pPr>
              <w:ind w:left="140"/>
              <w:spacing w:after="0"/>
              <w:rPr>
                <w:sz w:val="20"/>
                <w:szCs w:val="20"/>
                <w:color w:val="auto"/>
              </w:rPr>
            </w:pPr>
            <w:r>
              <w:rPr>
                <w:rFonts w:ascii="Arial" w:cs="Arial" w:eastAsia="Arial" w:hAnsi="Arial"/>
                <w:sz w:val="18"/>
                <w:szCs w:val="18"/>
                <w:color w:val="auto"/>
              </w:rPr>
              <w:t>Real Estate</w:t>
            </w:r>
          </w:p>
        </w:tc>
        <w:tc>
          <w:tcPr>
            <w:tcW w:w="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w:t>
            </w:r>
          </w:p>
        </w:tc>
        <w:tc>
          <w:tcPr>
            <w:tcW w:w="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w:t>
            </w:r>
          </w:p>
        </w:tc>
        <w:tc>
          <w:tcPr>
            <w:tcW w:w="6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right w:val="single" w:sz="8" w:color="auto"/>
            </w:tcBorders>
          </w:tcPr>
          <w:p>
            <w:pPr>
              <w:spacing w:after="0"/>
              <w:rPr>
                <w:sz w:val="24"/>
                <w:szCs w:val="24"/>
                <w:color w:val="auto"/>
              </w:rPr>
            </w:pPr>
          </w:p>
        </w:tc>
        <w:tc>
          <w:tcPr>
            <w:tcW w:w="1040" w:type="dxa"/>
            <w:vAlign w:val="bottom"/>
            <w:tcBorders>
              <w:top w:val="single" w:sz="8" w:color="auto"/>
              <w:right w:val="single" w:sz="8" w:color="auto"/>
            </w:tcBorders>
          </w:tcPr>
          <w:p>
            <w:pPr>
              <w:spacing w:after="0"/>
              <w:rPr>
                <w:sz w:val="24"/>
                <w:szCs w:val="24"/>
                <w:color w:val="auto"/>
              </w:rPr>
            </w:pP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w:t>
            </w:r>
          </w:p>
        </w:tc>
        <w:tc>
          <w:tcPr>
            <w:tcW w:w="6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w:t>
            </w:r>
          </w:p>
        </w:tc>
      </w:tr>
      <w:tr>
        <w:trPr>
          <w:trHeight w:val="291"/>
        </w:trPr>
        <w:tc>
          <w:tcPr>
            <w:tcW w:w="4860" w:type="dxa"/>
            <w:vAlign w:val="bottom"/>
            <w:tcBorders>
              <w:top w:val="single" w:sz="8" w:color="auto"/>
              <w:left w:val="single" w:sz="8" w:color="auto"/>
              <w:bottom w:val="single" w:sz="8" w:color="FEC221"/>
              <w:right w:val="single" w:sz="8" w:color="auto"/>
            </w:tcBorders>
            <w:shd w:val="clear" w:color="auto" w:fill="FEC221"/>
          </w:tcPr>
          <w:p>
            <w:pPr>
              <w:ind w:left="140"/>
              <w:spacing w:after="0"/>
              <w:rPr>
                <w:sz w:val="20"/>
                <w:szCs w:val="20"/>
                <w:color w:val="auto"/>
              </w:rPr>
            </w:pPr>
            <w:r>
              <w:rPr>
                <w:rFonts w:ascii="Arial" w:cs="Arial" w:eastAsia="Arial" w:hAnsi="Arial"/>
                <w:sz w:val="18"/>
                <w:szCs w:val="18"/>
                <w:color w:val="auto"/>
              </w:rPr>
              <w:t>Retailing Industry</w:t>
            </w:r>
          </w:p>
        </w:tc>
        <w:tc>
          <w:tcPr>
            <w:tcW w:w="560" w:type="dxa"/>
            <w:vAlign w:val="bottom"/>
            <w:tcBorders>
              <w:top w:val="single" w:sz="8" w:color="auto"/>
              <w:right w:val="single" w:sz="8" w:color="auto"/>
            </w:tcBorders>
          </w:tcPr>
          <w:p>
            <w:pPr>
              <w:spacing w:after="0"/>
              <w:rPr>
                <w:sz w:val="24"/>
                <w:szCs w:val="24"/>
                <w:color w:val="auto"/>
              </w:rPr>
            </w:pPr>
          </w:p>
        </w:tc>
        <w:tc>
          <w:tcPr>
            <w:tcW w:w="700" w:type="dxa"/>
            <w:vAlign w:val="bottom"/>
            <w:tcBorders>
              <w:top w:val="single" w:sz="8" w:color="auto"/>
              <w:right w:val="single" w:sz="8" w:color="auto"/>
            </w:tcBorders>
          </w:tcPr>
          <w:p>
            <w:pPr>
              <w:spacing w:after="0"/>
              <w:rPr>
                <w:sz w:val="24"/>
                <w:szCs w:val="24"/>
                <w:color w:val="auto"/>
              </w:rPr>
            </w:pPr>
          </w:p>
        </w:tc>
        <w:tc>
          <w:tcPr>
            <w:tcW w:w="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w:t>
            </w:r>
          </w:p>
        </w:tc>
        <w:tc>
          <w:tcPr>
            <w:tcW w:w="6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right w:val="single" w:sz="8" w:color="auto"/>
            </w:tcBorders>
          </w:tcPr>
          <w:p>
            <w:pPr>
              <w:spacing w:after="0"/>
              <w:rPr>
                <w:sz w:val="24"/>
                <w:szCs w:val="24"/>
                <w:color w:val="auto"/>
              </w:rPr>
            </w:pPr>
          </w:p>
        </w:tc>
        <w:tc>
          <w:tcPr>
            <w:tcW w:w="1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w:t>
            </w: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w:t>
            </w:r>
          </w:p>
        </w:tc>
        <w:tc>
          <w:tcPr>
            <w:tcW w:w="660" w:type="dxa"/>
            <w:vAlign w:val="bottom"/>
            <w:tcBorders>
              <w:top w:val="single" w:sz="8" w:color="auto"/>
              <w:right w:val="single" w:sz="8" w:color="auto"/>
            </w:tcBorders>
          </w:tcPr>
          <w:p>
            <w:pPr>
              <w:spacing w:after="0"/>
              <w:rPr>
                <w:sz w:val="24"/>
                <w:szCs w:val="24"/>
                <w:color w:val="auto"/>
              </w:rPr>
            </w:pPr>
          </w:p>
        </w:tc>
      </w:tr>
      <w:tr>
        <w:trPr>
          <w:trHeight w:val="304"/>
        </w:trPr>
        <w:tc>
          <w:tcPr>
            <w:tcW w:w="4860" w:type="dxa"/>
            <w:vAlign w:val="bottom"/>
            <w:tcBorders>
              <w:top w:val="single" w:sz="8" w:color="auto"/>
              <w:left w:val="single" w:sz="8" w:color="auto"/>
              <w:bottom w:val="single" w:sz="8" w:color="FEC221"/>
              <w:right w:val="single" w:sz="8" w:color="auto"/>
            </w:tcBorders>
            <w:shd w:val="clear" w:color="auto" w:fill="FEC221"/>
          </w:tcPr>
          <w:p>
            <w:pPr>
              <w:ind w:left="140"/>
              <w:spacing w:after="0"/>
              <w:rPr>
                <w:sz w:val="20"/>
                <w:szCs w:val="20"/>
                <w:color w:val="auto"/>
              </w:rPr>
            </w:pPr>
            <w:r>
              <w:rPr>
                <w:rFonts w:ascii="Arial" w:cs="Arial" w:eastAsia="Arial" w:hAnsi="Arial"/>
                <w:sz w:val="18"/>
                <w:szCs w:val="18"/>
                <w:color w:val="auto"/>
              </w:rPr>
              <w:t>Operational Management</w:t>
            </w:r>
          </w:p>
        </w:tc>
        <w:tc>
          <w:tcPr>
            <w:tcW w:w="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w:t>
            </w:r>
          </w:p>
        </w:tc>
        <w:tc>
          <w:tcPr>
            <w:tcW w:w="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w:t>
            </w:r>
          </w:p>
        </w:tc>
        <w:tc>
          <w:tcPr>
            <w:tcW w:w="6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w:t>
            </w: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w:t>
            </w:r>
          </w:p>
        </w:tc>
        <w:tc>
          <w:tcPr>
            <w:tcW w:w="6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w:t>
            </w:r>
          </w:p>
        </w:tc>
      </w:tr>
      <w:tr>
        <w:trPr>
          <w:trHeight w:val="271"/>
        </w:trPr>
        <w:tc>
          <w:tcPr>
            <w:tcW w:w="4860" w:type="dxa"/>
            <w:vAlign w:val="bottom"/>
            <w:tcBorders>
              <w:top w:val="single" w:sz="8" w:color="auto"/>
              <w:left w:val="single" w:sz="8" w:color="auto"/>
              <w:bottom w:val="single" w:sz="8" w:color="FEC221"/>
              <w:right w:val="single" w:sz="8" w:color="auto"/>
            </w:tcBorders>
            <w:shd w:val="clear" w:color="auto" w:fill="FEC221"/>
          </w:tcPr>
          <w:p>
            <w:pPr>
              <w:ind w:left="140"/>
              <w:spacing w:after="0"/>
              <w:rPr>
                <w:sz w:val="20"/>
                <w:szCs w:val="20"/>
                <w:color w:val="auto"/>
              </w:rPr>
            </w:pPr>
            <w:r>
              <w:rPr>
                <w:rFonts w:ascii="Arial" w:cs="Arial" w:eastAsia="Arial" w:hAnsi="Arial"/>
                <w:sz w:val="18"/>
                <w:szCs w:val="18"/>
                <w:color w:val="auto"/>
              </w:rPr>
              <w:t>Risk Oversight/Management</w:t>
            </w:r>
          </w:p>
        </w:tc>
        <w:tc>
          <w:tcPr>
            <w:tcW w:w="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w:t>
            </w:r>
          </w:p>
        </w:tc>
        <w:tc>
          <w:tcPr>
            <w:tcW w:w="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w:t>
            </w:r>
          </w:p>
        </w:tc>
        <w:tc>
          <w:tcPr>
            <w:tcW w:w="6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w:t>
            </w: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w:t>
            </w:r>
          </w:p>
        </w:tc>
        <w:tc>
          <w:tcPr>
            <w:tcW w:w="6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w:t>
            </w:r>
          </w:p>
        </w:tc>
      </w:tr>
      <w:tr>
        <w:trPr>
          <w:trHeight w:val="20"/>
        </w:trPr>
        <w:tc>
          <w:tcPr>
            <w:tcW w:w="48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r>
    </w:tbl>
    <w:p>
      <w:pPr>
        <w:spacing w:after="0" w:line="175" w:lineRule="exact"/>
        <w:rPr>
          <w:sz w:val="20"/>
          <w:szCs w:val="20"/>
          <w:color w:val="auto"/>
        </w:rPr>
      </w:pPr>
    </w:p>
    <w:p>
      <w:pPr>
        <w:jc w:val="both"/>
        <w:ind w:left="200" w:right="20"/>
        <w:spacing w:after="0" w:line="236" w:lineRule="auto"/>
        <w:rPr>
          <w:sz w:val="20"/>
          <w:szCs w:val="20"/>
          <w:color w:val="auto"/>
        </w:rPr>
      </w:pPr>
      <w:r>
        <w:rPr>
          <w:rFonts w:ascii="Arial" w:cs="Arial" w:eastAsia="Arial" w:hAnsi="Arial"/>
          <w:sz w:val="18"/>
          <w:szCs w:val="18"/>
          <w:color w:val="auto"/>
        </w:rPr>
        <w:t>The Nominating and Corporate Governance Committee also seeks geographic, age, tenure, gender and ethnic diversity on the Board. Although the Board has not adopted any specific policies on diversity, the Nominating and Corporate Governance Committee and the Board believe that diversity is a factor to be considered, consistent with the goal of creating a Board that best serves the needs of the Trust and our shareholders. Our nominees reflect the Board’s efforts and commitment to diversity with two women and one African American included in that group. The Board also made the determination over the past year that the effectiveness of the Board’s oversight function would be further enhanced by adding a trustee who had recent and broad REIT and public company expertise given the dynamics of a changing marketplace. As a result, the Board increased its size from seven to eight trustees and elected Mark Ordan to fill the newly created position. Mr. Ordan’s selection is described in more detail below.</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240" w:top="459" w:right="4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PROCESS FOR SELECTING TRUSTEES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8" w:lineRule="exact"/>
        <w:rPr>
          <w:sz w:val="20"/>
          <w:szCs w:val="20"/>
          <w:color w:val="auto"/>
        </w:rPr>
      </w:pPr>
    </w:p>
    <w:p>
      <w:pPr>
        <w:jc w:val="both"/>
        <w:ind w:left="200" w:right="20"/>
        <w:spacing w:after="0" w:line="237" w:lineRule="auto"/>
        <w:rPr>
          <w:sz w:val="20"/>
          <w:szCs w:val="20"/>
          <w:color w:val="auto"/>
        </w:rPr>
      </w:pPr>
      <w:r>
        <w:rPr>
          <w:rFonts w:ascii="Arial" w:cs="Arial" w:eastAsia="Arial" w:hAnsi="Arial"/>
          <w:sz w:val="18"/>
          <w:szCs w:val="18"/>
          <w:color w:val="auto"/>
        </w:rPr>
        <w:t>In considering nominees to stand for election at the Annual Meeting, the Board and the Committee evaluate each person’s background, qualifications and attributes to serve as a Trustee based on the criteria described above and for incumbent Trustees, their years of experience working together on the Board and the deep knowledge of the Trust they have developed as a result of such service on the Board. This is especially important in our company where real estate decisions and strategy often take years to develop and require a full understanding of history in setting strategies and making decisions. The Board and the committee also consider each incumbent Trustee’s contributions to the effectiveness of the Board and its committees based on the in-depth individual trustee assessments completed each year for each Board member by each other Board member.</w:t>
      </w:r>
    </w:p>
    <w:p>
      <w:pPr>
        <w:spacing w:after="0" w:line="163" w:lineRule="exact"/>
        <w:rPr>
          <w:sz w:val="20"/>
          <w:szCs w:val="20"/>
          <w:color w:val="auto"/>
        </w:rPr>
      </w:pPr>
    </w:p>
    <w:p>
      <w:pPr>
        <w:jc w:val="both"/>
        <w:ind w:left="200" w:right="20"/>
        <w:spacing w:after="0" w:line="236" w:lineRule="auto"/>
        <w:rPr>
          <w:sz w:val="20"/>
          <w:szCs w:val="20"/>
          <w:color w:val="auto"/>
        </w:rPr>
      </w:pPr>
      <w:r>
        <w:rPr>
          <w:rFonts w:ascii="Arial" w:cs="Arial" w:eastAsia="Arial" w:hAnsi="Arial"/>
          <w:sz w:val="18"/>
          <w:szCs w:val="18"/>
          <w:color w:val="auto"/>
        </w:rPr>
        <w:t>To identify, recruit and evaluate qualified candidates for the Board, the Board first looks to individuals known to current Board members through business and other relationships. If the Board is not able to identify qualified candidates in that way, the services of a professional search firm would be used. Mr. Ordan was identified by Board members from his extensive, recent experience leading public companies, including real estate companies, as well as his retailing experience and familiarity with the Trust and current Board members. Until July 2018, Mr. Ordan served as Chief Executive Officer of QCP Properties, Inc., a real estate investment trust focused on post-acute/skilled nursing and memory care/assisted living properties. Our chief executive officer, Mr. Wood served on the board of QCP Properties and on its compensation committee at the same time. As a result of Mr. Wood’s service on the QCP Properties compensation committee, Mr. Ordan will not satisfy the requirements to be considered an independent trustee under the NYSE listing standards until August 2021. The Committee and the Board considered this fact and determined that the perspectives Mr. Ordan would bring to the table as a trustee would be very valuable today and outweighed any concerns with his not satisfying the independence requirements of the NYSE until August 2021.</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PROCESS FOR SHAREHOLDERS TO RECOMMEND TRUSTEE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45" w:lineRule="exact"/>
        <w:rPr>
          <w:sz w:val="20"/>
          <w:szCs w:val="20"/>
          <w:color w:val="auto"/>
        </w:rPr>
      </w:pPr>
    </w:p>
    <w:p>
      <w:pPr>
        <w:jc w:val="both"/>
        <w:ind w:left="200" w:right="20"/>
        <w:spacing w:after="0" w:line="238" w:lineRule="auto"/>
        <w:rPr>
          <w:sz w:val="20"/>
          <w:szCs w:val="20"/>
          <w:color w:val="auto"/>
        </w:rPr>
      </w:pPr>
      <w:r>
        <w:rPr>
          <w:rFonts w:ascii="Arial" w:cs="Arial" w:eastAsia="Arial" w:hAnsi="Arial"/>
          <w:sz w:val="18"/>
          <w:szCs w:val="18"/>
          <w:color w:val="auto"/>
        </w:rPr>
        <w:t>Shareholders may propose a candidate to be nominated for election to the Board by following the procedures outlined in our Bylaws, a copy of which can be obtained by sending a written request to Investor Relations at 1626 East Jefferson Street, Rockville, Maryland 20852. If you want to recommend a nominee, you can submit a written recommendation in accordance with our Bylaws that includes the name, qualifications and other pertinent information about the nominee to the Trust’s Secretary at our Rockville office. Any recommendation for a nominee to be considered at our 2020 Annual Meeting must be submitted no later than November 23, 2019.</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TRUSTEE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non-employee Trustees receive the following compensation for their service on the Board:</w:t>
      </w:r>
    </w:p>
    <w:p>
      <w:pPr>
        <w:spacing w:after="0" w:line="220" w:lineRule="exact"/>
        <w:rPr>
          <w:sz w:val="20"/>
          <w:szCs w:val="20"/>
          <w:color w:val="auto"/>
        </w:rPr>
      </w:pPr>
    </w:p>
    <w:tbl>
      <w:tblPr>
        <w:tblLayout w:type="fixed"/>
        <w:tblInd w:w="230" w:type="dxa"/>
        <w:tblCellMar>
          <w:top w:w="0" w:type="dxa"/>
          <w:left w:w="0" w:type="dxa"/>
          <w:bottom w:w="0" w:type="dxa"/>
          <w:right w:w="0" w:type="dxa"/>
        </w:tblCellMar>
      </w:tblPr>
      <w:tr>
        <w:trPr>
          <w:trHeight w:val="257"/>
        </w:trPr>
        <w:tc>
          <w:tcPr>
            <w:tcW w:w="5540" w:type="dxa"/>
            <w:vAlign w:val="bottom"/>
            <w:tcBorders>
              <w:top w:val="single" w:sz="8" w:color="auto"/>
              <w:left w:val="single" w:sz="8" w:color="auto"/>
              <w:right w:val="single" w:sz="8" w:color="auto"/>
            </w:tcBorders>
            <w:shd w:val="clear" w:color="auto" w:fill="1F2A44"/>
          </w:tcPr>
          <w:p>
            <w:pPr>
              <w:ind w:left="240"/>
              <w:spacing w:after="0"/>
              <w:rPr>
                <w:sz w:val="20"/>
                <w:szCs w:val="20"/>
                <w:color w:val="auto"/>
              </w:rPr>
            </w:pPr>
            <w:r>
              <w:rPr>
                <w:rFonts w:ascii="Arial" w:cs="Arial" w:eastAsia="Arial" w:hAnsi="Arial"/>
                <w:sz w:val="18"/>
                <w:szCs w:val="18"/>
                <w:b w:val="1"/>
                <w:bCs w:val="1"/>
                <w:color w:val="FFFFFF"/>
              </w:rPr>
              <w:t>Compensation Element</w:t>
            </w:r>
          </w:p>
        </w:tc>
        <w:tc>
          <w:tcPr>
            <w:tcW w:w="5500" w:type="dxa"/>
            <w:vAlign w:val="bottom"/>
            <w:tcBorders>
              <w:top w:val="single" w:sz="8" w:color="auto"/>
              <w:right w:val="single" w:sz="8" w:color="auto"/>
            </w:tcBorders>
            <w:shd w:val="clear" w:color="auto" w:fill="1F2A44"/>
          </w:tcPr>
          <w:p>
            <w:pPr>
              <w:ind w:left="80"/>
              <w:spacing w:after="0"/>
              <w:rPr>
                <w:sz w:val="20"/>
                <w:szCs w:val="20"/>
                <w:color w:val="auto"/>
              </w:rPr>
            </w:pPr>
            <w:r>
              <w:rPr>
                <w:rFonts w:ascii="Arial" w:cs="Arial" w:eastAsia="Arial" w:hAnsi="Arial"/>
                <w:sz w:val="18"/>
                <w:szCs w:val="18"/>
                <w:b w:val="1"/>
                <w:bCs w:val="1"/>
                <w:color w:val="FFFFFF"/>
              </w:rPr>
              <w:t>Amount</w:t>
            </w:r>
          </w:p>
        </w:tc>
      </w:tr>
      <w:tr>
        <w:trPr>
          <w:trHeight w:val="270"/>
        </w:trPr>
        <w:tc>
          <w:tcPr>
            <w:tcW w:w="5540" w:type="dxa"/>
            <w:vAlign w:val="bottom"/>
            <w:tcBorders>
              <w:left w:val="single" w:sz="8" w:color="auto"/>
              <w:bottom w:val="single" w:sz="8" w:color="auto"/>
              <w:right w:val="single" w:sz="8" w:color="auto"/>
            </w:tcBorders>
            <w:shd w:val="clear" w:color="auto" w:fill="FEC221"/>
          </w:tcPr>
          <w:p>
            <w:pPr>
              <w:ind w:left="220"/>
              <w:spacing w:after="0"/>
              <w:rPr>
                <w:sz w:val="20"/>
                <w:szCs w:val="20"/>
                <w:color w:val="auto"/>
              </w:rPr>
            </w:pPr>
            <w:r>
              <w:rPr>
                <w:rFonts w:ascii="Arial" w:cs="Arial" w:eastAsia="Arial" w:hAnsi="Arial"/>
                <w:sz w:val="18"/>
                <w:szCs w:val="18"/>
                <w:color w:val="auto"/>
              </w:rPr>
              <w:t>Non-Executive Chairman Annual Retainer—Paid in Cash</w:t>
            </w:r>
          </w:p>
        </w:tc>
        <w:tc>
          <w:tcPr>
            <w:tcW w:w="55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$106,000</w:t>
            </w:r>
          </w:p>
        </w:tc>
      </w:tr>
      <w:tr>
        <w:trPr>
          <w:trHeight w:val="250"/>
        </w:trPr>
        <w:tc>
          <w:tcPr>
            <w:tcW w:w="5540" w:type="dxa"/>
            <w:vAlign w:val="bottom"/>
            <w:tcBorders>
              <w:left w:val="single" w:sz="8" w:color="auto"/>
              <w:bottom w:val="single" w:sz="8" w:color="auto"/>
              <w:right w:val="single" w:sz="8" w:color="auto"/>
            </w:tcBorders>
            <w:shd w:val="clear" w:color="auto" w:fill="FEC221"/>
          </w:tcPr>
          <w:p>
            <w:pPr>
              <w:ind w:left="220"/>
              <w:spacing w:after="0"/>
              <w:rPr>
                <w:sz w:val="20"/>
                <w:szCs w:val="20"/>
                <w:color w:val="auto"/>
              </w:rPr>
            </w:pPr>
            <w:r>
              <w:rPr>
                <w:rFonts w:ascii="Arial" w:cs="Arial" w:eastAsia="Arial" w:hAnsi="Arial"/>
                <w:sz w:val="18"/>
                <w:szCs w:val="18"/>
                <w:color w:val="auto"/>
              </w:rPr>
              <w:t>Non-Executive Chairman Annual Retainer—Paid in Shares</w:t>
            </w:r>
          </w:p>
        </w:tc>
        <w:tc>
          <w:tcPr>
            <w:tcW w:w="55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$159,000 (fully vested on grant date)</w:t>
            </w:r>
          </w:p>
        </w:tc>
      </w:tr>
      <w:tr>
        <w:trPr>
          <w:trHeight w:val="250"/>
        </w:trPr>
        <w:tc>
          <w:tcPr>
            <w:tcW w:w="5540" w:type="dxa"/>
            <w:vAlign w:val="bottom"/>
            <w:tcBorders>
              <w:left w:val="single" w:sz="8" w:color="auto"/>
              <w:bottom w:val="single" w:sz="8" w:color="auto"/>
              <w:right w:val="single" w:sz="8" w:color="auto"/>
            </w:tcBorders>
            <w:shd w:val="clear" w:color="auto" w:fill="FEC221"/>
          </w:tcPr>
          <w:p>
            <w:pPr>
              <w:ind w:left="220"/>
              <w:spacing w:after="0"/>
              <w:rPr>
                <w:sz w:val="20"/>
                <w:szCs w:val="20"/>
                <w:color w:val="auto"/>
              </w:rPr>
            </w:pPr>
            <w:r>
              <w:rPr>
                <w:rFonts w:ascii="Arial" w:cs="Arial" w:eastAsia="Arial" w:hAnsi="Arial"/>
                <w:sz w:val="18"/>
                <w:szCs w:val="18"/>
                <w:color w:val="auto"/>
              </w:rPr>
              <w:t>Non-Employee Trustee Annual Retainer—Paid in Cash</w:t>
            </w:r>
          </w:p>
        </w:tc>
        <w:tc>
          <w:tcPr>
            <w:tcW w:w="55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$76,000</w:t>
            </w:r>
          </w:p>
        </w:tc>
      </w:tr>
      <w:tr>
        <w:trPr>
          <w:trHeight w:val="250"/>
        </w:trPr>
        <w:tc>
          <w:tcPr>
            <w:tcW w:w="5540" w:type="dxa"/>
            <w:vAlign w:val="bottom"/>
            <w:tcBorders>
              <w:left w:val="single" w:sz="8" w:color="auto"/>
              <w:bottom w:val="single" w:sz="8" w:color="auto"/>
              <w:right w:val="single" w:sz="8" w:color="auto"/>
            </w:tcBorders>
            <w:shd w:val="clear" w:color="auto" w:fill="FEC221"/>
          </w:tcPr>
          <w:p>
            <w:pPr>
              <w:ind w:left="220"/>
              <w:spacing w:after="0"/>
              <w:rPr>
                <w:sz w:val="20"/>
                <w:szCs w:val="20"/>
                <w:color w:val="auto"/>
              </w:rPr>
            </w:pPr>
            <w:r>
              <w:rPr>
                <w:rFonts w:ascii="Arial" w:cs="Arial" w:eastAsia="Arial" w:hAnsi="Arial"/>
                <w:sz w:val="18"/>
                <w:szCs w:val="18"/>
                <w:color w:val="auto"/>
              </w:rPr>
              <w:t>Non-Employee Trustee Annual Retainer—Paid in Shares</w:t>
            </w:r>
          </w:p>
        </w:tc>
        <w:tc>
          <w:tcPr>
            <w:tcW w:w="55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$114,000 (fully vested on grant date)</w:t>
            </w:r>
          </w:p>
        </w:tc>
      </w:tr>
      <w:tr>
        <w:trPr>
          <w:trHeight w:val="236"/>
        </w:trPr>
        <w:tc>
          <w:tcPr>
            <w:tcW w:w="5540" w:type="dxa"/>
            <w:vAlign w:val="bottom"/>
            <w:tcBorders>
              <w:left w:val="single" w:sz="8" w:color="auto"/>
              <w:right w:val="single" w:sz="8" w:color="auto"/>
            </w:tcBorders>
            <w:shd w:val="clear" w:color="auto" w:fill="FEC221"/>
          </w:tcPr>
          <w:p>
            <w:pPr>
              <w:ind w:left="220"/>
              <w:spacing w:after="0"/>
              <w:rPr>
                <w:sz w:val="20"/>
                <w:szCs w:val="20"/>
                <w:color w:val="auto"/>
              </w:rPr>
            </w:pPr>
            <w:r>
              <w:rPr>
                <w:rFonts w:ascii="Arial" w:cs="Arial" w:eastAsia="Arial" w:hAnsi="Arial"/>
                <w:sz w:val="18"/>
                <w:szCs w:val="18"/>
                <w:color w:val="auto"/>
              </w:rPr>
              <w:t>Committee Chair Fees—Paid in Cash</w:t>
            </w:r>
          </w:p>
        </w:tc>
        <w:tc>
          <w:tcPr>
            <w:tcW w:w="55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$20,000 for Audit Committee</w:t>
            </w:r>
          </w:p>
        </w:tc>
      </w:tr>
      <w:tr>
        <w:trPr>
          <w:trHeight w:val="216"/>
        </w:trPr>
        <w:tc>
          <w:tcPr>
            <w:tcW w:w="5540" w:type="dxa"/>
            <w:vAlign w:val="bottom"/>
            <w:tcBorders>
              <w:left w:val="single" w:sz="8" w:color="auto"/>
              <w:right w:val="single" w:sz="8" w:color="auto"/>
            </w:tcBorders>
            <w:shd w:val="clear" w:color="auto" w:fill="FEC221"/>
          </w:tcPr>
          <w:p>
            <w:pPr>
              <w:spacing w:after="0"/>
              <w:rPr>
                <w:sz w:val="18"/>
                <w:szCs w:val="18"/>
                <w:color w:val="auto"/>
              </w:rPr>
            </w:pPr>
          </w:p>
        </w:tc>
        <w:tc>
          <w:tcPr>
            <w:tcW w:w="55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$10,000 for Compensation Committee</w:t>
            </w:r>
          </w:p>
        </w:tc>
      </w:tr>
      <w:tr>
        <w:trPr>
          <w:trHeight w:val="217"/>
        </w:trPr>
        <w:tc>
          <w:tcPr>
            <w:tcW w:w="5540" w:type="dxa"/>
            <w:vAlign w:val="bottom"/>
            <w:tcBorders>
              <w:left w:val="single" w:sz="8" w:color="auto"/>
              <w:bottom w:val="single" w:sz="8" w:color="auto"/>
              <w:right w:val="single" w:sz="8" w:color="auto"/>
            </w:tcBorders>
            <w:shd w:val="clear" w:color="auto" w:fill="FEC221"/>
          </w:tcPr>
          <w:p>
            <w:pPr>
              <w:spacing w:after="0"/>
              <w:rPr>
                <w:sz w:val="18"/>
                <w:szCs w:val="18"/>
                <w:color w:val="auto"/>
              </w:rPr>
            </w:pPr>
          </w:p>
        </w:tc>
        <w:tc>
          <w:tcPr>
            <w:tcW w:w="55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$10,000 for Nominating Committee</w:t>
            </w:r>
          </w:p>
        </w:tc>
      </w:tr>
      <w:tr>
        <w:trPr>
          <w:trHeight w:val="236"/>
        </w:trPr>
        <w:tc>
          <w:tcPr>
            <w:tcW w:w="5540" w:type="dxa"/>
            <w:vAlign w:val="bottom"/>
            <w:tcBorders>
              <w:left w:val="single" w:sz="8" w:color="auto"/>
              <w:right w:val="single" w:sz="8" w:color="auto"/>
            </w:tcBorders>
            <w:shd w:val="clear" w:color="auto" w:fill="FEC221"/>
          </w:tcPr>
          <w:p>
            <w:pPr>
              <w:ind w:left="220"/>
              <w:spacing w:after="0"/>
              <w:rPr>
                <w:sz w:val="20"/>
                <w:szCs w:val="20"/>
                <w:color w:val="auto"/>
              </w:rPr>
            </w:pPr>
            <w:r>
              <w:rPr>
                <w:rFonts w:ascii="Arial" w:cs="Arial" w:eastAsia="Arial" w:hAnsi="Arial"/>
                <w:sz w:val="18"/>
                <w:szCs w:val="18"/>
                <w:color w:val="auto"/>
              </w:rPr>
              <w:t>Equity Ownership Guidelines</w:t>
            </w:r>
          </w:p>
        </w:tc>
        <w:tc>
          <w:tcPr>
            <w:tcW w:w="55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Trustees are required to maintain ownership of Trust stock having</w:t>
            </w:r>
          </w:p>
        </w:tc>
      </w:tr>
      <w:tr>
        <w:trPr>
          <w:trHeight w:val="203"/>
        </w:trPr>
        <w:tc>
          <w:tcPr>
            <w:tcW w:w="5540" w:type="dxa"/>
            <w:vAlign w:val="bottom"/>
            <w:tcBorders>
              <w:left w:val="single" w:sz="8" w:color="auto"/>
              <w:right w:val="single" w:sz="8" w:color="auto"/>
            </w:tcBorders>
            <w:shd w:val="clear" w:color="auto" w:fill="FEC221"/>
          </w:tcPr>
          <w:p>
            <w:pPr>
              <w:spacing w:after="0"/>
              <w:rPr>
                <w:sz w:val="17"/>
                <w:szCs w:val="17"/>
                <w:color w:val="auto"/>
              </w:rPr>
            </w:pPr>
          </w:p>
        </w:tc>
        <w:tc>
          <w:tcPr>
            <w:tcW w:w="55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 value equal to 5 times the amount of the annual cash retainer.</w:t>
            </w:r>
          </w:p>
        </w:tc>
      </w:tr>
      <w:tr>
        <w:trPr>
          <w:trHeight w:val="224"/>
        </w:trPr>
        <w:tc>
          <w:tcPr>
            <w:tcW w:w="5540" w:type="dxa"/>
            <w:vAlign w:val="bottom"/>
            <w:tcBorders>
              <w:left w:val="single" w:sz="8" w:color="auto"/>
              <w:bottom w:val="single" w:sz="8" w:color="auto"/>
              <w:right w:val="single" w:sz="8" w:color="auto"/>
            </w:tcBorders>
            <w:shd w:val="clear" w:color="auto" w:fill="FEC221"/>
          </w:tcPr>
          <w:p>
            <w:pPr>
              <w:spacing w:after="0"/>
              <w:rPr>
                <w:sz w:val="19"/>
                <w:szCs w:val="19"/>
                <w:color w:val="auto"/>
              </w:rPr>
            </w:pPr>
          </w:p>
        </w:tc>
        <w:tc>
          <w:tcPr>
            <w:tcW w:w="55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This requirement must be met within 5 years after joining the Board</w:t>
            </w:r>
          </w:p>
        </w:tc>
      </w:tr>
    </w:tbl>
    <w:p>
      <w:pPr>
        <w:spacing w:after="0" w:line="175" w:lineRule="exact"/>
        <w:rPr>
          <w:sz w:val="20"/>
          <w:szCs w:val="20"/>
          <w:color w:val="auto"/>
        </w:rPr>
      </w:pPr>
    </w:p>
    <w:p>
      <w:pPr>
        <w:jc w:val="both"/>
        <w:ind w:left="200" w:right="20"/>
        <w:spacing w:after="0"/>
        <w:rPr>
          <w:sz w:val="20"/>
          <w:szCs w:val="20"/>
          <w:color w:val="auto"/>
        </w:rPr>
      </w:pPr>
      <w:r>
        <w:rPr>
          <w:rFonts w:ascii="Arial" w:cs="Arial" w:eastAsia="Arial" w:hAnsi="Arial"/>
          <w:sz w:val="18"/>
          <w:szCs w:val="18"/>
          <w:color w:val="auto"/>
        </w:rPr>
        <w:t>As of December 31, 2018, all Trustees then serving on the Board complied with the required level of stock ownership with the exception of Ms. Holland, who joined the Board in February 2017, and is expected to satisfy the requirement within the 5-year time frame. Mr. Ordan’s compliance with this requirement will be assessed beginning December 31, 2019.</w:t>
      </w:r>
    </w:p>
    <w:p>
      <w:pPr>
        <w:spacing w:after="0" w:line="162" w:lineRule="exact"/>
        <w:rPr>
          <w:sz w:val="20"/>
          <w:szCs w:val="20"/>
          <w:color w:val="auto"/>
        </w:rPr>
      </w:pPr>
    </w:p>
    <w:p>
      <w:pPr>
        <w:jc w:val="both"/>
        <w:ind w:left="200" w:right="20"/>
        <w:spacing w:after="0"/>
        <w:rPr>
          <w:sz w:val="20"/>
          <w:szCs w:val="20"/>
          <w:color w:val="auto"/>
        </w:rPr>
      </w:pPr>
      <w:r>
        <w:rPr>
          <w:rFonts w:ascii="Arial" w:cs="Arial" w:eastAsia="Arial" w:hAnsi="Arial"/>
          <w:sz w:val="18"/>
          <w:szCs w:val="18"/>
          <w:color w:val="auto"/>
        </w:rPr>
        <w:t>In addition to the annual retainer described above, Mr. Vassalluzzo receives administrative support for both Trust business and personal use from our regional office in Wynnewood, Pennsylvania. There were no additional fees paid or services provided to any Trustee for service on any of the Board committees or for attendance at any Board or committee meetings other than those described above.</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240" w:top="459" w:right="4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right="20"/>
        <w:spacing w:after="0"/>
        <w:rPr>
          <w:sz w:val="20"/>
          <w:szCs w:val="20"/>
          <w:color w:val="auto"/>
        </w:rPr>
      </w:pPr>
      <w:r>
        <w:rPr>
          <w:rFonts w:ascii="Arial" w:cs="Arial" w:eastAsia="Arial" w:hAnsi="Arial"/>
          <w:sz w:val="18"/>
          <w:szCs w:val="18"/>
          <w:color w:val="auto"/>
        </w:rPr>
        <w:t>The levels of Trustee compensation have remain unchanged since 2017. These levels were set after reviewing board compensation being paid to more than 28 public real estate investment trusts at that time and were determined to be reasonable market compensation based on that information. Total compensation awarded to Trustees for service in 2018 was as follows:</w:t>
      </w:r>
    </w:p>
    <w:p>
      <w:pPr>
        <w:spacing w:after="0" w:line="211" w:lineRule="exact"/>
        <w:rPr>
          <w:sz w:val="20"/>
          <w:szCs w:val="20"/>
          <w:color w:val="auto"/>
        </w:rPr>
      </w:pPr>
    </w:p>
    <w:tbl>
      <w:tblPr>
        <w:tblLayout w:type="fixed"/>
        <w:tblInd w:w="220" w:type="dxa"/>
        <w:tblCellMar>
          <w:top w:w="0" w:type="dxa"/>
          <w:left w:w="0" w:type="dxa"/>
          <w:bottom w:w="0" w:type="dxa"/>
          <w:right w:w="0" w:type="dxa"/>
        </w:tblCellMar>
      </w:tblPr>
      <w:tr>
        <w:trPr>
          <w:trHeight w:val="284"/>
        </w:trPr>
        <w:tc>
          <w:tcPr>
            <w:tcW w:w="4180" w:type="dxa"/>
            <w:vAlign w:val="bottom"/>
            <w:tcBorders>
              <w:top w:val="single" w:sz="8" w:color="auto"/>
              <w:right w:val="single" w:sz="8" w:color="auto"/>
            </w:tcBorders>
            <w:shd w:val="clear" w:color="auto" w:fill="FEC221"/>
          </w:tcPr>
          <w:p>
            <w:pPr>
              <w:spacing w:after="0"/>
              <w:rPr>
                <w:sz w:val="24"/>
                <w:szCs w:val="24"/>
                <w:color w:val="auto"/>
              </w:rPr>
            </w:pPr>
          </w:p>
        </w:tc>
        <w:tc>
          <w:tcPr>
            <w:tcW w:w="440" w:type="dxa"/>
            <w:vAlign w:val="bottom"/>
            <w:tcBorders>
              <w:top w:val="single" w:sz="8" w:color="auto"/>
            </w:tcBorders>
            <w:shd w:val="clear" w:color="auto" w:fill="FEC221"/>
          </w:tcPr>
          <w:p>
            <w:pPr>
              <w:spacing w:after="0"/>
              <w:rPr>
                <w:sz w:val="24"/>
                <w:szCs w:val="24"/>
                <w:color w:val="auto"/>
              </w:rPr>
            </w:pPr>
          </w:p>
        </w:tc>
        <w:tc>
          <w:tcPr>
            <w:tcW w:w="2460" w:type="dxa"/>
            <w:vAlign w:val="bottom"/>
            <w:tcBorders>
              <w:top w:val="single" w:sz="8" w:color="auto"/>
              <w:right w:val="single" w:sz="8" w:color="auto"/>
            </w:tcBorders>
            <w:gridSpan w:val="2"/>
            <w:shd w:val="clear" w:color="auto" w:fill="FEC221"/>
          </w:tcPr>
          <w:p>
            <w:pPr>
              <w:ind w:left="380"/>
              <w:spacing w:after="0"/>
              <w:rPr>
                <w:sz w:val="20"/>
                <w:szCs w:val="20"/>
                <w:color w:val="auto"/>
              </w:rPr>
            </w:pPr>
            <w:r>
              <w:rPr>
                <w:rFonts w:ascii="Arial" w:cs="Arial" w:eastAsia="Arial" w:hAnsi="Arial"/>
                <w:sz w:val="18"/>
                <w:szCs w:val="18"/>
                <w:b w:val="1"/>
                <w:bCs w:val="1"/>
                <w:color w:val="auto"/>
              </w:rPr>
              <w:t>Annual Retainer</w:t>
            </w:r>
          </w:p>
        </w:tc>
        <w:tc>
          <w:tcPr>
            <w:tcW w:w="1180" w:type="dxa"/>
            <w:vAlign w:val="bottom"/>
            <w:tcBorders>
              <w:top w:val="single" w:sz="8" w:color="auto"/>
            </w:tcBorders>
            <w:gridSpan w:val="2"/>
            <w:vMerge w:val="restart"/>
            <w:shd w:val="clear" w:color="auto" w:fill="FEC221"/>
          </w:tcPr>
          <w:p>
            <w:pPr>
              <w:jc w:val="right"/>
              <w:ind w:right="10"/>
              <w:spacing w:after="0"/>
              <w:rPr>
                <w:sz w:val="20"/>
                <w:szCs w:val="20"/>
                <w:color w:val="auto"/>
              </w:rPr>
            </w:pPr>
            <w:r>
              <w:rPr>
                <w:rFonts w:ascii="Arial" w:cs="Arial" w:eastAsia="Arial" w:hAnsi="Arial"/>
                <w:sz w:val="18"/>
                <w:szCs w:val="18"/>
                <w:b w:val="1"/>
                <w:bCs w:val="1"/>
                <w:color w:val="auto"/>
              </w:rPr>
              <w:t>Committee</w:t>
            </w:r>
          </w:p>
        </w:tc>
        <w:tc>
          <w:tcPr>
            <w:tcW w:w="1440" w:type="dxa"/>
            <w:vAlign w:val="bottom"/>
            <w:tcBorders>
              <w:top w:val="single" w:sz="8" w:color="auto"/>
            </w:tcBorders>
            <w:gridSpan w:val="2"/>
            <w:vMerge w:val="restart"/>
            <w:shd w:val="clear" w:color="auto" w:fill="FEC221"/>
          </w:tcPr>
          <w:p>
            <w:pPr>
              <w:ind w:left="340"/>
              <w:spacing w:after="0"/>
              <w:rPr>
                <w:sz w:val="20"/>
                <w:szCs w:val="20"/>
                <w:color w:val="auto"/>
              </w:rPr>
            </w:pPr>
            <w:r>
              <w:rPr>
                <w:rFonts w:ascii="Arial" w:cs="Arial" w:eastAsia="Arial" w:hAnsi="Arial"/>
                <w:sz w:val="18"/>
                <w:szCs w:val="18"/>
                <w:b w:val="1"/>
                <w:bCs w:val="1"/>
                <w:color w:val="auto"/>
              </w:rPr>
              <w:t>All Other</w:t>
            </w:r>
          </w:p>
        </w:tc>
        <w:tc>
          <w:tcPr>
            <w:tcW w:w="220" w:type="dxa"/>
            <w:vAlign w:val="bottom"/>
            <w:tcBorders>
              <w:top w:val="single" w:sz="8" w:color="auto"/>
            </w:tcBorders>
            <w:shd w:val="clear" w:color="auto" w:fill="FEC221"/>
          </w:tcPr>
          <w:p>
            <w:pPr>
              <w:spacing w:after="0"/>
              <w:rPr>
                <w:sz w:val="24"/>
                <w:szCs w:val="24"/>
                <w:color w:val="auto"/>
              </w:rPr>
            </w:pPr>
          </w:p>
        </w:tc>
        <w:tc>
          <w:tcPr>
            <w:tcW w:w="1100" w:type="dxa"/>
            <w:vAlign w:val="bottom"/>
            <w:tcBorders>
              <w:top w:val="single" w:sz="8" w:color="auto"/>
            </w:tcBorders>
            <w:shd w:val="clear" w:color="auto" w:fill="FEC221"/>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4180" w:type="dxa"/>
            <w:vAlign w:val="bottom"/>
            <w:tcBorders>
              <w:right w:val="single" w:sz="8" w:color="auto"/>
            </w:tcBorders>
            <w:shd w:val="clear" w:color="auto" w:fill="FEC221"/>
          </w:tcPr>
          <w:p>
            <w:pPr>
              <w:spacing w:after="0"/>
              <w:rPr>
                <w:sz w:val="3"/>
                <w:szCs w:val="3"/>
                <w:color w:val="auto"/>
              </w:rPr>
            </w:pPr>
          </w:p>
        </w:tc>
        <w:tc>
          <w:tcPr>
            <w:tcW w:w="440" w:type="dxa"/>
            <w:vAlign w:val="bottom"/>
            <w:shd w:val="clear" w:color="auto" w:fill="FEC221"/>
          </w:tcPr>
          <w:p>
            <w:pPr>
              <w:spacing w:after="0"/>
              <w:rPr>
                <w:sz w:val="3"/>
                <w:szCs w:val="3"/>
                <w:color w:val="auto"/>
              </w:rPr>
            </w:pPr>
          </w:p>
        </w:tc>
        <w:tc>
          <w:tcPr>
            <w:tcW w:w="900" w:type="dxa"/>
            <w:vAlign w:val="bottom"/>
            <w:shd w:val="clear" w:color="auto" w:fill="FEC221"/>
          </w:tcPr>
          <w:p>
            <w:pPr>
              <w:spacing w:after="0"/>
              <w:rPr>
                <w:sz w:val="3"/>
                <w:szCs w:val="3"/>
                <w:color w:val="auto"/>
              </w:rPr>
            </w:pPr>
          </w:p>
        </w:tc>
        <w:tc>
          <w:tcPr>
            <w:tcW w:w="1560" w:type="dxa"/>
            <w:vAlign w:val="bottom"/>
            <w:tcBorders>
              <w:right w:val="single" w:sz="8" w:color="auto"/>
            </w:tcBorders>
            <w:shd w:val="clear" w:color="auto" w:fill="FEC221"/>
          </w:tcPr>
          <w:p>
            <w:pPr>
              <w:spacing w:after="0"/>
              <w:rPr>
                <w:sz w:val="3"/>
                <w:szCs w:val="3"/>
                <w:color w:val="auto"/>
              </w:rPr>
            </w:pPr>
          </w:p>
        </w:tc>
        <w:tc>
          <w:tcPr>
            <w:tcW w:w="1180" w:type="dxa"/>
            <w:vAlign w:val="bottom"/>
            <w:gridSpan w:val="2"/>
            <w:vMerge w:val="continue"/>
            <w:shd w:val="clear" w:color="auto" w:fill="FEC221"/>
          </w:tcPr>
          <w:p>
            <w:pPr>
              <w:spacing w:after="0"/>
              <w:rPr>
                <w:sz w:val="3"/>
                <w:szCs w:val="3"/>
                <w:color w:val="auto"/>
              </w:rPr>
            </w:pPr>
          </w:p>
        </w:tc>
        <w:tc>
          <w:tcPr>
            <w:tcW w:w="1440" w:type="dxa"/>
            <w:vAlign w:val="bottom"/>
            <w:gridSpan w:val="2"/>
            <w:vMerge w:val="continue"/>
            <w:shd w:val="clear" w:color="auto" w:fill="FEC221"/>
          </w:tcPr>
          <w:p>
            <w:pPr>
              <w:spacing w:after="0"/>
              <w:rPr>
                <w:sz w:val="3"/>
                <w:szCs w:val="3"/>
                <w:color w:val="auto"/>
              </w:rPr>
            </w:pPr>
          </w:p>
        </w:tc>
        <w:tc>
          <w:tcPr>
            <w:tcW w:w="220" w:type="dxa"/>
            <w:vAlign w:val="bottom"/>
            <w:shd w:val="clear" w:color="auto" w:fill="FEC221"/>
          </w:tcPr>
          <w:p>
            <w:pPr>
              <w:spacing w:after="0"/>
              <w:rPr>
                <w:sz w:val="3"/>
                <w:szCs w:val="3"/>
                <w:color w:val="auto"/>
              </w:rPr>
            </w:pPr>
          </w:p>
        </w:tc>
        <w:tc>
          <w:tcPr>
            <w:tcW w:w="1100" w:type="dxa"/>
            <w:vAlign w:val="bottom"/>
            <w:shd w:val="clear" w:color="auto" w:fill="FEC221"/>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4180" w:type="dxa"/>
            <w:vAlign w:val="bottom"/>
            <w:tcBorders>
              <w:right w:val="single" w:sz="8" w:color="auto"/>
            </w:tcBorders>
            <w:shd w:val="clear" w:color="auto" w:fill="FEC221"/>
          </w:tcPr>
          <w:p>
            <w:pPr>
              <w:ind w:left="60"/>
              <w:spacing w:after="0"/>
              <w:rPr>
                <w:sz w:val="20"/>
                <w:szCs w:val="20"/>
                <w:color w:val="auto"/>
              </w:rPr>
            </w:pPr>
            <w:r>
              <w:rPr>
                <w:rFonts w:ascii="Arial" w:cs="Arial" w:eastAsia="Arial" w:hAnsi="Arial"/>
                <w:sz w:val="18"/>
                <w:szCs w:val="18"/>
                <w:b w:val="1"/>
                <w:bCs w:val="1"/>
                <w:color w:val="auto"/>
              </w:rPr>
              <w:t>Name</w:t>
            </w:r>
            <w:r>
              <w:rPr>
                <w:rFonts w:ascii="Arial" w:cs="Arial" w:eastAsia="Arial" w:hAnsi="Arial"/>
                <w:sz w:val="15"/>
                <w:szCs w:val="15"/>
                <w:b w:val="1"/>
                <w:bCs w:val="1"/>
                <w:color w:val="auto"/>
              </w:rPr>
              <w:t>(1)</w:t>
            </w:r>
          </w:p>
        </w:tc>
        <w:tc>
          <w:tcPr>
            <w:tcW w:w="1340" w:type="dxa"/>
            <w:vAlign w:val="bottom"/>
            <w:gridSpan w:val="2"/>
            <w:shd w:val="clear" w:color="auto" w:fill="FEC221"/>
          </w:tcPr>
          <w:p>
            <w:pPr>
              <w:jc w:val="right"/>
              <w:ind w:right="10"/>
              <w:spacing w:after="0"/>
              <w:rPr>
                <w:sz w:val="20"/>
                <w:szCs w:val="20"/>
                <w:color w:val="auto"/>
              </w:rPr>
            </w:pPr>
            <w:r>
              <w:rPr>
                <w:rFonts w:ascii="Arial" w:cs="Arial" w:eastAsia="Arial" w:hAnsi="Arial"/>
                <w:sz w:val="18"/>
                <w:szCs w:val="18"/>
                <w:b w:val="1"/>
                <w:bCs w:val="1"/>
                <w:color w:val="auto"/>
                <w:shd w:val="clear" w:color="auto" w:fill="FEC221"/>
              </w:rPr>
              <w:t>Paid in Cash</w:t>
            </w:r>
          </w:p>
        </w:tc>
        <w:tc>
          <w:tcPr>
            <w:tcW w:w="1560" w:type="dxa"/>
            <w:vAlign w:val="bottom"/>
            <w:tcBorders>
              <w:right w:val="single" w:sz="8" w:color="auto"/>
            </w:tcBorders>
            <w:shd w:val="clear" w:color="auto" w:fill="FEC221"/>
          </w:tcPr>
          <w:p>
            <w:pPr>
              <w:jc w:val="center"/>
              <w:spacing w:after="0"/>
              <w:rPr>
                <w:sz w:val="20"/>
                <w:szCs w:val="20"/>
                <w:color w:val="auto"/>
              </w:rPr>
            </w:pPr>
            <w:r>
              <w:rPr>
                <w:rFonts w:ascii="Arial" w:cs="Arial" w:eastAsia="Arial" w:hAnsi="Arial"/>
                <w:sz w:val="18"/>
                <w:szCs w:val="18"/>
                <w:b w:val="1"/>
                <w:bCs w:val="1"/>
                <w:color w:val="auto"/>
                <w:w w:val="99"/>
                <w:shd w:val="clear" w:color="auto" w:fill="FEC221"/>
              </w:rPr>
              <w:t>Paid in Shares</w:t>
            </w:r>
            <w:r>
              <w:rPr>
                <w:rFonts w:ascii="Arial" w:cs="Arial" w:eastAsia="Arial" w:hAnsi="Arial"/>
                <w:sz w:val="15"/>
                <w:szCs w:val="15"/>
                <w:b w:val="1"/>
                <w:bCs w:val="1"/>
                <w:color w:val="auto"/>
                <w:w w:val="99"/>
                <w:shd w:val="clear" w:color="auto" w:fill="FEC221"/>
              </w:rPr>
              <w:t>(2)</w:t>
            </w:r>
          </w:p>
        </w:tc>
        <w:tc>
          <w:tcPr>
            <w:tcW w:w="1180" w:type="dxa"/>
            <w:vAlign w:val="bottom"/>
            <w:gridSpan w:val="2"/>
            <w:shd w:val="clear" w:color="auto" w:fill="FEC221"/>
          </w:tcPr>
          <w:p>
            <w:pPr>
              <w:jc w:val="right"/>
              <w:ind w:right="10"/>
              <w:spacing w:after="0"/>
              <w:rPr>
                <w:sz w:val="20"/>
                <w:szCs w:val="20"/>
                <w:color w:val="auto"/>
              </w:rPr>
            </w:pPr>
            <w:r>
              <w:rPr>
                <w:rFonts w:ascii="Arial" w:cs="Arial" w:eastAsia="Arial" w:hAnsi="Arial"/>
                <w:sz w:val="18"/>
                <w:szCs w:val="18"/>
                <w:b w:val="1"/>
                <w:bCs w:val="1"/>
                <w:color w:val="auto"/>
              </w:rPr>
              <w:t>Chair Fees</w:t>
            </w:r>
          </w:p>
        </w:tc>
        <w:tc>
          <w:tcPr>
            <w:tcW w:w="1440" w:type="dxa"/>
            <w:vAlign w:val="bottom"/>
            <w:gridSpan w:val="2"/>
            <w:shd w:val="clear" w:color="auto" w:fill="FEC221"/>
          </w:tcPr>
          <w:p>
            <w:pPr>
              <w:ind w:left="100"/>
              <w:spacing w:after="0"/>
              <w:rPr>
                <w:sz w:val="20"/>
                <w:szCs w:val="20"/>
                <w:color w:val="auto"/>
              </w:rPr>
            </w:pPr>
            <w:r>
              <w:rPr>
                <w:rFonts w:ascii="Arial" w:cs="Arial" w:eastAsia="Arial" w:hAnsi="Arial"/>
                <w:sz w:val="18"/>
                <w:szCs w:val="18"/>
                <w:b w:val="1"/>
                <w:bCs w:val="1"/>
                <w:color w:val="auto"/>
              </w:rPr>
              <w:t>Compensation</w:t>
            </w:r>
          </w:p>
        </w:tc>
        <w:tc>
          <w:tcPr>
            <w:tcW w:w="220" w:type="dxa"/>
            <w:vAlign w:val="bottom"/>
            <w:shd w:val="clear" w:color="auto" w:fill="FEC221"/>
          </w:tcPr>
          <w:p>
            <w:pPr>
              <w:spacing w:after="0"/>
              <w:rPr>
                <w:sz w:val="20"/>
                <w:szCs w:val="20"/>
                <w:color w:val="auto"/>
              </w:rPr>
            </w:pPr>
          </w:p>
        </w:tc>
        <w:tc>
          <w:tcPr>
            <w:tcW w:w="1100" w:type="dxa"/>
            <w:vAlign w:val="bottom"/>
            <w:shd w:val="clear" w:color="auto" w:fill="FEC221"/>
          </w:tcPr>
          <w:p>
            <w:pPr>
              <w:jc w:val="right"/>
              <w:ind w:right="4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68"/>
        </w:trPr>
        <w:tc>
          <w:tcPr>
            <w:tcW w:w="4180" w:type="dxa"/>
            <w:vAlign w:val="bottom"/>
            <w:tcBorders>
              <w:bottom w:val="single" w:sz="8" w:color="auto"/>
              <w:right w:val="single" w:sz="8" w:color="auto"/>
            </w:tcBorders>
            <w:shd w:val="clear" w:color="auto" w:fill="FEC221"/>
          </w:tcPr>
          <w:p>
            <w:pPr>
              <w:spacing w:after="0"/>
              <w:rPr>
                <w:sz w:val="5"/>
                <w:szCs w:val="5"/>
                <w:color w:val="auto"/>
              </w:rPr>
            </w:pPr>
          </w:p>
        </w:tc>
        <w:tc>
          <w:tcPr>
            <w:tcW w:w="440" w:type="dxa"/>
            <w:vAlign w:val="bottom"/>
            <w:tcBorders>
              <w:bottom w:val="single" w:sz="8" w:color="auto"/>
            </w:tcBorders>
            <w:shd w:val="clear" w:color="auto" w:fill="FEC221"/>
          </w:tcPr>
          <w:p>
            <w:pPr>
              <w:spacing w:after="0"/>
              <w:rPr>
                <w:sz w:val="5"/>
                <w:szCs w:val="5"/>
                <w:color w:val="auto"/>
              </w:rPr>
            </w:pPr>
          </w:p>
        </w:tc>
        <w:tc>
          <w:tcPr>
            <w:tcW w:w="900" w:type="dxa"/>
            <w:vAlign w:val="bottom"/>
            <w:tcBorders>
              <w:bottom w:val="single" w:sz="8" w:color="auto"/>
            </w:tcBorders>
            <w:shd w:val="clear" w:color="auto" w:fill="FEC221"/>
          </w:tcPr>
          <w:p>
            <w:pPr>
              <w:spacing w:after="0"/>
              <w:rPr>
                <w:sz w:val="5"/>
                <w:szCs w:val="5"/>
                <w:color w:val="auto"/>
              </w:rPr>
            </w:pPr>
          </w:p>
        </w:tc>
        <w:tc>
          <w:tcPr>
            <w:tcW w:w="1560" w:type="dxa"/>
            <w:vAlign w:val="bottom"/>
            <w:tcBorders>
              <w:bottom w:val="single" w:sz="8" w:color="auto"/>
              <w:right w:val="single" w:sz="8" w:color="auto"/>
            </w:tcBorders>
            <w:shd w:val="clear" w:color="auto" w:fill="FEC221"/>
          </w:tcPr>
          <w:p>
            <w:pPr>
              <w:spacing w:after="0"/>
              <w:rPr>
                <w:sz w:val="5"/>
                <w:szCs w:val="5"/>
                <w:color w:val="auto"/>
              </w:rPr>
            </w:pPr>
          </w:p>
        </w:tc>
        <w:tc>
          <w:tcPr>
            <w:tcW w:w="580" w:type="dxa"/>
            <w:vAlign w:val="bottom"/>
            <w:tcBorders>
              <w:bottom w:val="single" w:sz="8" w:color="auto"/>
            </w:tcBorders>
            <w:shd w:val="clear" w:color="auto" w:fill="FEC221"/>
          </w:tcPr>
          <w:p>
            <w:pPr>
              <w:spacing w:after="0"/>
              <w:rPr>
                <w:sz w:val="5"/>
                <w:szCs w:val="5"/>
                <w:color w:val="auto"/>
              </w:rPr>
            </w:pPr>
          </w:p>
        </w:tc>
        <w:tc>
          <w:tcPr>
            <w:tcW w:w="600" w:type="dxa"/>
            <w:vAlign w:val="bottom"/>
            <w:tcBorders>
              <w:bottom w:val="single" w:sz="8" w:color="auto"/>
            </w:tcBorders>
            <w:shd w:val="clear" w:color="auto" w:fill="FEC221"/>
          </w:tcPr>
          <w:p>
            <w:pPr>
              <w:spacing w:after="0"/>
              <w:rPr>
                <w:sz w:val="5"/>
                <w:szCs w:val="5"/>
                <w:color w:val="auto"/>
              </w:rPr>
            </w:pPr>
          </w:p>
        </w:tc>
        <w:tc>
          <w:tcPr>
            <w:tcW w:w="680" w:type="dxa"/>
            <w:vAlign w:val="bottom"/>
            <w:tcBorders>
              <w:bottom w:val="single" w:sz="8" w:color="auto"/>
            </w:tcBorders>
            <w:shd w:val="clear" w:color="auto" w:fill="FEC221"/>
          </w:tcPr>
          <w:p>
            <w:pPr>
              <w:spacing w:after="0"/>
              <w:rPr>
                <w:sz w:val="5"/>
                <w:szCs w:val="5"/>
                <w:color w:val="auto"/>
              </w:rPr>
            </w:pPr>
          </w:p>
        </w:tc>
        <w:tc>
          <w:tcPr>
            <w:tcW w:w="760" w:type="dxa"/>
            <w:vAlign w:val="bottom"/>
            <w:tcBorders>
              <w:bottom w:val="single" w:sz="8" w:color="auto"/>
            </w:tcBorders>
            <w:shd w:val="clear" w:color="auto" w:fill="FEC221"/>
          </w:tcPr>
          <w:p>
            <w:pPr>
              <w:spacing w:after="0"/>
              <w:rPr>
                <w:sz w:val="5"/>
                <w:szCs w:val="5"/>
                <w:color w:val="auto"/>
              </w:rPr>
            </w:pPr>
          </w:p>
        </w:tc>
        <w:tc>
          <w:tcPr>
            <w:tcW w:w="220" w:type="dxa"/>
            <w:vAlign w:val="bottom"/>
            <w:tcBorders>
              <w:bottom w:val="single" w:sz="8" w:color="auto"/>
            </w:tcBorders>
            <w:shd w:val="clear" w:color="auto" w:fill="FEC221"/>
          </w:tcPr>
          <w:p>
            <w:pPr>
              <w:spacing w:after="0"/>
              <w:rPr>
                <w:sz w:val="5"/>
                <w:szCs w:val="5"/>
                <w:color w:val="auto"/>
              </w:rPr>
            </w:pPr>
          </w:p>
        </w:tc>
        <w:tc>
          <w:tcPr>
            <w:tcW w:w="1100" w:type="dxa"/>
            <w:vAlign w:val="bottom"/>
            <w:tcBorders>
              <w:bottom w:val="single" w:sz="8" w:color="auto"/>
            </w:tcBorders>
            <w:shd w:val="clear" w:color="auto" w:fill="FEC221"/>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41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Jon E. Bortz</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76,000</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$114,000</w:t>
            </w: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680" w:type="dxa"/>
            <w:vAlign w:val="bottom"/>
          </w:tcPr>
          <w:p>
            <w:pPr>
              <w:ind w:left="460"/>
              <w:spacing w:after="0"/>
              <w:rPr>
                <w:sz w:val="20"/>
                <w:szCs w:val="20"/>
                <w:color w:val="auto"/>
              </w:rPr>
            </w:pPr>
            <w:r>
              <w:rPr>
                <w:rFonts w:ascii="Arial" w:cs="Arial" w:eastAsia="Arial" w:hAnsi="Arial"/>
                <w:sz w:val="18"/>
                <w:szCs w:val="18"/>
                <w:color w:val="auto"/>
              </w:rPr>
              <w:t>$</w:t>
            </w:r>
          </w:p>
        </w:tc>
        <w:tc>
          <w:tcPr>
            <w:tcW w:w="760" w:type="dxa"/>
            <w:vAlign w:val="bottom"/>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190,000</w:t>
            </w:r>
          </w:p>
        </w:tc>
        <w:tc>
          <w:tcPr>
            <w:tcW w:w="0" w:type="dxa"/>
            <w:vAlign w:val="bottom"/>
          </w:tcPr>
          <w:p>
            <w:pPr>
              <w:spacing w:after="0"/>
              <w:rPr>
                <w:sz w:val="1"/>
                <w:szCs w:val="1"/>
                <w:color w:val="auto"/>
              </w:rPr>
            </w:pPr>
          </w:p>
        </w:tc>
      </w:tr>
      <w:tr>
        <w:trPr>
          <w:trHeight w:val="324"/>
        </w:trPr>
        <w:tc>
          <w:tcPr>
            <w:tcW w:w="41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David W. Faeder</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76,000</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$114,000</w:t>
            </w:r>
          </w:p>
        </w:tc>
        <w:tc>
          <w:tcPr>
            <w:tcW w:w="1180" w:type="dxa"/>
            <w:vAlign w:val="bottom"/>
            <w:gridSpan w:val="2"/>
          </w:tcPr>
          <w:p>
            <w:pPr>
              <w:jc w:val="right"/>
              <w:ind w:right="150"/>
              <w:spacing w:after="0"/>
              <w:rPr>
                <w:sz w:val="20"/>
                <w:szCs w:val="20"/>
                <w:color w:val="auto"/>
              </w:rPr>
            </w:pPr>
            <w:r>
              <w:rPr>
                <w:rFonts w:ascii="Arial" w:cs="Arial" w:eastAsia="Arial" w:hAnsi="Arial"/>
                <w:sz w:val="18"/>
                <w:szCs w:val="18"/>
                <w:color w:val="auto"/>
              </w:rPr>
              <w:t>$10,000</w:t>
            </w:r>
          </w:p>
        </w:tc>
        <w:tc>
          <w:tcPr>
            <w:tcW w:w="680" w:type="dxa"/>
            <w:vAlign w:val="bottom"/>
          </w:tcPr>
          <w:p>
            <w:pPr>
              <w:ind w:left="460"/>
              <w:spacing w:after="0"/>
              <w:rPr>
                <w:sz w:val="20"/>
                <w:szCs w:val="20"/>
                <w:color w:val="auto"/>
              </w:rPr>
            </w:pPr>
            <w:r>
              <w:rPr>
                <w:rFonts w:ascii="Arial" w:cs="Arial" w:eastAsia="Arial" w:hAnsi="Arial"/>
                <w:sz w:val="18"/>
                <w:szCs w:val="18"/>
                <w:color w:val="auto"/>
              </w:rPr>
              <w:t>$</w:t>
            </w:r>
          </w:p>
        </w:tc>
        <w:tc>
          <w:tcPr>
            <w:tcW w:w="760" w:type="dxa"/>
            <w:vAlign w:val="bottom"/>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324"/>
        </w:trPr>
        <w:tc>
          <w:tcPr>
            <w:tcW w:w="41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Elizabeth I. Holland</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76,000</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$114,000</w:t>
            </w: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680" w:type="dxa"/>
            <w:vAlign w:val="bottom"/>
          </w:tcPr>
          <w:p>
            <w:pPr>
              <w:ind w:left="460"/>
              <w:spacing w:after="0"/>
              <w:rPr>
                <w:sz w:val="20"/>
                <w:szCs w:val="20"/>
                <w:color w:val="auto"/>
              </w:rPr>
            </w:pPr>
            <w:r>
              <w:rPr>
                <w:rFonts w:ascii="Arial" w:cs="Arial" w:eastAsia="Arial" w:hAnsi="Arial"/>
                <w:sz w:val="18"/>
                <w:szCs w:val="18"/>
                <w:color w:val="auto"/>
              </w:rPr>
              <w:t>$</w:t>
            </w:r>
          </w:p>
        </w:tc>
        <w:tc>
          <w:tcPr>
            <w:tcW w:w="760" w:type="dxa"/>
            <w:vAlign w:val="bottom"/>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190,000</w:t>
            </w:r>
          </w:p>
        </w:tc>
        <w:tc>
          <w:tcPr>
            <w:tcW w:w="0" w:type="dxa"/>
            <w:vAlign w:val="bottom"/>
          </w:tcPr>
          <w:p>
            <w:pPr>
              <w:spacing w:after="0"/>
              <w:rPr>
                <w:sz w:val="1"/>
                <w:szCs w:val="1"/>
                <w:color w:val="auto"/>
              </w:rPr>
            </w:pPr>
          </w:p>
        </w:tc>
      </w:tr>
      <w:tr>
        <w:trPr>
          <w:trHeight w:val="324"/>
        </w:trPr>
        <w:tc>
          <w:tcPr>
            <w:tcW w:w="41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Gail P. Steinel</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76,000</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$114,000</w:t>
            </w:r>
          </w:p>
        </w:tc>
        <w:tc>
          <w:tcPr>
            <w:tcW w:w="1180" w:type="dxa"/>
            <w:vAlign w:val="bottom"/>
            <w:gridSpan w:val="2"/>
          </w:tcPr>
          <w:p>
            <w:pPr>
              <w:jc w:val="right"/>
              <w:ind w:right="150"/>
              <w:spacing w:after="0"/>
              <w:rPr>
                <w:sz w:val="20"/>
                <w:szCs w:val="20"/>
                <w:color w:val="auto"/>
              </w:rPr>
            </w:pPr>
            <w:r>
              <w:rPr>
                <w:rFonts w:ascii="Arial" w:cs="Arial" w:eastAsia="Arial" w:hAnsi="Arial"/>
                <w:sz w:val="18"/>
                <w:szCs w:val="18"/>
                <w:color w:val="auto"/>
              </w:rPr>
              <w:t>$20,000</w:t>
            </w:r>
          </w:p>
        </w:tc>
        <w:tc>
          <w:tcPr>
            <w:tcW w:w="680" w:type="dxa"/>
            <w:vAlign w:val="bottom"/>
          </w:tcPr>
          <w:p>
            <w:pPr>
              <w:ind w:left="460"/>
              <w:spacing w:after="0"/>
              <w:rPr>
                <w:sz w:val="20"/>
                <w:szCs w:val="20"/>
                <w:color w:val="auto"/>
              </w:rPr>
            </w:pPr>
            <w:r>
              <w:rPr>
                <w:rFonts w:ascii="Arial" w:cs="Arial" w:eastAsia="Arial" w:hAnsi="Arial"/>
                <w:sz w:val="18"/>
                <w:szCs w:val="18"/>
                <w:color w:val="auto"/>
              </w:rPr>
              <w:t>$</w:t>
            </w:r>
          </w:p>
        </w:tc>
        <w:tc>
          <w:tcPr>
            <w:tcW w:w="760" w:type="dxa"/>
            <w:vAlign w:val="bottom"/>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210,000</w:t>
            </w:r>
          </w:p>
        </w:tc>
        <w:tc>
          <w:tcPr>
            <w:tcW w:w="0" w:type="dxa"/>
            <w:vAlign w:val="bottom"/>
          </w:tcPr>
          <w:p>
            <w:pPr>
              <w:spacing w:after="0"/>
              <w:rPr>
                <w:sz w:val="1"/>
                <w:szCs w:val="1"/>
                <w:color w:val="auto"/>
              </w:rPr>
            </w:pPr>
          </w:p>
        </w:tc>
      </w:tr>
      <w:tr>
        <w:trPr>
          <w:trHeight w:val="324"/>
        </w:trPr>
        <w:tc>
          <w:tcPr>
            <w:tcW w:w="41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Warren M. Thompson</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76,000</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$114,000</w:t>
            </w:r>
          </w:p>
        </w:tc>
        <w:tc>
          <w:tcPr>
            <w:tcW w:w="1180" w:type="dxa"/>
            <w:vAlign w:val="bottom"/>
            <w:gridSpan w:val="2"/>
          </w:tcPr>
          <w:p>
            <w:pPr>
              <w:jc w:val="right"/>
              <w:ind w:right="150"/>
              <w:spacing w:after="0"/>
              <w:rPr>
                <w:sz w:val="20"/>
                <w:szCs w:val="20"/>
                <w:color w:val="auto"/>
              </w:rPr>
            </w:pPr>
            <w:r>
              <w:rPr>
                <w:rFonts w:ascii="Arial" w:cs="Arial" w:eastAsia="Arial" w:hAnsi="Arial"/>
                <w:sz w:val="18"/>
                <w:szCs w:val="18"/>
                <w:color w:val="auto"/>
              </w:rPr>
              <w:t>$10,000</w:t>
            </w:r>
          </w:p>
        </w:tc>
        <w:tc>
          <w:tcPr>
            <w:tcW w:w="680" w:type="dxa"/>
            <w:vAlign w:val="bottom"/>
          </w:tcPr>
          <w:p>
            <w:pPr>
              <w:ind w:left="460"/>
              <w:spacing w:after="0"/>
              <w:rPr>
                <w:sz w:val="20"/>
                <w:szCs w:val="20"/>
                <w:color w:val="auto"/>
              </w:rPr>
            </w:pPr>
            <w:r>
              <w:rPr>
                <w:rFonts w:ascii="Arial" w:cs="Arial" w:eastAsia="Arial" w:hAnsi="Arial"/>
                <w:sz w:val="18"/>
                <w:szCs w:val="18"/>
                <w:color w:val="auto"/>
              </w:rPr>
              <w:t>$</w:t>
            </w:r>
          </w:p>
        </w:tc>
        <w:tc>
          <w:tcPr>
            <w:tcW w:w="760" w:type="dxa"/>
            <w:vAlign w:val="bottom"/>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324"/>
        </w:trPr>
        <w:tc>
          <w:tcPr>
            <w:tcW w:w="41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Joseph S. Vassalluzzo</w:t>
            </w:r>
            <w:r>
              <w:rPr>
                <w:rFonts w:ascii="Arial" w:cs="Arial" w:eastAsia="Arial" w:hAnsi="Arial"/>
                <w:sz w:val="15"/>
                <w:szCs w:val="15"/>
                <w:color w:val="auto"/>
              </w:rPr>
              <w:t>(3)</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w w:val="95"/>
              </w:rPr>
              <w:t>106,000</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$159,000</w:t>
            </w: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460"/>
              <w:spacing w:after="0"/>
              <w:rPr>
                <w:sz w:val="20"/>
                <w:szCs w:val="20"/>
                <w:color w:val="auto"/>
              </w:rPr>
            </w:pPr>
            <w:r>
              <w:rPr>
                <w:rFonts w:ascii="Arial" w:cs="Arial" w:eastAsia="Arial" w:hAnsi="Arial"/>
                <w:sz w:val="18"/>
                <w:szCs w:val="18"/>
                <w:color w:val="auto"/>
              </w:rPr>
              <w:t>$8,000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273,000</w:t>
            </w:r>
          </w:p>
        </w:tc>
        <w:tc>
          <w:tcPr>
            <w:tcW w:w="0" w:type="dxa"/>
            <w:vAlign w:val="bottom"/>
          </w:tcPr>
          <w:p>
            <w:pPr>
              <w:spacing w:after="0"/>
              <w:rPr>
                <w:sz w:val="1"/>
                <w:szCs w:val="1"/>
                <w:color w:val="auto"/>
              </w:rPr>
            </w:pPr>
          </w:p>
        </w:tc>
      </w:tr>
      <w:tr>
        <w:trPr>
          <w:trHeight w:val="41"/>
        </w:trPr>
        <w:tc>
          <w:tcPr>
            <w:tcW w:w="4180" w:type="dxa"/>
            <w:vAlign w:val="bottom"/>
            <w:tcBorders>
              <w:bottom w:val="single" w:sz="8" w:color="auto"/>
              <w:right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56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144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1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Total</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w w:val="95"/>
              </w:rPr>
              <w:t>486,000</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$729,000</w:t>
            </w:r>
          </w:p>
        </w:tc>
        <w:tc>
          <w:tcPr>
            <w:tcW w:w="1180" w:type="dxa"/>
            <w:vAlign w:val="bottom"/>
            <w:gridSpan w:val="2"/>
          </w:tcPr>
          <w:p>
            <w:pPr>
              <w:jc w:val="right"/>
              <w:ind w:right="150"/>
              <w:spacing w:after="0"/>
              <w:rPr>
                <w:sz w:val="20"/>
                <w:szCs w:val="20"/>
                <w:color w:val="auto"/>
              </w:rPr>
            </w:pPr>
            <w:r>
              <w:rPr>
                <w:rFonts w:ascii="Arial" w:cs="Arial" w:eastAsia="Arial" w:hAnsi="Arial"/>
                <w:sz w:val="18"/>
                <w:szCs w:val="18"/>
                <w:color w:val="auto"/>
              </w:rPr>
              <w:t>$40,000</w:t>
            </w:r>
          </w:p>
        </w:tc>
        <w:tc>
          <w:tcPr>
            <w:tcW w:w="1440" w:type="dxa"/>
            <w:vAlign w:val="bottom"/>
            <w:gridSpan w:val="2"/>
          </w:tcPr>
          <w:p>
            <w:pPr>
              <w:ind w:left="460"/>
              <w:spacing w:after="0"/>
              <w:rPr>
                <w:sz w:val="20"/>
                <w:szCs w:val="20"/>
                <w:color w:val="auto"/>
              </w:rPr>
            </w:pPr>
            <w:r>
              <w:rPr>
                <w:rFonts w:ascii="Arial" w:cs="Arial" w:eastAsia="Arial" w:hAnsi="Arial"/>
                <w:sz w:val="18"/>
                <w:szCs w:val="18"/>
                <w:color w:val="auto"/>
              </w:rPr>
              <w:t>$8,000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w w:val="97"/>
              </w:rPr>
              <w:t>1,263,000</w:t>
            </w:r>
          </w:p>
        </w:tc>
        <w:tc>
          <w:tcPr>
            <w:tcW w:w="0" w:type="dxa"/>
            <w:vAlign w:val="bottom"/>
          </w:tcPr>
          <w:p>
            <w:pPr>
              <w:spacing w:after="0"/>
              <w:rPr>
                <w:sz w:val="1"/>
                <w:szCs w:val="1"/>
                <w:color w:val="auto"/>
              </w:rPr>
            </w:pPr>
          </w:p>
        </w:tc>
      </w:tr>
      <w:tr>
        <w:trPr>
          <w:trHeight w:val="41"/>
        </w:trPr>
        <w:tc>
          <w:tcPr>
            <w:tcW w:w="4180" w:type="dxa"/>
            <w:vAlign w:val="bottom"/>
            <w:tcBorders>
              <w:right w:val="single" w:sz="8" w:color="auto"/>
            </w:tcBorders>
          </w:tcPr>
          <w:p>
            <w:pPr>
              <w:spacing w:after="0"/>
              <w:rPr>
                <w:sz w:val="3"/>
                <w:szCs w:val="3"/>
                <w:color w:val="auto"/>
              </w:rPr>
            </w:pPr>
          </w:p>
        </w:tc>
        <w:tc>
          <w:tcPr>
            <w:tcW w:w="4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560" w:type="dxa"/>
            <w:vAlign w:val="bottom"/>
            <w:tcBorders>
              <w:right w:val="single" w:sz="8" w:color="auto"/>
            </w:tcBorders>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640" w:hanging="43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 S. Ordan did not become a Trustee until February 1, 2019 and as a result, is not included in this chart.</w:t>
      </w:r>
    </w:p>
    <w:p>
      <w:pPr>
        <w:jc w:val="both"/>
        <w:ind w:left="640" w:right="20" w:hanging="436"/>
        <w:spacing w:after="0" w:line="234"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Shares were issued on January 2, 2019 with the number of Shares received by each Trustee determined by dividing the amount to be paid in Shares by $118.04, the closing price of our Shares on the NYSE on December 31, 2018, the last business day prior to the date the Shares were issued.</w:t>
      </w:r>
    </w:p>
    <w:p>
      <w:pPr>
        <w:spacing w:after="0" w:line="2" w:lineRule="exact"/>
        <w:rPr>
          <w:rFonts w:ascii="Arial" w:cs="Arial" w:eastAsia="Arial" w:hAnsi="Arial"/>
          <w:sz w:val="18"/>
          <w:szCs w:val="18"/>
          <w:color w:val="auto"/>
        </w:rPr>
      </w:pPr>
    </w:p>
    <w:p>
      <w:pPr>
        <w:ind w:left="640" w:right="20" w:hanging="436"/>
        <w:spacing w:after="0" w:line="246"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amount in the “All Other Compensation” column represents the estimated value of the administrative services. We do not believe there is any incremental cost to us of providing this administrative support.</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240" w:top="459" w:right="4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3086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7700" cy="308610"/>
                    </a:xfrm>
                    <a:prstGeom prst="rect">
                      <a:avLst/>
                    </a:prstGeom>
                    <a:noFill/>
                  </pic:spPr>
                </pic:pic>
              </a:graphicData>
            </a:graphic>
          </wp:anchor>
        </w:drawing>
      </w:r>
    </w:p>
    <w:p>
      <w:pPr>
        <w:spacing w:after="0" w:line="331" w:lineRule="exact"/>
        <w:rPr>
          <w:sz w:val="20"/>
          <w:szCs w:val="20"/>
          <w:color w:val="auto"/>
        </w:rPr>
      </w:pPr>
    </w:p>
    <w:p>
      <w:pPr>
        <w:ind w:left="280"/>
        <w:spacing w:after="0"/>
        <w:rPr>
          <w:sz w:val="20"/>
          <w:szCs w:val="20"/>
          <w:color w:val="auto"/>
        </w:rPr>
      </w:pPr>
      <w:r>
        <w:rPr>
          <w:rFonts w:ascii="Arial" w:cs="Arial" w:eastAsia="Arial" w:hAnsi="Arial"/>
          <w:sz w:val="29"/>
          <w:szCs w:val="29"/>
          <w:b w:val="1"/>
          <w:bCs w:val="1"/>
          <w:color w:val="FFFFFF"/>
        </w:rPr>
        <w:t>EXECUTIVE OFFICER AND COMPENSATION INFORMATION</w:t>
      </w:r>
    </w:p>
    <w:p>
      <w:pPr>
        <w:spacing w:after="0" w:line="309"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named executive officers (“NEOs”) are:</w:t>
      </w:r>
    </w:p>
    <w:p>
      <w:pPr>
        <w:spacing w:after="0" w:line="240" w:lineRule="exact"/>
        <w:rPr>
          <w:sz w:val="20"/>
          <w:szCs w:val="20"/>
          <w:color w:val="auto"/>
        </w:rPr>
      </w:pPr>
    </w:p>
    <w:tbl>
      <w:tblPr>
        <w:tblLayout w:type="fixed"/>
        <w:tblInd w:w="230" w:type="dxa"/>
        <w:tblCellMar>
          <w:top w:w="0" w:type="dxa"/>
          <w:left w:w="0" w:type="dxa"/>
          <w:bottom w:w="0" w:type="dxa"/>
          <w:right w:w="0" w:type="dxa"/>
        </w:tblCellMar>
      </w:tblPr>
      <w:tr>
        <w:trPr>
          <w:trHeight w:val="284"/>
        </w:trPr>
        <w:tc>
          <w:tcPr>
            <w:tcW w:w="3000" w:type="dxa"/>
            <w:vAlign w:val="bottom"/>
            <w:tcBorders>
              <w:left w:val="single" w:sz="8" w:color="auto"/>
              <w:right w:val="single" w:sz="8" w:color="auto"/>
            </w:tcBorders>
            <w:shd w:val="clear" w:color="auto" w:fill="1F2A44"/>
          </w:tcPr>
          <w:p>
            <w:pPr>
              <w:ind w:left="140"/>
              <w:spacing w:after="0"/>
              <w:rPr>
                <w:sz w:val="20"/>
                <w:szCs w:val="20"/>
                <w:color w:val="auto"/>
              </w:rPr>
            </w:pPr>
            <w:r>
              <w:rPr>
                <w:rFonts w:ascii="Arial" w:cs="Arial" w:eastAsia="Arial" w:hAnsi="Arial"/>
                <w:sz w:val="18"/>
                <w:szCs w:val="18"/>
                <w:b w:val="1"/>
                <w:bCs w:val="1"/>
                <w:color w:val="FFFFFF"/>
              </w:rPr>
              <w:t>Name</w:t>
            </w:r>
          </w:p>
        </w:tc>
        <w:tc>
          <w:tcPr>
            <w:tcW w:w="920" w:type="dxa"/>
            <w:vAlign w:val="bottom"/>
            <w:tcBorders>
              <w:right w:val="single" w:sz="8" w:color="auto"/>
            </w:tcBorders>
            <w:shd w:val="clear" w:color="auto" w:fill="1F2A44"/>
          </w:tcPr>
          <w:p>
            <w:pPr>
              <w:jc w:val="center"/>
              <w:spacing w:after="0"/>
              <w:rPr>
                <w:sz w:val="20"/>
                <w:szCs w:val="20"/>
                <w:color w:val="auto"/>
              </w:rPr>
            </w:pPr>
            <w:r>
              <w:rPr>
                <w:rFonts w:ascii="Arial" w:cs="Arial" w:eastAsia="Arial" w:hAnsi="Arial"/>
                <w:sz w:val="18"/>
                <w:szCs w:val="18"/>
                <w:b w:val="1"/>
                <w:bCs w:val="1"/>
                <w:color w:val="FFFFFF"/>
                <w:w w:val="99"/>
              </w:rPr>
              <w:t>Age</w:t>
            </w:r>
          </w:p>
        </w:tc>
        <w:tc>
          <w:tcPr>
            <w:tcW w:w="7120" w:type="dxa"/>
            <w:vAlign w:val="bottom"/>
            <w:tcBorders>
              <w:right w:val="single" w:sz="8" w:color="auto"/>
            </w:tcBorders>
            <w:shd w:val="clear" w:color="auto" w:fill="1F2A44"/>
          </w:tcPr>
          <w:p>
            <w:pPr>
              <w:ind w:left="300"/>
              <w:spacing w:after="0"/>
              <w:rPr>
                <w:sz w:val="20"/>
                <w:szCs w:val="20"/>
                <w:color w:val="auto"/>
              </w:rPr>
            </w:pPr>
            <w:r>
              <w:rPr>
                <w:rFonts w:ascii="Arial" w:cs="Arial" w:eastAsia="Arial" w:hAnsi="Arial"/>
                <w:sz w:val="18"/>
                <w:szCs w:val="18"/>
                <w:b w:val="1"/>
                <w:bCs w:val="1"/>
                <w:color w:val="FFFFFF"/>
              </w:rPr>
              <w:t>Position</w:t>
            </w:r>
          </w:p>
        </w:tc>
      </w:tr>
      <w:tr>
        <w:trPr>
          <w:trHeight w:val="68"/>
        </w:trPr>
        <w:tc>
          <w:tcPr>
            <w:tcW w:w="3000" w:type="dxa"/>
            <w:vAlign w:val="bottom"/>
            <w:tcBorders>
              <w:left w:val="single" w:sz="8" w:color="auto"/>
              <w:right w:val="single" w:sz="8" w:color="auto"/>
            </w:tcBorders>
            <w:shd w:val="clear" w:color="auto" w:fill="1F2A44"/>
          </w:tcPr>
          <w:p>
            <w:pPr>
              <w:spacing w:after="0"/>
              <w:rPr>
                <w:sz w:val="5"/>
                <w:szCs w:val="5"/>
                <w:color w:val="auto"/>
              </w:rPr>
            </w:pPr>
          </w:p>
        </w:tc>
        <w:tc>
          <w:tcPr>
            <w:tcW w:w="920" w:type="dxa"/>
            <w:vAlign w:val="bottom"/>
            <w:tcBorders>
              <w:right w:val="single" w:sz="8" w:color="auto"/>
            </w:tcBorders>
            <w:shd w:val="clear" w:color="auto" w:fill="1F2A44"/>
          </w:tcPr>
          <w:p>
            <w:pPr>
              <w:spacing w:after="0"/>
              <w:rPr>
                <w:sz w:val="5"/>
                <w:szCs w:val="5"/>
                <w:color w:val="auto"/>
              </w:rPr>
            </w:pPr>
          </w:p>
        </w:tc>
        <w:tc>
          <w:tcPr>
            <w:tcW w:w="7120" w:type="dxa"/>
            <w:vAlign w:val="bottom"/>
            <w:tcBorders>
              <w:right w:val="single" w:sz="8" w:color="auto"/>
            </w:tcBorders>
            <w:shd w:val="clear" w:color="auto" w:fill="1F2A44"/>
          </w:tcPr>
          <w:p>
            <w:pPr>
              <w:spacing w:after="0"/>
              <w:rPr>
                <w:sz w:val="5"/>
                <w:szCs w:val="5"/>
                <w:color w:val="auto"/>
              </w:rPr>
            </w:pPr>
          </w:p>
        </w:tc>
      </w:tr>
      <w:tr>
        <w:trPr>
          <w:trHeight w:val="324"/>
        </w:trPr>
        <w:tc>
          <w:tcPr>
            <w:tcW w:w="3000" w:type="dxa"/>
            <w:vAlign w:val="bottom"/>
            <w:tcBorders>
              <w:left w:val="single" w:sz="8" w:color="auto"/>
              <w:bottom w:val="single" w:sz="8" w:color="FEC221"/>
              <w:right w:val="single" w:sz="8" w:color="auto"/>
            </w:tcBorders>
            <w:shd w:val="clear" w:color="auto" w:fill="FEC221"/>
          </w:tcPr>
          <w:p>
            <w:pPr>
              <w:ind w:left="140"/>
              <w:spacing w:after="0"/>
              <w:rPr>
                <w:sz w:val="20"/>
                <w:szCs w:val="20"/>
                <w:color w:val="auto"/>
              </w:rPr>
            </w:pPr>
            <w:r>
              <w:rPr>
                <w:rFonts w:ascii="Arial" w:cs="Arial" w:eastAsia="Arial" w:hAnsi="Arial"/>
                <w:sz w:val="18"/>
                <w:szCs w:val="18"/>
                <w:color w:val="auto"/>
              </w:rPr>
              <w:t>Donald C. Wood</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58</w:t>
            </w:r>
          </w:p>
        </w:tc>
        <w:tc>
          <w:tcPr>
            <w:tcW w:w="712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President and Chief Executive Officer</w:t>
            </w:r>
          </w:p>
        </w:tc>
      </w:tr>
      <w:tr>
        <w:trPr>
          <w:trHeight w:val="304"/>
        </w:trPr>
        <w:tc>
          <w:tcPr>
            <w:tcW w:w="3000" w:type="dxa"/>
            <w:vAlign w:val="bottom"/>
            <w:tcBorders>
              <w:top w:val="single" w:sz="8" w:color="auto"/>
              <w:left w:val="single" w:sz="8" w:color="auto"/>
              <w:bottom w:val="single" w:sz="8" w:color="FEC221"/>
              <w:right w:val="single" w:sz="8" w:color="auto"/>
            </w:tcBorders>
            <w:shd w:val="clear" w:color="auto" w:fill="FEC221"/>
          </w:tcPr>
          <w:p>
            <w:pPr>
              <w:ind w:left="140"/>
              <w:spacing w:after="0"/>
              <w:rPr>
                <w:sz w:val="20"/>
                <w:szCs w:val="20"/>
                <w:color w:val="auto"/>
              </w:rPr>
            </w:pPr>
            <w:r>
              <w:rPr>
                <w:rFonts w:ascii="Arial" w:cs="Arial" w:eastAsia="Arial" w:hAnsi="Arial"/>
                <w:sz w:val="18"/>
                <w:szCs w:val="18"/>
                <w:color w:val="auto"/>
              </w:rPr>
              <w:t>Daniel Guglielmone</w:t>
            </w: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52</w:t>
            </w:r>
          </w:p>
        </w:tc>
        <w:tc>
          <w:tcPr>
            <w:tcW w:w="7120" w:type="dxa"/>
            <w:vAlign w:val="bottom"/>
            <w:tcBorders>
              <w:top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Executive Vice President – Chief Financial Officer and Treasurer</w:t>
            </w:r>
          </w:p>
        </w:tc>
      </w:tr>
      <w:tr>
        <w:trPr>
          <w:trHeight w:val="284"/>
        </w:trPr>
        <w:tc>
          <w:tcPr>
            <w:tcW w:w="3000" w:type="dxa"/>
            <w:vAlign w:val="bottom"/>
            <w:tcBorders>
              <w:top w:val="single" w:sz="8" w:color="auto"/>
              <w:left w:val="single" w:sz="8" w:color="auto"/>
              <w:bottom w:val="single" w:sz="8" w:color="FEC221"/>
              <w:right w:val="single" w:sz="8" w:color="auto"/>
            </w:tcBorders>
            <w:shd w:val="clear" w:color="auto" w:fill="FEC221"/>
          </w:tcPr>
          <w:p>
            <w:pPr>
              <w:ind w:left="140"/>
              <w:spacing w:after="0"/>
              <w:rPr>
                <w:sz w:val="20"/>
                <w:szCs w:val="20"/>
                <w:color w:val="auto"/>
              </w:rPr>
            </w:pPr>
            <w:r>
              <w:rPr>
                <w:rFonts w:ascii="Arial" w:cs="Arial" w:eastAsia="Arial" w:hAnsi="Arial"/>
                <w:sz w:val="18"/>
                <w:szCs w:val="18"/>
                <w:color w:val="auto"/>
              </w:rPr>
              <w:t>Dawn M. Becker</w:t>
            </w: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55</w:t>
            </w:r>
          </w:p>
        </w:tc>
        <w:tc>
          <w:tcPr>
            <w:tcW w:w="7120" w:type="dxa"/>
            <w:vAlign w:val="bottom"/>
            <w:tcBorders>
              <w:top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Executive Vice President – General Counsel and Secretary</w:t>
            </w:r>
          </w:p>
        </w:tc>
      </w:tr>
      <w:tr>
        <w:trPr>
          <w:trHeight w:val="20"/>
        </w:trPr>
        <w:tc>
          <w:tcPr>
            <w:tcW w:w="30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7120" w:type="dxa"/>
            <w:vAlign w:val="bottom"/>
            <w:tcBorders>
              <w:right w:val="single" w:sz="8" w:color="auto"/>
            </w:tcBorders>
            <w:shd w:val="clear" w:color="auto" w:fill="000000"/>
          </w:tcPr>
          <w:p>
            <w:pPr>
              <w:spacing w:after="0" w:line="20" w:lineRule="exact"/>
              <w:rPr>
                <w:sz w:val="1"/>
                <w:szCs w:val="1"/>
                <w:color w:val="auto"/>
              </w:rPr>
            </w:pPr>
          </w:p>
        </w:tc>
      </w:tr>
    </w:tbl>
    <w:p>
      <w:pPr>
        <w:spacing w:after="0" w:line="15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Donald C. Wood</w:t>
      </w:r>
      <w:r>
        <w:rPr>
          <w:rFonts w:ascii="Arial" w:cs="Arial" w:eastAsia="Arial" w:hAnsi="Arial"/>
          <w:sz w:val="18"/>
          <w:szCs w:val="18"/>
          <w:color w:val="auto"/>
        </w:rPr>
        <w:t>, Information for Mr. Wood is provided above in “Proposal 1 – Election of Trustees.”</w:t>
      </w:r>
    </w:p>
    <w:p>
      <w:pPr>
        <w:spacing w:after="0" w:line="171" w:lineRule="exact"/>
        <w:rPr>
          <w:sz w:val="20"/>
          <w:szCs w:val="20"/>
          <w:color w:val="auto"/>
        </w:rPr>
      </w:pPr>
    </w:p>
    <w:p>
      <w:pPr>
        <w:jc w:val="both"/>
        <w:ind w:left="200" w:right="20"/>
        <w:spacing w:after="0" w:line="244" w:lineRule="auto"/>
        <w:rPr>
          <w:sz w:val="20"/>
          <w:szCs w:val="20"/>
          <w:color w:val="auto"/>
        </w:rPr>
      </w:pPr>
      <w:r>
        <w:rPr>
          <w:rFonts w:ascii="Arial" w:cs="Arial" w:eastAsia="Arial" w:hAnsi="Arial"/>
          <w:sz w:val="18"/>
          <w:szCs w:val="18"/>
          <w:b w:val="1"/>
          <w:bCs w:val="1"/>
          <w:color w:val="auto"/>
        </w:rPr>
        <w:t>Daniel Guglielmone</w:t>
      </w:r>
      <w:r>
        <w:rPr>
          <w:rFonts w:ascii="Arial" w:cs="Arial" w:eastAsia="Arial" w:hAnsi="Arial"/>
          <w:sz w:val="18"/>
          <w:szCs w:val="18"/>
          <w:color w:val="auto"/>
        </w:rPr>
        <w:t>, Executive Vice President – Chief Financial Officer and Treasurer of the Trust (since August 2016) with responsibility</w:t>
      </w:r>
      <w:r>
        <w:rPr>
          <w:rFonts w:ascii="Arial" w:cs="Arial" w:eastAsia="Arial" w:hAnsi="Arial"/>
          <w:sz w:val="18"/>
          <w:szCs w:val="18"/>
          <w:b w:val="1"/>
          <w:bCs w:val="1"/>
          <w:color w:val="auto"/>
        </w:rPr>
        <w:t xml:space="preserve"> </w:t>
      </w:r>
      <w:r>
        <w:rPr>
          <w:rFonts w:ascii="Arial" w:cs="Arial" w:eastAsia="Arial" w:hAnsi="Arial"/>
          <w:sz w:val="18"/>
          <w:szCs w:val="18"/>
          <w:color w:val="auto"/>
        </w:rPr>
        <w:t>for overseeing the Trust’s capital markets, financial reporting, investor relations, corporate communications and East Coast acquisitions; Senior Vice President-Acquisitions &amp; Capital Markets of Vornado Realty Trust (2003 – 2016); Director of the real estate and lodging group in investment banking of Salomon Smith Barney / Citigroup (1993 – 2003) and the retail division of Douglas Elliman Commercial Real Estate (1989 – 1992).</w:t>
      </w:r>
    </w:p>
    <w:p>
      <w:pPr>
        <w:spacing w:after="0" w:line="150" w:lineRule="exact"/>
        <w:rPr>
          <w:sz w:val="20"/>
          <w:szCs w:val="20"/>
          <w:color w:val="auto"/>
        </w:rPr>
      </w:pPr>
    </w:p>
    <w:p>
      <w:pPr>
        <w:jc w:val="both"/>
        <w:ind w:left="200" w:right="20"/>
        <w:spacing w:after="0" w:line="244" w:lineRule="auto"/>
        <w:rPr>
          <w:sz w:val="20"/>
          <w:szCs w:val="20"/>
          <w:color w:val="auto"/>
        </w:rPr>
      </w:pPr>
      <w:r>
        <w:rPr>
          <w:rFonts w:ascii="Arial" w:cs="Arial" w:eastAsia="Arial" w:hAnsi="Arial"/>
          <w:sz w:val="18"/>
          <w:szCs w:val="18"/>
          <w:b w:val="1"/>
          <w:bCs w:val="1"/>
          <w:color w:val="auto"/>
        </w:rPr>
        <w:t>Dawn M. Becker</w:t>
      </w:r>
      <w:r>
        <w:rPr>
          <w:rFonts w:ascii="Arial" w:cs="Arial" w:eastAsia="Arial" w:hAnsi="Arial"/>
          <w:sz w:val="18"/>
          <w:szCs w:val="18"/>
          <w:color w:val="auto"/>
        </w:rPr>
        <w:t>, Executive Vice President – General Counsel and Secretary (since April 2002) with responsibility for overseeing various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Trust’s corporate functions including the Trust’s Legal, Human Resources and Information Technology Departments; and prior to that time, various officer positions with the Trust, including Executive Vice President – Managing Director Mixed Use Operations (2015 – 2016), Executive Vice President – Chief Operating Officer (2010 – 2015) and Vice President–Real Estate and Finance Counsel (2000 – 2002).</w:t>
      </w:r>
    </w:p>
    <w:p>
      <w:pPr>
        <w:spacing w:after="0" w:line="13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240" w:top="459" w:right="4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PROPOSAL 2 – ADVISORY VOTE ON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8" w:lineRule="exact"/>
        <w:rPr>
          <w:sz w:val="20"/>
          <w:szCs w:val="20"/>
          <w:color w:val="auto"/>
        </w:rPr>
      </w:pPr>
    </w:p>
    <w:p>
      <w:pPr>
        <w:jc w:val="both"/>
        <w:ind w:left="200"/>
        <w:spacing w:after="0" w:line="237" w:lineRule="auto"/>
        <w:rPr>
          <w:sz w:val="20"/>
          <w:szCs w:val="20"/>
          <w:color w:val="auto"/>
        </w:rPr>
      </w:pPr>
      <w:r>
        <w:rPr>
          <w:rFonts w:ascii="Arial" w:cs="Arial" w:eastAsia="Arial" w:hAnsi="Arial"/>
          <w:sz w:val="18"/>
          <w:szCs w:val="18"/>
          <w:color w:val="auto"/>
        </w:rPr>
        <w:t>You are being asked to approve on an advisory basis the compensation of our NEOs as described in the Compensation Discussion and Analysis (“CD&amp;A”), the Summary Compensation Table, the supplemental tables and the disclosure narratives that follow. This is an opportunity to express your opinion regarding the decisions made by the Compensation Committee on the compensation of our NEOs for 2018; however, it will not affect any compensation already paid or awarded for 2018 and will not be binding on the Compensation Committee, the Board or the Trust. The Board and our Compensation Committee value the opinions of our shareholders and will review the results of this vote and take those results into consideration in addressing future compensation policies and decisions.</w:t>
      </w:r>
    </w:p>
    <w:p>
      <w:pPr>
        <w:spacing w:after="0" w:line="165" w:lineRule="exact"/>
        <w:rPr>
          <w:sz w:val="20"/>
          <w:szCs w:val="20"/>
          <w:color w:val="auto"/>
        </w:rPr>
      </w:pPr>
    </w:p>
    <w:p>
      <w:pPr>
        <w:jc w:val="both"/>
        <w:ind w:left="200"/>
        <w:spacing w:after="0" w:line="239" w:lineRule="auto"/>
        <w:rPr>
          <w:sz w:val="20"/>
          <w:szCs w:val="20"/>
          <w:color w:val="auto"/>
        </w:rPr>
      </w:pPr>
      <w:r>
        <w:rPr>
          <w:rFonts w:ascii="Arial" w:cs="Arial" w:eastAsia="Arial" w:hAnsi="Arial"/>
          <w:sz w:val="18"/>
          <w:szCs w:val="18"/>
          <w:color w:val="auto"/>
        </w:rPr>
        <w:t>As described in more detail below, our compensation packages include base salaries, annual cash incentive compensation, long-term equity incentives and other market appropriate benefits and perquisites. We believe our compensation programs and policies have generally been effective in retaining and motivating our NEOs to achieve superior results for our shareholders but continue to reevaluate those programs in light of changing market conditions. A few highlights of our compensation programs are:</w:t>
      </w:r>
    </w:p>
    <w:p>
      <w:pPr>
        <w:spacing w:after="0" w:line="202" w:lineRule="exact"/>
        <w:rPr>
          <w:sz w:val="20"/>
          <w:szCs w:val="20"/>
          <w:color w:val="auto"/>
        </w:rPr>
      </w:pPr>
    </w:p>
    <w:p>
      <w:pPr>
        <w:jc w:val="both"/>
        <w:ind w:left="640" w:hanging="328"/>
        <w:spacing w:after="0" w:line="234"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significant portion of our NEOs’ compensation is directly linked to our performance and the creation of long-term shareholder value through long-term incentive awards. The value of these awards is only recognized over a 6-year period that includes a 3-year performance period, an award date, plus a minimum 3-year vesting period after the award date.</w:t>
      </w:r>
    </w:p>
    <w:p>
      <w:pPr>
        <w:spacing w:after="0" w:line="2" w:lineRule="exact"/>
        <w:rPr>
          <w:rFonts w:ascii="Arial" w:cs="Arial" w:eastAsia="Arial" w:hAnsi="Arial"/>
          <w:sz w:val="18"/>
          <w:szCs w:val="18"/>
          <w:color w:val="auto"/>
        </w:rPr>
      </w:pPr>
    </w:p>
    <w:p>
      <w:pPr>
        <w:jc w:val="both"/>
        <w:ind w:left="640" w:hanging="328"/>
        <w:spacing w:after="0" w:line="234"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compensation of our NEOs is strongly tied to our performance and to the performance of the individual. The annual incentive compensation is only paid if we achieve our annual FFO (see definition below in Compensation Discussion and Analysis) per share objective, as confirmed by our Compensation Committee, and long-term incentives are earned on the basis of our absolute and relative total shareholder returns as well as our return on invested capital.</w:t>
      </w:r>
    </w:p>
    <w:p>
      <w:pPr>
        <w:spacing w:after="0" w:line="3" w:lineRule="exact"/>
        <w:rPr>
          <w:rFonts w:ascii="Arial" w:cs="Arial" w:eastAsia="Arial" w:hAnsi="Arial"/>
          <w:sz w:val="18"/>
          <w:szCs w:val="18"/>
          <w:color w:val="auto"/>
        </w:rPr>
      </w:pPr>
    </w:p>
    <w:p>
      <w:pPr>
        <w:ind w:left="640" w:hanging="328"/>
        <w:spacing w:after="0" w:line="234"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an appropriate balance of pay between short-term and long-term objectives.</w:t>
      </w:r>
    </w:p>
    <w:p>
      <w:pPr>
        <w:ind w:left="640" w:hanging="328"/>
        <w:spacing w:after="0" w:line="234"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NEOs are incentivized to act in the best long-term interests of the Trust through stock ownership guidelines.</w:t>
      </w:r>
    </w:p>
    <w:p>
      <w:pPr>
        <w:ind w:left="640" w:hanging="328"/>
        <w:spacing w:after="0" w:line="246"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no perquisites for our NEOs that are not widely available to other employees other than as described in the CD&amp;A and the “Potential Payments on Termination of Employment and Change-in Control” section below.</w:t>
      </w:r>
    </w:p>
    <w:p>
      <w:pPr>
        <w:spacing w:after="0" w:line="156" w:lineRule="exact"/>
        <w:rPr>
          <w:sz w:val="20"/>
          <w:szCs w:val="20"/>
          <w:color w:val="auto"/>
        </w:rPr>
      </w:pPr>
    </w:p>
    <w:p>
      <w:pPr>
        <w:jc w:val="both"/>
        <w:ind w:left="200"/>
        <w:spacing w:after="0" w:line="246" w:lineRule="auto"/>
        <w:rPr>
          <w:sz w:val="20"/>
          <w:szCs w:val="20"/>
          <w:color w:val="auto"/>
        </w:rPr>
      </w:pPr>
      <w:r>
        <w:rPr>
          <w:rFonts w:ascii="Arial" w:cs="Arial" w:eastAsia="Arial" w:hAnsi="Arial"/>
          <w:sz w:val="18"/>
          <w:szCs w:val="18"/>
          <w:color w:val="auto"/>
        </w:rPr>
        <w:t>The affirmative vote of a majority of votes cast at the Annual Meeting, in person or by proxy, is required to approve this proposal. An “abstention” or “broker non-vote” will have no effect on the outcome of the vote for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142875</wp:posOffset>
            </wp:positionV>
            <wp:extent cx="6997700" cy="4629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7700" cy="46291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The Board recommends that you vote “FOR” this proposal on the compensation of our NEOs for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174625</wp:posOffset>
            </wp:positionV>
            <wp:extent cx="6997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text of the resolution if Proposal 2 is passed is:</w:t>
      </w:r>
    </w:p>
    <w:p>
      <w:pPr>
        <w:spacing w:after="0" w:line="171"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RESOLVED, that the shareholders of the Trust hereby approve, on an advisory basis, the compensation of our NEOs as described in the CD&amp;A, the Summary Compensation Table, the supplemental tables and the narrative disclosures accompanying these materials as required by Item 402 of Regulation S-K.</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8" w:lineRule="exact"/>
        <w:rPr>
          <w:sz w:val="20"/>
          <w:szCs w:val="20"/>
          <w:color w:val="auto"/>
        </w:rPr>
      </w:pPr>
    </w:p>
    <w:p>
      <w:pPr>
        <w:jc w:val="both"/>
        <w:ind w:left="200"/>
        <w:spacing w:after="0" w:line="246" w:lineRule="auto"/>
        <w:rPr>
          <w:sz w:val="20"/>
          <w:szCs w:val="20"/>
          <w:color w:val="auto"/>
        </w:rPr>
      </w:pPr>
      <w:r>
        <w:rPr>
          <w:rFonts w:ascii="Arial" w:cs="Arial" w:eastAsia="Arial" w:hAnsi="Arial"/>
          <w:sz w:val="18"/>
          <w:szCs w:val="18"/>
          <w:color w:val="auto"/>
        </w:rPr>
        <w:t>This Compensation Discussion and Analysis describes the Trust’s compensation programs and compensation decisions for our NEOs for 2018.</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2018 Performance Highlights</w:t>
      </w:r>
    </w:p>
    <w:p>
      <w:pPr>
        <w:spacing w:after="0" w:line="193" w:lineRule="exact"/>
        <w:rPr>
          <w:sz w:val="20"/>
          <w:szCs w:val="20"/>
          <w:color w:val="auto"/>
        </w:rPr>
      </w:pPr>
    </w:p>
    <w:p>
      <w:pPr>
        <w:jc w:val="both"/>
        <w:ind w:left="200"/>
        <w:spacing w:after="0" w:line="237" w:lineRule="auto"/>
        <w:rPr>
          <w:sz w:val="20"/>
          <w:szCs w:val="20"/>
          <w:color w:val="auto"/>
        </w:rPr>
      </w:pPr>
      <w:r>
        <w:rPr>
          <w:rFonts w:ascii="Arial" w:cs="Arial" w:eastAsia="Arial" w:hAnsi="Arial"/>
          <w:sz w:val="18"/>
          <w:szCs w:val="18"/>
          <w:color w:val="auto"/>
        </w:rPr>
        <w:t>The Trust’s business plan of delivering long-term sustainable growth through investment in high quality, retail based properties located primarily in major coastal US markets delivered record levels of performance in 2018 including record levels of total revenue, operating income and funds from operations (“FFO”)</w:t>
      </w:r>
      <w:r>
        <w:rPr>
          <w:rFonts w:ascii="Arial" w:cs="Arial" w:eastAsia="Arial" w:hAnsi="Arial"/>
          <w:sz w:val="15"/>
          <w:szCs w:val="15"/>
          <w:color w:val="auto"/>
        </w:rPr>
        <w:t>1</w:t>
      </w:r>
      <w:r>
        <w:rPr>
          <w:rFonts w:ascii="Arial" w:cs="Arial" w:eastAsia="Arial" w:hAnsi="Arial"/>
          <w:sz w:val="18"/>
          <w:szCs w:val="18"/>
          <w:color w:val="auto"/>
        </w:rPr>
        <w:t xml:space="preserve"> per diluted share. These results were achieved in the face of a changing retail landscape and without impacting the prospects for future growth as the Trust approved moving forward with five new development projects that are expected to result in additional investment of nearly $680 million in the next few years and begin adding to the Trust’s bottom line in 2021 and beyond.</w:t>
      </w:r>
    </w:p>
    <w:p>
      <w:pPr>
        <w:spacing w:after="0" w:line="165"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The sustained long-term growth in these and other financial metrics reflects the Trust’s disciplined approach to investing in and operating its assets and provided the foundation for 2018 to have marked the 51</w:t>
      </w:r>
      <w:r>
        <w:rPr>
          <w:rFonts w:ascii="Arial" w:cs="Arial" w:eastAsia="Arial" w:hAnsi="Arial"/>
          <w:sz w:val="15"/>
          <w:szCs w:val="15"/>
          <w:color w:val="auto"/>
        </w:rPr>
        <w:t>st</w:t>
      </w:r>
      <w:r>
        <w:rPr>
          <w:rFonts w:ascii="Arial" w:cs="Arial" w:eastAsia="Arial" w:hAnsi="Arial"/>
          <w:sz w:val="18"/>
          <w:szCs w:val="18"/>
          <w:color w:val="auto"/>
        </w:rPr>
        <w:t xml:space="preserve"> consecutive year that the Trust increased its dividend to common shareholders, a milestone achieved by only 23 other US public companies and by no other real estate investment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1188720</wp:posOffset>
            </wp:positionH>
            <wp:positionV relativeFrom="paragraph">
              <wp:posOffset>300990</wp:posOffset>
            </wp:positionV>
            <wp:extent cx="4888230" cy="14236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888230" cy="1423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200"/>
        <w:spacing w:after="0" w:line="239" w:lineRule="auto"/>
        <w:rPr>
          <w:sz w:val="20"/>
          <w:szCs w:val="20"/>
          <w:color w:val="auto"/>
        </w:rPr>
      </w:pPr>
      <w:r>
        <w:rPr>
          <w:rFonts w:ascii="Arial" w:cs="Arial" w:eastAsia="Arial" w:hAnsi="Arial"/>
          <w:sz w:val="18"/>
          <w:szCs w:val="18"/>
          <w:color w:val="auto"/>
        </w:rPr>
        <w:t>The ability to achieve these results in the face of a changing consumer and evolving retail real estate landscape was only possible because of the creation and execution of the long-term business plan developed by our Board of Trustees and management team focused on generating increasing streams of cash flow and the creation of long-term value for our shareholders during all kinds of economic cycles. Some of the key components of that business plan include:</w:t>
      </w:r>
    </w:p>
    <w:p>
      <w:pPr>
        <w:spacing w:after="0" w:line="202" w:lineRule="exact"/>
        <w:rPr>
          <w:sz w:val="20"/>
          <w:szCs w:val="20"/>
          <w:color w:val="auto"/>
        </w:rPr>
      </w:pPr>
    </w:p>
    <w:p>
      <w:pPr>
        <w:ind w:left="860" w:hanging="332"/>
        <w:spacing w:after="0" w:line="234" w:lineRule="auto"/>
        <w:tabs>
          <w:tab w:leader="none" w:pos="8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Income diversification among retail tenants so that no one retailer accounts for more than approximately 3% of our income in any given year</w:t>
      </w:r>
    </w:p>
    <w:p>
      <w:pPr>
        <w:spacing w:after="0" w:line="1" w:lineRule="exact"/>
        <w:rPr>
          <w:rFonts w:ascii="Arial" w:cs="Arial" w:eastAsia="Arial" w:hAnsi="Arial"/>
          <w:sz w:val="18"/>
          <w:szCs w:val="18"/>
          <w:color w:val="auto"/>
        </w:rPr>
      </w:pPr>
    </w:p>
    <w:p>
      <w:pPr>
        <w:ind w:left="860" w:hanging="332"/>
        <w:spacing w:after="0" w:line="234" w:lineRule="auto"/>
        <w:tabs>
          <w:tab w:leader="none" w:pos="8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Income diversification through investment in residential and office uses in mixed-use environments that benefit from a strong retail base</w:t>
      </w:r>
    </w:p>
    <w:p>
      <w:pPr>
        <w:spacing w:after="0" w:line="1" w:lineRule="exact"/>
        <w:rPr>
          <w:rFonts w:ascii="Arial" w:cs="Arial" w:eastAsia="Arial" w:hAnsi="Arial"/>
          <w:sz w:val="18"/>
          <w:szCs w:val="18"/>
          <w:color w:val="auto"/>
        </w:rPr>
      </w:pPr>
    </w:p>
    <w:p>
      <w:pPr>
        <w:ind w:left="860" w:hanging="332"/>
        <w:spacing w:after="0" w:line="234" w:lineRule="auto"/>
        <w:tabs>
          <w:tab w:leader="none" w:pos="8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Investing and reinvesting in those locations where demand for retail exceeds supply</w:t>
      </w:r>
    </w:p>
    <w:p>
      <w:pPr>
        <w:ind w:left="860" w:hanging="332"/>
        <w:spacing w:after="0" w:line="234" w:lineRule="auto"/>
        <w:tabs>
          <w:tab w:leader="none" w:pos="8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Investing in those retailers who are able to adapt to changing trends to give themselves the best chance for long-term success, not those retailers whose business models remain unchanged</w:t>
      </w:r>
    </w:p>
    <w:p>
      <w:pPr>
        <w:spacing w:after="0" w:line="1" w:lineRule="exact"/>
        <w:rPr>
          <w:rFonts w:ascii="Arial" w:cs="Arial" w:eastAsia="Arial" w:hAnsi="Arial"/>
          <w:sz w:val="18"/>
          <w:szCs w:val="18"/>
          <w:color w:val="auto"/>
        </w:rPr>
      </w:pPr>
    </w:p>
    <w:p>
      <w:pPr>
        <w:ind w:left="860" w:hanging="332"/>
        <w:spacing w:after="0" w:line="246" w:lineRule="auto"/>
        <w:tabs>
          <w:tab w:leader="none" w:pos="8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Managing the balance sheet for the long-term including raising capital opportunistically when market conditions are favorable despite short-term dilution</w:t>
      </w:r>
    </w:p>
    <w:p>
      <w:pPr>
        <w:spacing w:after="0" w:line="153" w:lineRule="exact"/>
        <w:rPr>
          <w:rFonts w:ascii="Arial" w:cs="Arial" w:eastAsia="Arial" w:hAnsi="Arial"/>
          <w:sz w:val="18"/>
          <w:szCs w:val="18"/>
          <w:color w:val="auto"/>
        </w:rPr>
      </w:pPr>
    </w:p>
    <w:p>
      <w:pPr>
        <w:ind w:left="640" w:hanging="432"/>
        <w:spacing w:after="0"/>
        <w:rPr>
          <w:rFonts w:ascii="Arial" w:cs="Arial" w:eastAsia="Arial" w:hAnsi="Arial"/>
          <w:sz w:val="18"/>
          <w:szCs w:val="18"/>
          <w:color w:val="auto"/>
        </w:rPr>
      </w:pPr>
      <w:r>
        <w:rPr>
          <w:rFonts w:ascii="Arial" w:cs="Arial" w:eastAsia="Arial" w:hAnsi="Arial"/>
          <w:sz w:val="15"/>
          <w:szCs w:val="15"/>
          <w:color w:val="auto"/>
        </w:rPr>
        <w:t>1</w:t>
      </w:r>
      <w:r>
        <w:rPr>
          <w:rFonts w:ascii="Arial" w:cs="Arial" w:eastAsia="Arial" w:hAnsi="Arial"/>
          <w:sz w:val="18"/>
          <w:szCs w:val="18"/>
          <w:color w:val="auto"/>
        </w:rPr>
        <w:t>FFO is a supplemental non-GAAP financial measure of a real estate company’s operating performance. We follow the definition of FFO provided by the National Association of Real Estate Investment Trusts (“NAREIT”) which is included on Appendix A along with a reconciliation of net income to FFO available for common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-417195</wp:posOffset>
            </wp:positionV>
            <wp:extent cx="69469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24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Responsibility and Sustainability</w:t>
      </w:r>
    </w:p>
    <w:p>
      <w:pPr>
        <w:spacing w:after="0" w:line="207" w:lineRule="exact"/>
        <w:rPr>
          <w:sz w:val="20"/>
          <w:szCs w:val="20"/>
          <w:color w:val="auto"/>
        </w:rPr>
      </w:pPr>
    </w:p>
    <w:p>
      <w:pPr>
        <w:jc w:val="both"/>
        <w:ind w:left="200"/>
        <w:spacing w:after="0" w:line="238" w:lineRule="auto"/>
        <w:rPr>
          <w:sz w:val="20"/>
          <w:szCs w:val="20"/>
          <w:color w:val="auto"/>
        </w:rPr>
      </w:pPr>
      <w:r>
        <w:rPr>
          <w:rFonts w:ascii="Arial" w:cs="Arial" w:eastAsia="Arial" w:hAnsi="Arial"/>
          <w:sz w:val="18"/>
          <w:szCs w:val="18"/>
          <w:color w:val="auto"/>
        </w:rPr>
        <w:t>The consideration of environmental and social issues in all aspects of our business from developing and operating our properties to the well-being of our employees is a key part of creating long-term value for our shareholders. The success of our properties and our business is inextricably tied to our properties being embraced by the local community as reflecting the values of that community and on our employees having an environment in which they can thrive personally and professionally. Some of our notable achievements in 2018 include:</w:t>
      </w:r>
    </w:p>
    <w:p>
      <w:pPr>
        <w:spacing w:after="0" w:line="203" w:lineRule="exact"/>
        <w:rPr>
          <w:sz w:val="20"/>
          <w:szCs w:val="20"/>
          <w:color w:val="auto"/>
        </w:rPr>
      </w:pPr>
    </w:p>
    <w:p>
      <w:pPr>
        <w:jc w:val="both"/>
        <w:ind w:left="860" w:hanging="332"/>
        <w:spacing w:after="0" w:line="234" w:lineRule="auto"/>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Pike &amp; Rose achieved LEED for Neighborhood Development v2009 Stage 3 Gold certifications – one of only 10 projects to receive such a designation in the United States and one of only 18 projects worldwide. LEED ND designation was developed to inspire and help create better, more sustainable, well connected neighborhoods and to look beyond the scale of buildings and consider the entire community</w:t>
      </w:r>
    </w:p>
    <w:p>
      <w:pPr>
        <w:spacing w:after="0" w:line="3" w:lineRule="exact"/>
        <w:rPr>
          <w:rFonts w:ascii="Arial" w:cs="Arial" w:eastAsia="Arial" w:hAnsi="Arial"/>
          <w:sz w:val="18"/>
          <w:szCs w:val="18"/>
          <w:color w:val="auto"/>
        </w:rPr>
      </w:pPr>
    </w:p>
    <w:p>
      <w:pPr>
        <w:ind w:left="860" w:hanging="332"/>
        <w:spacing w:after="0" w:line="234" w:lineRule="auto"/>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Recognized as a Green Star leader (4 stars) by the Global Real Estate Sustainability Benchmark (3</w:t>
      </w:r>
      <w:r>
        <w:rPr>
          <w:rFonts w:ascii="Arial" w:cs="Arial" w:eastAsia="Arial" w:hAnsi="Arial"/>
          <w:sz w:val="15"/>
          <w:szCs w:val="15"/>
          <w:color w:val="auto"/>
        </w:rPr>
        <w:t>rd</w:t>
      </w:r>
      <w:r>
        <w:rPr>
          <w:rFonts w:ascii="Arial" w:cs="Arial" w:eastAsia="Arial" w:hAnsi="Arial"/>
          <w:sz w:val="18"/>
          <w:szCs w:val="18"/>
          <w:color w:val="auto"/>
        </w:rPr>
        <w:t xml:space="preserve"> consecutive year), ranking first among peer companies in Health and Wellness</w:t>
      </w:r>
    </w:p>
    <w:p>
      <w:pPr>
        <w:spacing w:after="0" w:line="1" w:lineRule="exact"/>
        <w:rPr>
          <w:rFonts w:ascii="Arial" w:cs="Arial" w:eastAsia="Arial" w:hAnsi="Arial"/>
          <w:sz w:val="18"/>
          <w:szCs w:val="18"/>
          <w:color w:val="auto"/>
        </w:rPr>
      </w:pPr>
    </w:p>
    <w:p>
      <w:pPr>
        <w:jc w:val="both"/>
        <w:ind w:left="860" w:hanging="332"/>
        <w:spacing w:after="0" w:line="234" w:lineRule="auto"/>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Named to the 2018 Green Lease Leaders Gold Level by the Institute for Market Transformation and U.S. Department of Energy’s Better Building Alliance for high performance leasing practices that drive shared energy savings and sustainability benefits in buildings</w:t>
      </w:r>
    </w:p>
    <w:p>
      <w:pPr>
        <w:spacing w:after="0" w:line="2" w:lineRule="exact"/>
        <w:rPr>
          <w:rFonts w:ascii="Arial" w:cs="Arial" w:eastAsia="Arial" w:hAnsi="Arial"/>
          <w:sz w:val="18"/>
          <w:szCs w:val="18"/>
          <w:color w:val="auto"/>
        </w:rPr>
      </w:pPr>
    </w:p>
    <w:p>
      <w:pPr>
        <w:ind w:left="860" w:hanging="332"/>
        <w:spacing w:after="0" w:line="234" w:lineRule="auto"/>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Opened the largest roof top urban farm in the Mid-Atlantic area producing approximately 20,000 pounds of produce per year, much of which is sold to residents of the building and neighboring restaurants at the property</w:t>
      </w:r>
    </w:p>
    <w:p>
      <w:pPr>
        <w:spacing w:after="0" w:line="1" w:lineRule="exact"/>
        <w:rPr>
          <w:rFonts w:ascii="Arial" w:cs="Arial" w:eastAsia="Arial" w:hAnsi="Arial"/>
          <w:sz w:val="18"/>
          <w:szCs w:val="18"/>
          <w:color w:val="auto"/>
        </w:rPr>
      </w:pPr>
    </w:p>
    <w:p>
      <w:pPr>
        <w:ind w:left="860" w:hanging="332"/>
        <w:spacing w:after="0" w:line="234" w:lineRule="auto"/>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Received the Alliance for Workplace Excellence Seal of Approval awards for Overall excellence (11</w:t>
      </w:r>
      <w:r>
        <w:rPr>
          <w:rFonts w:ascii="Arial" w:cs="Arial" w:eastAsia="Arial" w:hAnsi="Arial"/>
          <w:sz w:val="15"/>
          <w:szCs w:val="15"/>
          <w:color w:val="auto"/>
        </w:rPr>
        <w:t>th</w:t>
      </w:r>
      <w:r>
        <w:rPr>
          <w:rFonts w:ascii="Arial" w:cs="Arial" w:eastAsia="Arial" w:hAnsi="Arial"/>
          <w:sz w:val="18"/>
          <w:szCs w:val="18"/>
          <w:color w:val="auto"/>
        </w:rPr>
        <w:t xml:space="preserve"> consecutive year), Health and Wellness (11</w:t>
      </w:r>
      <w:r>
        <w:rPr>
          <w:rFonts w:ascii="Arial" w:cs="Arial" w:eastAsia="Arial" w:hAnsi="Arial"/>
          <w:sz w:val="15"/>
          <w:szCs w:val="15"/>
          <w:color w:val="auto"/>
        </w:rPr>
        <w:t>th</w:t>
      </w:r>
      <w:r>
        <w:rPr>
          <w:rFonts w:ascii="Arial" w:cs="Arial" w:eastAsia="Arial" w:hAnsi="Arial"/>
          <w:sz w:val="18"/>
          <w:szCs w:val="18"/>
          <w:color w:val="auto"/>
        </w:rPr>
        <w:t xml:space="preserve"> consecutive year) and Eco Leadership (8</w:t>
      </w:r>
      <w:r>
        <w:rPr>
          <w:rFonts w:ascii="Arial" w:cs="Arial" w:eastAsia="Arial" w:hAnsi="Arial"/>
          <w:sz w:val="15"/>
          <w:szCs w:val="15"/>
          <w:color w:val="auto"/>
        </w:rPr>
        <w:t>th</w:t>
      </w:r>
      <w:r>
        <w:rPr>
          <w:rFonts w:ascii="Arial" w:cs="Arial" w:eastAsia="Arial" w:hAnsi="Arial"/>
          <w:sz w:val="18"/>
          <w:szCs w:val="18"/>
          <w:color w:val="auto"/>
        </w:rPr>
        <w:t xml:space="preserve"> consecutive year)</w:t>
      </w:r>
    </w:p>
    <w:p>
      <w:pPr>
        <w:spacing w:after="0" w:line="1" w:lineRule="exact"/>
        <w:rPr>
          <w:rFonts w:ascii="Arial" w:cs="Arial" w:eastAsia="Arial" w:hAnsi="Arial"/>
          <w:sz w:val="18"/>
          <w:szCs w:val="18"/>
          <w:color w:val="auto"/>
        </w:rPr>
      </w:pPr>
    </w:p>
    <w:p>
      <w:pPr>
        <w:jc w:val="both"/>
        <w:ind w:left="860" w:hanging="332"/>
        <w:spacing w:after="0" w:line="234" w:lineRule="auto"/>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Lowered the environmental impact of our properties by achieving year over year reductions in greenhouse gas emissions of 11.5% (equivalent to removing 601 cars form the road), electrical usage of 11.4% (enough to power 643 homes for one year) and water consumption of 3% (enough to fill 9 Olympic size swimming pools)</w:t>
      </w:r>
    </w:p>
    <w:p>
      <w:pPr>
        <w:spacing w:after="0" w:line="2" w:lineRule="exact"/>
        <w:rPr>
          <w:rFonts w:ascii="Arial" w:cs="Arial" w:eastAsia="Arial" w:hAnsi="Arial"/>
          <w:sz w:val="18"/>
          <w:szCs w:val="18"/>
          <w:color w:val="auto"/>
        </w:rPr>
      </w:pPr>
    </w:p>
    <w:p>
      <w:pPr>
        <w:ind w:left="860" w:hanging="332"/>
        <w:spacing w:after="0" w:line="246" w:lineRule="auto"/>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Invested approximately $30 million in 24 solar voltaic operating systems that today produce enough solar electricity to power nearly 1,300 homes annually and avoid nearly 22 million pounds of CO2 emissions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2018 Compensation Highlights</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Some specific decisions and results impacting 2018 compensation for our NEOs include:</w:t>
      </w:r>
    </w:p>
    <w:p>
      <w:pPr>
        <w:spacing w:after="0" w:line="207" w:lineRule="exact"/>
        <w:rPr>
          <w:sz w:val="20"/>
          <w:szCs w:val="20"/>
          <w:color w:val="auto"/>
        </w:rPr>
      </w:pPr>
    </w:p>
    <w:p>
      <w:pPr>
        <w:ind w:left="860" w:hanging="332"/>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base pay increase for any of our NEOs</w:t>
      </w:r>
    </w:p>
    <w:p>
      <w:pPr>
        <w:ind w:left="860" w:hanging="332"/>
        <w:spacing w:after="0" w:line="234" w:lineRule="auto"/>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change in the target compensation levels for any of our NEO’s performance based compensation</w:t>
      </w:r>
    </w:p>
    <w:p>
      <w:pPr>
        <w:ind w:left="860" w:hanging="332"/>
        <w:spacing w:after="0" w:line="234" w:lineRule="auto"/>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Payout under our annual bonus plan of 125% of target</w:t>
      </w:r>
    </w:p>
    <w:p>
      <w:pPr>
        <w:ind w:left="860" w:hanging="332"/>
        <w:spacing w:after="0" w:line="234" w:lineRule="auto"/>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Payout under our long-term incentive plan at 100% of target based on plan results achieving 90% of target payout and the Compensation Committee exercising the discretion provided under the plan to increase the payout for each of our NEOs to 100%</w:t>
      </w:r>
    </w:p>
    <w:p>
      <w:pPr>
        <w:spacing w:after="0" w:line="1" w:lineRule="exact"/>
        <w:rPr>
          <w:rFonts w:ascii="Arial" w:cs="Arial" w:eastAsia="Arial" w:hAnsi="Arial"/>
          <w:sz w:val="18"/>
          <w:szCs w:val="18"/>
          <w:color w:val="auto"/>
        </w:rPr>
      </w:pPr>
    </w:p>
    <w:p>
      <w:pPr>
        <w:ind w:left="860" w:hanging="332"/>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Payment of a supplemental cash bonus to Ms. Becker and Mr. Guglielmone in the amount of $50,000 each</w:t>
      </w:r>
    </w:p>
    <w:p>
      <w:pPr>
        <w:spacing w:after="0" w:line="171" w:lineRule="exact"/>
        <w:rPr>
          <w:sz w:val="20"/>
          <w:szCs w:val="20"/>
          <w:color w:val="auto"/>
        </w:rPr>
      </w:pPr>
    </w:p>
    <w:p>
      <w:pPr>
        <w:jc w:val="both"/>
        <w:ind w:left="200"/>
        <w:spacing w:after="0" w:line="239" w:lineRule="auto"/>
        <w:rPr>
          <w:sz w:val="20"/>
          <w:szCs w:val="20"/>
          <w:color w:val="auto"/>
        </w:rPr>
      </w:pPr>
      <w:r>
        <w:rPr>
          <w:rFonts w:ascii="Arial" w:cs="Arial" w:eastAsia="Arial" w:hAnsi="Arial"/>
          <w:sz w:val="18"/>
          <w:szCs w:val="18"/>
          <w:color w:val="auto"/>
        </w:rPr>
        <w:t>The basic design and performance hurdles under our compensation plans for our NEOs has remained essentially unchanged for 15 years and have been effective during most of that time in tying our NEO compensation to company performance and the creation of shareholder value. However, in three of the past five years, the compensation to our NEOs under our current compensation plans has been flat to declining despite the following notable achievements during that five year period from 2014 through 2018:</w:t>
      </w:r>
    </w:p>
    <w:p>
      <w:pPr>
        <w:spacing w:after="0" w:line="198" w:lineRule="exact"/>
        <w:rPr>
          <w:sz w:val="20"/>
          <w:szCs w:val="20"/>
          <w:color w:val="auto"/>
        </w:rPr>
      </w:pPr>
    </w:p>
    <w:p>
      <w:pPr>
        <w:ind w:left="860" w:hanging="332"/>
        <w:spacing w:after="0"/>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Average top-line revenue growth of 7.5% per year</w:t>
      </w:r>
    </w:p>
    <w:p>
      <w:pPr>
        <w:ind w:left="860" w:hanging="332"/>
        <w:spacing w:after="0" w:line="234" w:lineRule="auto"/>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Average net income per diluted share growth of 5.3% per year</w:t>
      </w:r>
    </w:p>
    <w:p>
      <w:pPr>
        <w:ind w:left="860" w:hanging="332"/>
        <w:spacing w:after="0" w:line="234" w:lineRule="auto"/>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Average FFO per diluted share growth of 7.2% per year, with 2018 being the 9</w:t>
      </w:r>
      <w:r>
        <w:rPr>
          <w:rFonts w:ascii="Arial" w:cs="Arial" w:eastAsia="Arial" w:hAnsi="Arial"/>
          <w:sz w:val="15"/>
          <w:szCs w:val="15"/>
          <w:color w:val="auto"/>
        </w:rPr>
        <w:t>th</w:t>
      </w:r>
      <w:r>
        <w:rPr>
          <w:rFonts w:ascii="Arial" w:cs="Arial" w:eastAsia="Arial" w:hAnsi="Arial"/>
          <w:sz w:val="18"/>
          <w:szCs w:val="18"/>
          <w:color w:val="auto"/>
        </w:rPr>
        <w:t xml:space="preserve"> consecutive year of year over year FFO per diluted share growth, the only public shopping center real estate investment trust to achieve that result</w:t>
      </w:r>
    </w:p>
    <w:p>
      <w:pPr>
        <w:spacing w:after="0" w:line="1" w:lineRule="exact"/>
        <w:rPr>
          <w:rFonts w:ascii="Arial" w:cs="Arial" w:eastAsia="Arial" w:hAnsi="Arial"/>
          <w:sz w:val="18"/>
          <w:szCs w:val="18"/>
          <w:color w:val="auto"/>
        </w:rPr>
      </w:pPr>
    </w:p>
    <w:p>
      <w:pPr>
        <w:ind w:left="860" w:hanging="332"/>
        <w:spacing w:after="0" w:line="234" w:lineRule="auto"/>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Average dividend increases to our common shareholders of 5.5% per year, including the notable accomplishment of being the only public real estate company to increase common dividends every year for more than 50 years</w:t>
      </w:r>
    </w:p>
    <w:p>
      <w:pPr>
        <w:spacing w:after="0" w:line="1" w:lineRule="exact"/>
        <w:rPr>
          <w:rFonts w:ascii="Arial" w:cs="Arial" w:eastAsia="Arial" w:hAnsi="Arial"/>
          <w:sz w:val="18"/>
          <w:szCs w:val="18"/>
          <w:color w:val="auto"/>
        </w:rPr>
      </w:pPr>
    </w:p>
    <w:p>
      <w:pPr>
        <w:ind w:left="860" w:hanging="332"/>
        <w:spacing w:after="0" w:line="234" w:lineRule="auto"/>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Stabilized more than $950 million in new capital investment that is generating more than $65 million of real estate value for the Trust after capital</w:t>
      </w:r>
    </w:p>
    <w:p>
      <w:pPr>
        <w:spacing w:after="0" w:line="1" w:lineRule="exact"/>
        <w:rPr>
          <w:rFonts w:ascii="Arial" w:cs="Arial" w:eastAsia="Arial" w:hAnsi="Arial"/>
          <w:sz w:val="18"/>
          <w:szCs w:val="18"/>
          <w:color w:val="auto"/>
        </w:rPr>
      </w:pPr>
    </w:p>
    <w:p>
      <w:pPr>
        <w:ind w:left="860" w:hanging="332"/>
        <w:spacing w:after="0" w:line="246" w:lineRule="auto"/>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Beginning new projects with total projected investment in excess of $1.5 billion that are projected to generate more than $95 million of real estate value after capital over the next 5-7 years</w:t>
      </w:r>
    </w:p>
    <w:p>
      <w:pPr>
        <w:spacing w:after="0" w:line="170" w:lineRule="exact"/>
        <w:rPr>
          <w:sz w:val="20"/>
          <w:szCs w:val="20"/>
          <w:color w:val="auto"/>
        </w:rPr>
      </w:pPr>
    </w:p>
    <w:p>
      <w:pPr>
        <w:ind w:left="200"/>
        <w:spacing w:after="0" w:line="246" w:lineRule="auto"/>
        <w:rPr>
          <w:sz w:val="20"/>
          <w:szCs w:val="20"/>
          <w:color w:val="auto"/>
        </w:rPr>
      </w:pPr>
      <w:r>
        <w:rPr>
          <w:rFonts w:ascii="Arial" w:cs="Arial" w:eastAsia="Arial" w:hAnsi="Arial"/>
          <w:sz w:val="18"/>
          <w:szCs w:val="18"/>
          <w:color w:val="auto"/>
        </w:rPr>
        <w:t>Despite continuing to deliver record levels of operating results while also investing smartly in ways that promote the long-term future cash flow growth that serves as the foundation of the Trust’s business plan, our CEO’s compensation for 2018</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right="20"/>
        <w:spacing w:after="0" w:line="236" w:lineRule="auto"/>
        <w:rPr>
          <w:sz w:val="20"/>
          <w:szCs w:val="20"/>
          <w:color w:val="auto"/>
        </w:rPr>
      </w:pPr>
      <w:r>
        <w:rPr>
          <w:rFonts w:ascii="Arial" w:cs="Arial" w:eastAsia="Arial" w:hAnsi="Arial"/>
          <w:sz w:val="18"/>
          <w:szCs w:val="18"/>
          <w:color w:val="auto"/>
        </w:rPr>
        <w:t>was essentially flat to 2017 and down 19% and 23% from 2016 and 2015, respectively. We also saw during 2018 two of the Trust’s most senior employees, each of whom had been with the company for more than 18 years, accept positions with another public shopping center REIT and receive pay packages with significantly higher overall compensation and significantly higher fixed portions of compensation than they had at the Trust. Given the evidenced increased competition for the Trust’s talent as well as overall NEO compensation levels that have been flat to declining despite exceptional company performance, the Board and the Compensation Committee have determined the need to evaluate our compensation programs during 2019 to determine whether they remain effective in retaining and rewarding our NEOs and others throughout the Trust or whether new programs or modifications are needed. To bridge the time until a review of the compensation programs can be completed and to reward our NEOs for delivering yet another year of record results in 2018, the Committee has elected to exercise its discretion permitted under the LTIAP to increase the awards for each of our NEO’s to target levels (an increase of approximately 11% for Mr. Wood and Ms. Becker and of 18% for Mr. Guglielmone for total additional awards of $695,000) and to award Ms. Becker and Mr. Guglielmone a supplemental cash bonus of $50,000 each.</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2018 Compensation and Compensation Components</w:t>
      </w:r>
    </w:p>
    <w:p>
      <w:pPr>
        <w:spacing w:after="0" w:line="207" w:lineRule="exact"/>
        <w:rPr>
          <w:sz w:val="20"/>
          <w:szCs w:val="20"/>
          <w:color w:val="auto"/>
        </w:rPr>
      </w:pPr>
    </w:p>
    <w:p>
      <w:pPr>
        <w:jc w:val="both"/>
        <w:ind w:left="200" w:right="20"/>
        <w:spacing w:after="0"/>
        <w:rPr>
          <w:sz w:val="20"/>
          <w:szCs w:val="20"/>
          <w:color w:val="auto"/>
        </w:rPr>
      </w:pPr>
      <w:r>
        <w:rPr>
          <w:rFonts w:ascii="Arial" w:cs="Arial" w:eastAsia="Arial" w:hAnsi="Arial"/>
          <w:sz w:val="18"/>
          <w:szCs w:val="18"/>
          <w:color w:val="auto"/>
        </w:rPr>
        <w:t>We provide our NEOs with three primary components of compensation, each of which serves a unique purpose in compensating and rewarding our NEOs and creates alignment between our NEOs and our shareholders. Those primary compensation elements include base salary, annual cash bonus and long-term equity incentives.</w:t>
      </w:r>
    </w:p>
    <w:p>
      <w:pPr>
        <w:spacing w:after="0" w:line="211" w:lineRule="exact"/>
        <w:rPr>
          <w:sz w:val="20"/>
          <w:szCs w:val="20"/>
          <w:color w:val="auto"/>
        </w:rPr>
      </w:pPr>
    </w:p>
    <w:tbl>
      <w:tblPr>
        <w:tblLayout w:type="fixed"/>
        <w:tblInd w:w="230" w:type="dxa"/>
        <w:tblCellMar>
          <w:top w:w="0" w:type="dxa"/>
          <w:left w:w="0" w:type="dxa"/>
          <w:bottom w:w="0" w:type="dxa"/>
          <w:right w:w="0" w:type="dxa"/>
        </w:tblCellMar>
      </w:tblPr>
      <w:tr>
        <w:trPr>
          <w:trHeight w:val="329"/>
        </w:trPr>
        <w:tc>
          <w:tcPr>
            <w:tcW w:w="1180" w:type="dxa"/>
            <w:vAlign w:val="bottom"/>
            <w:tcBorders>
              <w:top w:val="single" w:sz="8" w:color="auto"/>
              <w:left w:val="single" w:sz="8" w:color="auto"/>
              <w:bottom w:val="single" w:sz="8" w:color="FEC221"/>
            </w:tcBorders>
            <w:shd w:val="clear" w:color="auto" w:fill="FEC221"/>
          </w:tcPr>
          <w:p>
            <w:pPr>
              <w:spacing w:after="0"/>
              <w:rPr>
                <w:sz w:val="24"/>
                <w:szCs w:val="24"/>
                <w:color w:val="auto"/>
              </w:rPr>
            </w:pPr>
          </w:p>
        </w:tc>
        <w:tc>
          <w:tcPr>
            <w:tcW w:w="3280" w:type="dxa"/>
            <w:vAlign w:val="bottom"/>
            <w:tcBorders>
              <w:top w:val="single" w:sz="8" w:color="auto"/>
              <w:bottom w:val="single" w:sz="8" w:color="FEC221"/>
              <w:right w:val="single" w:sz="8" w:color="FEC221"/>
            </w:tcBorders>
            <w:gridSpan w:val="3"/>
            <w:shd w:val="clear" w:color="auto" w:fill="FEC221"/>
          </w:tcPr>
          <w:p>
            <w:pPr>
              <w:ind w:left="180"/>
              <w:spacing w:after="0"/>
              <w:rPr>
                <w:sz w:val="20"/>
                <w:szCs w:val="20"/>
                <w:color w:val="auto"/>
              </w:rPr>
            </w:pPr>
            <w:r>
              <w:rPr>
                <w:rFonts w:ascii="Arial" w:cs="Arial" w:eastAsia="Arial" w:hAnsi="Arial"/>
                <w:sz w:val="18"/>
                <w:szCs w:val="18"/>
                <w:b w:val="1"/>
                <w:bCs w:val="1"/>
                <w:color w:val="1F2A44"/>
              </w:rPr>
              <w:t>Type and Form of Pay</w:t>
            </w:r>
          </w:p>
        </w:tc>
        <w:tc>
          <w:tcPr>
            <w:tcW w:w="300" w:type="dxa"/>
            <w:vAlign w:val="bottom"/>
            <w:tcBorders>
              <w:top w:val="single" w:sz="8" w:color="auto"/>
              <w:bottom w:val="single" w:sz="8" w:color="FEC221"/>
              <w:right w:val="single" w:sz="8" w:color="FEC221"/>
            </w:tcBorders>
            <w:shd w:val="clear" w:color="auto" w:fill="FEC221"/>
          </w:tcPr>
          <w:p>
            <w:pPr>
              <w:spacing w:after="0"/>
              <w:rPr>
                <w:sz w:val="24"/>
                <w:szCs w:val="24"/>
                <w:color w:val="auto"/>
              </w:rPr>
            </w:pPr>
          </w:p>
        </w:tc>
        <w:tc>
          <w:tcPr>
            <w:tcW w:w="6280" w:type="dxa"/>
            <w:vAlign w:val="bottom"/>
            <w:tcBorders>
              <w:top w:val="single" w:sz="8" w:color="auto"/>
              <w:bottom w:val="single" w:sz="8" w:color="FEC221"/>
              <w:right w:val="single" w:sz="8" w:color="auto"/>
            </w:tcBorders>
            <w:shd w:val="clear" w:color="auto" w:fill="FEC221"/>
          </w:tcPr>
          <w:p>
            <w:pPr>
              <w:ind w:left="40"/>
              <w:spacing w:after="0"/>
              <w:rPr>
                <w:sz w:val="20"/>
                <w:szCs w:val="20"/>
                <w:color w:val="auto"/>
              </w:rPr>
            </w:pPr>
            <w:r>
              <w:rPr>
                <w:rFonts w:ascii="Arial" w:cs="Arial" w:eastAsia="Arial" w:hAnsi="Arial"/>
                <w:sz w:val="18"/>
                <w:szCs w:val="18"/>
                <w:b w:val="1"/>
                <w:bCs w:val="1"/>
                <w:color w:val="1F2A44"/>
              </w:rPr>
              <w:t>Objectives</w:t>
            </w:r>
          </w:p>
        </w:tc>
      </w:tr>
      <w:tr>
        <w:trPr>
          <w:trHeight w:val="115"/>
        </w:trPr>
        <w:tc>
          <w:tcPr>
            <w:tcW w:w="1180" w:type="dxa"/>
            <w:vAlign w:val="bottom"/>
            <w:tcBorders>
              <w:top w:val="single" w:sz="8" w:color="auto"/>
              <w:bottom w:val="single" w:sz="8" w:color="1F2A44"/>
            </w:tcBorders>
          </w:tcPr>
          <w:p>
            <w:pPr>
              <w:spacing w:after="0"/>
              <w:rPr>
                <w:sz w:val="10"/>
                <w:szCs w:val="10"/>
                <w:color w:val="auto"/>
              </w:rPr>
            </w:pPr>
          </w:p>
        </w:tc>
        <w:tc>
          <w:tcPr>
            <w:tcW w:w="400" w:type="dxa"/>
            <w:vAlign w:val="bottom"/>
            <w:tcBorders>
              <w:top w:val="single" w:sz="8" w:color="auto"/>
              <w:bottom w:val="single" w:sz="8" w:color="1F2A44"/>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2540" w:type="dxa"/>
            <w:vAlign w:val="bottom"/>
            <w:tcBorders>
              <w:top w:val="single" w:sz="8" w:color="auto"/>
              <w:bottom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6280" w:type="dxa"/>
            <w:vAlign w:val="bottom"/>
            <w:tcBorders>
              <w:top w:val="single" w:sz="8" w:color="auto"/>
              <w:bottom w:val="single" w:sz="8" w:color="auto"/>
            </w:tcBorders>
          </w:tcPr>
          <w:p>
            <w:pPr>
              <w:spacing w:after="0"/>
              <w:rPr>
                <w:sz w:val="10"/>
                <w:szCs w:val="10"/>
                <w:color w:val="auto"/>
              </w:rPr>
            </w:pPr>
          </w:p>
        </w:tc>
      </w:tr>
      <w:tr>
        <w:trPr>
          <w:trHeight w:val="210"/>
        </w:trPr>
        <w:tc>
          <w:tcPr>
            <w:tcW w:w="1180" w:type="dxa"/>
            <w:vAlign w:val="bottom"/>
            <w:tcBorders>
              <w:left w:val="single" w:sz="8" w:color="1F2A44"/>
            </w:tcBorders>
            <w:shd w:val="clear" w:color="auto" w:fill="1F2A44"/>
          </w:tcPr>
          <w:p>
            <w:pPr>
              <w:spacing w:after="0"/>
              <w:rPr>
                <w:sz w:val="18"/>
                <w:szCs w:val="18"/>
                <w:color w:val="auto"/>
              </w:rPr>
            </w:pPr>
          </w:p>
        </w:tc>
        <w:tc>
          <w:tcPr>
            <w:tcW w:w="400" w:type="dxa"/>
            <w:vAlign w:val="bottom"/>
            <w:shd w:val="clear" w:color="auto" w:fill="1F2A44"/>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2540" w:type="dxa"/>
            <w:vAlign w:val="bottom"/>
            <w:tcBorders>
              <w:right w:val="single" w:sz="8" w:color="auto"/>
            </w:tcBorders>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62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Compensates executives for carrying out the duties of the job</w:t>
            </w:r>
          </w:p>
        </w:tc>
      </w:tr>
      <w:tr>
        <w:trPr>
          <w:trHeight w:val="256"/>
        </w:trPr>
        <w:tc>
          <w:tcPr>
            <w:tcW w:w="1180" w:type="dxa"/>
            <w:vAlign w:val="bottom"/>
            <w:tcBorders>
              <w:left w:val="single" w:sz="8" w:color="1F2A44"/>
            </w:tcBorders>
            <w:shd w:val="clear" w:color="auto" w:fill="1F2A44"/>
          </w:tcPr>
          <w:p>
            <w:pPr>
              <w:ind w:left="560"/>
              <w:spacing w:after="0"/>
              <w:rPr>
                <w:sz w:val="20"/>
                <w:szCs w:val="20"/>
                <w:color w:val="auto"/>
              </w:rPr>
            </w:pPr>
            <w:r>
              <w:rPr>
                <w:rFonts w:ascii="Arial" w:cs="Arial" w:eastAsia="Arial" w:hAnsi="Arial"/>
                <w:sz w:val="18"/>
                <w:szCs w:val="18"/>
                <w:color w:val="FFFFFF"/>
              </w:rPr>
              <w:t>Fixed</w:t>
            </w:r>
          </w:p>
        </w:tc>
        <w:tc>
          <w:tcPr>
            <w:tcW w:w="400" w:type="dxa"/>
            <w:vAlign w:val="bottom"/>
            <w:shd w:val="clear" w:color="auto" w:fill="1F2A44"/>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color w:val="auto"/>
                <w:w w:val="98"/>
              </w:rPr>
              <w:t>Base Salary</w:t>
            </w:r>
          </w:p>
        </w:tc>
        <w:tc>
          <w:tcPr>
            <w:tcW w:w="300" w:type="dxa"/>
            <w:vAlign w:val="bottom"/>
            <w:tcBorders>
              <w:right w:val="single" w:sz="8" w:color="auto"/>
            </w:tcBorders>
          </w:tcPr>
          <w:p>
            <w:pPr>
              <w:spacing w:after="0"/>
              <w:rPr>
                <w:sz w:val="22"/>
                <w:szCs w:val="22"/>
                <w:color w:val="auto"/>
              </w:rPr>
            </w:pPr>
          </w:p>
        </w:tc>
        <w:tc>
          <w:tcPr>
            <w:tcW w:w="62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Recognizes individual experience, skills and performance</w:t>
            </w:r>
          </w:p>
        </w:tc>
      </w:tr>
      <w:tr>
        <w:trPr>
          <w:trHeight w:val="243"/>
        </w:trPr>
        <w:tc>
          <w:tcPr>
            <w:tcW w:w="1180" w:type="dxa"/>
            <w:vAlign w:val="bottom"/>
            <w:tcBorders>
              <w:left w:val="single" w:sz="8" w:color="1F2A44"/>
            </w:tcBorders>
            <w:shd w:val="clear" w:color="auto" w:fill="1F2A44"/>
          </w:tcPr>
          <w:p>
            <w:pPr>
              <w:spacing w:after="0"/>
              <w:rPr>
                <w:sz w:val="21"/>
                <w:szCs w:val="21"/>
                <w:color w:val="auto"/>
              </w:rPr>
            </w:pPr>
          </w:p>
        </w:tc>
        <w:tc>
          <w:tcPr>
            <w:tcW w:w="400" w:type="dxa"/>
            <w:vAlign w:val="bottom"/>
            <w:shd w:val="clear" w:color="auto" w:fill="1F2A44"/>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2540" w:type="dxa"/>
            <w:vAlign w:val="bottom"/>
            <w:tcBorders>
              <w:bottom w:val="single" w:sz="8" w:color="auto"/>
              <w:right w:val="single" w:sz="8" w:color="auto"/>
            </w:tcBorders>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62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Provides value to attract and retain talented executives</w:t>
            </w:r>
          </w:p>
        </w:tc>
      </w:tr>
      <w:tr>
        <w:trPr>
          <w:trHeight w:val="115"/>
        </w:trPr>
        <w:tc>
          <w:tcPr>
            <w:tcW w:w="1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54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6280" w:type="dxa"/>
            <w:vAlign w:val="bottom"/>
            <w:tcBorders>
              <w:bottom w:val="single" w:sz="8" w:color="auto"/>
            </w:tcBorders>
          </w:tcPr>
          <w:p>
            <w:pPr>
              <w:spacing w:after="0"/>
              <w:rPr>
                <w:sz w:val="10"/>
                <w:szCs w:val="10"/>
                <w:color w:val="auto"/>
              </w:rPr>
            </w:pPr>
          </w:p>
        </w:tc>
      </w:tr>
      <w:tr>
        <w:trPr>
          <w:trHeight w:val="210"/>
        </w:trPr>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2540" w:type="dxa"/>
            <w:vAlign w:val="bottom"/>
            <w:tcBorders>
              <w:right w:val="single" w:sz="8" w:color="auto"/>
            </w:tcBorders>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62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Incentivizes accomplishment of annual business objectives</w:t>
            </w:r>
          </w:p>
        </w:tc>
      </w:tr>
      <w:tr>
        <w:trPr>
          <w:trHeight w:val="256"/>
        </w:trPr>
        <w:tc>
          <w:tcPr>
            <w:tcW w:w="1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254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color w:val="auto"/>
                <w:w w:val="99"/>
              </w:rPr>
              <w:t>Annual Bonus</w:t>
            </w:r>
          </w:p>
        </w:tc>
        <w:tc>
          <w:tcPr>
            <w:tcW w:w="300" w:type="dxa"/>
            <w:vAlign w:val="bottom"/>
            <w:tcBorders>
              <w:right w:val="single" w:sz="8" w:color="auto"/>
            </w:tcBorders>
          </w:tcPr>
          <w:p>
            <w:pPr>
              <w:spacing w:after="0"/>
              <w:rPr>
                <w:sz w:val="22"/>
                <w:szCs w:val="22"/>
                <w:color w:val="auto"/>
              </w:rPr>
            </w:pPr>
          </w:p>
        </w:tc>
        <w:tc>
          <w:tcPr>
            <w:tcW w:w="62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Aligns interests of executives with our shareholders</w:t>
            </w:r>
          </w:p>
        </w:tc>
      </w:tr>
      <w:tr>
        <w:trPr>
          <w:trHeight w:val="243"/>
        </w:trPr>
        <w:tc>
          <w:tcPr>
            <w:tcW w:w="1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2540" w:type="dxa"/>
            <w:vAlign w:val="bottom"/>
            <w:tcBorders>
              <w:bottom w:val="single" w:sz="8" w:color="auto"/>
              <w:right w:val="single" w:sz="8" w:color="auto"/>
            </w:tcBorders>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62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Provides value to attract and retain talented executives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-471170</wp:posOffset>
            </wp:positionV>
            <wp:extent cx="1012190" cy="13036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012190" cy="130365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67" w:lineRule="exact"/>
        <w:rPr>
          <w:sz w:val="20"/>
          <w:szCs w:val="20"/>
          <w:color w:val="auto"/>
        </w:rPr>
      </w:pPr>
    </w:p>
    <w:p>
      <w:pPr>
        <w:ind w:left="340"/>
        <w:spacing w:after="0"/>
        <w:rPr>
          <w:sz w:val="20"/>
          <w:szCs w:val="20"/>
          <w:color w:val="auto"/>
        </w:rPr>
      </w:pPr>
      <w:r>
        <w:rPr>
          <w:rFonts w:ascii="Arial" w:cs="Arial" w:eastAsia="Arial" w:hAnsi="Arial"/>
          <w:sz w:val="17"/>
          <w:szCs w:val="17"/>
          <w:color w:val="FFFFFF"/>
        </w:rPr>
        <w:t>At Risk Pay Tied</w:t>
      </w:r>
    </w:p>
    <w:p>
      <w:pPr>
        <w:spacing w:after="0" w:line="7" w:lineRule="exact"/>
        <w:rPr>
          <w:sz w:val="20"/>
          <w:szCs w:val="20"/>
          <w:color w:val="auto"/>
        </w:rPr>
      </w:pPr>
    </w:p>
    <w:p>
      <w:pPr>
        <w:ind w:left="380"/>
        <w:spacing w:after="0"/>
        <w:rPr>
          <w:sz w:val="20"/>
          <w:szCs w:val="20"/>
          <w:color w:val="auto"/>
        </w:rPr>
      </w:pPr>
      <w:r>
        <w:rPr>
          <w:rFonts w:ascii="Arial" w:cs="Arial" w:eastAsia="Arial" w:hAnsi="Arial"/>
          <w:sz w:val="18"/>
          <w:szCs w:val="18"/>
          <w:color w:val="FFFFFF"/>
        </w:rPr>
        <w:t>to Performance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7"/>
          <w:szCs w:val="17"/>
          <w:color w:val="auto"/>
        </w:rPr>
        <w:t>Long-Term Equity Incentive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-422910</wp:posOffset>
            </wp:positionV>
            <wp:extent cx="1620520" cy="7632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620520" cy="7632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Incentivizes accomplishment of long-term business objectives critical to delivering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-276860</wp:posOffset>
            </wp:positionV>
            <wp:extent cx="3987800" cy="7632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987800" cy="76327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Aligns interests of executives with our shareholders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Promotes executives’ ownership in the company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Provides value to attract and retain talented executives</w:t>
      </w:r>
    </w:p>
    <w:p>
      <w:pPr>
        <w:spacing w:after="0" w:line="185" w:lineRule="exact"/>
        <w:rPr>
          <w:sz w:val="20"/>
          <w:szCs w:val="20"/>
          <w:color w:val="auto"/>
        </w:rPr>
      </w:pPr>
    </w:p>
    <w:p>
      <w:pPr>
        <w:sectPr>
          <w:pgSz w:w="11900" w:h="16838" w:orient="portrait"/>
          <w:cols w:equalWidth="0" w:num="3">
            <w:col w:w="1660" w:space="580"/>
            <w:col w:w="2180" w:space="600"/>
            <w:col w:w="6220"/>
          </w:cols>
          <w:pgMar w:left="240" w:top="459" w:right="419" w:bottom="1440" w:gutter="0" w:footer="0" w:header="0"/>
          <w:type w:val="continuous"/>
        </w:sectPr>
      </w:pPr>
    </w:p>
    <w:p>
      <w:pPr>
        <w:jc w:val="both"/>
        <w:ind w:left="200" w:right="20"/>
        <w:spacing w:after="0"/>
        <w:rPr>
          <w:sz w:val="20"/>
          <w:szCs w:val="20"/>
          <w:color w:val="auto"/>
        </w:rPr>
      </w:pPr>
      <w:r>
        <w:rPr>
          <w:rFonts w:ascii="Arial" w:cs="Arial" w:eastAsia="Arial" w:hAnsi="Arial"/>
          <w:sz w:val="18"/>
          <w:szCs w:val="18"/>
          <w:color w:val="auto"/>
        </w:rPr>
        <w:t>We also provide various health and welfare related benefits to our NEOs that are the same as provided to all of our employees. These benefits are competitive with those offered by companies with whom we compete for talent and provide another tool that allows us to attract and retain talented executives.</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240" w:top="459" w:right="41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Annual Compensation</w:t>
      </w:r>
    </w:p>
    <w:p>
      <w:pPr>
        <w:spacing w:after="0" w:line="207" w:lineRule="exact"/>
        <w:rPr>
          <w:sz w:val="20"/>
          <w:szCs w:val="20"/>
          <w:color w:val="auto"/>
        </w:rPr>
      </w:pPr>
    </w:p>
    <w:p>
      <w:pPr>
        <w:jc w:val="both"/>
        <w:ind w:left="200"/>
        <w:spacing w:after="0" w:line="236" w:lineRule="auto"/>
        <w:rPr>
          <w:sz w:val="20"/>
          <w:szCs w:val="20"/>
          <w:color w:val="auto"/>
        </w:rPr>
      </w:pPr>
      <w:r>
        <w:rPr>
          <w:rFonts w:ascii="Arial" w:cs="Arial" w:eastAsia="Arial" w:hAnsi="Arial"/>
          <w:sz w:val="18"/>
          <w:szCs w:val="18"/>
          <w:color w:val="auto"/>
        </w:rPr>
        <w:t>Annual compensation for our NEOs is paid in both cash and restricted stock with a significant portion at risk and contingent on achieving either annual or longer term performance goals. The total potential compensation for our named executive officers is established based on the scope of his/her individual responsibilities and contributions to our performance taking into account competitive market compensation paid for similar positions. Our Compensation Committee determines appropriate levels of total compensation for our NEOs by applying their individual understanding, experiences and judgments in the national marketplace of senior level real estate positions and related industry pay in both public and private companies that may compete for our executives while also considering the relative importance of various positions at the Trust given our business plan and organization compared with the business plans of our major competitors. The Compensation Committee also consults compensation surveys prepared for the National Association of Real Estate Investment Trusts (“NAREIT Surveys”) to confirm its assessment of appropriate market compensation for our NEOs, reviewing the information reported for each position by the 121 real estate investment trusts (“REITs”) that participated in the latest survey as well as by the approximately 25 retail focused REITs that participated in that survey. An individual compensation package is then created for each NEO using a combination of base salary, annual cash bonus and long-term equity incentives to provide the appropriate level of potential total annual compensation and the right balance of fixed versus at-risk compensation. For our CEO, approximately 88% of his total compensation earned for 2018 was “at-risk” and earned based on the level of attainment of our performance goals. Approximately 70% of the total compensation earned for 2018 by our NEOs other than the CEO was at risk.</w:t>
      </w:r>
    </w:p>
    <w:p>
      <w:pPr>
        <w:spacing w:after="0" w:line="207" w:lineRule="exact"/>
        <w:rPr>
          <w:sz w:val="20"/>
          <w:szCs w:val="20"/>
          <w:color w:val="auto"/>
        </w:rPr>
      </w:pPr>
    </w:p>
    <w:p>
      <w:pPr>
        <w:ind w:left="1780"/>
        <w:spacing w:after="0"/>
        <w:tabs>
          <w:tab w:leader="none" w:pos="7100" w:val="left"/>
        </w:tabs>
        <w:rPr>
          <w:sz w:val="20"/>
          <w:szCs w:val="20"/>
          <w:color w:val="auto"/>
        </w:rPr>
      </w:pPr>
      <w:r>
        <w:rPr>
          <w:rFonts w:ascii="Arial" w:cs="Arial" w:eastAsia="Arial" w:hAnsi="Arial"/>
          <w:sz w:val="18"/>
          <w:szCs w:val="18"/>
          <w:b w:val="1"/>
          <w:bCs w:val="1"/>
          <w:color w:val="auto"/>
        </w:rPr>
        <w:t>2018 CEO Compensation Mix</w:t>
      </w:r>
      <w:r>
        <w:rPr>
          <w:sz w:val="20"/>
          <w:szCs w:val="20"/>
          <w:color w:val="auto"/>
        </w:rPr>
        <w:tab/>
      </w:r>
      <w:r>
        <w:rPr>
          <w:rFonts w:ascii="Arial" w:cs="Arial" w:eastAsia="Arial" w:hAnsi="Arial"/>
          <w:sz w:val="17"/>
          <w:szCs w:val="17"/>
          <w:b w:val="1"/>
          <w:bCs w:val="1"/>
          <w:color w:val="auto"/>
        </w:rPr>
        <w:t>2018 Other NEO Compensation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217805</wp:posOffset>
            </wp:positionV>
            <wp:extent cx="1706880" cy="18008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706880" cy="1800860"/>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140335</wp:posOffset>
            </wp:positionV>
            <wp:extent cx="1663700" cy="17151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663700" cy="1715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Fixed Compensation – Base Salary</w:t>
      </w:r>
    </w:p>
    <w:p>
      <w:pPr>
        <w:spacing w:after="0" w:line="193" w:lineRule="exact"/>
        <w:rPr>
          <w:sz w:val="20"/>
          <w:szCs w:val="20"/>
          <w:color w:val="auto"/>
        </w:rPr>
      </w:pPr>
    </w:p>
    <w:p>
      <w:pPr>
        <w:jc w:val="both"/>
        <w:ind w:left="200"/>
        <w:spacing w:after="0" w:line="239" w:lineRule="auto"/>
        <w:rPr>
          <w:sz w:val="20"/>
          <w:szCs w:val="20"/>
          <w:color w:val="auto"/>
        </w:rPr>
      </w:pPr>
      <w:r>
        <w:rPr>
          <w:rFonts w:ascii="Arial" w:cs="Arial" w:eastAsia="Arial" w:hAnsi="Arial"/>
          <w:sz w:val="18"/>
          <w:szCs w:val="18"/>
          <w:color w:val="auto"/>
        </w:rPr>
        <w:t>Base salary is the only fixed component of the compensation paid to our NEOs annually. Because base salaries are just one component of total pay, we do not target base salaries to any specific level but do confirm that the base salaries for our NEOs are within market parameters using the NAREIT Survey and market knowledge. All base salary decisions for our NEOs are made at the first Compensation Committee meeting of the year and take effect on January 1 of that year. In 2018, none of our NEOs received an increase in base salary.</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At Risk Compensation</w:t>
      </w:r>
    </w:p>
    <w:p>
      <w:pPr>
        <w:spacing w:after="0" w:line="207" w:lineRule="exact"/>
        <w:rPr>
          <w:sz w:val="20"/>
          <w:szCs w:val="20"/>
          <w:color w:val="auto"/>
        </w:rPr>
      </w:pPr>
    </w:p>
    <w:p>
      <w:pPr>
        <w:jc w:val="both"/>
        <w:ind w:left="200" w:right="20"/>
        <w:spacing w:after="0" w:line="239" w:lineRule="auto"/>
        <w:rPr>
          <w:sz w:val="20"/>
          <w:szCs w:val="20"/>
          <w:color w:val="auto"/>
        </w:rPr>
      </w:pPr>
      <w:r>
        <w:rPr>
          <w:rFonts w:ascii="Arial" w:cs="Arial" w:eastAsia="Arial" w:hAnsi="Arial"/>
          <w:sz w:val="18"/>
          <w:szCs w:val="18"/>
          <w:color w:val="auto"/>
        </w:rPr>
        <w:t>A significant portion of the compensation of our NEOs is provided under our Annual Bonus Plan and Long-Term Incentive Award Plan both of which are “at risk” forms of compensation where the amount ultimately earned and paid is dependent on whether the company achieves short-term and longer-term performance objectives set by the Compensation Committee. The performance metrics and target pay for each of these plans is set forth below:</w:t>
      </w:r>
    </w:p>
    <w:p>
      <w:pPr>
        <w:spacing w:after="0" w:line="210" w:lineRule="exact"/>
        <w:rPr>
          <w:sz w:val="20"/>
          <w:szCs w:val="20"/>
          <w:color w:val="auto"/>
        </w:rPr>
      </w:pPr>
    </w:p>
    <w:tbl>
      <w:tblPr>
        <w:tblLayout w:type="fixed"/>
        <w:tblInd w:w="230" w:type="dxa"/>
        <w:tblCellMar>
          <w:top w:w="0" w:type="dxa"/>
          <w:left w:w="0" w:type="dxa"/>
          <w:bottom w:w="0" w:type="dxa"/>
          <w:right w:w="0" w:type="dxa"/>
        </w:tblCellMar>
      </w:tblPr>
      <w:tr>
        <w:trPr>
          <w:trHeight w:val="230"/>
        </w:trPr>
        <w:tc>
          <w:tcPr>
            <w:tcW w:w="2800" w:type="dxa"/>
            <w:vAlign w:val="bottom"/>
            <w:tcBorders>
              <w:top w:val="single" w:sz="8" w:color="1F2A44"/>
              <w:left w:val="single" w:sz="8" w:color="1F2A44"/>
              <w:right w:val="single" w:sz="8" w:color="FEC221"/>
            </w:tcBorders>
            <w:shd w:val="clear" w:color="auto" w:fill="FEC221"/>
          </w:tcPr>
          <w:p>
            <w:pPr>
              <w:ind w:left="140"/>
              <w:spacing w:after="0"/>
              <w:rPr>
                <w:sz w:val="20"/>
                <w:szCs w:val="20"/>
                <w:color w:val="auto"/>
              </w:rPr>
            </w:pPr>
            <w:r>
              <w:rPr>
                <w:rFonts w:ascii="Arial" w:cs="Arial" w:eastAsia="Arial" w:hAnsi="Arial"/>
                <w:sz w:val="18"/>
                <w:szCs w:val="18"/>
                <w:b w:val="1"/>
                <w:bCs w:val="1"/>
                <w:color w:val="1F2A44"/>
              </w:rPr>
              <w:t>Incentive Pay Element</w:t>
            </w:r>
          </w:p>
        </w:tc>
        <w:tc>
          <w:tcPr>
            <w:tcW w:w="240" w:type="dxa"/>
            <w:vAlign w:val="bottom"/>
            <w:tcBorders>
              <w:top w:val="single" w:sz="8" w:color="1F2A44"/>
              <w:right w:val="single" w:sz="8" w:color="FEC221"/>
            </w:tcBorders>
            <w:shd w:val="clear" w:color="auto" w:fill="FEC221"/>
          </w:tcPr>
          <w:p>
            <w:pPr>
              <w:spacing w:after="0"/>
              <w:rPr>
                <w:sz w:val="19"/>
                <w:szCs w:val="19"/>
                <w:color w:val="auto"/>
              </w:rPr>
            </w:pPr>
          </w:p>
        </w:tc>
        <w:tc>
          <w:tcPr>
            <w:tcW w:w="4800" w:type="dxa"/>
            <w:vAlign w:val="bottom"/>
            <w:tcBorders>
              <w:top w:val="single" w:sz="8" w:color="1F2A44"/>
              <w:right w:val="single" w:sz="8" w:color="FEC221"/>
            </w:tcBorders>
            <w:gridSpan w:val="2"/>
            <w:shd w:val="clear" w:color="auto" w:fill="FEC221"/>
          </w:tcPr>
          <w:p>
            <w:pPr>
              <w:ind w:left="40"/>
              <w:spacing w:after="0"/>
              <w:rPr>
                <w:sz w:val="20"/>
                <w:szCs w:val="20"/>
                <w:color w:val="auto"/>
              </w:rPr>
            </w:pPr>
            <w:r>
              <w:rPr>
                <w:rFonts w:ascii="Arial" w:cs="Arial" w:eastAsia="Arial" w:hAnsi="Arial"/>
                <w:sz w:val="18"/>
                <w:szCs w:val="18"/>
                <w:b w:val="1"/>
                <w:bCs w:val="1"/>
                <w:color w:val="1F2A44"/>
              </w:rPr>
              <w:t>Performance Metric</w:t>
            </w:r>
          </w:p>
        </w:tc>
        <w:tc>
          <w:tcPr>
            <w:tcW w:w="3200" w:type="dxa"/>
            <w:vAlign w:val="bottom"/>
            <w:tcBorders>
              <w:top w:val="single" w:sz="8" w:color="1F2A44"/>
              <w:right w:val="single" w:sz="8" w:color="1F2A44"/>
            </w:tcBorders>
            <w:shd w:val="clear" w:color="auto" w:fill="FEC221"/>
          </w:tcPr>
          <w:p>
            <w:pPr>
              <w:ind w:left="80"/>
              <w:spacing w:after="0"/>
              <w:rPr>
                <w:sz w:val="20"/>
                <w:szCs w:val="20"/>
                <w:color w:val="auto"/>
              </w:rPr>
            </w:pPr>
            <w:r>
              <w:rPr>
                <w:rFonts w:ascii="Arial" w:cs="Arial" w:eastAsia="Arial" w:hAnsi="Arial"/>
                <w:sz w:val="18"/>
                <w:szCs w:val="18"/>
                <w:b w:val="1"/>
                <w:bCs w:val="1"/>
                <w:color w:val="1F2A44"/>
              </w:rPr>
              <w:t>Achievement Hurdles</w:t>
            </w:r>
          </w:p>
        </w:tc>
        <w:tc>
          <w:tcPr>
            <w:tcW w:w="0" w:type="dxa"/>
            <w:vAlign w:val="bottom"/>
          </w:tcPr>
          <w:p>
            <w:pPr>
              <w:spacing w:after="0"/>
              <w:rPr>
                <w:sz w:val="1"/>
                <w:szCs w:val="1"/>
                <w:color w:val="auto"/>
              </w:rPr>
            </w:pPr>
          </w:p>
        </w:tc>
      </w:tr>
      <w:tr>
        <w:trPr>
          <w:trHeight w:val="81"/>
        </w:trPr>
        <w:tc>
          <w:tcPr>
            <w:tcW w:w="2800" w:type="dxa"/>
            <w:vAlign w:val="bottom"/>
            <w:tcBorders>
              <w:left w:val="single" w:sz="8" w:color="1F2A44"/>
              <w:bottom w:val="single" w:sz="8" w:color="1F2A44"/>
              <w:right w:val="single" w:sz="8" w:color="FEC221"/>
            </w:tcBorders>
            <w:shd w:val="clear" w:color="auto" w:fill="FEC221"/>
          </w:tcPr>
          <w:p>
            <w:pPr>
              <w:spacing w:after="0"/>
              <w:rPr>
                <w:sz w:val="7"/>
                <w:szCs w:val="7"/>
                <w:color w:val="auto"/>
              </w:rPr>
            </w:pPr>
          </w:p>
        </w:tc>
        <w:tc>
          <w:tcPr>
            <w:tcW w:w="240" w:type="dxa"/>
            <w:vAlign w:val="bottom"/>
            <w:tcBorders>
              <w:bottom w:val="single" w:sz="8" w:color="1F2A44"/>
              <w:right w:val="single" w:sz="8" w:color="FEC221"/>
            </w:tcBorders>
            <w:shd w:val="clear" w:color="auto" w:fill="FEC221"/>
          </w:tcPr>
          <w:p>
            <w:pPr>
              <w:spacing w:after="0"/>
              <w:rPr>
                <w:sz w:val="7"/>
                <w:szCs w:val="7"/>
                <w:color w:val="auto"/>
              </w:rPr>
            </w:pPr>
          </w:p>
        </w:tc>
        <w:tc>
          <w:tcPr>
            <w:tcW w:w="4560" w:type="dxa"/>
            <w:vAlign w:val="bottom"/>
            <w:tcBorders>
              <w:bottom w:val="single" w:sz="8" w:color="1F2A44"/>
              <w:right w:val="single" w:sz="8" w:color="FEC221"/>
            </w:tcBorders>
            <w:shd w:val="clear" w:color="auto" w:fill="FEC221"/>
          </w:tcPr>
          <w:p>
            <w:pPr>
              <w:spacing w:after="0"/>
              <w:rPr>
                <w:sz w:val="7"/>
                <w:szCs w:val="7"/>
                <w:color w:val="auto"/>
              </w:rPr>
            </w:pPr>
          </w:p>
        </w:tc>
        <w:tc>
          <w:tcPr>
            <w:tcW w:w="240" w:type="dxa"/>
            <w:vAlign w:val="bottom"/>
            <w:tcBorders>
              <w:bottom w:val="single" w:sz="8" w:color="1F2A44"/>
              <w:right w:val="single" w:sz="8" w:color="FEC221"/>
            </w:tcBorders>
            <w:shd w:val="clear" w:color="auto" w:fill="FEC221"/>
          </w:tcPr>
          <w:p>
            <w:pPr>
              <w:spacing w:after="0"/>
              <w:rPr>
                <w:sz w:val="7"/>
                <w:szCs w:val="7"/>
                <w:color w:val="auto"/>
              </w:rPr>
            </w:pPr>
          </w:p>
        </w:tc>
        <w:tc>
          <w:tcPr>
            <w:tcW w:w="3200" w:type="dxa"/>
            <w:vAlign w:val="bottom"/>
            <w:tcBorders>
              <w:bottom w:val="single" w:sz="8" w:color="1F2A44"/>
              <w:right w:val="single" w:sz="8" w:color="1F2A44"/>
            </w:tcBorders>
            <w:shd w:val="clear" w:color="auto" w:fill="FEC221"/>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80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456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32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04"/>
        </w:trPr>
        <w:tc>
          <w:tcPr>
            <w:tcW w:w="2800" w:type="dxa"/>
            <w:vAlign w:val="bottom"/>
            <w:tcBorders>
              <w:left w:val="single" w:sz="8" w:color="auto"/>
              <w:right w:val="single" w:sz="8" w:color="auto"/>
            </w:tcBorders>
            <w:vMerge w:val="restart"/>
            <w:shd w:val="clear" w:color="auto" w:fill="1F2A44"/>
          </w:tcPr>
          <w:p>
            <w:pPr>
              <w:ind w:left="140"/>
              <w:spacing w:after="0"/>
              <w:rPr>
                <w:sz w:val="20"/>
                <w:szCs w:val="20"/>
                <w:color w:val="auto"/>
              </w:rPr>
            </w:pPr>
            <w:r>
              <w:rPr>
                <w:rFonts w:ascii="Arial" w:cs="Arial" w:eastAsia="Arial" w:hAnsi="Arial"/>
                <w:sz w:val="18"/>
                <w:szCs w:val="18"/>
                <w:color w:val="FFFFFF"/>
              </w:rPr>
              <w:t>Annual Bonus</w:t>
            </w:r>
          </w:p>
        </w:tc>
        <w:tc>
          <w:tcPr>
            <w:tcW w:w="240" w:type="dxa"/>
            <w:vAlign w:val="bottom"/>
            <w:tcBorders>
              <w:right w:val="single" w:sz="8" w:color="auto"/>
            </w:tcBorders>
          </w:tcPr>
          <w:p>
            <w:pPr>
              <w:spacing w:after="0"/>
              <w:rPr>
                <w:sz w:val="24"/>
                <w:szCs w:val="24"/>
                <w:color w:val="auto"/>
              </w:rPr>
            </w:pPr>
          </w:p>
        </w:tc>
        <w:tc>
          <w:tcPr>
            <w:tcW w:w="4560" w:type="dxa"/>
            <w:vAlign w:val="bottom"/>
            <w:tcBorders>
              <w:righ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32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75% Payout:  $6.06 FFO/share</w:t>
            </w:r>
          </w:p>
        </w:tc>
        <w:tc>
          <w:tcPr>
            <w:tcW w:w="0" w:type="dxa"/>
            <w:vAlign w:val="bottom"/>
          </w:tcPr>
          <w:p>
            <w:pPr>
              <w:spacing w:after="0"/>
              <w:rPr>
                <w:sz w:val="1"/>
                <w:szCs w:val="1"/>
                <w:color w:val="auto"/>
              </w:rPr>
            </w:pPr>
          </w:p>
        </w:tc>
      </w:tr>
      <w:tr>
        <w:trPr>
          <w:trHeight w:val="134"/>
        </w:trPr>
        <w:tc>
          <w:tcPr>
            <w:tcW w:w="2800" w:type="dxa"/>
            <w:vAlign w:val="bottom"/>
            <w:tcBorders>
              <w:left w:val="single" w:sz="8" w:color="auto"/>
              <w:right w:val="single" w:sz="8" w:color="auto"/>
            </w:tcBorders>
            <w:vMerge w:val="continue"/>
            <w:shd w:val="clear" w:color="auto" w:fill="1F2A44"/>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45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FFO Per Share</w:t>
            </w:r>
          </w:p>
        </w:tc>
        <w:tc>
          <w:tcPr>
            <w:tcW w:w="240" w:type="dxa"/>
            <w:vAlign w:val="bottom"/>
            <w:tcBorders>
              <w:right w:val="single" w:sz="8" w:color="auto"/>
            </w:tcBorders>
          </w:tcPr>
          <w:p>
            <w:pPr>
              <w:spacing w:after="0"/>
              <w:rPr>
                <w:sz w:val="11"/>
                <w:szCs w:val="11"/>
                <w:color w:val="auto"/>
              </w:rPr>
            </w:pPr>
          </w:p>
        </w:tc>
        <w:tc>
          <w:tcPr>
            <w:tcW w:w="32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100% Payout: $6.14 FFO/share</w:t>
            </w:r>
          </w:p>
        </w:tc>
        <w:tc>
          <w:tcPr>
            <w:tcW w:w="0" w:type="dxa"/>
            <w:vAlign w:val="bottom"/>
          </w:tcPr>
          <w:p>
            <w:pPr>
              <w:spacing w:after="0"/>
              <w:rPr>
                <w:sz w:val="1"/>
                <w:szCs w:val="1"/>
                <w:color w:val="auto"/>
              </w:rPr>
            </w:pPr>
          </w:p>
        </w:tc>
      </w:tr>
      <w:tr>
        <w:trPr>
          <w:trHeight w:val="217"/>
        </w:trPr>
        <w:tc>
          <w:tcPr>
            <w:tcW w:w="2800" w:type="dxa"/>
            <w:vAlign w:val="bottom"/>
            <w:tcBorders>
              <w:left w:val="single" w:sz="8" w:color="auto"/>
              <w:right w:val="single" w:sz="8" w:color="auto"/>
            </w:tcBorders>
            <w:shd w:val="clear" w:color="auto" w:fill="1F2A44"/>
          </w:tcPr>
          <w:p>
            <w:pPr>
              <w:ind w:left="140"/>
              <w:spacing w:after="0"/>
              <w:rPr>
                <w:sz w:val="20"/>
                <w:szCs w:val="20"/>
                <w:color w:val="auto"/>
              </w:rPr>
            </w:pPr>
            <w:r>
              <w:rPr>
                <w:rFonts w:ascii="Arial" w:cs="Arial" w:eastAsia="Arial" w:hAnsi="Arial"/>
                <w:sz w:val="18"/>
                <w:szCs w:val="18"/>
                <w:color w:val="FFFFFF"/>
              </w:rPr>
              <w:t>(annual cash incentive)</w:t>
            </w:r>
          </w:p>
        </w:tc>
        <w:tc>
          <w:tcPr>
            <w:tcW w:w="240" w:type="dxa"/>
            <w:vAlign w:val="bottom"/>
            <w:tcBorders>
              <w:right w:val="single" w:sz="8" w:color="auto"/>
            </w:tcBorders>
          </w:tcPr>
          <w:p>
            <w:pPr>
              <w:spacing w:after="0"/>
              <w:rPr>
                <w:sz w:val="18"/>
                <w:szCs w:val="18"/>
                <w:color w:val="auto"/>
              </w:rPr>
            </w:pPr>
          </w:p>
        </w:tc>
        <w:tc>
          <w:tcPr>
            <w:tcW w:w="4560" w:type="dxa"/>
            <w:vAlign w:val="bottom"/>
            <w:tcBorders>
              <w:right w:val="single" w:sz="8" w:color="auto"/>
            </w:tcBorders>
            <w:vMerge w:val="continue"/>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320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800" w:type="dxa"/>
            <w:vAlign w:val="bottom"/>
            <w:tcBorders>
              <w:left w:val="single" w:sz="8" w:color="auto"/>
              <w:bottom w:val="single" w:sz="8" w:color="auto"/>
              <w:right w:val="single" w:sz="8" w:color="auto"/>
            </w:tcBorders>
            <w:shd w:val="clear" w:color="auto" w:fill="1F2A44"/>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c>
          <w:tcPr>
            <w:tcW w:w="4560" w:type="dxa"/>
            <w:vAlign w:val="bottom"/>
            <w:tcBorders>
              <w:bottom w:val="single" w:sz="8" w:color="auto"/>
              <w:right w:val="single" w:sz="8" w:color="auto"/>
            </w:tcBorders>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c>
          <w:tcPr>
            <w:tcW w:w="32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125% Payout: $6.22 FFO/share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51435</wp:posOffset>
            </wp:positionV>
            <wp:extent cx="4827905" cy="131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827905" cy="131191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60"/>
        <w:spacing w:after="0" w:line="275" w:lineRule="auto"/>
        <w:rPr>
          <w:sz w:val="20"/>
          <w:szCs w:val="20"/>
          <w:color w:val="auto"/>
        </w:rPr>
      </w:pPr>
      <w:r>
        <w:rPr>
          <w:rFonts w:ascii="Arial" w:cs="Arial" w:eastAsia="Arial" w:hAnsi="Arial"/>
          <w:sz w:val="17"/>
          <w:szCs w:val="17"/>
          <w:color w:val="FFFFFF"/>
        </w:rPr>
        <w:t>Long-Term Incentive Plan (long-term restricted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Annual Bonus Plan</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right="1080"/>
        <w:spacing w:after="0" w:line="275" w:lineRule="auto"/>
        <w:rPr>
          <w:sz w:val="20"/>
          <w:szCs w:val="20"/>
          <w:color w:val="auto"/>
        </w:rPr>
      </w:pPr>
      <w:r>
        <w:rPr>
          <w:rFonts w:ascii="Arial" w:cs="Arial" w:eastAsia="Arial" w:hAnsi="Arial"/>
          <w:sz w:val="17"/>
          <w:szCs w:val="17"/>
          <w:color w:val="auto"/>
        </w:rPr>
        <w:t>3 Year TSR Relative to BBRESHOP (accounts for 50% of the total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102235</wp:posOffset>
            </wp:positionV>
            <wp:extent cx="2907030" cy="4032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907030" cy="403225"/>
                    </a:xfrm>
                    <a:prstGeom prst="rect">
                      <a:avLst/>
                    </a:prstGeom>
                    <a:noFill/>
                  </pic:spPr>
                </pic:pic>
              </a:graphicData>
            </a:graphic>
          </wp:anchor>
        </w:drawing>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3 Year Absolute TSR (annualized)</w:t>
      </w:r>
    </w:p>
    <w:p>
      <w:pPr>
        <w:spacing w:after="0"/>
        <w:rPr>
          <w:sz w:val="20"/>
          <w:szCs w:val="20"/>
          <w:color w:val="auto"/>
        </w:rPr>
      </w:pPr>
      <w:r>
        <w:rPr>
          <w:rFonts w:ascii="Arial" w:cs="Arial" w:eastAsia="Arial" w:hAnsi="Arial"/>
          <w:sz w:val="18"/>
          <w:szCs w:val="18"/>
          <w:color w:val="auto"/>
        </w:rPr>
        <w:t>(accounts for 25% of the total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126365</wp:posOffset>
            </wp:positionV>
            <wp:extent cx="2907030" cy="40322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907030" cy="403225"/>
                    </a:xfrm>
                    <a:prstGeom prst="rect">
                      <a:avLst/>
                    </a:prstGeom>
                    <a:noFill/>
                  </pic:spPr>
                </pic:pic>
              </a:graphicData>
            </a:graphic>
          </wp:anchor>
        </w:drawing>
      </w:r>
    </w:p>
    <w:p>
      <w:pPr>
        <w:spacing w:after="0" w:line="286"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3 Year Return on Invested Capital (accounts for 25% of the total award)</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15"/>
        </w:trPr>
        <w:tc>
          <w:tcPr>
            <w:tcW w:w="1140" w:type="dxa"/>
            <w:vAlign w:val="bottom"/>
            <w:tcBorders>
              <w:top w:val="single" w:sz="8" w:color="auto"/>
              <w:left w:val="single" w:sz="8" w:color="auto"/>
            </w:tcBorders>
          </w:tcPr>
          <w:p>
            <w:pPr>
              <w:ind w:left="100"/>
              <w:spacing w:after="0"/>
              <w:rPr>
                <w:sz w:val="20"/>
                <w:szCs w:val="20"/>
                <w:color w:val="auto"/>
              </w:rPr>
            </w:pPr>
            <w:r>
              <w:rPr>
                <w:rFonts w:ascii="Arial" w:cs="Arial" w:eastAsia="Arial" w:hAnsi="Arial"/>
                <w:sz w:val="18"/>
                <w:szCs w:val="18"/>
                <w:color w:val="auto"/>
              </w:rPr>
              <w:t>Threshold:</w:t>
            </w:r>
          </w:p>
        </w:tc>
        <w:tc>
          <w:tcPr>
            <w:tcW w:w="208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40th Percentile</w:t>
            </w:r>
          </w:p>
        </w:tc>
      </w:tr>
      <w:tr>
        <w:trPr>
          <w:trHeight w:val="203"/>
        </w:trPr>
        <w:tc>
          <w:tcPr>
            <w:tcW w:w="114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Target:</w:t>
            </w:r>
          </w:p>
        </w:tc>
        <w:tc>
          <w:tcPr>
            <w:tcW w:w="2080" w:type="dxa"/>
            <w:vAlign w:val="bottom"/>
            <w:tcBorders>
              <w:right w:val="single" w:sz="8" w:color="auto"/>
            </w:tcBorders>
          </w:tcPr>
          <w:p>
            <w:pPr>
              <w:ind w:left="180"/>
              <w:spacing w:after="0" w:line="202" w:lineRule="exact"/>
              <w:rPr>
                <w:sz w:val="20"/>
                <w:szCs w:val="20"/>
                <w:color w:val="auto"/>
              </w:rPr>
            </w:pPr>
            <w:r>
              <w:rPr>
                <w:rFonts w:ascii="Arial" w:cs="Arial" w:eastAsia="Arial" w:hAnsi="Arial"/>
                <w:sz w:val="18"/>
                <w:szCs w:val="18"/>
                <w:color w:val="auto"/>
              </w:rPr>
              <w:t>60th Percentile</w:t>
            </w:r>
          </w:p>
        </w:tc>
      </w:tr>
      <w:tr>
        <w:trPr>
          <w:trHeight w:val="203"/>
        </w:trPr>
        <w:tc>
          <w:tcPr>
            <w:tcW w:w="1140" w:type="dxa"/>
            <w:vAlign w:val="bottom"/>
            <w:tcBorders>
              <w:left w:val="single" w:sz="8" w:color="auto"/>
              <w:bottom w:val="single" w:sz="8" w:color="auto"/>
            </w:tcBorders>
          </w:tcPr>
          <w:p>
            <w:pPr>
              <w:ind w:left="100"/>
              <w:spacing w:after="0" w:line="203" w:lineRule="exact"/>
              <w:rPr>
                <w:sz w:val="20"/>
                <w:szCs w:val="20"/>
                <w:color w:val="auto"/>
              </w:rPr>
            </w:pPr>
            <w:r>
              <w:rPr>
                <w:rFonts w:ascii="Arial" w:cs="Arial" w:eastAsia="Arial" w:hAnsi="Arial"/>
                <w:sz w:val="18"/>
                <w:szCs w:val="18"/>
                <w:color w:val="auto"/>
              </w:rPr>
              <w:t>Stretch:</w:t>
            </w:r>
          </w:p>
        </w:tc>
        <w:tc>
          <w:tcPr>
            <w:tcW w:w="2080" w:type="dxa"/>
            <w:vAlign w:val="bottom"/>
            <w:tcBorders>
              <w:bottom w:val="single" w:sz="8" w:color="auto"/>
              <w:right w:val="single" w:sz="8" w:color="auto"/>
            </w:tcBorders>
          </w:tcPr>
          <w:p>
            <w:pPr>
              <w:ind w:left="180"/>
              <w:spacing w:after="0" w:line="203" w:lineRule="exact"/>
              <w:rPr>
                <w:sz w:val="20"/>
                <w:szCs w:val="20"/>
                <w:color w:val="auto"/>
              </w:rPr>
            </w:pPr>
            <w:r>
              <w:rPr>
                <w:rFonts w:ascii="Arial" w:cs="Arial" w:eastAsia="Arial" w:hAnsi="Arial"/>
                <w:sz w:val="18"/>
                <w:szCs w:val="18"/>
                <w:color w:val="auto"/>
              </w:rPr>
              <w:t>80th Percentile</w:t>
            </w:r>
          </w:p>
        </w:tc>
      </w:tr>
      <w:tr>
        <w:trPr>
          <w:trHeight w:val="75"/>
        </w:trPr>
        <w:tc>
          <w:tcPr>
            <w:tcW w:w="1140" w:type="dxa"/>
            <w:vAlign w:val="bottom"/>
            <w:tcBorders>
              <w:bottom w:val="single" w:sz="8" w:color="auto"/>
            </w:tcBorders>
          </w:tcPr>
          <w:p>
            <w:pPr>
              <w:spacing w:after="0"/>
              <w:rPr>
                <w:sz w:val="6"/>
                <w:szCs w:val="6"/>
                <w:color w:val="auto"/>
              </w:rPr>
            </w:pPr>
          </w:p>
        </w:tc>
        <w:tc>
          <w:tcPr>
            <w:tcW w:w="2080" w:type="dxa"/>
            <w:vAlign w:val="bottom"/>
            <w:tcBorders>
              <w:bottom w:val="single" w:sz="8" w:color="auto"/>
            </w:tcBorders>
          </w:tcPr>
          <w:p>
            <w:pPr>
              <w:spacing w:after="0"/>
              <w:rPr>
                <w:sz w:val="6"/>
                <w:szCs w:val="6"/>
                <w:color w:val="auto"/>
              </w:rPr>
            </w:pPr>
          </w:p>
        </w:tc>
      </w:tr>
      <w:tr>
        <w:trPr>
          <w:trHeight w:val="195"/>
        </w:trPr>
        <w:tc>
          <w:tcPr>
            <w:tcW w:w="1140" w:type="dxa"/>
            <w:vAlign w:val="bottom"/>
            <w:tcBorders>
              <w:left w:val="single" w:sz="8" w:color="auto"/>
            </w:tcBorders>
          </w:tcPr>
          <w:p>
            <w:pPr>
              <w:ind w:left="100"/>
              <w:spacing w:after="0" w:line="195" w:lineRule="exact"/>
              <w:rPr>
                <w:sz w:val="20"/>
                <w:szCs w:val="20"/>
                <w:color w:val="auto"/>
              </w:rPr>
            </w:pPr>
            <w:r>
              <w:rPr>
                <w:rFonts w:ascii="Arial" w:cs="Arial" w:eastAsia="Arial" w:hAnsi="Arial"/>
                <w:sz w:val="18"/>
                <w:szCs w:val="18"/>
                <w:color w:val="auto"/>
              </w:rPr>
              <w:t>Threshold:</w:t>
            </w:r>
          </w:p>
        </w:tc>
        <w:tc>
          <w:tcPr>
            <w:tcW w:w="2080" w:type="dxa"/>
            <w:vAlign w:val="bottom"/>
            <w:tcBorders>
              <w:right w:val="single" w:sz="8" w:color="auto"/>
            </w:tcBorders>
          </w:tcPr>
          <w:p>
            <w:pPr>
              <w:ind w:left="180"/>
              <w:spacing w:after="0" w:line="195" w:lineRule="exact"/>
              <w:rPr>
                <w:sz w:val="20"/>
                <w:szCs w:val="20"/>
                <w:color w:val="auto"/>
              </w:rPr>
            </w:pPr>
            <w:r>
              <w:rPr>
                <w:rFonts w:ascii="Arial" w:cs="Arial" w:eastAsia="Arial" w:hAnsi="Arial"/>
                <w:sz w:val="18"/>
                <w:szCs w:val="18"/>
                <w:color w:val="auto"/>
              </w:rPr>
              <w:t>8% annualized return</w:t>
            </w:r>
          </w:p>
        </w:tc>
      </w:tr>
      <w:tr>
        <w:trPr>
          <w:trHeight w:val="203"/>
        </w:trPr>
        <w:tc>
          <w:tcPr>
            <w:tcW w:w="114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Target:</w:t>
            </w:r>
          </w:p>
        </w:tc>
        <w:tc>
          <w:tcPr>
            <w:tcW w:w="2080" w:type="dxa"/>
            <w:vAlign w:val="bottom"/>
            <w:tcBorders>
              <w:right w:val="single" w:sz="8" w:color="auto"/>
            </w:tcBorders>
          </w:tcPr>
          <w:p>
            <w:pPr>
              <w:ind w:left="180"/>
              <w:spacing w:after="0" w:line="202" w:lineRule="exact"/>
              <w:rPr>
                <w:sz w:val="20"/>
                <w:szCs w:val="20"/>
                <w:color w:val="auto"/>
              </w:rPr>
            </w:pPr>
            <w:r>
              <w:rPr>
                <w:rFonts w:ascii="Arial" w:cs="Arial" w:eastAsia="Arial" w:hAnsi="Arial"/>
                <w:sz w:val="18"/>
                <w:szCs w:val="18"/>
                <w:color w:val="auto"/>
              </w:rPr>
              <w:t>10% annualized return</w:t>
            </w:r>
          </w:p>
        </w:tc>
      </w:tr>
      <w:tr>
        <w:trPr>
          <w:trHeight w:val="203"/>
        </w:trPr>
        <w:tc>
          <w:tcPr>
            <w:tcW w:w="1140" w:type="dxa"/>
            <w:vAlign w:val="bottom"/>
            <w:tcBorders>
              <w:left w:val="single" w:sz="8" w:color="auto"/>
              <w:bottom w:val="single" w:sz="8" w:color="auto"/>
            </w:tcBorders>
          </w:tcPr>
          <w:p>
            <w:pPr>
              <w:ind w:left="100"/>
              <w:spacing w:after="0" w:line="203" w:lineRule="exact"/>
              <w:rPr>
                <w:sz w:val="20"/>
                <w:szCs w:val="20"/>
                <w:color w:val="auto"/>
              </w:rPr>
            </w:pPr>
            <w:r>
              <w:rPr>
                <w:rFonts w:ascii="Arial" w:cs="Arial" w:eastAsia="Arial" w:hAnsi="Arial"/>
                <w:sz w:val="18"/>
                <w:szCs w:val="18"/>
                <w:color w:val="auto"/>
              </w:rPr>
              <w:t>Stretch:</w:t>
            </w:r>
          </w:p>
        </w:tc>
        <w:tc>
          <w:tcPr>
            <w:tcW w:w="2080" w:type="dxa"/>
            <w:vAlign w:val="bottom"/>
            <w:tcBorders>
              <w:bottom w:val="single" w:sz="8" w:color="auto"/>
              <w:right w:val="single" w:sz="8" w:color="auto"/>
            </w:tcBorders>
          </w:tcPr>
          <w:p>
            <w:pPr>
              <w:ind w:left="180"/>
              <w:spacing w:after="0" w:line="203" w:lineRule="exact"/>
              <w:rPr>
                <w:sz w:val="20"/>
                <w:szCs w:val="20"/>
                <w:color w:val="auto"/>
              </w:rPr>
            </w:pPr>
            <w:r>
              <w:rPr>
                <w:rFonts w:ascii="Arial" w:cs="Arial" w:eastAsia="Arial" w:hAnsi="Arial"/>
                <w:sz w:val="18"/>
                <w:szCs w:val="18"/>
                <w:color w:val="auto"/>
              </w:rPr>
              <w:t>12% annualized return</w:t>
            </w:r>
          </w:p>
        </w:tc>
      </w:tr>
      <w:tr>
        <w:trPr>
          <w:trHeight w:val="75"/>
        </w:trPr>
        <w:tc>
          <w:tcPr>
            <w:tcW w:w="1140" w:type="dxa"/>
            <w:vAlign w:val="bottom"/>
            <w:tcBorders>
              <w:bottom w:val="single" w:sz="8" w:color="auto"/>
            </w:tcBorders>
          </w:tcPr>
          <w:p>
            <w:pPr>
              <w:spacing w:after="0"/>
              <w:rPr>
                <w:sz w:val="6"/>
                <w:szCs w:val="6"/>
                <w:color w:val="auto"/>
              </w:rPr>
            </w:pPr>
          </w:p>
        </w:tc>
        <w:tc>
          <w:tcPr>
            <w:tcW w:w="2080" w:type="dxa"/>
            <w:vAlign w:val="bottom"/>
            <w:tcBorders>
              <w:bottom w:val="single" w:sz="8" w:color="auto"/>
            </w:tcBorders>
          </w:tcPr>
          <w:p>
            <w:pPr>
              <w:spacing w:after="0"/>
              <w:rPr>
                <w:sz w:val="6"/>
                <w:szCs w:val="6"/>
                <w:color w:val="auto"/>
              </w:rPr>
            </w:pPr>
          </w:p>
        </w:tc>
      </w:tr>
      <w:tr>
        <w:trPr>
          <w:trHeight w:val="195"/>
        </w:trPr>
        <w:tc>
          <w:tcPr>
            <w:tcW w:w="1140" w:type="dxa"/>
            <w:vAlign w:val="bottom"/>
            <w:tcBorders>
              <w:left w:val="single" w:sz="8" w:color="auto"/>
            </w:tcBorders>
          </w:tcPr>
          <w:p>
            <w:pPr>
              <w:ind w:left="100"/>
              <w:spacing w:after="0" w:line="195" w:lineRule="exact"/>
              <w:rPr>
                <w:sz w:val="20"/>
                <w:szCs w:val="20"/>
                <w:color w:val="auto"/>
              </w:rPr>
            </w:pPr>
            <w:r>
              <w:rPr>
                <w:rFonts w:ascii="Arial" w:cs="Arial" w:eastAsia="Arial" w:hAnsi="Arial"/>
                <w:sz w:val="18"/>
                <w:szCs w:val="18"/>
                <w:color w:val="auto"/>
              </w:rPr>
              <w:t>Threshold:</w:t>
            </w:r>
          </w:p>
        </w:tc>
        <w:tc>
          <w:tcPr>
            <w:tcW w:w="2080" w:type="dxa"/>
            <w:vAlign w:val="bottom"/>
            <w:tcBorders>
              <w:right w:val="single" w:sz="8" w:color="auto"/>
            </w:tcBorders>
          </w:tcPr>
          <w:p>
            <w:pPr>
              <w:ind w:left="180"/>
              <w:spacing w:after="0" w:line="195" w:lineRule="exact"/>
              <w:rPr>
                <w:sz w:val="20"/>
                <w:szCs w:val="20"/>
                <w:color w:val="auto"/>
              </w:rPr>
            </w:pPr>
            <w:r>
              <w:rPr>
                <w:rFonts w:ascii="Arial" w:cs="Arial" w:eastAsia="Arial" w:hAnsi="Arial"/>
                <w:sz w:val="18"/>
                <w:szCs w:val="18"/>
                <w:color w:val="auto"/>
              </w:rPr>
              <w:t>7.50% return</w:t>
            </w:r>
          </w:p>
        </w:tc>
      </w:tr>
      <w:tr>
        <w:trPr>
          <w:trHeight w:val="203"/>
        </w:trPr>
        <w:tc>
          <w:tcPr>
            <w:tcW w:w="1140" w:type="dxa"/>
            <w:vAlign w:val="bottom"/>
            <w:tcBorders>
              <w:left w:val="single" w:sz="8" w:color="auto"/>
            </w:tcBorders>
          </w:tcPr>
          <w:p>
            <w:pPr>
              <w:ind w:left="100"/>
              <w:spacing w:after="0" w:line="202" w:lineRule="exact"/>
              <w:rPr>
                <w:sz w:val="20"/>
                <w:szCs w:val="20"/>
                <w:color w:val="auto"/>
              </w:rPr>
            </w:pPr>
            <w:r>
              <w:rPr>
                <w:rFonts w:ascii="Arial" w:cs="Arial" w:eastAsia="Arial" w:hAnsi="Arial"/>
                <w:sz w:val="18"/>
                <w:szCs w:val="18"/>
                <w:color w:val="auto"/>
              </w:rPr>
              <w:t>Target:</w:t>
            </w:r>
          </w:p>
        </w:tc>
        <w:tc>
          <w:tcPr>
            <w:tcW w:w="2080" w:type="dxa"/>
            <w:vAlign w:val="bottom"/>
            <w:tcBorders>
              <w:right w:val="single" w:sz="8" w:color="auto"/>
            </w:tcBorders>
          </w:tcPr>
          <w:p>
            <w:pPr>
              <w:ind w:left="180"/>
              <w:spacing w:after="0" w:line="202" w:lineRule="exact"/>
              <w:rPr>
                <w:sz w:val="20"/>
                <w:szCs w:val="20"/>
                <w:color w:val="auto"/>
              </w:rPr>
            </w:pPr>
            <w:r>
              <w:rPr>
                <w:rFonts w:ascii="Arial" w:cs="Arial" w:eastAsia="Arial" w:hAnsi="Arial"/>
                <w:sz w:val="18"/>
                <w:szCs w:val="18"/>
                <w:color w:val="auto"/>
              </w:rPr>
              <w:t>7.75% return</w:t>
            </w:r>
          </w:p>
        </w:tc>
      </w:tr>
      <w:tr>
        <w:trPr>
          <w:trHeight w:val="203"/>
        </w:trPr>
        <w:tc>
          <w:tcPr>
            <w:tcW w:w="1140" w:type="dxa"/>
            <w:vAlign w:val="bottom"/>
            <w:tcBorders>
              <w:left w:val="single" w:sz="8" w:color="auto"/>
              <w:bottom w:val="single" w:sz="8" w:color="auto"/>
            </w:tcBorders>
          </w:tcPr>
          <w:p>
            <w:pPr>
              <w:ind w:left="100"/>
              <w:spacing w:after="0" w:line="203" w:lineRule="exact"/>
              <w:rPr>
                <w:sz w:val="20"/>
                <w:szCs w:val="20"/>
                <w:color w:val="auto"/>
              </w:rPr>
            </w:pPr>
            <w:r>
              <w:rPr>
                <w:rFonts w:ascii="Arial" w:cs="Arial" w:eastAsia="Arial" w:hAnsi="Arial"/>
                <w:sz w:val="18"/>
                <w:szCs w:val="18"/>
                <w:color w:val="auto"/>
              </w:rPr>
              <w:t>Stretch:</w:t>
            </w:r>
          </w:p>
        </w:tc>
        <w:tc>
          <w:tcPr>
            <w:tcW w:w="2080" w:type="dxa"/>
            <w:vAlign w:val="bottom"/>
            <w:tcBorders>
              <w:bottom w:val="single" w:sz="8" w:color="auto"/>
              <w:right w:val="single" w:sz="8" w:color="auto"/>
            </w:tcBorders>
          </w:tcPr>
          <w:p>
            <w:pPr>
              <w:ind w:left="180"/>
              <w:spacing w:after="0" w:line="203" w:lineRule="exact"/>
              <w:rPr>
                <w:sz w:val="20"/>
                <w:szCs w:val="20"/>
                <w:color w:val="auto"/>
              </w:rPr>
            </w:pPr>
            <w:r>
              <w:rPr>
                <w:rFonts w:ascii="Arial" w:cs="Arial" w:eastAsia="Arial" w:hAnsi="Arial"/>
                <w:sz w:val="18"/>
                <w:szCs w:val="18"/>
                <w:color w:val="auto"/>
              </w:rPr>
              <w:t>8.00% return</w:t>
            </w:r>
          </w:p>
        </w:tc>
      </w:tr>
    </w:tbl>
    <w:p>
      <w:pPr>
        <w:spacing w:after="0" w:line="593" w:lineRule="exact"/>
        <w:rPr>
          <w:sz w:val="20"/>
          <w:szCs w:val="20"/>
          <w:color w:val="auto"/>
        </w:rPr>
      </w:pPr>
    </w:p>
    <w:p>
      <w:pPr>
        <w:sectPr>
          <w:pgSz w:w="11900" w:h="16838" w:orient="portrait"/>
          <w:cols w:equalWidth="0" w:num="3">
            <w:col w:w="2620" w:space="680"/>
            <w:col w:w="4020" w:space="720"/>
            <w:col w:w="3200"/>
          </w:cols>
          <w:pgMar w:left="240" w:top="459" w:right="419" w:bottom="1440" w:gutter="0" w:footer="0" w:header="0"/>
          <w:type w:val="continuous"/>
        </w:sectPr>
      </w:pPr>
    </w:p>
    <w:p>
      <w:pPr>
        <w:jc w:val="both"/>
        <w:ind w:left="200" w:right="20"/>
        <w:spacing w:after="0" w:line="236" w:lineRule="auto"/>
        <w:rPr>
          <w:sz w:val="20"/>
          <w:szCs w:val="20"/>
          <w:color w:val="auto"/>
        </w:rPr>
      </w:pPr>
      <w:r>
        <w:rPr>
          <w:rFonts w:ascii="Arial" w:cs="Arial" w:eastAsia="Arial" w:hAnsi="Arial"/>
          <w:sz w:val="18"/>
          <w:szCs w:val="18"/>
          <w:color w:val="auto"/>
        </w:rPr>
        <w:t>The Annual Bonus Plan is an annual cash incentive program with payment under the plan contingent on the Trust’s achieving FFO per diluted share within a range set by the Compensation Committee for that year. The Compensation Committee sets that range to reflect acceptable to exceptional performance in light of our business objectives for the year after a thorough review and discussion of our budget and investor expectations for the year. The Compensation Committee believes that FFO per diluted share is the appropriate measure to use for an annual program because it reflects the impacts of operational decisions, capital allocation decisions and balance sheet management for that year. Target bonus payouts for our NEOs are set as a percentage of the NEO’s base salary with the target at 150% of base salary for our CEO and at 75% of base salary for our other NEOs. Our NEOs can earn between 75% to 125% of their annual bonus target depending on where actual FFO per diluted share for the year falls within the range set by the Compensation Committee. The bonus targets for our NEOs as a percentage of base salary were not changed in 2018. The Compensation Committee then determines the final payout to each NEO after evaluating his/her individual performance. The 2018 Annual Bonus calculation for each of our NEOs is set forth below.</w:t>
      </w:r>
    </w:p>
    <w:p>
      <w:pPr>
        <w:spacing w:after="0" w:line="186" w:lineRule="exact"/>
        <w:rPr>
          <w:sz w:val="20"/>
          <w:szCs w:val="20"/>
          <w:color w:val="auto"/>
        </w:rPr>
      </w:pPr>
    </w:p>
    <w:tbl>
      <w:tblPr>
        <w:tblLayout w:type="fixed"/>
        <w:tblInd w:w="230" w:type="dxa"/>
        <w:tblCellMar>
          <w:top w:w="0" w:type="dxa"/>
          <w:left w:w="0" w:type="dxa"/>
          <w:bottom w:w="0" w:type="dxa"/>
          <w:right w:w="0" w:type="dxa"/>
        </w:tblCellMar>
      </w:tblPr>
      <w:tr>
        <w:trPr>
          <w:trHeight w:val="203"/>
        </w:trPr>
        <w:tc>
          <w:tcPr>
            <w:tcW w:w="1460" w:type="dxa"/>
            <w:vAlign w:val="bottom"/>
            <w:tcBorders>
              <w:top w:val="single" w:sz="8" w:color="1F2A44"/>
              <w:left w:val="single" w:sz="8" w:color="1F2A44"/>
            </w:tcBorders>
            <w:shd w:val="clear" w:color="auto" w:fill="FEC221"/>
          </w:tcPr>
          <w:p>
            <w:pPr>
              <w:jc w:val="center"/>
              <w:ind w:left="68"/>
              <w:spacing w:after="0"/>
              <w:rPr>
                <w:sz w:val="20"/>
                <w:szCs w:val="20"/>
                <w:color w:val="auto"/>
              </w:rPr>
            </w:pPr>
            <w:r>
              <w:rPr>
                <w:rFonts w:ascii="Arial" w:cs="Arial" w:eastAsia="Arial" w:hAnsi="Arial"/>
                <w:sz w:val="14"/>
                <w:szCs w:val="14"/>
                <w:b w:val="1"/>
                <w:bCs w:val="1"/>
                <w:color w:val="1F2A44"/>
              </w:rPr>
              <w:t>Annual Bonus</w:t>
            </w:r>
          </w:p>
        </w:tc>
        <w:tc>
          <w:tcPr>
            <w:tcW w:w="800" w:type="dxa"/>
            <w:vAlign w:val="bottom"/>
            <w:tcBorders>
              <w:left w:val="single" w:sz="8" w:color="1F2A44"/>
              <w:right w:val="single" w:sz="8" w:color="1F2A44"/>
            </w:tcBorders>
          </w:tcPr>
          <w:p>
            <w:pPr>
              <w:spacing w:after="0"/>
              <w:rPr>
                <w:sz w:val="17"/>
                <w:szCs w:val="17"/>
                <w:color w:val="auto"/>
              </w:rPr>
            </w:pPr>
          </w:p>
        </w:tc>
        <w:tc>
          <w:tcPr>
            <w:tcW w:w="2240" w:type="dxa"/>
            <w:vAlign w:val="bottom"/>
            <w:tcBorders>
              <w:top w:val="single" w:sz="8" w:color="1F2A44"/>
              <w:right w:val="single" w:sz="8" w:color="1F2A44"/>
            </w:tcBorders>
            <w:shd w:val="clear" w:color="auto" w:fill="FEC221"/>
          </w:tcPr>
          <w:p>
            <w:pPr>
              <w:ind w:left="480"/>
              <w:spacing w:after="0"/>
              <w:rPr>
                <w:sz w:val="20"/>
                <w:szCs w:val="20"/>
                <w:color w:val="auto"/>
              </w:rPr>
            </w:pPr>
            <w:r>
              <w:rPr>
                <w:rFonts w:ascii="Arial" w:cs="Arial" w:eastAsia="Arial" w:hAnsi="Arial"/>
                <w:sz w:val="14"/>
                <w:szCs w:val="14"/>
                <w:b w:val="1"/>
                <w:bCs w:val="1"/>
                <w:color w:val="1F2A44"/>
              </w:rPr>
              <w:t>NEO Bonus targets</w:t>
            </w:r>
          </w:p>
        </w:tc>
        <w:tc>
          <w:tcPr>
            <w:tcW w:w="620" w:type="dxa"/>
            <w:vAlign w:val="bottom"/>
            <w:tcBorders>
              <w:right w:val="single" w:sz="8" w:color="1F2A44"/>
            </w:tcBorders>
          </w:tcPr>
          <w:p>
            <w:pPr>
              <w:spacing w:after="0"/>
              <w:rPr>
                <w:sz w:val="17"/>
                <w:szCs w:val="17"/>
                <w:color w:val="auto"/>
              </w:rPr>
            </w:pPr>
          </w:p>
        </w:tc>
        <w:tc>
          <w:tcPr>
            <w:tcW w:w="2580" w:type="dxa"/>
            <w:vAlign w:val="bottom"/>
            <w:tcBorders>
              <w:top w:val="single" w:sz="8" w:color="1F2A44"/>
              <w:right w:val="single" w:sz="8" w:color="1F2A44"/>
            </w:tcBorders>
            <w:shd w:val="clear" w:color="auto" w:fill="FEC221"/>
          </w:tcPr>
          <w:p>
            <w:pPr>
              <w:ind w:left="700"/>
              <w:spacing w:after="0"/>
              <w:rPr>
                <w:sz w:val="20"/>
                <w:szCs w:val="20"/>
                <w:color w:val="auto"/>
              </w:rPr>
            </w:pPr>
            <w:r>
              <w:rPr>
                <w:rFonts w:ascii="Arial" w:cs="Arial" w:eastAsia="Arial" w:hAnsi="Arial"/>
                <w:sz w:val="14"/>
                <w:szCs w:val="14"/>
                <w:b w:val="1"/>
                <w:bCs w:val="1"/>
                <w:color w:val="1F2A44"/>
              </w:rPr>
              <w:t>FFO/share Range</w:t>
            </w:r>
          </w:p>
        </w:tc>
        <w:tc>
          <w:tcPr>
            <w:tcW w:w="680" w:type="dxa"/>
            <w:vAlign w:val="bottom"/>
            <w:tcBorders>
              <w:right w:val="single" w:sz="8" w:color="1F2A44"/>
            </w:tcBorders>
          </w:tcPr>
          <w:p>
            <w:pPr>
              <w:spacing w:after="0"/>
              <w:rPr>
                <w:sz w:val="17"/>
                <w:szCs w:val="17"/>
                <w:color w:val="auto"/>
              </w:rPr>
            </w:pPr>
          </w:p>
        </w:tc>
        <w:tc>
          <w:tcPr>
            <w:tcW w:w="2660" w:type="dxa"/>
            <w:vAlign w:val="bottom"/>
            <w:tcBorders>
              <w:top w:val="single" w:sz="8" w:color="1F2A44"/>
              <w:right w:val="single" w:sz="8" w:color="1F2A44"/>
            </w:tcBorders>
            <w:shd w:val="clear" w:color="auto" w:fill="FEC221"/>
          </w:tcPr>
          <w:p>
            <w:pPr>
              <w:ind w:left="880"/>
              <w:spacing w:after="0"/>
              <w:rPr>
                <w:sz w:val="20"/>
                <w:szCs w:val="20"/>
                <w:color w:val="auto"/>
              </w:rPr>
            </w:pPr>
            <w:r>
              <w:rPr>
                <w:rFonts w:ascii="Arial" w:cs="Arial" w:eastAsia="Arial" w:hAnsi="Arial"/>
                <w:sz w:val="14"/>
                <w:szCs w:val="14"/>
                <w:b w:val="1"/>
                <w:bCs w:val="1"/>
                <w:color w:val="1F2A44"/>
              </w:rPr>
              <w:t>Final Payout</w:t>
            </w:r>
          </w:p>
        </w:tc>
        <w:tc>
          <w:tcPr>
            <w:tcW w:w="0" w:type="dxa"/>
            <w:vAlign w:val="bottom"/>
          </w:tcPr>
          <w:p>
            <w:pPr>
              <w:spacing w:after="0"/>
              <w:rPr>
                <w:sz w:val="1"/>
                <w:szCs w:val="1"/>
                <w:color w:val="auto"/>
              </w:rPr>
            </w:pPr>
          </w:p>
        </w:tc>
      </w:tr>
      <w:tr>
        <w:trPr>
          <w:trHeight w:val="234"/>
        </w:trPr>
        <w:tc>
          <w:tcPr>
            <w:tcW w:w="1460" w:type="dxa"/>
            <w:vAlign w:val="bottom"/>
            <w:tcBorders>
              <w:left w:val="single" w:sz="8" w:color="1F2A44"/>
              <w:bottom w:val="single" w:sz="8" w:color="FEC221"/>
            </w:tcBorders>
            <w:shd w:val="clear" w:color="auto" w:fill="FEC221"/>
          </w:tcPr>
          <w:p>
            <w:pPr>
              <w:jc w:val="center"/>
              <w:ind w:left="68"/>
              <w:spacing w:after="0"/>
              <w:rPr>
                <w:sz w:val="20"/>
                <w:szCs w:val="20"/>
                <w:color w:val="auto"/>
              </w:rPr>
            </w:pPr>
            <w:r>
              <w:rPr>
                <w:rFonts w:ascii="Arial" w:cs="Arial" w:eastAsia="Arial" w:hAnsi="Arial"/>
                <w:sz w:val="14"/>
                <w:szCs w:val="14"/>
                <w:b w:val="1"/>
                <w:bCs w:val="1"/>
                <w:color w:val="1F2A44"/>
              </w:rPr>
              <w:t>Plan</w:t>
            </w:r>
          </w:p>
        </w:tc>
        <w:tc>
          <w:tcPr>
            <w:tcW w:w="800" w:type="dxa"/>
            <w:vAlign w:val="bottom"/>
            <w:tcBorders>
              <w:left w:val="single" w:sz="8" w:color="1F2A44"/>
              <w:right w:val="single" w:sz="8" w:color="1F2A44"/>
            </w:tcBorders>
          </w:tcPr>
          <w:p>
            <w:pPr>
              <w:spacing w:after="0"/>
              <w:rPr>
                <w:sz w:val="19"/>
                <w:szCs w:val="19"/>
                <w:color w:val="auto"/>
              </w:rPr>
            </w:pPr>
          </w:p>
        </w:tc>
        <w:tc>
          <w:tcPr>
            <w:tcW w:w="2240" w:type="dxa"/>
            <w:vAlign w:val="bottom"/>
            <w:tcBorders>
              <w:bottom w:val="single" w:sz="8" w:color="FEC221"/>
              <w:right w:val="single" w:sz="8" w:color="1F2A44"/>
            </w:tcBorders>
            <w:shd w:val="clear" w:color="auto" w:fill="FEC221"/>
          </w:tcPr>
          <w:p>
            <w:pPr>
              <w:ind w:left="740"/>
              <w:spacing w:after="0"/>
              <w:rPr>
                <w:sz w:val="20"/>
                <w:szCs w:val="20"/>
                <w:color w:val="auto"/>
              </w:rPr>
            </w:pPr>
            <w:r>
              <w:rPr>
                <w:rFonts w:ascii="Arial" w:cs="Arial" w:eastAsia="Arial" w:hAnsi="Arial"/>
                <w:sz w:val="14"/>
                <w:szCs w:val="14"/>
                <w:b w:val="1"/>
                <w:bCs w:val="1"/>
                <w:color w:val="1F2A44"/>
              </w:rPr>
              <w:t>Determined</w:t>
            </w:r>
          </w:p>
        </w:tc>
        <w:tc>
          <w:tcPr>
            <w:tcW w:w="620" w:type="dxa"/>
            <w:vAlign w:val="bottom"/>
            <w:tcBorders>
              <w:right w:val="single" w:sz="8" w:color="1F2A44"/>
            </w:tcBorders>
          </w:tcPr>
          <w:p>
            <w:pPr>
              <w:spacing w:after="0"/>
              <w:rPr>
                <w:sz w:val="19"/>
                <w:szCs w:val="19"/>
                <w:color w:val="auto"/>
              </w:rPr>
            </w:pPr>
          </w:p>
        </w:tc>
        <w:tc>
          <w:tcPr>
            <w:tcW w:w="2580" w:type="dxa"/>
            <w:vAlign w:val="bottom"/>
            <w:tcBorders>
              <w:bottom w:val="single" w:sz="8" w:color="FEC221"/>
              <w:right w:val="single" w:sz="8" w:color="1F2A44"/>
            </w:tcBorders>
            <w:shd w:val="clear" w:color="auto" w:fill="FEC221"/>
          </w:tcPr>
          <w:p>
            <w:pPr>
              <w:ind w:left="900"/>
              <w:spacing w:after="0"/>
              <w:rPr>
                <w:sz w:val="20"/>
                <w:szCs w:val="20"/>
                <w:color w:val="auto"/>
              </w:rPr>
            </w:pPr>
            <w:r>
              <w:rPr>
                <w:rFonts w:ascii="Arial" w:cs="Arial" w:eastAsia="Arial" w:hAnsi="Arial"/>
                <w:sz w:val="14"/>
                <w:szCs w:val="14"/>
                <w:b w:val="1"/>
                <w:bCs w:val="1"/>
                <w:color w:val="1F2A44"/>
              </w:rPr>
              <w:t>Established</w:t>
            </w:r>
          </w:p>
        </w:tc>
        <w:tc>
          <w:tcPr>
            <w:tcW w:w="680" w:type="dxa"/>
            <w:vAlign w:val="bottom"/>
            <w:tcBorders>
              <w:right w:val="single" w:sz="8" w:color="1F2A44"/>
            </w:tcBorders>
          </w:tcPr>
          <w:p>
            <w:pPr>
              <w:spacing w:after="0"/>
              <w:rPr>
                <w:sz w:val="19"/>
                <w:szCs w:val="19"/>
                <w:color w:val="auto"/>
              </w:rPr>
            </w:pPr>
          </w:p>
        </w:tc>
        <w:tc>
          <w:tcPr>
            <w:tcW w:w="2660" w:type="dxa"/>
            <w:vAlign w:val="bottom"/>
            <w:tcBorders>
              <w:bottom w:val="single" w:sz="8" w:color="FEC221"/>
              <w:right w:val="single" w:sz="8" w:color="1F2A44"/>
            </w:tcBorders>
            <w:shd w:val="clear" w:color="auto" w:fill="FEC221"/>
          </w:tcPr>
          <w:p>
            <w:pPr>
              <w:ind w:left="940"/>
              <w:spacing w:after="0"/>
              <w:rPr>
                <w:sz w:val="20"/>
                <w:szCs w:val="20"/>
                <w:color w:val="auto"/>
              </w:rPr>
            </w:pPr>
            <w:r>
              <w:rPr>
                <w:rFonts w:ascii="Arial" w:cs="Arial" w:eastAsia="Arial" w:hAnsi="Arial"/>
                <w:sz w:val="14"/>
                <w:szCs w:val="14"/>
                <w:b w:val="1"/>
                <w:bCs w:val="1"/>
                <w:color w:val="1F2A44"/>
              </w:rPr>
              <w:t>Calculated</w:t>
            </w:r>
          </w:p>
        </w:tc>
        <w:tc>
          <w:tcPr>
            <w:tcW w:w="0" w:type="dxa"/>
            <w:vAlign w:val="bottom"/>
          </w:tcPr>
          <w:p>
            <w:pPr>
              <w:spacing w:after="0"/>
              <w:rPr>
                <w:sz w:val="1"/>
                <w:szCs w:val="1"/>
                <w:color w:val="auto"/>
              </w:rPr>
            </w:pPr>
          </w:p>
        </w:tc>
      </w:tr>
      <w:tr>
        <w:trPr>
          <w:trHeight w:val="156"/>
        </w:trPr>
        <w:tc>
          <w:tcPr>
            <w:tcW w:w="1460" w:type="dxa"/>
            <w:vAlign w:val="bottom"/>
            <w:tcBorders>
              <w:top w:val="single" w:sz="8" w:color="1F2A44"/>
              <w:bottom w:val="single" w:sz="8" w:color="1F2A44"/>
            </w:tcBorders>
          </w:tcPr>
          <w:p>
            <w:pPr>
              <w:spacing w:after="0"/>
              <w:rPr>
                <w:sz w:val="13"/>
                <w:szCs w:val="13"/>
                <w:color w:val="auto"/>
              </w:rPr>
            </w:pPr>
          </w:p>
        </w:tc>
        <w:tc>
          <w:tcPr>
            <w:tcW w:w="800" w:type="dxa"/>
            <w:vAlign w:val="bottom"/>
          </w:tcPr>
          <w:p>
            <w:pPr>
              <w:spacing w:after="0"/>
              <w:rPr>
                <w:sz w:val="13"/>
                <w:szCs w:val="13"/>
                <w:color w:val="auto"/>
              </w:rPr>
            </w:pPr>
          </w:p>
        </w:tc>
        <w:tc>
          <w:tcPr>
            <w:tcW w:w="2240" w:type="dxa"/>
            <w:vAlign w:val="bottom"/>
            <w:tcBorders>
              <w:top w:val="single" w:sz="8" w:color="1F2A44"/>
              <w:bottom w:val="single" w:sz="8" w:color="auto"/>
            </w:tcBorders>
          </w:tcPr>
          <w:p>
            <w:pPr>
              <w:spacing w:after="0"/>
              <w:rPr>
                <w:sz w:val="13"/>
                <w:szCs w:val="13"/>
                <w:color w:val="auto"/>
              </w:rPr>
            </w:pPr>
          </w:p>
        </w:tc>
        <w:tc>
          <w:tcPr>
            <w:tcW w:w="620" w:type="dxa"/>
            <w:vAlign w:val="bottom"/>
          </w:tcPr>
          <w:p>
            <w:pPr>
              <w:spacing w:after="0"/>
              <w:rPr>
                <w:sz w:val="13"/>
                <w:szCs w:val="13"/>
                <w:color w:val="auto"/>
              </w:rPr>
            </w:pPr>
          </w:p>
        </w:tc>
        <w:tc>
          <w:tcPr>
            <w:tcW w:w="2580" w:type="dxa"/>
            <w:vAlign w:val="bottom"/>
            <w:tcBorders>
              <w:top w:val="single" w:sz="8" w:color="1F2A44"/>
              <w:bottom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2660" w:type="dxa"/>
            <w:vAlign w:val="bottom"/>
            <w:tcBorders>
              <w:top w:val="single" w:sz="8" w:color="1F2A44"/>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460" w:type="dxa"/>
            <w:vAlign w:val="bottom"/>
            <w:tcBorders>
              <w:left w:val="single" w:sz="8" w:color="1F2A44"/>
            </w:tcBorders>
            <w:vMerge w:val="restart"/>
            <w:shd w:val="clear" w:color="auto" w:fill="1F2A44"/>
          </w:tcPr>
          <w:p>
            <w:pPr>
              <w:jc w:val="center"/>
              <w:spacing w:after="0"/>
              <w:rPr>
                <w:sz w:val="20"/>
                <w:szCs w:val="20"/>
                <w:color w:val="auto"/>
              </w:rPr>
            </w:pPr>
            <w:r>
              <w:rPr>
                <w:rFonts w:ascii="Arial" w:cs="Arial" w:eastAsia="Arial" w:hAnsi="Arial"/>
                <w:sz w:val="14"/>
                <w:szCs w:val="14"/>
                <w:b w:val="1"/>
                <w:bCs w:val="1"/>
                <w:color w:val="FFFFFF"/>
              </w:rPr>
              <w:t>2018 Plan</w:t>
            </w:r>
          </w:p>
        </w:tc>
        <w:tc>
          <w:tcPr>
            <w:tcW w:w="800" w:type="dxa"/>
            <w:vAlign w:val="bottom"/>
            <w:tcBorders>
              <w:right w:val="single" w:sz="8" w:color="auto"/>
            </w:tcBorders>
          </w:tcPr>
          <w:p>
            <w:pPr>
              <w:spacing w:after="0"/>
              <w:rPr>
                <w:sz w:val="13"/>
                <w:szCs w:val="13"/>
                <w:color w:val="auto"/>
              </w:rPr>
            </w:pPr>
          </w:p>
        </w:tc>
        <w:tc>
          <w:tcPr>
            <w:tcW w:w="224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Wood = 150% of base</w:t>
            </w:r>
          </w:p>
        </w:tc>
        <w:tc>
          <w:tcPr>
            <w:tcW w:w="620" w:type="dxa"/>
            <w:vAlign w:val="bottom"/>
            <w:tcBorders>
              <w:right w:val="single" w:sz="8" w:color="auto"/>
            </w:tcBorders>
          </w:tcPr>
          <w:p>
            <w:pPr>
              <w:spacing w:after="0"/>
              <w:rPr>
                <w:sz w:val="13"/>
                <w:szCs w:val="13"/>
                <w:color w:val="auto"/>
              </w:rPr>
            </w:pPr>
          </w:p>
        </w:tc>
        <w:tc>
          <w:tcPr>
            <w:tcW w:w="258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125% Payout: $6.22 FFO/sh</w:t>
            </w:r>
          </w:p>
        </w:tc>
        <w:tc>
          <w:tcPr>
            <w:tcW w:w="680" w:type="dxa"/>
            <w:vAlign w:val="bottom"/>
            <w:tcBorders>
              <w:right w:val="single" w:sz="8" w:color="auto"/>
            </w:tcBorders>
          </w:tcPr>
          <w:p>
            <w:pPr>
              <w:spacing w:after="0"/>
              <w:rPr>
                <w:sz w:val="13"/>
                <w:szCs w:val="13"/>
                <w:color w:val="auto"/>
              </w:rPr>
            </w:pPr>
          </w:p>
        </w:tc>
        <w:tc>
          <w:tcPr>
            <w:tcW w:w="26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460" w:type="dxa"/>
            <w:vAlign w:val="bottom"/>
            <w:tcBorders>
              <w:left w:val="single" w:sz="8" w:color="1F2A44"/>
            </w:tcBorders>
            <w:vMerge w:val="continue"/>
            <w:shd w:val="clear" w:color="auto" w:fill="1F2A44"/>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224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Becker = 75% of base</w:t>
            </w:r>
          </w:p>
        </w:tc>
        <w:tc>
          <w:tcPr>
            <w:tcW w:w="620" w:type="dxa"/>
            <w:vAlign w:val="bottom"/>
            <w:tcBorders>
              <w:right w:val="single" w:sz="8" w:color="auto"/>
            </w:tcBorders>
          </w:tcPr>
          <w:p>
            <w:pPr>
              <w:spacing w:after="0"/>
              <w:rPr>
                <w:sz w:val="14"/>
                <w:szCs w:val="14"/>
                <w:color w:val="auto"/>
              </w:rPr>
            </w:pPr>
          </w:p>
        </w:tc>
        <w:tc>
          <w:tcPr>
            <w:tcW w:w="258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100% Payout: $6.14 FFO/sh</w:t>
            </w:r>
          </w:p>
        </w:tc>
        <w:tc>
          <w:tcPr>
            <w:tcW w:w="680" w:type="dxa"/>
            <w:vAlign w:val="bottom"/>
            <w:tcBorders>
              <w:right w:val="single" w:sz="8" w:color="auto"/>
            </w:tcBorders>
          </w:tcPr>
          <w:p>
            <w:pPr>
              <w:spacing w:after="0"/>
              <w:rPr>
                <w:sz w:val="14"/>
                <w:szCs w:val="14"/>
                <w:color w:val="auto"/>
              </w:rPr>
            </w:pPr>
          </w:p>
        </w:tc>
        <w:tc>
          <w:tcPr>
            <w:tcW w:w="266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Final Payout to each NEO</w:t>
            </w:r>
          </w:p>
        </w:tc>
        <w:tc>
          <w:tcPr>
            <w:tcW w:w="0" w:type="dxa"/>
            <w:vAlign w:val="bottom"/>
          </w:tcPr>
          <w:p>
            <w:pPr>
              <w:spacing w:after="0"/>
              <w:rPr>
                <w:sz w:val="1"/>
                <w:szCs w:val="1"/>
                <w:color w:val="auto"/>
              </w:rPr>
            </w:pPr>
          </w:p>
        </w:tc>
      </w:tr>
      <w:tr>
        <w:trPr>
          <w:trHeight w:val="174"/>
        </w:trPr>
        <w:tc>
          <w:tcPr>
            <w:tcW w:w="1460" w:type="dxa"/>
            <w:vAlign w:val="bottom"/>
            <w:tcBorders>
              <w:left w:val="single" w:sz="8" w:color="1F2A44"/>
            </w:tcBorders>
            <w:shd w:val="clear" w:color="auto" w:fill="1F2A44"/>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Guglielmone = 75% of base</w:t>
            </w:r>
          </w:p>
        </w:tc>
        <w:tc>
          <w:tcPr>
            <w:tcW w:w="620" w:type="dxa"/>
            <w:vAlign w:val="bottom"/>
            <w:tcBorders>
              <w:right w:val="single" w:sz="8" w:color="auto"/>
            </w:tcBorders>
          </w:tcPr>
          <w:p>
            <w:pPr>
              <w:spacing w:after="0"/>
              <w:rPr>
                <w:sz w:val="15"/>
                <w:szCs w:val="15"/>
                <w:color w:val="auto"/>
              </w:rPr>
            </w:pPr>
          </w:p>
        </w:tc>
        <w:tc>
          <w:tcPr>
            <w:tcW w:w="25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75% Payout: $6.06 FFO/sh</w:t>
            </w:r>
          </w:p>
        </w:tc>
        <w:tc>
          <w:tcPr>
            <w:tcW w:w="680" w:type="dxa"/>
            <w:vAlign w:val="bottom"/>
            <w:tcBorders>
              <w:right w:val="single" w:sz="8" w:color="auto"/>
            </w:tcBorders>
          </w:tcPr>
          <w:p>
            <w:pPr>
              <w:spacing w:after="0"/>
              <w:rPr>
                <w:sz w:val="15"/>
                <w:szCs w:val="15"/>
                <w:color w:val="auto"/>
              </w:rPr>
            </w:pPr>
          </w:p>
        </w:tc>
        <w:tc>
          <w:tcPr>
            <w:tcW w:w="26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460" w:type="dxa"/>
            <w:vAlign w:val="bottom"/>
            <w:tcBorders>
              <w:bottom w:val="single" w:sz="8" w:color="1F2A44"/>
            </w:tcBorders>
          </w:tcPr>
          <w:p>
            <w:pPr>
              <w:spacing w:after="0"/>
              <w:rPr>
                <w:sz w:val="13"/>
                <w:szCs w:val="13"/>
                <w:color w:val="auto"/>
              </w:rPr>
            </w:pPr>
          </w:p>
        </w:tc>
        <w:tc>
          <w:tcPr>
            <w:tcW w:w="800" w:type="dxa"/>
            <w:vAlign w:val="bottom"/>
          </w:tcPr>
          <w:p>
            <w:pPr>
              <w:spacing w:after="0"/>
              <w:rPr>
                <w:sz w:val="13"/>
                <w:szCs w:val="13"/>
                <w:color w:val="auto"/>
              </w:rPr>
            </w:pPr>
          </w:p>
        </w:tc>
        <w:tc>
          <w:tcPr>
            <w:tcW w:w="2240" w:type="dxa"/>
            <w:vAlign w:val="bottom"/>
            <w:tcBorders>
              <w:bottom w:val="single" w:sz="8" w:color="auto"/>
            </w:tcBorders>
          </w:tcPr>
          <w:p>
            <w:pPr>
              <w:spacing w:after="0"/>
              <w:rPr>
                <w:sz w:val="13"/>
                <w:szCs w:val="13"/>
                <w:color w:val="auto"/>
              </w:rPr>
            </w:pPr>
          </w:p>
        </w:tc>
        <w:tc>
          <w:tcPr>
            <w:tcW w:w="620" w:type="dxa"/>
            <w:vAlign w:val="bottom"/>
          </w:tcPr>
          <w:p>
            <w:pPr>
              <w:spacing w:after="0"/>
              <w:rPr>
                <w:sz w:val="13"/>
                <w:szCs w:val="13"/>
                <w:color w:val="auto"/>
              </w:rPr>
            </w:pPr>
          </w:p>
        </w:tc>
        <w:tc>
          <w:tcPr>
            <w:tcW w:w="2580" w:type="dxa"/>
            <w:vAlign w:val="bottom"/>
            <w:tcBorders>
              <w:bottom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26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460" w:type="dxa"/>
            <w:vAlign w:val="bottom"/>
            <w:tcBorders>
              <w:left w:val="single" w:sz="8" w:color="1F2A44"/>
            </w:tcBorders>
            <w:vMerge w:val="restart"/>
            <w:shd w:val="clear" w:color="auto" w:fill="1F2A44"/>
          </w:tcPr>
          <w:p>
            <w:pPr>
              <w:jc w:val="center"/>
              <w:spacing w:after="0"/>
              <w:rPr>
                <w:sz w:val="20"/>
                <w:szCs w:val="20"/>
                <w:color w:val="auto"/>
              </w:rPr>
            </w:pPr>
            <w:r>
              <w:rPr>
                <w:rFonts w:ascii="Arial" w:cs="Arial" w:eastAsia="Arial" w:hAnsi="Arial"/>
                <w:sz w:val="14"/>
                <w:szCs w:val="14"/>
                <w:b w:val="1"/>
                <w:bCs w:val="1"/>
                <w:color w:val="FFFFFF"/>
              </w:rPr>
              <w:t>Final Calculation</w:t>
            </w:r>
          </w:p>
        </w:tc>
        <w:tc>
          <w:tcPr>
            <w:tcW w:w="800" w:type="dxa"/>
            <w:vAlign w:val="bottom"/>
            <w:tcBorders>
              <w:right w:val="single" w:sz="8" w:color="auto"/>
            </w:tcBorders>
          </w:tcPr>
          <w:p>
            <w:pPr>
              <w:spacing w:after="0"/>
              <w:rPr>
                <w:sz w:val="13"/>
                <w:szCs w:val="13"/>
                <w:color w:val="auto"/>
              </w:rPr>
            </w:pPr>
          </w:p>
        </w:tc>
        <w:tc>
          <w:tcPr>
            <w:tcW w:w="224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Wood = $1,425,000</w:t>
            </w:r>
          </w:p>
        </w:tc>
        <w:tc>
          <w:tcPr>
            <w:tcW w:w="620" w:type="dxa"/>
            <w:vAlign w:val="bottom"/>
            <w:tcBorders>
              <w:right w:val="single" w:sz="8" w:color="auto"/>
            </w:tcBorders>
          </w:tcPr>
          <w:p>
            <w:pPr>
              <w:spacing w:after="0"/>
              <w:rPr>
                <w:sz w:val="13"/>
                <w:szCs w:val="13"/>
                <w:color w:val="auto"/>
              </w:rPr>
            </w:pPr>
          </w:p>
        </w:tc>
        <w:tc>
          <w:tcPr>
            <w:tcW w:w="258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266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Wood = $1,781,250</w:t>
            </w:r>
          </w:p>
        </w:tc>
        <w:tc>
          <w:tcPr>
            <w:tcW w:w="0" w:type="dxa"/>
            <w:vAlign w:val="bottom"/>
          </w:tcPr>
          <w:p>
            <w:pPr>
              <w:spacing w:after="0"/>
              <w:rPr>
                <w:sz w:val="1"/>
                <w:szCs w:val="1"/>
                <w:color w:val="auto"/>
              </w:rPr>
            </w:pPr>
          </w:p>
        </w:tc>
      </w:tr>
      <w:tr>
        <w:trPr>
          <w:trHeight w:val="172"/>
        </w:trPr>
        <w:tc>
          <w:tcPr>
            <w:tcW w:w="1460" w:type="dxa"/>
            <w:vAlign w:val="bottom"/>
            <w:tcBorders>
              <w:left w:val="single" w:sz="8" w:color="1F2A44"/>
            </w:tcBorders>
            <w:vMerge w:val="continue"/>
            <w:shd w:val="clear" w:color="auto" w:fill="1F2A44"/>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224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Becker = $337,500</w:t>
            </w:r>
          </w:p>
        </w:tc>
        <w:tc>
          <w:tcPr>
            <w:tcW w:w="620" w:type="dxa"/>
            <w:vAlign w:val="bottom"/>
            <w:tcBorders>
              <w:right w:val="single" w:sz="8" w:color="auto"/>
            </w:tcBorders>
          </w:tcPr>
          <w:p>
            <w:pPr>
              <w:spacing w:after="0"/>
              <w:rPr>
                <w:sz w:val="14"/>
                <w:szCs w:val="14"/>
                <w:color w:val="auto"/>
              </w:rPr>
            </w:pPr>
          </w:p>
        </w:tc>
        <w:tc>
          <w:tcPr>
            <w:tcW w:w="258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125% payout: $6.23 FFO/share</w:t>
            </w:r>
          </w:p>
        </w:tc>
        <w:tc>
          <w:tcPr>
            <w:tcW w:w="680" w:type="dxa"/>
            <w:vAlign w:val="bottom"/>
            <w:tcBorders>
              <w:right w:val="single" w:sz="8" w:color="auto"/>
            </w:tcBorders>
          </w:tcPr>
          <w:p>
            <w:pPr>
              <w:spacing w:after="0"/>
              <w:rPr>
                <w:sz w:val="14"/>
                <w:szCs w:val="14"/>
                <w:color w:val="auto"/>
              </w:rPr>
            </w:pPr>
          </w:p>
        </w:tc>
        <w:tc>
          <w:tcPr>
            <w:tcW w:w="266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Becker = $421,875</w:t>
            </w:r>
          </w:p>
        </w:tc>
        <w:tc>
          <w:tcPr>
            <w:tcW w:w="0" w:type="dxa"/>
            <w:vAlign w:val="bottom"/>
          </w:tcPr>
          <w:p>
            <w:pPr>
              <w:spacing w:after="0"/>
              <w:rPr>
                <w:sz w:val="1"/>
                <w:szCs w:val="1"/>
                <w:color w:val="auto"/>
              </w:rPr>
            </w:pPr>
          </w:p>
        </w:tc>
      </w:tr>
      <w:tr>
        <w:trPr>
          <w:trHeight w:val="174"/>
        </w:trPr>
        <w:tc>
          <w:tcPr>
            <w:tcW w:w="1460" w:type="dxa"/>
            <w:vAlign w:val="bottom"/>
            <w:tcBorders>
              <w:left w:val="single" w:sz="8" w:color="1F2A44"/>
            </w:tcBorders>
            <w:shd w:val="clear" w:color="auto" w:fill="1F2A44"/>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Guglielmone = $356,250</w:t>
            </w:r>
          </w:p>
        </w:tc>
        <w:tc>
          <w:tcPr>
            <w:tcW w:w="620" w:type="dxa"/>
            <w:vAlign w:val="bottom"/>
            <w:tcBorders>
              <w:right w:val="single" w:sz="8" w:color="auto"/>
            </w:tcBorders>
          </w:tcPr>
          <w:p>
            <w:pPr>
              <w:spacing w:after="0"/>
              <w:rPr>
                <w:sz w:val="15"/>
                <w:szCs w:val="15"/>
                <w:color w:val="auto"/>
              </w:rPr>
            </w:pPr>
          </w:p>
        </w:tc>
        <w:tc>
          <w:tcPr>
            <w:tcW w:w="2580" w:type="dxa"/>
            <w:vAlign w:val="bottom"/>
            <w:tcBorders>
              <w:bottom w:val="single" w:sz="8" w:color="auto"/>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2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Guglielmone = $445,313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-676910</wp:posOffset>
            </wp:positionV>
            <wp:extent cx="283210" cy="857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83210" cy="85725"/>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-676910</wp:posOffset>
            </wp:positionV>
            <wp:extent cx="68580" cy="946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94615"/>
                    </a:xfrm>
                    <a:prstGeom prst="rect">
                      <a:avLst/>
                    </a:prstGeom>
                    <a:noFill/>
                  </pic:spPr>
                </pic:pic>
              </a:graphicData>
            </a:graphic>
          </wp:anchor>
        </w:drawing>
        <w:drawing>
          <wp:anchor simplePos="0" relativeHeight="251657728" behindDoc="1" locked="0" layoutInCell="0" allowOverlap="1">
            <wp:simplePos x="0" y="0"/>
            <wp:positionH relativeFrom="column">
              <wp:posOffset>5201920</wp:posOffset>
            </wp:positionH>
            <wp:positionV relativeFrom="paragraph">
              <wp:posOffset>-676910</wp:posOffset>
            </wp:positionV>
            <wp:extent cx="102870" cy="857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02870" cy="85725"/>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-231140</wp:posOffset>
            </wp:positionV>
            <wp:extent cx="283210" cy="857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83210" cy="85725"/>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-231140</wp:posOffset>
            </wp:positionV>
            <wp:extent cx="68580" cy="946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94615"/>
                    </a:xfrm>
                    <a:prstGeom prst="rect">
                      <a:avLst/>
                    </a:prstGeom>
                    <a:noFill/>
                  </pic:spPr>
                </pic:pic>
              </a:graphicData>
            </a:graphic>
          </wp:anchor>
        </w:drawing>
        <w:drawing>
          <wp:anchor simplePos="0" relativeHeight="251657728" behindDoc="1" locked="0" layoutInCell="0" allowOverlap="1">
            <wp:simplePos x="0" y="0"/>
            <wp:positionH relativeFrom="column">
              <wp:posOffset>5201920</wp:posOffset>
            </wp:positionH>
            <wp:positionV relativeFrom="paragraph">
              <wp:posOffset>-231140</wp:posOffset>
            </wp:positionV>
            <wp:extent cx="102870" cy="857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02870" cy="85725"/>
                    </a:xfrm>
                    <a:prstGeom prst="rect">
                      <a:avLst/>
                    </a:prstGeom>
                    <a:noFill/>
                  </pic:spPr>
                </pic:pic>
              </a:graphicData>
            </a:graphic>
          </wp:anchor>
        </w:drawing>
      </w:r>
    </w:p>
    <w:p>
      <w:pPr>
        <w:spacing w:after="0" w:line="155" w:lineRule="exact"/>
        <w:rPr>
          <w:sz w:val="20"/>
          <w:szCs w:val="20"/>
          <w:color w:val="auto"/>
        </w:rPr>
      </w:pPr>
    </w:p>
    <w:p>
      <w:pPr>
        <w:jc w:val="both"/>
        <w:ind w:left="200" w:right="20"/>
        <w:spacing w:after="0"/>
        <w:rPr>
          <w:sz w:val="20"/>
          <w:szCs w:val="20"/>
          <w:color w:val="auto"/>
        </w:rPr>
      </w:pPr>
      <w:r>
        <w:rPr>
          <w:rFonts w:ascii="Arial" w:cs="Arial" w:eastAsia="Arial" w:hAnsi="Arial"/>
          <w:sz w:val="18"/>
          <w:szCs w:val="18"/>
          <w:color w:val="auto"/>
        </w:rPr>
        <w:t>In 2018, we reported FFO per diluted share of $6.23 which resulted in the bonus pool being funded at 125% of target. Based on their individual contributions to the Trust in 2018, the Compensation Committee awarded each of our NEOs the full annual bonus for which he/she was eligible.</w:t>
      </w:r>
    </w:p>
    <w:p>
      <w:pPr>
        <w:spacing w:after="0" w:line="176" w:lineRule="exact"/>
        <w:rPr>
          <w:sz w:val="20"/>
          <w:szCs w:val="20"/>
          <w:color w:val="auto"/>
        </w:rPr>
      </w:pPr>
    </w:p>
    <w:p>
      <w:pPr>
        <w:jc w:val="both"/>
        <w:ind w:left="200" w:right="20"/>
        <w:spacing w:after="0" w:line="246" w:lineRule="auto"/>
        <w:rPr>
          <w:sz w:val="20"/>
          <w:szCs w:val="20"/>
          <w:color w:val="auto"/>
        </w:rPr>
      </w:pPr>
      <w:r>
        <w:rPr>
          <w:rFonts w:ascii="Arial" w:cs="Arial" w:eastAsia="Arial" w:hAnsi="Arial"/>
          <w:sz w:val="18"/>
          <w:szCs w:val="18"/>
          <w:color w:val="auto"/>
        </w:rPr>
        <w:t>The Annual Bonus plan for our NEOs is the same bonus plan that covers 95% of our employees. Approximately, 30% of our employees who participant in the Annual Bonus plan, including our NEOs, have the option to receive up to 25% of the final</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240" w:top="459" w:right="41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spacing w:after="0" w:line="237" w:lineRule="auto"/>
        <w:rPr>
          <w:sz w:val="20"/>
          <w:szCs w:val="20"/>
          <w:color w:val="auto"/>
        </w:rPr>
      </w:pPr>
      <w:r>
        <w:rPr>
          <w:rFonts w:ascii="Arial" w:cs="Arial" w:eastAsia="Arial" w:hAnsi="Arial"/>
          <w:sz w:val="18"/>
          <w:szCs w:val="18"/>
          <w:color w:val="auto"/>
        </w:rPr>
        <w:t>bonus payout in the form of Shares that vest equally over three years with accelerated vesting on death, disability, change in control and termination without cause. In consideration of the extended payment period for this portion of the bonus already earned, the employee receives Shares valued at 120% of the portion of the Annual Bonus he/she elected to receive in Shares. For 2018, Mr. Wood and Ms. Becker each elected to receive 25% of the bonus in Shares and Mr. Guglielmone elected to receive all of his annual bonus in cash. The cash portion of the 2018 annual bonuses is reflected in the “Non-Equity Incentive Plan Compensation” column in the Summary Compensation Table in this proxy statement. The portion of the Annual Bonus paid in Shares will be included in the “Stock Awards” column in the Summary Compensation Table and the Grants of Plan-Based Awards Table in next year’s proxy statement.</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Long-Term Incentive Award Program</w:t>
      </w:r>
    </w:p>
    <w:p>
      <w:pPr>
        <w:spacing w:after="0" w:line="207" w:lineRule="exact"/>
        <w:rPr>
          <w:sz w:val="20"/>
          <w:szCs w:val="20"/>
          <w:color w:val="auto"/>
        </w:rPr>
      </w:pPr>
    </w:p>
    <w:p>
      <w:pPr>
        <w:jc w:val="both"/>
        <w:ind w:left="200"/>
        <w:spacing w:after="0" w:line="239" w:lineRule="auto"/>
        <w:rPr>
          <w:sz w:val="20"/>
          <w:szCs w:val="20"/>
          <w:color w:val="auto"/>
        </w:rPr>
      </w:pPr>
      <w:r>
        <w:rPr>
          <w:rFonts w:ascii="Arial" w:cs="Arial" w:eastAsia="Arial" w:hAnsi="Arial"/>
          <w:sz w:val="18"/>
          <w:szCs w:val="18"/>
          <w:color w:val="auto"/>
        </w:rPr>
        <w:t>The largest portion of compensation for our NEOs comes from our equity based Long-Term Incentive Award Program. This program aligns the interests of our NEOs with shareholders by incentivizing our NEOs to identify and accomplish longer-term business objectives that generate value through stock price appreciation and dividend growth over a minimum 6-year time horizon comprised of a 3-year performance period followed by a minimum of a 3-year vesting period for shares and a 5-year vesting period for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146050</wp:posOffset>
            </wp:positionV>
            <wp:extent cx="5831840" cy="5486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83184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200"/>
        <w:spacing w:after="0" w:line="238" w:lineRule="auto"/>
        <w:rPr>
          <w:sz w:val="20"/>
          <w:szCs w:val="20"/>
          <w:color w:val="auto"/>
        </w:rPr>
      </w:pPr>
      <w:r>
        <w:rPr>
          <w:rFonts w:ascii="Arial" w:cs="Arial" w:eastAsia="Arial" w:hAnsi="Arial"/>
          <w:sz w:val="18"/>
          <w:szCs w:val="18"/>
          <w:color w:val="auto"/>
        </w:rPr>
        <w:t>Awards under this program are made in the form of restricted shares with time based vesting over a three year period; however, each NEO can elect to take up to 50% of his/her award in the form of options which vest over five years. The Compensation Committee believes that allowing NEOs to choose to receive a portion of his/her award in the form of options provides value to the NEO that outweighs any diminution in retention value from the granting of options in lieu of Shares. Each of our NEOs chose to receive the full value of his/her 2018 LTIAP award in Shares. Dividends are paid on all Shares issued under the LTIAP.</w:t>
      </w:r>
    </w:p>
    <w:p>
      <w:pPr>
        <w:spacing w:after="0" w:line="20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amount of LTIAP awards is determined based on how well the Trust performs on three performance metrics:</w:t>
      </w:r>
    </w:p>
    <w:p>
      <w:pPr>
        <w:spacing w:after="0" w:line="171" w:lineRule="exact"/>
        <w:rPr>
          <w:sz w:val="20"/>
          <w:szCs w:val="20"/>
          <w:color w:val="auto"/>
        </w:rPr>
      </w:pPr>
    </w:p>
    <w:p>
      <w:pPr>
        <w:jc w:val="both"/>
        <w:ind w:left="200" w:firstLine="4"/>
        <w:spacing w:after="0" w:line="237" w:lineRule="auto"/>
        <w:tabs>
          <w:tab w:leader="none" w:pos="10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Total shareholder return relative to the Bloomberg REIT Shopping Center index (“BBRESHOP”). Performance on this metric accounts for 50% of the total LTIAP award. The relative shareholder return metric reflects how well we have performed for our shareholders as compared to other companies facing the same general market dynamics. The Compensation Committee determined that the BBRESHOP is the best index to use given that it is an industry index made up of primarily companies that own and operate open are shopping centers whose businesses are most closely aligned with ours. Total shareholder return takes into account both stock price appreciation and dividends assuming all dividends are reinvested.</w:t>
      </w:r>
    </w:p>
    <w:p>
      <w:pPr>
        <w:spacing w:after="0" w:line="164" w:lineRule="exact"/>
        <w:rPr>
          <w:rFonts w:ascii="Arial" w:cs="Arial" w:eastAsia="Arial" w:hAnsi="Arial"/>
          <w:sz w:val="18"/>
          <w:szCs w:val="18"/>
          <w:color w:val="auto"/>
        </w:rPr>
      </w:pPr>
    </w:p>
    <w:p>
      <w:pPr>
        <w:jc w:val="both"/>
        <w:ind w:left="200" w:firstLine="4"/>
        <w:spacing w:after="0"/>
        <w:tabs>
          <w:tab w:leader="none" w:pos="862" w:val="left"/>
        </w:tabs>
        <w:numPr>
          <w:ilvl w:val="0"/>
          <w:numId w:val="15"/>
        </w:numPr>
        <w:rPr>
          <w:rFonts w:ascii="Arial" w:cs="Arial" w:eastAsia="Arial" w:hAnsi="Arial"/>
          <w:sz w:val="18"/>
          <w:szCs w:val="18"/>
          <w:color w:val="auto"/>
        </w:rPr>
      </w:pPr>
      <w:r>
        <w:rPr>
          <w:rFonts w:ascii="Arial" w:cs="Arial" w:eastAsia="Arial" w:hAnsi="Arial"/>
          <w:sz w:val="18"/>
          <w:szCs w:val="18"/>
          <w:color w:val="auto"/>
        </w:rPr>
        <w:t>Absolute total shareholder return. Performance on this metric accounts for 25% of the total LTIAP award and reflects whether we have actually created value and delivered acceptable returns to our shareholders over the 3-year performance period. Total shareholder return takes into account both stock price appreciation and dividends assuming all dividends are reinvested.</w:t>
      </w:r>
    </w:p>
    <w:p>
      <w:pPr>
        <w:spacing w:after="0" w:line="175" w:lineRule="exact"/>
        <w:rPr>
          <w:rFonts w:ascii="Arial" w:cs="Arial" w:eastAsia="Arial" w:hAnsi="Arial"/>
          <w:sz w:val="18"/>
          <w:szCs w:val="18"/>
          <w:color w:val="auto"/>
        </w:rPr>
      </w:pPr>
    </w:p>
    <w:p>
      <w:pPr>
        <w:jc w:val="both"/>
        <w:ind w:left="200" w:firstLine="4"/>
        <w:spacing w:after="0"/>
        <w:tabs>
          <w:tab w:leader="none" w:pos="954"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Return on invested capital. Performance on this metric accounts for 25% of the total LTIAP award. Return on invested capital reflects how effectively we have allocated our shareholders’ capital during that time and incentivizes our executives to make sound, long-term investment decisions that will generate strong future returns to our shareholders.</w:t>
      </w:r>
    </w:p>
    <w:p>
      <w:pPr>
        <w:spacing w:after="0" w:line="162" w:lineRule="exact"/>
        <w:rPr>
          <w:sz w:val="20"/>
          <w:szCs w:val="20"/>
          <w:color w:val="auto"/>
        </w:rPr>
      </w:pPr>
    </w:p>
    <w:p>
      <w:pPr>
        <w:jc w:val="both"/>
        <w:ind w:left="200"/>
        <w:spacing w:after="0" w:line="237" w:lineRule="auto"/>
        <w:rPr>
          <w:sz w:val="20"/>
          <w:szCs w:val="20"/>
          <w:color w:val="auto"/>
        </w:rPr>
      </w:pPr>
      <w:r>
        <w:rPr>
          <w:rFonts w:ascii="Arial" w:cs="Arial" w:eastAsia="Arial" w:hAnsi="Arial"/>
          <w:sz w:val="18"/>
          <w:szCs w:val="18"/>
          <w:color w:val="auto"/>
        </w:rPr>
        <w:t>The target levels of payout for each of our NEOs in 2018 remained unchanged from prior years with Mr. Wood’s target award at $ 5 million and the target awards for Mr. Guglielmone and Ms. Becker at $900,000 and $600,000, respectively. For Mr. Wood and Ms. Becker, achieving performance at the threshold level of performance entitles him/her to an award equal to 50% of target while performance at stretch entitles him/her to an award at 150% of target. For Mr. Guglielmone, those levels of performance entitle him to an award equal to 67% of target for threshold level performance and 133% of target for stretch level performance. Payout levels are interpolated for results falling between threshold, target and stretch.</w:t>
      </w:r>
    </w:p>
    <w:p>
      <w:pPr>
        <w:spacing w:after="0" w:line="165"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The performance hurdles to be achieved in order for our NEOs to earn compensation under this program based on relative and absolute total return to shareholders have been unchanged since the program was put into place in 2003. The return on invested capital hurdle levels are reset each year to adjust for the impact of acquisitions and other investments made during the previous year.</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right="20"/>
        <w:spacing w:after="0" w:line="246" w:lineRule="auto"/>
        <w:rPr>
          <w:sz w:val="20"/>
          <w:szCs w:val="20"/>
          <w:color w:val="auto"/>
        </w:rPr>
      </w:pPr>
      <w:r>
        <w:rPr>
          <w:rFonts w:ascii="Arial" w:cs="Arial" w:eastAsia="Arial" w:hAnsi="Arial"/>
          <w:sz w:val="18"/>
          <w:szCs w:val="18"/>
          <w:color w:val="auto"/>
        </w:rPr>
        <w:t>The levels of performance and target payout percentages for the LTIAP awards for each of our NEOs and the performance actually achieved on each metric for the three year period from January 1, 2016 through December 31, 2018 are set forth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125730</wp:posOffset>
            </wp:positionV>
            <wp:extent cx="5840095" cy="25387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840095" cy="2538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left="200" w:right="20"/>
        <w:spacing w:after="0" w:line="236" w:lineRule="auto"/>
        <w:rPr>
          <w:sz w:val="20"/>
          <w:szCs w:val="20"/>
          <w:color w:val="auto"/>
        </w:rPr>
      </w:pPr>
      <w:r>
        <w:rPr>
          <w:rFonts w:ascii="Arial" w:cs="Arial" w:eastAsia="Arial" w:hAnsi="Arial"/>
          <w:sz w:val="18"/>
          <w:szCs w:val="18"/>
          <w:color w:val="auto"/>
        </w:rPr>
        <w:t>Based on the results achieved, the LTIAP awards for Mr. Wood (CEO) and Ms. Becker (GC) would be paid at 90% of target and the award for Mr. Guglielmone (CFO) would be paid at 85% of his target award. The Compensation Committee has the discretion to increase or decrease the award for each executive by up to 20% to in order to account for personal performance and, as described above, elected to exercise the discretion granted under the program to increase the awards for each of our NEOs to a payout at 100% of target. The Committee last exercised its discretion in 2016 when it reduced Mr. Wood’s award. The number of Shares actually awarded to each of our NEOs under the LTIAP is determined by dividing the amount of the award by the closing price of our stock on the NYSE on the date the awards are made. There is no amount included for 2018 in the Summary Compensation Table or Grants of Plan-Based Awards Table in this proxy statement for LTIAP awards earned for the 2016-2018 performance period. The LTIAP awards reflected for 2018 in the Summary Compensation Table and the Grants of Plan-Based Awards Table for our named executive officers in this proxy statement relate to awards made in February 2018 for the 3-year performance period ending December 31, 2017.</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2018 Total Compensation:</w:t>
      </w:r>
    </w:p>
    <w:p>
      <w:pPr>
        <w:spacing w:after="0" w:line="207" w:lineRule="exact"/>
        <w:rPr>
          <w:sz w:val="20"/>
          <w:szCs w:val="20"/>
          <w:color w:val="auto"/>
        </w:rPr>
      </w:pPr>
    </w:p>
    <w:p>
      <w:pPr>
        <w:jc w:val="both"/>
        <w:ind w:left="200" w:right="20"/>
        <w:spacing w:after="0" w:line="246" w:lineRule="auto"/>
        <w:rPr>
          <w:sz w:val="20"/>
          <w:szCs w:val="20"/>
          <w:color w:val="auto"/>
        </w:rPr>
      </w:pPr>
      <w:r>
        <w:rPr>
          <w:rFonts w:ascii="Arial" w:cs="Arial" w:eastAsia="Arial" w:hAnsi="Arial"/>
          <w:sz w:val="18"/>
          <w:szCs w:val="18"/>
          <w:color w:val="auto"/>
        </w:rPr>
        <w:t>The following chart sets out the compensation earned by each of our named executive officers for 2018 based on company and individual performance for the 1 and 3-year periods ending December 31, 2018:</w:t>
      </w:r>
    </w:p>
    <w:p>
      <w:pPr>
        <w:spacing w:after="0" w:line="205" w:lineRule="exact"/>
        <w:rPr>
          <w:sz w:val="20"/>
          <w:szCs w:val="20"/>
          <w:color w:val="auto"/>
        </w:rPr>
      </w:pPr>
    </w:p>
    <w:tbl>
      <w:tblPr>
        <w:tblLayout w:type="fixed"/>
        <w:tblInd w:w="230" w:type="dxa"/>
        <w:tblCellMar>
          <w:top w:w="0" w:type="dxa"/>
          <w:left w:w="0" w:type="dxa"/>
          <w:bottom w:w="0" w:type="dxa"/>
          <w:right w:w="0" w:type="dxa"/>
        </w:tblCellMar>
      </w:tblPr>
      <w:tr>
        <w:trPr>
          <w:trHeight w:val="311"/>
        </w:trPr>
        <w:tc>
          <w:tcPr>
            <w:tcW w:w="4360" w:type="dxa"/>
            <w:vAlign w:val="bottom"/>
            <w:tcBorders>
              <w:top w:val="single" w:sz="8" w:color="auto"/>
              <w:left w:val="single" w:sz="8" w:color="auto"/>
            </w:tcBorders>
            <w:shd w:val="clear" w:color="auto" w:fill="FEC221"/>
          </w:tcPr>
          <w:p>
            <w:pPr>
              <w:ind w:left="220"/>
              <w:spacing w:after="0"/>
              <w:rPr>
                <w:sz w:val="20"/>
                <w:szCs w:val="20"/>
                <w:color w:val="auto"/>
              </w:rPr>
            </w:pPr>
            <w:r>
              <w:rPr>
                <w:rFonts w:ascii="Arial" w:cs="Arial" w:eastAsia="Arial" w:hAnsi="Arial"/>
                <w:sz w:val="18"/>
                <w:szCs w:val="18"/>
                <w:b w:val="1"/>
                <w:bCs w:val="1"/>
                <w:color w:val="1F2A44"/>
              </w:rPr>
              <w:t>Compensation Component</w:t>
            </w:r>
          </w:p>
        </w:tc>
        <w:tc>
          <w:tcPr>
            <w:tcW w:w="2080" w:type="dxa"/>
            <w:vAlign w:val="bottom"/>
            <w:tcBorders>
              <w:top w:val="single" w:sz="8" w:color="auto"/>
            </w:tcBorders>
            <w:gridSpan w:val="2"/>
            <w:shd w:val="clear" w:color="auto" w:fill="FEC221"/>
          </w:tcPr>
          <w:p>
            <w:pPr>
              <w:ind w:left="320"/>
              <w:spacing w:after="0"/>
              <w:rPr>
                <w:sz w:val="20"/>
                <w:szCs w:val="20"/>
                <w:color w:val="auto"/>
              </w:rPr>
            </w:pPr>
            <w:r>
              <w:rPr>
                <w:rFonts w:ascii="Arial" w:cs="Arial" w:eastAsia="Arial" w:hAnsi="Arial"/>
                <w:sz w:val="18"/>
                <w:szCs w:val="18"/>
                <w:b w:val="1"/>
                <w:bCs w:val="1"/>
                <w:color w:val="1F2A44"/>
              </w:rPr>
              <w:t>Donald C. Wood</w:t>
            </w:r>
          </w:p>
        </w:tc>
        <w:tc>
          <w:tcPr>
            <w:tcW w:w="2420" w:type="dxa"/>
            <w:vAlign w:val="bottom"/>
            <w:tcBorders>
              <w:top w:val="single" w:sz="8" w:color="auto"/>
            </w:tcBorders>
            <w:gridSpan w:val="2"/>
            <w:shd w:val="clear" w:color="auto" w:fill="FEC221"/>
          </w:tcPr>
          <w:p>
            <w:pPr>
              <w:ind w:left="360"/>
              <w:spacing w:after="0"/>
              <w:rPr>
                <w:sz w:val="20"/>
                <w:szCs w:val="20"/>
                <w:color w:val="auto"/>
              </w:rPr>
            </w:pPr>
            <w:r>
              <w:rPr>
                <w:rFonts w:ascii="Arial" w:cs="Arial" w:eastAsia="Arial" w:hAnsi="Arial"/>
                <w:sz w:val="18"/>
                <w:szCs w:val="18"/>
                <w:b w:val="1"/>
                <w:bCs w:val="1"/>
                <w:color w:val="1F2A44"/>
              </w:rPr>
              <w:t>Daniel Guglielmone</w:t>
            </w:r>
          </w:p>
        </w:tc>
        <w:tc>
          <w:tcPr>
            <w:tcW w:w="2180" w:type="dxa"/>
            <w:vAlign w:val="bottom"/>
            <w:tcBorders>
              <w:top w:val="single" w:sz="8" w:color="auto"/>
              <w:right w:val="single" w:sz="8" w:color="auto"/>
            </w:tcBorders>
            <w:gridSpan w:val="2"/>
            <w:shd w:val="clear" w:color="auto" w:fill="FEC221"/>
          </w:tcPr>
          <w:p>
            <w:pPr>
              <w:ind w:left="380"/>
              <w:spacing w:after="0"/>
              <w:rPr>
                <w:sz w:val="20"/>
                <w:szCs w:val="20"/>
                <w:color w:val="auto"/>
              </w:rPr>
            </w:pPr>
            <w:r>
              <w:rPr>
                <w:rFonts w:ascii="Arial" w:cs="Arial" w:eastAsia="Arial" w:hAnsi="Arial"/>
                <w:sz w:val="18"/>
                <w:szCs w:val="18"/>
                <w:b w:val="1"/>
                <w:bCs w:val="1"/>
                <w:color w:val="1F2A44"/>
              </w:rPr>
              <w:t>Dawn M. Becker</w:t>
            </w:r>
          </w:p>
        </w:tc>
      </w:tr>
      <w:tr>
        <w:trPr>
          <w:trHeight w:val="81"/>
        </w:trPr>
        <w:tc>
          <w:tcPr>
            <w:tcW w:w="4360" w:type="dxa"/>
            <w:vAlign w:val="bottom"/>
            <w:tcBorders>
              <w:left w:val="single" w:sz="8" w:color="auto"/>
              <w:bottom w:val="single" w:sz="8" w:color="auto"/>
            </w:tcBorders>
            <w:shd w:val="clear" w:color="auto" w:fill="FEC221"/>
          </w:tcPr>
          <w:p>
            <w:pPr>
              <w:spacing w:after="0"/>
              <w:rPr>
                <w:sz w:val="7"/>
                <w:szCs w:val="7"/>
                <w:color w:val="auto"/>
              </w:rPr>
            </w:pPr>
          </w:p>
        </w:tc>
        <w:tc>
          <w:tcPr>
            <w:tcW w:w="500" w:type="dxa"/>
            <w:vAlign w:val="bottom"/>
            <w:tcBorders>
              <w:bottom w:val="single" w:sz="8" w:color="auto"/>
            </w:tcBorders>
            <w:shd w:val="clear" w:color="auto" w:fill="FEC221"/>
          </w:tcPr>
          <w:p>
            <w:pPr>
              <w:spacing w:after="0"/>
              <w:rPr>
                <w:sz w:val="7"/>
                <w:szCs w:val="7"/>
                <w:color w:val="auto"/>
              </w:rPr>
            </w:pPr>
          </w:p>
        </w:tc>
        <w:tc>
          <w:tcPr>
            <w:tcW w:w="1580" w:type="dxa"/>
            <w:vAlign w:val="bottom"/>
            <w:tcBorders>
              <w:bottom w:val="single" w:sz="8" w:color="auto"/>
            </w:tcBorders>
            <w:shd w:val="clear" w:color="auto" w:fill="FEC221"/>
          </w:tcPr>
          <w:p>
            <w:pPr>
              <w:spacing w:after="0"/>
              <w:rPr>
                <w:sz w:val="7"/>
                <w:szCs w:val="7"/>
                <w:color w:val="auto"/>
              </w:rPr>
            </w:pPr>
          </w:p>
        </w:tc>
        <w:tc>
          <w:tcPr>
            <w:tcW w:w="760" w:type="dxa"/>
            <w:vAlign w:val="bottom"/>
            <w:tcBorders>
              <w:bottom w:val="single" w:sz="8" w:color="auto"/>
            </w:tcBorders>
            <w:shd w:val="clear" w:color="auto" w:fill="FEC221"/>
          </w:tcPr>
          <w:p>
            <w:pPr>
              <w:spacing w:after="0"/>
              <w:rPr>
                <w:sz w:val="7"/>
                <w:szCs w:val="7"/>
                <w:color w:val="auto"/>
              </w:rPr>
            </w:pPr>
          </w:p>
        </w:tc>
        <w:tc>
          <w:tcPr>
            <w:tcW w:w="1660" w:type="dxa"/>
            <w:vAlign w:val="bottom"/>
            <w:tcBorders>
              <w:bottom w:val="single" w:sz="8" w:color="auto"/>
            </w:tcBorders>
            <w:shd w:val="clear" w:color="auto" w:fill="FEC221"/>
          </w:tcPr>
          <w:p>
            <w:pPr>
              <w:spacing w:after="0"/>
              <w:rPr>
                <w:sz w:val="7"/>
                <w:szCs w:val="7"/>
                <w:color w:val="auto"/>
              </w:rPr>
            </w:pPr>
          </w:p>
        </w:tc>
        <w:tc>
          <w:tcPr>
            <w:tcW w:w="620" w:type="dxa"/>
            <w:vAlign w:val="bottom"/>
            <w:tcBorders>
              <w:bottom w:val="single" w:sz="8" w:color="auto"/>
            </w:tcBorders>
            <w:shd w:val="clear" w:color="auto" w:fill="FEC221"/>
          </w:tcPr>
          <w:p>
            <w:pPr>
              <w:spacing w:after="0"/>
              <w:rPr>
                <w:sz w:val="7"/>
                <w:szCs w:val="7"/>
                <w:color w:val="auto"/>
              </w:rPr>
            </w:pPr>
          </w:p>
        </w:tc>
        <w:tc>
          <w:tcPr>
            <w:tcW w:w="1560" w:type="dxa"/>
            <w:vAlign w:val="bottom"/>
            <w:tcBorders>
              <w:bottom w:val="single" w:sz="8" w:color="auto"/>
              <w:right w:val="single" w:sz="8" w:color="auto"/>
            </w:tcBorders>
            <w:shd w:val="clear" w:color="auto" w:fill="FEC221"/>
          </w:tcPr>
          <w:p>
            <w:pPr>
              <w:spacing w:after="0"/>
              <w:rPr>
                <w:sz w:val="7"/>
                <w:szCs w:val="7"/>
                <w:color w:val="auto"/>
              </w:rPr>
            </w:pPr>
          </w:p>
        </w:tc>
      </w:tr>
      <w:tr>
        <w:trPr>
          <w:trHeight w:val="264"/>
        </w:trPr>
        <w:tc>
          <w:tcPr>
            <w:tcW w:w="4360" w:type="dxa"/>
            <w:vAlign w:val="bottom"/>
            <w:tcBorders>
              <w:left w:val="single" w:sz="8" w:color="auto"/>
            </w:tcBorders>
          </w:tcPr>
          <w:p>
            <w:pPr>
              <w:ind w:left="220"/>
              <w:spacing w:after="0"/>
              <w:rPr>
                <w:sz w:val="20"/>
                <w:szCs w:val="20"/>
                <w:color w:val="auto"/>
              </w:rPr>
            </w:pPr>
            <w:r>
              <w:rPr>
                <w:rFonts w:ascii="Arial" w:cs="Arial" w:eastAsia="Arial" w:hAnsi="Arial"/>
                <w:sz w:val="18"/>
                <w:szCs w:val="18"/>
                <w:b w:val="1"/>
                <w:bCs w:val="1"/>
                <w:color w:val="auto"/>
              </w:rPr>
              <w:t>Base Salary</w:t>
            </w:r>
          </w:p>
        </w:tc>
        <w:tc>
          <w:tcPr>
            <w:tcW w:w="500" w:type="dxa"/>
            <w:vAlign w:val="bottom"/>
          </w:tcPr>
          <w:p>
            <w:pPr>
              <w:ind w:left="320"/>
              <w:spacing w:after="0"/>
              <w:rPr>
                <w:sz w:val="20"/>
                <w:szCs w:val="20"/>
                <w:color w:val="auto"/>
              </w:rPr>
            </w:pPr>
            <w:r>
              <w:rPr>
                <w:rFonts w:ascii="Arial" w:cs="Arial" w:eastAsia="Arial" w:hAnsi="Arial"/>
                <w:sz w:val="18"/>
                <w:szCs w:val="18"/>
                <w:b w:val="1"/>
                <w:bCs w:val="1"/>
                <w:color w:val="auto"/>
              </w:rPr>
              <w:t>$</w:t>
            </w:r>
          </w:p>
        </w:tc>
        <w:tc>
          <w:tcPr>
            <w:tcW w:w="1580" w:type="dxa"/>
            <w:vAlign w:val="bottom"/>
          </w:tcPr>
          <w:p>
            <w:pPr>
              <w:jc w:val="right"/>
              <w:ind w:right="290"/>
              <w:spacing w:after="0"/>
              <w:rPr>
                <w:sz w:val="20"/>
                <w:szCs w:val="20"/>
                <w:color w:val="auto"/>
              </w:rPr>
            </w:pPr>
            <w:r>
              <w:rPr>
                <w:rFonts w:ascii="Arial" w:cs="Arial" w:eastAsia="Arial" w:hAnsi="Arial"/>
                <w:sz w:val="18"/>
                <w:szCs w:val="18"/>
                <w:b w:val="1"/>
                <w:bCs w:val="1"/>
                <w:color w:val="auto"/>
              </w:rPr>
              <w:t>950,000</w:t>
            </w:r>
          </w:p>
        </w:tc>
        <w:tc>
          <w:tcPr>
            <w:tcW w:w="760" w:type="dxa"/>
            <w:vAlign w:val="bottom"/>
          </w:tcPr>
          <w:p>
            <w:pPr>
              <w:ind w:left="360"/>
              <w:spacing w:after="0"/>
              <w:rPr>
                <w:sz w:val="20"/>
                <w:szCs w:val="20"/>
                <w:color w:val="auto"/>
              </w:rPr>
            </w:pPr>
            <w:r>
              <w:rPr>
                <w:rFonts w:ascii="Arial" w:cs="Arial" w:eastAsia="Arial" w:hAnsi="Arial"/>
                <w:sz w:val="18"/>
                <w:szCs w:val="18"/>
                <w:b w:val="1"/>
                <w:bCs w:val="1"/>
                <w:color w:val="auto"/>
              </w:rPr>
              <w:t>$</w:t>
            </w:r>
          </w:p>
        </w:tc>
        <w:tc>
          <w:tcPr>
            <w:tcW w:w="1660" w:type="dxa"/>
            <w:vAlign w:val="bottom"/>
          </w:tcPr>
          <w:p>
            <w:pPr>
              <w:jc w:val="right"/>
              <w:ind w:right="270"/>
              <w:spacing w:after="0"/>
              <w:rPr>
                <w:sz w:val="20"/>
                <w:szCs w:val="20"/>
                <w:color w:val="auto"/>
              </w:rPr>
            </w:pPr>
            <w:r>
              <w:rPr>
                <w:rFonts w:ascii="Arial" w:cs="Arial" w:eastAsia="Arial" w:hAnsi="Arial"/>
                <w:sz w:val="18"/>
                <w:szCs w:val="18"/>
                <w:b w:val="1"/>
                <w:bCs w:val="1"/>
                <w:color w:val="auto"/>
              </w:rPr>
              <w:t>475,000</w:t>
            </w:r>
          </w:p>
        </w:tc>
        <w:tc>
          <w:tcPr>
            <w:tcW w:w="620" w:type="dxa"/>
            <w:vAlign w:val="bottom"/>
          </w:tcPr>
          <w:p>
            <w:pPr>
              <w:ind w:left="380"/>
              <w:spacing w:after="0"/>
              <w:rPr>
                <w:sz w:val="20"/>
                <w:szCs w:val="20"/>
                <w:color w:val="auto"/>
              </w:rPr>
            </w:pPr>
            <w:r>
              <w:rPr>
                <w:rFonts w:ascii="Arial" w:cs="Arial" w:eastAsia="Arial" w:hAnsi="Arial"/>
                <w:sz w:val="18"/>
                <w:szCs w:val="18"/>
                <w:b w:val="1"/>
                <w:bCs w:val="1"/>
                <w:color w:val="auto"/>
              </w:rPr>
              <w:t>$</w:t>
            </w:r>
          </w:p>
        </w:tc>
        <w:tc>
          <w:tcPr>
            <w:tcW w:w="1560" w:type="dxa"/>
            <w:vAlign w:val="bottom"/>
            <w:tcBorders>
              <w:right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450,000</w:t>
            </w:r>
          </w:p>
        </w:tc>
      </w:tr>
      <w:tr>
        <w:trPr>
          <w:trHeight w:val="311"/>
        </w:trPr>
        <w:tc>
          <w:tcPr>
            <w:tcW w:w="4360" w:type="dxa"/>
            <w:vAlign w:val="bottom"/>
            <w:tcBorders>
              <w:left w:val="single" w:sz="8" w:color="auto"/>
            </w:tcBorders>
          </w:tcPr>
          <w:p>
            <w:pPr>
              <w:ind w:left="220"/>
              <w:spacing w:after="0"/>
              <w:rPr>
                <w:sz w:val="20"/>
                <w:szCs w:val="20"/>
                <w:color w:val="auto"/>
              </w:rPr>
            </w:pPr>
            <w:r>
              <w:rPr>
                <w:rFonts w:ascii="Arial" w:cs="Arial" w:eastAsia="Arial" w:hAnsi="Arial"/>
                <w:sz w:val="18"/>
                <w:szCs w:val="18"/>
                <w:color w:val="auto"/>
              </w:rPr>
              <w:t>Target Bonus</w:t>
            </w:r>
          </w:p>
        </w:tc>
        <w:tc>
          <w:tcPr>
            <w:tcW w:w="500" w:type="dxa"/>
            <w:vAlign w:val="bottom"/>
          </w:tcPr>
          <w:p>
            <w:pPr>
              <w:spacing w:after="0"/>
              <w:rPr>
                <w:sz w:val="24"/>
                <w:szCs w:val="24"/>
                <w:color w:val="auto"/>
              </w:rPr>
            </w:pPr>
          </w:p>
        </w:tc>
        <w:tc>
          <w:tcPr>
            <w:tcW w:w="1580" w:type="dxa"/>
            <w:vAlign w:val="bottom"/>
          </w:tcPr>
          <w:p>
            <w:pPr>
              <w:jc w:val="right"/>
              <w:ind w:right="290"/>
              <w:spacing w:after="0"/>
              <w:rPr>
                <w:sz w:val="20"/>
                <w:szCs w:val="20"/>
                <w:color w:val="auto"/>
              </w:rPr>
            </w:pPr>
            <w:r>
              <w:rPr>
                <w:rFonts w:ascii="Arial" w:cs="Arial" w:eastAsia="Arial" w:hAnsi="Arial"/>
                <w:sz w:val="18"/>
                <w:szCs w:val="18"/>
                <w:color w:val="auto"/>
              </w:rPr>
              <w:t>150% of base</w:t>
            </w:r>
          </w:p>
        </w:tc>
        <w:tc>
          <w:tcPr>
            <w:tcW w:w="760" w:type="dxa"/>
            <w:vAlign w:val="bottom"/>
          </w:tcPr>
          <w:p>
            <w:pPr>
              <w:spacing w:after="0"/>
              <w:rPr>
                <w:sz w:val="24"/>
                <w:szCs w:val="24"/>
                <w:color w:val="auto"/>
              </w:rPr>
            </w:pPr>
          </w:p>
        </w:tc>
        <w:tc>
          <w:tcPr>
            <w:tcW w:w="1660" w:type="dxa"/>
            <w:vAlign w:val="bottom"/>
          </w:tcPr>
          <w:p>
            <w:pPr>
              <w:jc w:val="right"/>
              <w:ind w:right="270"/>
              <w:spacing w:after="0"/>
              <w:rPr>
                <w:sz w:val="20"/>
                <w:szCs w:val="20"/>
                <w:color w:val="auto"/>
              </w:rPr>
            </w:pPr>
            <w:r>
              <w:rPr>
                <w:rFonts w:ascii="Arial" w:cs="Arial" w:eastAsia="Arial" w:hAnsi="Arial"/>
                <w:sz w:val="18"/>
                <w:szCs w:val="18"/>
                <w:color w:val="auto"/>
              </w:rPr>
              <w:t>75% of base</w:t>
            </w:r>
          </w:p>
        </w:tc>
        <w:tc>
          <w:tcPr>
            <w:tcW w:w="620" w:type="dxa"/>
            <w:vAlign w:val="bottom"/>
          </w:tcPr>
          <w:p>
            <w:pPr>
              <w:spacing w:after="0"/>
              <w:rPr>
                <w:sz w:val="24"/>
                <w:szCs w:val="24"/>
                <w:color w:val="auto"/>
              </w:rPr>
            </w:pPr>
          </w:p>
        </w:tc>
        <w:tc>
          <w:tcPr>
            <w:tcW w:w="1560" w:type="dxa"/>
            <w:vAlign w:val="bottom"/>
            <w:tcBorders>
              <w:right w:val="single" w:sz="8" w:color="auto"/>
            </w:tcBorders>
          </w:tcPr>
          <w:p>
            <w:pPr>
              <w:jc w:val="right"/>
              <w:ind w:right="330"/>
              <w:spacing w:after="0"/>
              <w:rPr>
                <w:sz w:val="20"/>
                <w:szCs w:val="20"/>
                <w:color w:val="auto"/>
              </w:rPr>
            </w:pPr>
            <w:r>
              <w:rPr>
                <w:rFonts w:ascii="Arial" w:cs="Arial" w:eastAsia="Arial" w:hAnsi="Arial"/>
                <w:sz w:val="18"/>
                <w:szCs w:val="18"/>
                <w:color w:val="auto"/>
              </w:rPr>
              <w:t>75% of base</w:t>
            </w:r>
          </w:p>
        </w:tc>
      </w:tr>
      <w:tr>
        <w:trPr>
          <w:trHeight w:val="270"/>
        </w:trPr>
        <w:tc>
          <w:tcPr>
            <w:tcW w:w="4360" w:type="dxa"/>
            <w:vAlign w:val="bottom"/>
            <w:tcBorders>
              <w:left w:val="single" w:sz="8" w:color="auto"/>
            </w:tcBorders>
          </w:tcPr>
          <w:p>
            <w:pPr>
              <w:ind w:left="220"/>
              <w:spacing w:after="0"/>
              <w:rPr>
                <w:sz w:val="20"/>
                <w:szCs w:val="20"/>
                <w:color w:val="auto"/>
              </w:rPr>
            </w:pPr>
            <w:r>
              <w:rPr>
                <w:rFonts w:ascii="Arial" w:cs="Arial" w:eastAsia="Arial" w:hAnsi="Arial"/>
                <w:sz w:val="18"/>
                <w:szCs w:val="18"/>
                <w:b w:val="1"/>
                <w:bCs w:val="1"/>
                <w:color w:val="auto"/>
              </w:rPr>
              <w:t>Actual 2018 Bonus</w:t>
            </w:r>
          </w:p>
        </w:tc>
        <w:tc>
          <w:tcPr>
            <w:tcW w:w="500" w:type="dxa"/>
            <w:vAlign w:val="bottom"/>
          </w:tcPr>
          <w:p>
            <w:pPr>
              <w:ind w:left="320"/>
              <w:spacing w:after="0"/>
              <w:rPr>
                <w:sz w:val="20"/>
                <w:szCs w:val="20"/>
                <w:color w:val="auto"/>
              </w:rPr>
            </w:pPr>
            <w:r>
              <w:rPr>
                <w:rFonts w:ascii="Arial" w:cs="Arial" w:eastAsia="Arial" w:hAnsi="Arial"/>
                <w:sz w:val="18"/>
                <w:szCs w:val="18"/>
                <w:b w:val="1"/>
                <w:bCs w:val="1"/>
                <w:color w:val="auto"/>
              </w:rPr>
              <w:t>$</w:t>
            </w:r>
          </w:p>
        </w:tc>
        <w:tc>
          <w:tcPr>
            <w:tcW w:w="1580" w:type="dxa"/>
            <w:vAlign w:val="bottom"/>
          </w:tcPr>
          <w:p>
            <w:pPr>
              <w:jc w:val="right"/>
              <w:ind w:right="290"/>
              <w:spacing w:after="0"/>
              <w:rPr>
                <w:sz w:val="20"/>
                <w:szCs w:val="20"/>
                <w:color w:val="auto"/>
              </w:rPr>
            </w:pPr>
            <w:r>
              <w:rPr>
                <w:rFonts w:ascii="Arial" w:cs="Arial" w:eastAsia="Arial" w:hAnsi="Arial"/>
                <w:sz w:val="18"/>
                <w:szCs w:val="18"/>
                <w:b w:val="1"/>
                <w:bCs w:val="1"/>
                <w:color w:val="auto"/>
              </w:rPr>
              <w:t>1,781,250</w:t>
            </w:r>
          </w:p>
        </w:tc>
        <w:tc>
          <w:tcPr>
            <w:tcW w:w="760" w:type="dxa"/>
            <w:vAlign w:val="bottom"/>
          </w:tcPr>
          <w:p>
            <w:pPr>
              <w:ind w:left="360"/>
              <w:spacing w:after="0"/>
              <w:rPr>
                <w:sz w:val="20"/>
                <w:szCs w:val="20"/>
                <w:color w:val="auto"/>
              </w:rPr>
            </w:pPr>
            <w:r>
              <w:rPr>
                <w:rFonts w:ascii="Arial" w:cs="Arial" w:eastAsia="Arial" w:hAnsi="Arial"/>
                <w:sz w:val="18"/>
                <w:szCs w:val="18"/>
                <w:b w:val="1"/>
                <w:bCs w:val="1"/>
                <w:color w:val="auto"/>
              </w:rPr>
              <w:t>$</w:t>
            </w:r>
          </w:p>
        </w:tc>
        <w:tc>
          <w:tcPr>
            <w:tcW w:w="1660" w:type="dxa"/>
            <w:vAlign w:val="bottom"/>
          </w:tcPr>
          <w:p>
            <w:pPr>
              <w:jc w:val="right"/>
              <w:ind w:right="270"/>
              <w:spacing w:after="0"/>
              <w:rPr>
                <w:sz w:val="20"/>
                <w:szCs w:val="20"/>
                <w:color w:val="auto"/>
              </w:rPr>
            </w:pPr>
            <w:r>
              <w:rPr>
                <w:rFonts w:ascii="Arial" w:cs="Arial" w:eastAsia="Arial" w:hAnsi="Arial"/>
                <w:sz w:val="18"/>
                <w:szCs w:val="18"/>
                <w:b w:val="1"/>
                <w:bCs w:val="1"/>
                <w:color w:val="auto"/>
              </w:rPr>
              <w:t>445,313</w:t>
            </w:r>
          </w:p>
        </w:tc>
        <w:tc>
          <w:tcPr>
            <w:tcW w:w="620" w:type="dxa"/>
            <w:vAlign w:val="bottom"/>
          </w:tcPr>
          <w:p>
            <w:pPr>
              <w:ind w:left="380"/>
              <w:spacing w:after="0"/>
              <w:rPr>
                <w:sz w:val="20"/>
                <w:szCs w:val="20"/>
                <w:color w:val="auto"/>
              </w:rPr>
            </w:pPr>
            <w:r>
              <w:rPr>
                <w:rFonts w:ascii="Arial" w:cs="Arial" w:eastAsia="Arial" w:hAnsi="Arial"/>
                <w:sz w:val="18"/>
                <w:szCs w:val="18"/>
                <w:b w:val="1"/>
                <w:bCs w:val="1"/>
                <w:color w:val="auto"/>
              </w:rPr>
              <w:t>$</w:t>
            </w:r>
          </w:p>
        </w:tc>
        <w:tc>
          <w:tcPr>
            <w:tcW w:w="1560" w:type="dxa"/>
            <w:vAlign w:val="bottom"/>
            <w:tcBorders>
              <w:right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421,875</w:t>
            </w:r>
          </w:p>
        </w:tc>
      </w:tr>
      <w:tr>
        <w:trPr>
          <w:trHeight w:val="311"/>
        </w:trPr>
        <w:tc>
          <w:tcPr>
            <w:tcW w:w="4360" w:type="dxa"/>
            <w:vAlign w:val="bottom"/>
            <w:tcBorders>
              <w:left w:val="single" w:sz="8" w:color="auto"/>
            </w:tcBorders>
          </w:tcPr>
          <w:p>
            <w:pPr>
              <w:ind w:left="220"/>
              <w:spacing w:after="0"/>
              <w:rPr>
                <w:sz w:val="20"/>
                <w:szCs w:val="20"/>
                <w:color w:val="auto"/>
              </w:rPr>
            </w:pPr>
            <w:r>
              <w:rPr>
                <w:rFonts w:ascii="Arial" w:cs="Arial" w:eastAsia="Arial" w:hAnsi="Arial"/>
                <w:sz w:val="18"/>
                <w:szCs w:val="18"/>
                <w:color w:val="auto"/>
              </w:rPr>
              <w:t>LTIAP</w:t>
            </w:r>
          </w:p>
        </w:tc>
        <w:tc>
          <w:tcPr>
            <w:tcW w:w="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60" w:type="dxa"/>
            <w:vAlign w:val="bottom"/>
            <w:tcBorders>
              <w:right w:val="single" w:sz="8" w:color="auto"/>
            </w:tcBorders>
          </w:tcPr>
          <w:p>
            <w:pPr>
              <w:spacing w:after="0"/>
              <w:rPr>
                <w:sz w:val="24"/>
                <w:szCs w:val="24"/>
                <w:color w:val="auto"/>
              </w:rPr>
            </w:pPr>
          </w:p>
        </w:tc>
      </w:tr>
      <w:tr>
        <w:trPr>
          <w:trHeight w:val="270"/>
        </w:trPr>
        <w:tc>
          <w:tcPr>
            <w:tcW w:w="4360" w:type="dxa"/>
            <w:vAlign w:val="bottom"/>
            <w:tcBorders>
              <w:left w:val="single" w:sz="8" w:color="auto"/>
            </w:tcBorders>
          </w:tcPr>
          <w:p>
            <w:pPr>
              <w:ind w:left="620"/>
              <w:spacing w:after="0"/>
              <w:rPr>
                <w:sz w:val="20"/>
                <w:szCs w:val="20"/>
                <w:color w:val="auto"/>
              </w:rPr>
            </w:pPr>
            <w:r>
              <w:rPr>
                <w:rFonts w:ascii="Arial" w:cs="Arial" w:eastAsia="Arial" w:hAnsi="Arial"/>
                <w:sz w:val="18"/>
                <w:szCs w:val="18"/>
                <w:color w:val="auto"/>
              </w:rPr>
              <w:t>Threshold</w:t>
            </w:r>
          </w:p>
        </w:tc>
        <w:tc>
          <w:tcPr>
            <w:tcW w:w="500" w:type="dxa"/>
            <w:vAlign w:val="bottom"/>
          </w:tcPr>
          <w:p>
            <w:pPr>
              <w:ind w:left="32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290"/>
              <w:spacing w:after="0"/>
              <w:rPr>
                <w:sz w:val="20"/>
                <w:szCs w:val="20"/>
                <w:color w:val="auto"/>
              </w:rPr>
            </w:pPr>
            <w:r>
              <w:rPr>
                <w:rFonts w:ascii="Arial" w:cs="Arial" w:eastAsia="Arial" w:hAnsi="Arial"/>
                <w:sz w:val="18"/>
                <w:szCs w:val="18"/>
                <w:color w:val="auto"/>
              </w:rPr>
              <w:t>2,500,000</w:t>
            </w:r>
          </w:p>
        </w:tc>
        <w:tc>
          <w:tcPr>
            <w:tcW w:w="760" w:type="dxa"/>
            <w:vAlign w:val="bottom"/>
          </w:tcPr>
          <w:p>
            <w:pPr>
              <w:ind w:left="36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270"/>
              <w:spacing w:after="0"/>
              <w:rPr>
                <w:sz w:val="20"/>
                <w:szCs w:val="20"/>
                <w:color w:val="auto"/>
              </w:rPr>
            </w:pPr>
            <w:r>
              <w:rPr>
                <w:rFonts w:ascii="Arial" w:cs="Arial" w:eastAsia="Arial" w:hAnsi="Arial"/>
                <w:sz w:val="18"/>
                <w:szCs w:val="18"/>
                <w:color w:val="auto"/>
              </w:rPr>
              <w:t>600,000</w:t>
            </w:r>
          </w:p>
        </w:tc>
        <w:tc>
          <w:tcPr>
            <w:tcW w:w="620" w:type="dxa"/>
            <w:vAlign w:val="bottom"/>
          </w:tcPr>
          <w:p>
            <w:pPr>
              <w:ind w:left="380"/>
              <w:spacing w:after="0"/>
              <w:rPr>
                <w:sz w:val="20"/>
                <w:szCs w:val="20"/>
                <w:color w:val="auto"/>
              </w:rPr>
            </w:pPr>
            <w:r>
              <w:rPr>
                <w:rFonts w:ascii="Arial" w:cs="Arial" w:eastAsia="Arial" w:hAnsi="Arial"/>
                <w:sz w:val="18"/>
                <w:szCs w:val="18"/>
                <w:color w:val="auto"/>
              </w:rPr>
              <w:t>$</w:t>
            </w:r>
          </w:p>
        </w:tc>
        <w:tc>
          <w:tcPr>
            <w:tcW w:w="1560" w:type="dxa"/>
            <w:vAlign w:val="bottom"/>
            <w:tcBorders>
              <w:right w:val="single" w:sz="8" w:color="auto"/>
            </w:tcBorders>
          </w:tcPr>
          <w:p>
            <w:pPr>
              <w:jc w:val="right"/>
              <w:ind w:right="330"/>
              <w:spacing w:after="0"/>
              <w:rPr>
                <w:sz w:val="20"/>
                <w:szCs w:val="20"/>
                <w:color w:val="auto"/>
              </w:rPr>
            </w:pPr>
            <w:r>
              <w:rPr>
                <w:rFonts w:ascii="Arial" w:cs="Arial" w:eastAsia="Arial" w:hAnsi="Arial"/>
                <w:sz w:val="18"/>
                <w:szCs w:val="18"/>
                <w:color w:val="auto"/>
              </w:rPr>
              <w:t>300,000</w:t>
            </w:r>
          </w:p>
        </w:tc>
      </w:tr>
      <w:tr>
        <w:trPr>
          <w:trHeight w:val="270"/>
        </w:trPr>
        <w:tc>
          <w:tcPr>
            <w:tcW w:w="4360" w:type="dxa"/>
            <w:vAlign w:val="bottom"/>
            <w:tcBorders>
              <w:left w:val="single" w:sz="8" w:color="auto"/>
            </w:tcBorders>
          </w:tcPr>
          <w:p>
            <w:pPr>
              <w:ind w:left="620"/>
              <w:spacing w:after="0"/>
              <w:rPr>
                <w:sz w:val="20"/>
                <w:szCs w:val="20"/>
                <w:color w:val="auto"/>
              </w:rPr>
            </w:pPr>
            <w:r>
              <w:rPr>
                <w:rFonts w:ascii="Arial" w:cs="Arial" w:eastAsia="Arial" w:hAnsi="Arial"/>
                <w:sz w:val="18"/>
                <w:szCs w:val="18"/>
                <w:color w:val="auto"/>
              </w:rPr>
              <w:t>Target</w:t>
            </w:r>
          </w:p>
        </w:tc>
        <w:tc>
          <w:tcPr>
            <w:tcW w:w="500" w:type="dxa"/>
            <w:vAlign w:val="bottom"/>
          </w:tcPr>
          <w:p>
            <w:pPr>
              <w:ind w:left="32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290"/>
              <w:spacing w:after="0"/>
              <w:rPr>
                <w:sz w:val="20"/>
                <w:szCs w:val="20"/>
                <w:color w:val="auto"/>
              </w:rPr>
            </w:pPr>
            <w:r>
              <w:rPr>
                <w:rFonts w:ascii="Arial" w:cs="Arial" w:eastAsia="Arial" w:hAnsi="Arial"/>
                <w:sz w:val="18"/>
                <w:szCs w:val="18"/>
                <w:color w:val="auto"/>
              </w:rPr>
              <w:t>5,000,000</w:t>
            </w:r>
          </w:p>
        </w:tc>
        <w:tc>
          <w:tcPr>
            <w:tcW w:w="760" w:type="dxa"/>
            <w:vAlign w:val="bottom"/>
          </w:tcPr>
          <w:p>
            <w:pPr>
              <w:ind w:left="36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270"/>
              <w:spacing w:after="0"/>
              <w:rPr>
                <w:sz w:val="20"/>
                <w:szCs w:val="20"/>
                <w:color w:val="auto"/>
              </w:rPr>
            </w:pPr>
            <w:r>
              <w:rPr>
                <w:rFonts w:ascii="Arial" w:cs="Arial" w:eastAsia="Arial" w:hAnsi="Arial"/>
                <w:sz w:val="18"/>
                <w:szCs w:val="18"/>
                <w:color w:val="auto"/>
              </w:rPr>
              <w:t>900,000</w:t>
            </w:r>
          </w:p>
        </w:tc>
        <w:tc>
          <w:tcPr>
            <w:tcW w:w="620" w:type="dxa"/>
            <w:vAlign w:val="bottom"/>
          </w:tcPr>
          <w:p>
            <w:pPr>
              <w:ind w:left="380"/>
              <w:spacing w:after="0"/>
              <w:rPr>
                <w:sz w:val="20"/>
                <w:szCs w:val="20"/>
                <w:color w:val="auto"/>
              </w:rPr>
            </w:pPr>
            <w:r>
              <w:rPr>
                <w:rFonts w:ascii="Arial" w:cs="Arial" w:eastAsia="Arial" w:hAnsi="Arial"/>
                <w:sz w:val="18"/>
                <w:szCs w:val="18"/>
                <w:color w:val="auto"/>
              </w:rPr>
              <w:t>$</w:t>
            </w:r>
          </w:p>
        </w:tc>
        <w:tc>
          <w:tcPr>
            <w:tcW w:w="1560" w:type="dxa"/>
            <w:vAlign w:val="bottom"/>
            <w:tcBorders>
              <w:right w:val="single" w:sz="8" w:color="auto"/>
            </w:tcBorders>
          </w:tcPr>
          <w:p>
            <w:pPr>
              <w:jc w:val="right"/>
              <w:ind w:right="330"/>
              <w:spacing w:after="0"/>
              <w:rPr>
                <w:sz w:val="20"/>
                <w:szCs w:val="20"/>
                <w:color w:val="auto"/>
              </w:rPr>
            </w:pPr>
            <w:r>
              <w:rPr>
                <w:rFonts w:ascii="Arial" w:cs="Arial" w:eastAsia="Arial" w:hAnsi="Arial"/>
                <w:sz w:val="18"/>
                <w:szCs w:val="18"/>
                <w:color w:val="auto"/>
              </w:rPr>
              <w:t>600,000</w:t>
            </w:r>
          </w:p>
        </w:tc>
      </w:tr>
      <w:tr>
        <w:trPr>
          <w:trHeight w:val="270"/>
        </w:trPr>
        <w:tc>
          <w:tcPr>
            <w:tcW w:w="4360" w:type="dxa"/>
            <w:vAlign w:val="bottom"/>
            <w:tcBorders>
              <w:left w:val="single" w:sz="8" w:color="auto"/>
            </w:tcBorders>
          </w:tcPr>
          <w:p>
            <w:pPr>
              <w:ind w:left="620"/>
              <w:spacing w:after="0"/>
              <w:rPr>
                <w:sz w:val="20"/>
                <w:szCs w:val="20"/>
                <w:color w:val="auto"/>
              </w:rPr>
            </w:pPr>
            <w:r>
              <w:rPr>
                <w:rFonts w:ascii="Arial" w:cs="Arial" w:eastAsia="Arial" w:hAnsi="Arial"/>
                <w:sz w:val="18"/>
                <w:szCs w:val="18"/>
                <w:color w:val="auto"/>
              </w:rPr>
              <w:t>Stretch</w:t>
            </w:r>
          </w:p>
        </w:tc>
        <w:tc>
          <w:tcPr>
            <w:tcW w:w="500" w:type="dxa"/>
            <w:vAlign w:val="bottom"/>
          </w:tcPr>
          <w:p>
            <w:pPr>
              <w:ind w:left="32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290"/>
              <w:spacing w:after="0"/>
              <w:rPr>
                <w:sz w:val="20"/>
                <w:szCs w:val="20"/>
                <w:color w:val="auto"/>
              </w:rPr>
            </w:pPr>
            <w:r>
              <w:rPr>
                <w:rFonts w:ascii="Arial" w:cs="Arial" w:eastAsia="Arial" w:hAnsi="Arial"/>
                <w:sz w:val="18"/>
                <w:szCs w:val="18"/>
                <w:color w:val="auto"/>
              </w:rPr>
              <w:t>7,500,000</w:t>
            </w:r>
          </w:p>
        </w:tc>
        <w:tc>
          <w:tcPr>
            <w:tcW w:w="760" w:type="dxa"/>
            <w:vAlign w:val="bottom"/>
          </w:tcPr>
          <w:p>
            <w:pPr>
              <w:ind w:left="36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270"/>
              <w:spacing w:after="0"/>
              <w:rPr>
                <w:sz w:val="20"/>
                <w:szCs w:val="20"/>
                <w:color w:val="auto"/>
              </w:rPr>
            </w:pPr>
            <w:r>
              <w:rPr>
                <w:rFonts w:ascii="Arial" w:cs="Arial" w:eastAsia="Arial" w:hAnsi="Arial"/>
                <w:sz w:val="18"/>
                <w:szCs w:val="18"/>
                <w:color w:val="auto"/>
              </w:rPr>
              <w:t>1,200,000</w:t>
            </w:r>
          </w:p>
        </w:tc>
        <w:tc>
          <w:tcPr>
            <w:tcW w:w="620" w:type="dxa"/>
            <w:vAlign w:val="bottom"/>
          </w:tcPr>
          <w:p>
            <w:pPr>
              <w:ind w:left="380"/>
              <w:spacing w:after="0"/>
              <w:rPr>
                <w:sz w:val="20"/>
                <w:szCs w:val="20"/>
                <w:color w:val="auto"/>
              </w:rPr>
            </w:pPr>
            <w:r>
              <w:rPr>
                <w:rFonts w:ascii="Arial" w:cs="Arial" w:eastAsia="Arial" w:hAnsi="Arial"/>
                <w:sz w:val="18"/>
                <w:szCs w:val="18"/>
                <w:color w:val="auto"/>
              </w:rPr>
              <w:t>$</w:t>
            </w:r>
          </w:p>
        </w:tc>
        <w:tc>
          <w:tcPr>
            <w:tcW w:w="1560" w:type="dxa"/>
            <w:vAlign w:val="bottom"/>
            <w:tcBorders>
              <w:right w:val="single" w:sz="8" w:color="auto"/>
            </w:tcBorders>
          </w:tcPr>
          <w:p>
            <w:pPr>
              <w:jc w:val="right"/>
              <w:ind w:right="330"/>
              <w:spacing w:after="0"/>
              <w:rPr>
                <w:sz w:val="20"/>
                <w:szCs w:val="20"/>
                <w:color w:val="auto"/>
              </w:rPr>
            </w:pPr>
            <w:r>
              <w:rPr>
                <w:rFonts w:ascii="Arial" w:cs="Arial" w:eastAsia="Arial" w:hAnsi="Arial"/>
                <w:sz w:val="18"/>
                <w:szCs w:val="18"/>
                <w:color w:val="auto"/>
              </w:rPr>
              <w:t>900,000</w:t>
            </w:r>
          </w:p>
        </w:tc>
      </w:tr>
      <w:tr>
        <w:trPr>
          <w:trHeight w:val="270"/>
        </w:trPr>
        <w:tc>
          <w:tcPr>
            <w:tcW w:w="4360" w:type="dxa"/>
            <w:vAlign w:val="bottom"/>
            <w:tcBorders>
              <w:left w:val="single" w:sz="8" w:color="auto"/>
            </w:tcBorders>
          </w:tcPr>
          <w:p>
            <w:pPr>
              <w:ind w:left="220"/>
              <w:spacing w:after="0"/>
              <w:rPr>
                <w:sz w:val="20"/>
                <w:szCs w:val="20"/>
                <w:color w:val="auto"/>
              </w:rPr>
            </w:pPr>
            <w:r>
              <w:rPr>
                <w:rFonts w:ascii="Arial" w:cs="Arial" w:eastAsia="Arial" w:hAnsi="Arial"/>
                <w:sz w:val="18"/>
                <w:szCs w:val="18"/>
                <w:color w:val="auto"/>
              </w:rPr>
              <w:t>Calculated 2018 LTIAP</w:t>
            </w:r>
          </w:p>
        </w:tc>
        <w:tc>
          <w:tcPr>
            <w:tcW w:w="500" w:type="dxa"/>
            <w:vAlign w:val="bottom"/>
          </w:tcPr>
          <w:p>
            <w:pPr>
              <w:ind w:left="32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290"/>
              <w:spacing w:after="0"/>
              <w:rPr>
                <w:sz w:val="20"/>
                <w:szCs w:val="20"/>
                <w:color w:val="auto"/>
              </w:rPr>
            </w:pPr>
            <w:r>
              <w:rPr>
                <w:rFonts w:ascii="Arial" w:cs="Arial" w:eastAsia="Arial" w:hAnsi="Arial"/>
                <w:sz w:val="18"/>
                <w:szCs w:val="18"/>
                <w:color w:val="auto"/>
              </w:rPr>
              <w:t>4,500,000</w:t>
            </w:r>
          </w:p>
        </w:tc>
        <w:tc>
          <w:tcPr>
            <w:tcW w:w="760" w:type="dxa"/>
            <w:vAlign w:val="bottom"/>
          </w:tcPr>
          <w:p>
            <w:pPr>
              <w:ind w:left="36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270"/>
              <w:spacing w:after="0"/>
              <w:rPr>
                <w:sz w:val="20"/>
                <w:szCs w:val="20"/>
                <w:color w:val="auto"/>
              </w:rPr>
            </w:pPr>
            <w:r>
              <w:rPr>
                <w:rFonts w:ascii="Arial" w:cs="Arial" w:eastAsia="Arial" w:hAnsi="Arial"/>
                <w:sz w:val="18"/>
                <w:szCs w:val="18"/>
                <w:color w:val="auto"/>
              </w:rPr>
              <w:t>765,000</w:t>
            </w:r>
          </w:p>
        </w:tc>
        <w:tc>
          <w:tcPr>
            <w:tcW w:w="620" w:type="dxa"/>
            <w:vAlign w:val="bottom"/>
          </w:tcPr>
          <w:p>
            <w:pPr>
              <w:ind w:left="380"/>
              <w:spacing w:after="0"/>
              <w:rPr>
                <w:sz w:val="20"/>
                <w:szCs w:val="20"/>
                <w:color w:val="auto"/>
              </w:rPr>
            </w:pPr>
            <w:r>
              <w:rPr>
                <w:rFonts w:ascii="Arial" w:cs="Arial" w:eastAsia="Arial" w:hAnsi="Arial"/>
                <w:sz w:val="18"/>
                <w:szCs w:val="18"/>
                <w:color w:val="auto"/>
              </w:rPr>
              <w:t>$</w:t>
            </w:r>
          </w:p>
        </w:tc>
        <w:tc>
          <w:tcPr>
            <w:tcW w:w="1560" w:type="dxa"/>
            <w:vAlign w:val="bottom"/>
            <w:tcBorders>
              <w:right w:val="single" w:sz="8" w:color="auto"/>
            </w:tcBorders>
          </w:tcPr>
          <w:p>
            <w:pPr>
              <w:jc w:val="right"/>
              <w:ind w:right="330"/>
              <w:spacing w:after="0"/>
              <w:rPr>
                <w:sz w:val="20"/>
                <w:szCs w:val="20"/>
                <w:color w:val="auto"/>
              </w:rPr>
            </w:pPr>
            <w:r>
              <w:rPr>
                <w:rFonts w:ascii="Arial" w:cs="Arial" w:eastAsia="Arial" w:hAnsi="Arial"/>
                <w:sz w:val="18"/>
                <w:szCs w:val="18"/>
                <w:color w:val="auto"/>
              </w:rPr>
              <w:t>540,000</w:t>
            </w:r>
          </w:p>
        </w:tc>
      </w:tr>
      <w:tr>
        <w:trPr>
          <w:trHeight w:val="270"/>
        </w:trPr>
        <w:tc>
          <w:tcPr>
            <w:tcW w:w="4360" w:type="dxa"/>
            <w:vAlign w:val="bottom"/>
            <w:tcBorders>
              <w:left w:val="single" w:sz="8" w:color="auto"/>
            </w:tcBorders>
          </w:tcPr>
          <w:p>
            <w:pPr>
              <w:ind w:left="220"/>
              <w:spacing w:after="0"/>
              <w:rPr>
                <w:sz w:val="20"/>
                <w:szCs w:val="20"/>
                <w:color w:val="auto"/>
              </w:rPr>
            </w:pPr>
            <w:r>
              <w:rPr>
                <w:rFonts w:ascii="Arial" w:cs="Arial" w:eastAsia="Arial" w:hAnsi="Arial"/>
                <w:sz w:val="18"/>
                <w:szCs w:val="18"/>
                <w:b w:val="1"/>
                <w:bCs w:val="1"/>
                <w:color w:val="auto"/>
              </w:rPr>
              <w:t>Actual 2018 LTIAP</w:t>
            </w:r>
          </w:p>
        </w:tc>
        <w:tc>
          <w:tcPr>
            <w:tcW w:w="500" w:type="dxa"/>
            <w:vAlign w:val="bottom"/>
          </w:tcPr>
          <w:p>
            <w:pPr>
              <w:ind w:left="320"/>
              <w:spacing w:after="0"/>
              <w:rPr>
                <w:sz w:val="20"/>
                <w:szCs w:val="20"/>
                <w:color w:val="auto"/>
              </w:rPr>
            </w:pPr>
            <w:r>
              <w:rPr>
                <w:rFonts w:ascii="Arial" w:cs="Arial" w:eastAsia="Arial" w:hAnsi="Arial"/>
                <w:sz w:val="18"/>
                <w:szCs w:val="18"/>
                <w:b w:val="1"/>
                <w:bCs w:val="1"/>
                <w:color w:val="auto"/>
              </w:rPr>
              <w:t>$</w:t>
            </w:r>
          </w:p>
        </w:tc>
        <w:tc>
          <w:tcPr>
            <w:tcW w:w="1580" w:type="dxa"/>
            <w:vAlign w:val="bottom"/>
          </w:tcPr>
          <w:p>
            <w:pPr>
              <w:jc w:val="right"/>
              <w:ind w:right="290"/>
              <w:spacing w:after="0"/>
              <w:rPr>
                <w:sz w:val="20"/>
                <w:szCs w:val="20"/>
                <w:color w:val="auto"/>
              </w:rPr>
            </w:pPr>
            <w:r>
              <w:rPr>
                <w:rFonts w:ascii="Arial" w:cs="Arial" w:eastAsia="Arial" w:hAnsi="Arial"/>
                <w:sz w:val="18"/>
                <w:szCs w:val="18"/>
                <w:b w:val="1"/>
                <w:bCs w:val="1"/>
                <w:color w:val="auto"/>
              </w:rPr>
              <w:t>5,000,000</w:t>
            </w:r>
          </w:p>
        </w:tc>
        <w:tc>
          <w:tcPr>
            <w:tcW w:w="760" w:type="dxa"/>
            <w:vAlign w:val="bottom"/>
          </w:tcPr>
          <w:p>
            <w:pPr>
              <w:ind w:left="360"/>
              <w:spacing w:after="0"/>
              <w:rPr>
                <w:sz w:val="20"/>
                <w:szCs w:val="20"/>
                <w:color w:val="auto"/>
              </w:rPr>
            </w:pPr>
            <w:r>
              <w:rPr>
                <w:rFonts w:ascii="Arial" w:cs="Arial" w:eastAsia="Arial" w:hAnsi="Arial"/>
                <w:sz w:val="18"/>
                <w:szCs w:val="18"/>
                <w:b w:val="1"/>
                <w:bCs w:val="1"/>
                <w:color w:val="auto"/>
              </w:rPr>
              <w:t>$</w:t>
            </w:r>
          </w:p>
        </w:tc>
        <w:tc>
          <w:tcPr>
            <w:tcW w:w="1660" w:type="dxa"/>
            <w:vAlign w:val="bottom"/>
          </w:tcPr>
          <w:p>
            <w:pPr>
              <w:jc w:val="right"/>
              <w:ind w:right="270"/>
              <w:spacing w:after="0"/>
              <w:rPr>
                <w:sz w:val="20"/>
                <w:szCs w:val="20"/>
                <w:color w:val="auto"/>
              </w:rPr>
            </w:pPr>
            <w:r>
              <w:rPr>
                <w:rFonts w:ascii="Arial" w:cs="Arial" w:eastAsia="Arial" w:hAnsi="Arial"/>
                <w:sz w:val="18"/>
                <w:szCs w:val="18"/>
                <w:b w:val="1"/>
                <w:bCs w:val="1"/>
                <w:color w:val="auto"/>
              </w:rPr>
              <w:t>900,000</w:t>
            </w:r>
          </w:p>
        </w:tc>
        <w:tc>
          <w:tcPr>
            <w:tcW w:w="620" w:type="dxa"/>
            <w:vAlign w:val="bottom"/>
          </w:tcPr>
          <w:p>
            <w:pPr>
              <w:ind w:left="380"/>
              <w:spacing w:after="0"/>
              <w:rPr>
                <w:sz w:val="20"/>
                <w:szCs w:val="20"/>
                <w:color w:val="auto"/>
              </w:rPr>
            </w:pPr>
            <w:r>
              <w:rPr>
                <w:rFonts w:ascii="Arial" w:cs="Arial" w:eastAsia="Arial" w:hAnsi="Arial"/>
                <w:sz w:val="18"/>
                <w:szCs w:val="18"/>
                <w:b w:val="1"/>
                <w:bCs w:val="1"/>
                <w:color w:val="auto"/>
              </w:rPr>
              <w:t>$</w:t>
            </w:r>
          </w:p>
        </w:tc>
        <w:tc>
          <w:tcPr>
            <w:tcW w:w="1560" w:type="dxa"/>
            <w:vAlign w:val="bottom"/>
            <w:tcBorders>
              <w:right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600,000</w:t>
            </w:r>
          </w:p>
        </w:tc>
      </w:tr>
      <w:tr>
        <w:trPr>
          <w:trHeight w:val="311"/>
        </w:trPr>
        <w:tc>
          <w:tcPr>
            <w:tcW w:w="4360" w:type="dxa"/>
            <w:vAlign w:val="bottom"/>
            <w:tcBorders>
              <w:left w:val="single" w:sz="8" w:color="auto"/>
            </w:tcBorders>
          </w:tcPr>
          <w:p>
            <w:pPr>
              <w:ind w:left="220"/>
              <w:spacing w:after="0"/>
              <w:rPr>
                <w:sz w:val="20"/>
                <w:szCs w:val="20"/>
                <w:color w:val="auto"/>
              </w:rPr>
            </w:pPr>
            <w:r>
              <w:rPr>
                <w:rFonts w:ascii="Arial" w:cs="Arial" w:eastAsia="Arial" w:hAnsi="Arial"/>
                <w:sz w:val="18"/>
                <w:szCs w:val="18"/>
                <w:color w:val="auto"/>
              </w:rPr>
              <w:t>Supplemental Cash Bonus</w:t>
            </w:r>
          </w:p>
        </w:tc>
        <w:tc>
          <w:tcPr>
            <w:tcW w:w="500" w:type="dxa"/>
            <w:vAlign w:val="bottom"/>
          </w:tcPr>
          <w:p>
            <w:pPr>
              <w:ind w:left="320"/>
              <w:spacing w:after="0"/>
              <w:rPr>
                <w:sz w:val="20"/>
                <w:szCs w:val="20"/>
                <w:color w:val="auto"/>
              </w:rPr>
            </w:pPr>
            <w:r>
              <w:rPr>
                <w:rFonts w:ascii="Arial" w:cs="Arial" w:eastAsia="Arial" w:hAnsi="Arial"/>
                <w:sz w:val="18"/>
                <w:szCs w:val="18"/>
                <w:b w:val="1"/>
                <w:bCs w:val="1"/>
                <w:color w:val="auto"/>
              </w:rPr>
              <w:t>$</w:t>
            </w:r>
          </w:p>
        </w:tc>
        <w:tc>
          <w:tcPr>
            <w:tcW w:w="1580" w:type="dxa"/>
            <w:vAlign w:val="bottom"/>
          </w:tcPr>
          <w:p>
            <w:pPr>
              <w:jc w:val="right"/>
              <w:ind w:right="290"/>
              <w:spacing w:after="0"/>
              <w:rPr>
                <w:sz w:val="20"/>
                <w:szCs w:val="20"/>
                <w:color w:val="auto"/>
              </w:rPr>
            </w:pPr>
            <w:r>
              <w:rPr>
                <w:rFonts w:ascii="Arial" w:cs="Arial" w:eastAsia="Arial" w:hAnsi="Arial"/>
                <w:sz w:val="18"/>
                <w:szCs w:val="18"/>
                <w:b w:val="1"/>
                <w:bCs w:val="1"/>
                <w:color w:val="auto"/>
              </w:rPr>
              <w:t>0</w:t>
            </w:r>
          </w:p>
        </w:tc>
        <w:tc>
          <w:tcPr>
            <w:tcW w:w="760" w:type="dxa"/>
            <w:vAlign w:val="bottom"/>
          </w:tcPr>
          <w:p>
            <w:pPr>
              <w:ind w:left="360"/>
              <w:spacing w:after="0"/>
              <w:rPr>
                <w:sz w:val="20"/>
                <w:szCs w:val="20"/>
                <w:color w:val="auto"/>
              </w:rPr>
            </w:pPr>
            <w:r>
              <w:rPr>
                <w:rFonts w:ascii="Arial" w:cs="Arial" w:eastAsia="Arial" w:hAnsi="Arial"/>
                <w:sz w:val="18"/>
                <w:szCs w:val="18"/>
                <w:b w:val="1"/>
                <w:bCs w:val="1"/>
                <w:color w:val="auto"/>
              </w:rPr>
              <w:t>$</w:t>
            </w:r>
          </w:p>
        </w:tc>
        <w:tc>
          <w:tcPr>
            <w:tcW w:w="1660" w:type="dxa"/>
            <w:vAlign w:val="bottom"/>
          </w:tcPr>
          <w:p>
            <w:pPr>
              <w:jc w:val="right"/>
              <w:ind w:right="270"/>
              <w:spacing w:after="0"/>
              <w:rPr>
                <w:sz w:val="20"/>
                <w:szCs w:val="20"/>
                <w:color w:val="auto"/>
              </w:rPr>
            </w:pPr>
            <w:r>
              <w:rPr>
                <w:rFonts w:ascii="Arial" w:cs="Arial" w:eastAsia="Arial" w:hAnsi="Arial"/>
                <w:sz w:val="18"/>
                <w:szCs w:val="18"/>
                <w:b w:val="1"/>
                <w:bCs w:val="1"/>
                <w:color w:val="auto"/>
              </w:rPr>
              <w:t>50,000</w:t>
            </w:r>
          </w:p>
        </w:tc>
        <w:tc>
          <w:tcPr>
            <w:tcW w:w="620" w:type="dxa"/>
            <w:vAlign w:val="bottom"/>
          </w:tcPr>
          <w:p>
            <w:pPr>
              <w:ind w:left="380"/>
              <w:spacing w:after="0"/>
              <w:rPr>
                <w:sz w:val="20"/>
                <w:szCs w:val="20"/>
                <w:color w:val="auto"/>
              </w:rPr>
            </w:pPr>
            <w:r>
              <w:rPr>
                <w:rFonts w:ascii="Arial" w:cs="Arial" w:eastAsia="Arial" w:hAnsi="Arial"/>
                <w:sz w:val="18"/>
                <w:szCs w:val="18"/>
                <w:b w:val="1"/>
                <w:bCs w:val="1"/>
                <w:color w:val="auto"/>
              </w:rPr>
              <w:t>$</w:t>
            </w:r>
          </w:p>
        </w:tc>
        <w:tc>
          <w:tcPr>
            <w:tcW w:w="1560" w:type="dxa"/>
            <w:vAlign w:val="bottom"/>
            <w:tcBorders>
              <w:right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50,000</w:t>
            </w:r>
          </w:p>
        </w:tc>
      </w:tr>
      <w:tr>
        <w:trPr>
          <w:trHeight w:val="297"/>
        </w:trPr>
        <w:tc>
          <w:tcPr>
            <w:tcW w:w="4360" w:type="dxa"/>
            <w:vAlign w:val="bottom"/>
            <w:tcBorders>
              <w:left w:val="single" w:sz="8" w:color="auto"/>
              <w:bottom w:val="single" w:sz="8" w:color="auto"/>
            </w:tcBorders>
          </w:tcPr>
          <w:p>
            <w:pPr>
              <w:ind w:left="220"/>
              <w:spacing w:after="0"/>
              <w:rPr>
                <w:sz w:val="20"/>
                <w:szCs w:val="20"/>
                <w:color w:val="auto"/>
              </w:rPr>
            </w:pPr>
            <w:r>
              <w:rPr>
                <w:rFonts w:ascii="Arial" w:cs="Arial" w:eastAsia="Arial" w:hAnsi="Arial"/>
                <w:sz w:val="18"/>
                <w:szCs w:val="18"/>
                <w:b w:val="1"/>
                <w:bCs w:val="1"/>
                <w:color w:val="auto"/>
              </w:rPr>
              <w:t>Total 2018 Comp</w:t>
            </w:r>
          </w:p>
        </w:tc>
        <w:tc>
          <w:tcPr>
            <w:tcW w:w="50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w:t>
            </w:r>
          </w:p>
        </w:tc>
        <w:tc>
          <w:tcPr>
            <w:tcW w:w="15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7,731,250</w:t>
            </w:r>
          </w:p>
        </w:tc>
        <w:tc>
          <w:tcPr>
            <w:tcW w:w="76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w:t>
            </w:r>
          </w:p>
        </w:tc>
        <w:tc>
          <w:tcPr>
            <w:tcW w:w="16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1,870,313</w:t>
            </w:r>
          </w:p>
        </w:tc>
        <w:tc>
          <w:tcPr>
            <w:tcW w:w="62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w:t>
            </w:r>
          </w:p>
        </w:tc>
        <w:tc>
          <w:tcPr>
            <w:tcW w:w="1560" w:type="dxa"/>
            <w:vAlign w:val="bottom"/>
            <w:tcBorders>
              <w:bottom w:val="single" w:sz="8" w:color="auto"/>
              <w:right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1,521,875</w:t>
            </w:r>
          </w:p>
        </w:tc>
      </w:tr>
      <w:tr>
        <w:trPr>
          <w:trHeight w:val="358"/>
        </w:trPr>
        <w:tc>
          <w:tcPr>
            <w:tcW w:w="4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80" w:type="dxa"/>
            <w:vAlign w:val="bottom"/>
          </w:tcPr>
          <w:p>
            <w:pPr>
              <w:jc w:val="right"/>
              <w:ind w:right="750"/>
              <w:spacing w:after="0"/>
              <w:rPr>
                <w:sz w:val="20"/>
                <w:szCs w:val="20"/>
                <w:color w:val="auto"/>
              </w:rPr>
            </w:pPr>
            <w:r>
              <w:rPr>
                <w:rFonts w:ascii="Arial" w:cs="Arial" w:eastAsia="Arial" w:hAnsi="Arial"/>
                <w:sz w:val="18"/>
                <w:szCs w:val="18"/>
                <w:color w:val="auto"/>
              </w:rPr>
              <w:t>21</w:t>
            </w:r>
          </w:p>
        </w:tc>
        <w:tc>
          <w:tcPr>
            <w:tcW w:w="7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spacing w:after="0" w:line="238" w:lineRule="auto"/>
        <w:rPr>
          <w:sz w:val="20"/>
          <w:szCs w:val="20"/>
          <w:color w:val="auto"/>
        </w:rPr>
      </w:pPr>
      <w:r>
        <w:rPr>
          <w:rFonts w:ascii="Arial" w:cs="Arial" w:eastAsia="Arial" w:hAnsi="Arial"/>
          <w:sz w:val="18"/>
          <w:szCs w:val="18"/>
          <w:color w:val="auto"/>
        </w:rPr>
        <w:t>The amounts set forth above for the annual performance bonus and performance based, long-term equity program differ from the amounts shown for 2018 in the Summary Compensation Table because the chart above reflects the amount earned for the year while the Summary Compensation Table reflects these amounts in the year in which they are paid regardless of the time period during which those amounts were earned. We believe the chart above is helpful because it allows the actual compensation earned for 2018 to be understood in the context of the Trust’s financial and other performance for the performance periods ending in 2018.</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Benefits</w:t>
      </w:r>
    </w:p>
    <w:p>
      <w:pPr>
        <w:spacing w:after="0" w:line="207" w:lineRule="exact"/>
        <w:rPr>
          <w:sz w:val="20"/>
          <w:szCs w:val="20"/>
          <w:color w:val="auto"/>
        </w:rPr>
      </w:pPr>
    </w:p>
    <w:p>
      <w:pPr>
        <w:jc w:val="both"/>
        <w:ind w:left="200"/>
        <w:spacing w:after="0" w:line="236" w:lineRule="auto"/>
        <w:rPr>
          <w:sz w:val="20"/>
          <w:szCs w:val="20"/>
          <w:color w:val="auto"/>
        </w:rPr>
      </w:pPr>
      <w:r>
        <w:rPr>
          <w:rFonts w:ascii="Arial" w:cs="Arial" w:eastAsia="Arial" w:hAnsi="Arial"/>
          <w:sz w:val="18"/>
          <w:szCs w:val="18"/>
          <w:color w:val="auto"/>
        </w:rPr>
        <w:t>We provide other health and welfare benefits to our NEOs on the same basis as we provide those benefits to all employees. In addition to those benefits, we provide to Mr. Wood, his spouse and his dependents continuation of health coverage after Mr. Wood’s termination upon death, disability, retirement, change in control or otherwise (other than a termination with cause or resignation). This coverage will continue as to Mr. Wood and his spouse until their death, or with respect to his spouse until divorce, if earlier, and coverage continues for three of Mr. Wood’s children until each reaches age twenty-five and as to one of the children, until her death. We are required to provide coverage of at least the same level as provided to Mr. Wood and his family at the time of his termination and such coverage will be secondary to certain other coverages that may be available to Mr. Wood and his family. This agreement has been in place and remained unchanged since 2008.</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Compensation Considerations</w:t>
      </w:r>
    </w:p>
    <w:p>
      <w:pPr>
        <w:spacing w:after="0" w:line="171" w:lineRule="exact"/>
        <w:rPr>
          <w:sz w:val="20"/>
          <w:szCs w:val="20"/>
          <w:color w:val="auto"/>
        </w:rPr>
      </w:pPr>
    </w:p>
    <w:p>
      <w:pPr>
        <w:jc w:val="both"/>
        <w:ind w:left="640"/>
        <w:spacing w:after="0" w:line="247" w:lineRule="auto"/>
        <w:rPr>
          <w:sz w:val="20"/>
          <w:szCs w:val="20"/>
          <w:color w:val="auto"/>
        </w:rPr>
      </w:pPr>
      <w:r>
        <w:rPr>
          <w:rFonts w:ascii="Arial" w:cs="Arial" w:eastAsia="Arial" w:hAnsi="Arial"/>
          <w:sz w:val="18"/>
          <w:szCs w:val="18"/>
          <w:b w:val="1"/>
          <w:bCs w:val="1"/>
          <w:color w:val="auto"/>
        </w:rPr>
        <w:t xml:space="preserve">Equity Ownership: </w:t>
      </w:r>
      <w:r>
        <w:rPr>
          <w:rFonts w:ascii="Arial" w:cs="Arial" w:eastAsia="Arial" w:hAnsi="Arial"/>
          <w:sz w:val="18"/>
          <w:szCs w:val="18"/>
          <w:color w:val="auto"/>
        </w:rPr>
        <w:t>Each of our NEOs is required to maintain a level of ownership of equity in the company equal to a multiple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sum of his or her base salary and annual bonus. The required multiples for our named executive officers are 3 times for Mr. Wood and 2.5 times for each of Mr. Guglielmone and Ms. Becker. Each of our NEOs was in compliance with the equity ownership requirement as of December 31, 2018.</w:t>
      </w:r>
    </w:p>
    <w:p>
      <w:pPr>
        <w:spacing w:after="0" w:line="134" w:lineRule="exact"/>
        <w:rPr>
          <w:sz w:val="20"/>
          <w:szCs w:val="20"/>
          <w:color w:val="auto"/>
        </w:rPr>
      </w:pPr>
    </w:p>
    <w:p>
      <w:pPr>
        <w:jc w:val="both"/>
        <w:ind w:left="640"/>
        <w:spacing w:after="0" w:line="247" w:lineRule="auto"/>
        <w:rPr>
          <w:sz w:val="20"/>
          <w:szCs w:val="20"/>
          <w:color w:val="auto"/>
        </w:rPr>
      </w:pPr>
      <w:r>
        <w:rPr>
          <w:rFonts w:ascii="Arial" w:cs="Arial" w:eastAsia="Arial" w:hAnsi="Arial"/>
          <w:sz w:val="18"/>
          <w:szCs w:val="18"/>
          <w:b w:val="1"/>
          <w:bCs w:val="1"/>
          <w:color w:val="auto"/>
        </w:rPr>
        <w:t xml:space="preserve">Risk Assessment: </w:t>
      </w:r>
      <w:r>
        <w:rPr>
          <w:rFonts w:ascii="Arial" w:cs="Arial" w:eastAsia="Arial" w:hAnsi="Arial"/>
          <w:sz w:val="18"/>
          <w:szCs w:val="18"/>
          <w:color w:val="auto"/>
        </w:rPr>
        <w:t>As described in the “Risk Management Oversight” section, we have concluded that our compensation programs</w:t>
      </w:r>
      <w:r>
        <w:rPr>
          <w:rFonts w:ascii="Arial" w:cs="Arial" w:eastAsia="Arial" w:hAnsi="Arial"/>
          <w:sz w:val="18"/>
          <w:szCs w:val="18"/>
          <w:b w:val="1"/>
          <w:bCs w:val="1"/>
          <w:color w:val="auto"/>
        </w:rPr>
        <w:t xml:space="preserve"> </w:t>
      </w:r>
      <w:r>
        <w:rPr>
          <w:rFonts w:ascii="Arial" w:cs="Arial" w:eastAsia="Arial" w:hAnsi="Arial"/>
          <w:sz w:val="18"/>
          <w:szCs w:val="18"/>
          <w:color w:val="auto"/>
        </w:rPr>
        <w:t>do not encourage excessive or unnecessary risk taking. During 2018, we adopted a clawback policy allowing the Trust to recoup compensation paid to our NEOs on the basis of incorrect financial statements where that NEO engaged in fraud or grossly negligent misconduct.</w:t>
      </w:r>
    </w:p>
    <w:p>
      <w:pPr>
        <w:spacing w:after="0" w:line="147" w:lineRule="exact"/>
        <w:rPr>
          <w:sz w:val="20"/>
          <w:szCs w:val="20"/>
          <w:color w:val="auto"/>
        </w:rPr>
      </w:pPr>
    </w:p>
    <w:p>
      <w:pPr>
        <w:jc w:val="both"/>
        <w:ind w:left="640"/>
        <w:spacing w:after="0" w:line="238" w:lineRule="auto"/>
        <w:rPr>
          <w:sz w:val="20"/>
          <w:szCs w:val="20"/>
          <w:color w:val="auto"/>
        </w:rPr>
      </w:pPr>
      <w:r>
        <w:rPr>
          <w:rFonts w:ascii="Arial" w:cs="Arial" w:eastAsia="Arial" w:hAnsi="Arial"/>
          <w:sz w:val="18"/>
          <w:szCs w:val="18"/>
          <w:b w:val="1"/>
          <w:bCs w:val="1"/>
          <w:color w:val="auto"/>
        </w:rPr>
        <w:t xml:space="preserve">Timing of Equity Grants: </w:t>
      </w:r>
      <w:r>
        <w:rPr>
          <w:rFonts w:ascii="Arial" w:cs="Arial" w:eastAsia="Arial" w:hAnsi="Arial"/>
          <w:sz w:val="18"/>
          <w:szCs w:val="18"/>
          <w:color w:val="auto"/>
        </w:rPr>
        <w:t>Equity awards to our employees under our Annual Bonus Plan and LTIAP described above are made at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Compensation Committee’s meeting that occurs in February of each calendar year. Based on our meeting schedule the past several years, these awards are made before we release financial results for the prior fiscal year. We have no policy that times the granting of equity awards relative to the release of material non-public information. Equity awards to new hires are generally made on the first day on which the employee starts work and equity awards to employees who are promoted generally are made on the day on which the promotion has been fully approved. All of our options are awarded at the closing price of our Shares on the NYSE on the date the award is made. The Compensation Committee has never re-priced options, granted options with an exercise price that is less than the closing price on the NYSE on the date of the grant, or granted options which are priced on a date other than the grant date. Equity awards for Vice Presidents and above for the 3-year performance period ending on December 31, 2018 were made at the Compensation Committee’s meeting on February 5, 2019 based on the closing price of our Shares on the NYSE on that date.</w:t>
      </w:r>
    </w:p>
    <w:p>
      <w:pPr>
        <w:spacing w:after="0" w:line="146" w:lineRule="exact"/>
        <w:rPr>
          <w:sz w:val="20"/>
          <w:szCs w:val="20"/>
          <w:color w:val="auto"/>
        </w:rPr>
      </w:pPr>
    </w:p>
    <w:p>
      <w:pPr>
        <w:jc w:val="both"/>
        <w:ind w:left="640"/>
        <w:spacing w:after="0" w:line="242" w:lineRule="auto"/>
        <w:rPr>
          <w:sz w:val="20"/>
          <w:szCs w:val="20"/>
          <w:color w:val="auto"/>
        </w:rPr>
      </w:pPr>
      <w:r>
        <w:rPr>
          <w:rFonts w:ascii="Arial" w:cs="Arial" w:eastAsia="Arial" w:hAnsi="Arial"/>
          <w:sz w:val="18"/>
          <w:szCs w:val="18"/>
          <w:b w:val="1"/>
          <w:bCs w:val="1"/>
          <w:color w:val="auto"/>
        </w:rPr>
        <w:t xml:space="preserve">Termination and Change-in-Control Arrangements: </w:t>
      </w:r>
      <w:r>
        <w:rPr>
          <w:rFonts w:ascii="Arial" w:cs="Arial" w:eastAsia="Arial" w:hAnsi="Arial"/>
          <w:sz w:val="18"/>
          <w:szCs w:val="18"/>
          <w:color w:val="auto"/>
        </w:rPr>
        <w:t>We have agreements in place with each of our named executive officers</w:t>
      </w:r>
      <w:r>
        <w:rPr>
          <w:rFonts w:ascii="Arial" w:cs="Arial" w:eastAsia="Arial" w:hAnsi="Arial"/>
          <w:sz w:val="18"/>
          <w:szCs w:val="18"/>
          <w:b w:val="1"/>
          <w:bCs w:val="1"/>
          <w:color w:val="auto"/>
        </w:rPr>
        <w:t xml:space="preserve"> </w:t>
      </w:r>
      <w:r>
        <w:rPr>
          <w:rFonts w:ascii="Arial" w:cs="Arial" w:eastAsia="Arial" w:hAnsi="Arial"/>
          <w:sz w:val="18"/>
          <w:szCs w:val="18"/>
          <w:color w:val="auto"/>
        </w:rPr>
        <w:t>providing for various payments and benefits to be made to them if there is a change in control or their employment with us is terminated for certain reasons. The circumstances in which payments may be made and the potential amounts of those payments are described in more detail in the “Potential Payments on Termination of Employment and Change-in-Control” section below. We believe that the payments provided for in these agreements are reasonable and appropriate as part of the total compensation packages available for our named executive officers.</w:t>
      </w:r>
    </w:p>
    <w:p>
      <w:pPr>
        <w:spacing w:after="0" w:line="139" w:lineRule="exact"/>
        <w:rPr>
          <w:sz w:val="20"/>
          <w:szCs w:val="20"/>
          <w:color w:val="auto"/>
        </w:rPr>
      </w:pPr>
    </w:p>
    <w:p>
      <w:pPr>
        <w:jc w:val="both"/>
        <w:ind w:left="640"/>
        <w:spacing w:after="0"/>
        <w:rPr>
          <w:sz w:val="20"/>
          <w:szCs w:val="20"/>
          <w:color w:val="auto"/>
        </w:rPr>
      </w:pPr>
      <w:r>
        <w:rPr>
          <w:rFonts w:ascii="Arial" w:cs="Arial" w:eastAsia="Arial" w:hAnsi="Arial"/>
          <w:sz w:val="18"/>
          <w:szCs w:val="18"/>
          <w:b w:val="1"/>
          <w:bCs w:val="1"/>
          <w:color w:val="auto"/>
        </w:rPr>
        <w:t xml:space="preserve">Deductibility of Executive Compensation in Excess of $1.0 Million: </w:t>
      </w:r>
      <w:r>
        <w:rPr>
          <w:rFonts w:ascii="Arial" w:cs="Arial" w:eastAsia="Arial" w:hAnsi="Arial"/>
          <w:sz w:val="18"/>
          <w:szCs w:val="18"/>
          <w:color w:val="auto"/>
        </w:rPr>
        <w:t>For tax years ending on or prior to December 31, 2017,</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162(m) of the Internal Revenue Code generally prohibited any publicly held corporation from taking a federal income tax deduction for compensation in excess of $1 million in any taxable year paid to an executive officer who is named in the Summary Compensation Table. An exception was made for qualified performance-based compensation, among other things. Although the Compensation Committee considered the impact of Section 162(m) in structuring compensation programs, the Committee’s primary focus was on creating programs that addressed the needs and objectives of the company regardless of the impact of Section 162(m). As a result, the Compensation Committee made awards and structured programs that were non-deductible under Section 162(m).</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640" w:right="20"/>
        <w:spacing w:after="0" w:line="236" w:lineRule="auto"/>
        <w:rPr>
          <w:sz w:val="20"/>
          <w:szCs w:val="20"/>
          <w:color w:val="auto"/>
        </w:rPr>
      </w:pPr>
      <w:r>
        <w:rPr>
          <w:rFonts w:ascii="Arial" w:cs="Arial" w:eastAsia="Arial" w:hAnsi="Arial"/>
          <w:sz w:val="18"/>
          <w:szCs w:val="18"/>
          <w:color w:val="auto"/>
        </w:rPr>
        <w:t>The Tax Cuts and Jobs Act of 2017 modified Section 162(m) to, among other things, modify who is subject to the $1 million deduction limit and to eliminate the exception for performance based pay from the $1 million deduction limit starting with tax years ending after December 31, 2017. We do not anticipate these changes to Section 162(m) to have a material impact on us. We do not anticipate anyone other than our three NEOs being subject to the $1 million deduction limit and we anticipate our taxable income to only increase modestly on an annual basis as a result of the loss of the performance based compensation deduction. To maintain our status as a real estate investment trust, we are required to distribute at least 90% of our taxable income to our shareholders in the form of dividends. The modest increase in taxable income resulting from the change in Section 162(m) will be taken into account as our Board determines the amount of dividend to be paid to our shareholders in tax years ending after December 31, 2017.</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8" w:lineRule="exact"/>
        <w:rPr>
          <w:sz w:val="20"/>
          <w:szCs w:val="20"/>
          <w:color w:val="auto"/>
        </w:rPr>
      </w:pPr>
    </w:p>
    <w:p>
      <w:pPr>
        <w:jc w:val="both"/>
        <w:ind w:left="200" w:right="20"/>
        <w:spacing w:after="0"/>
        <w:rPr>
          <w:sz w:val="20"/>
          <w:szCs w:val="20"/>
          <w:color w:val="auto"/>
        </w:rPr>
      </w:pPr>
      <w:r>
        <w:rPr>
          <w:rFonts w:ascii="Arial" w:cs="Arial" w:eastAsia="Arial" w:hAnsi="Arial"/>
          <w:sz w:val="18"/>
          <w:szCs w:val="18"/>
          <w:color w:val="auto"/>
        </w:rPr>
        <w:t>The Compensation Committee of the Board has reviewed and discussed the CD&amp;A required by Item 402(b) of Regulation S-K with management and, based on such review and discussions, the Compensation Committee recommended to the Board that the CD&amp;A be included in this Proxy Statement.</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Submitted by:</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David W. Faeder, Chairman</w:t>
      </w:r>
    </w:p>
    <w:p>
      <w:pPr>
        <w:ind w:left="200"/>
        <w:spacing w:after="0" w:line="234" w:lineRule="auto"/>
        <w:rPr>
          <w:sz w:val="20"/>
          <w:szCs w:val="20"/>
          <w:color w:val="auto"/>
        </w:rPr>
      </w:pPr>
      <w:r>
        <w:rPr>
          <w:rFonts w:ascii="Arial" w:cs="Arial" w:eastAsia="Arial" w:hAnsi="Arial"/>
          <w:sz w:val="18"/>
          <w:szCs w:val="18"/>
          <w:color w:val="auto"/>
        </w:rPr>
        <w:t>Elizabeth I. Holland</w:t>
      </w:r>
    </w:p>
    <w:p>
      <w:pPr>
        <w:ind w:left="200"/>
        <w:spacing w:after="0" w:line="235" w:lineRule="auto"/>
        <w:rPr>
          <w:sz w:val="20"/>
          <w:szCs w:val="20"/>
          <w:color w:val="auto"/>
        </w:rPr>
      </w:pPr>
      <w:r>
        <w:rPr>
          <w:rFonts w:ascii="Arial" w:cs="Arial" w:eastAsia="Arial" w:hAnsi="Arial"/>
          <w:sz w:val="18"/>
          <w:szCs w:val="18"/>
          <w:color w:val="auto"/>
        </w:rPr>
        <w:t>Gail P. Steinel</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Joseph S. Vassalluzzo</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8" w:lineRule="exact"/>
        <w:rPr>
          <w:sz w:val="20"/>
          <w:szCs w:val="20"/>
          <w:color w:val="auto"/>
        </w:rPr>
      </w:pPr>
    </w:p>
    <w:p>
      <w:pPr>
        <w:jc w:val="both"/>
        <w:ind w:left="200" w:right="20"/>
        <w:spacing w:after="0" w:line="238" w:lineRule="auto"/>
        <w:rPr>
          <w:sz w:val="20"/>
          <w:szCs w:val="20"/>
          <w:color w:val="auto"/>
        </w:rPr>
      </w:pPr>
      <w:r>
        <w:rPr>
          <w:rFonts w:ascii="Arial" w:cs="Arial" w:eastAsia="Arial" w:hAnsi="Arial"/>
          <w:sz w:val="18"/>
          <w:szCs w:val="18"/>
          <w:color w:val="auto"/>
        </w:rPr>
        <w:t>The following table summarizes the total compensation earned by each of our NEOs for the fiscal years ended December 31, 2018, 2017 and 2016, in accordance with current SEC rules. The Summary Compensation Table below does not include the value of the Shares issued to our NEOs on February 5, 2019 for the performance period ending December 31, 2018. The value of those Shares will appear in next year’s proxy statement in the Grants of Plan-Based Awards Table as well as the “Stock Awards” column of the Summary Compensation Table.</w:t>
      </w:r>
    </w:p>
    <w:p>
      <w:pPr>
        <w:spacing w:after="0" w:line="231"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3820" w:type="dxa"/>
            <w:vAlign w:val="bottom"/>
            <w:shd w:val="clear" w:color="auto" w:fill="1F2A44"/>
          </w:tcPr>
          <w:p>
            <w:pPr>
              <w:spacing w:after="0"/>
              <w:rPr>
                <w:sz w:val="20"/>
                <w:szCs w:val="20"/>
                <w:color w:val="auto"/>
              </w:rPr>
            </w:pPr>
          </w:p>
        </w:tc>
        <w:tc>
          <w:tcPr>
            <w:tcW w:w="620" w:type="dxa"/>
            <w:vAlign w:val="bottom"/>
            <w:shd w:val="clear" w:color="auto" w:fill="1F2A44"/>
          </w:tcPr>
          <w:p>
            <w:pPr>
              <w:spacing w:after="0"/>
              <w:rPr>
                <w:sz w:val="20"/>
                <w:szCs w:val="20"/>
                <w:color w:val="auto"/>
              </w:rPr>
            </w:pPr>
          </w:p>
        </w:tc>
        <w:tc>
          <w:tcPr>
            <w:tcW w:w="920" w:type="dxa"/>
            <w:vAlign w:val="bottom"/>
            <w:shd w:val="clear" w:color="auto" w:fill="1F2A44"/>
          </w:tcPr>
          <w:p>
            <w:pPr>
              <w:spacing w:after="0"/>
              <w:rPr>
                <w:sz w:val="20"/>
                <w:szCs w:val="20"/>
                <w:color w:val="auto"/>
              </w:rPr>
            </w:pPr>
          </w:p>
        </w:tc>
        <w:tc>
          <w:tcPr>
            <w:tcW w:w="200" w:type="dxa"/>
            <w:vAlign w:val="bottom"/>
            <w:shd w:val="clear" w:color="auto" w:fill="1F2A44"/>
          </w:tcPr>
          <w:p>
            <w:pPr>
              <w:spacing w:after="0"/>
              <w:rPr>
                <w:sz w:val="20"/>
                <w:szCs w:val="20"/>
                <w:color w:val="auto"/>
              </w:rPr>
            </w:pPr>
          </w:p>
        </w:tc>
        <w:tc>
          <w:tcPr>
            <w:tcW w:w="680" w:type="dxa"/>
            <w:vAlign w:val="bottom"/>
            <w:shd w:val="clear" w:color="auto" w:fill="1F2A44"/>
          </w:tcPr>
          <w:p>
            <w:pPr>
              <w:spacing w:after="0"/>
              <w:rPr>
                <w:sz w:val="20"/>
                <w:szCs w:val="20"/>
                <w:color w:val="auto"/>
              </w:rPr>
            </w:pPr>
          </w:p>
        </w:tc>
        <w:tc>
          <w:tcPr>
            <w:tcW w:w="180" w:type="dxa"/>
            <w:vAlign w:val="bottom"/>
            <w:shd w:val="clear" w:color="auto" w:fill="1F2A44"/>
          </w:tcPr>
          <w:p>
            <w:pPr>
              <w:spacing w:after="0"/>
              <w:rPr>
                <w:sz w:val="20"/>
                <w:szCs w:val="20"/>
                <w:color w:val="auto"/>
              </w:rPr>
            </w:pPr>
          </w:p>
        </w:tc>
        <w:tc>
          <w:tcPr>
            <w:tcW w:w="780" w:type="dxa"/>
            <w:vAlign w:val="bottom"/>
            <w:shd w:val="clear" w:color="auto" w:fill="1F2A44"/>
          </w:tcPr>
          <w:p>
            <w:pPr>
              <w:spacing w:after="0"/>
              <w:rPr>
                <w:sz w:val="20"/>
                <w:szCs w:val="20"/>
                <w:color w:val="auto"/>
              </w:rPr>
            </w:pPr>
          </w:p>
        </w:tc>
        <w:tc>
          <w:tcPr>
            <w:tcW w:w="1400" w:type="dxa"/>
            <w:vAlign w:val="bottom"/>
            <w:gridSpan w:val="2"/>
            <w:shd w:val="clear" w:color="auto" w:fill="1F2A44"/>
          </w:tcPr>
          <w:p>
            <w:pPr>
              <w:jc w:val="center"/>
              <w:spacing w:after="0"/>
              <w:rPr>
                <w:sz w:val="20"/>
                <w:szCs w:val="20"/>
                <w:color w:val="auto"/>
              </w:rPr>
            </w:pPr>
            <w:r>
              <w:rPr>
                <w:rFonts w:ascii="Arial" w:cs="Arial" w:eastAsia="Arial" w:hAnsi="Arial"/>
                <w:sz w:val="16"/>
                <w:szCs w:val="16"/>
                <w:b w:val="1"/>
                <w:bCs w:val="1"/>
                <w:color w:val="FFFFFF"/>
              </w:rPr>
              <w:t>Non-Equity</w:t>
            </w:r>
          </w:p>
        </w:tc>
        <w:tc>
          <w:tcPr>
            <w:tcW w:w="480" w:type="dxa"/>
            <w:vAlign w:val="bottom"/>
            <w:shd w:val="clear" w:color="auto" w:fill="1F2A44"/>
          </w:tcPr>
          <w:p>
            <w:pPr>
              <w:spacing w:after="0"/>
              <w:rPr>
                <w:sz w:val="20"/>
                <w:szCs w:val="20"/>
                <w:color w:val="auto"/>
              </w:rPr>
            </w:pPr>
          </w:p>
        </w:tc>
        <w:tc>
          <w:tcPr>
            <w:tcW w:w="940" w:type="dxa"/>
            <w:vAlign w:val="bottom"/>
            <w:shd w:val="clear" w:color="auto" w:fill="1F2A44"/>
          </w:tcPr>
          <w:p>
            <w:pPr>
              <w:spacing w:after="0"/>
              <w:rPr>
                <w:sz w:val="20"/>
                <w:szCs w:val="20"/>
                <w:color w:val="auto"/>
              </w:rPr>
            </w:pPr>
          </w:p>
        </w:tc>
        <w:tc>
          <w:tcPr>
            <w:tcW w:w="1000" w:type="dxa"/>
            <w:vAlign w:val="bottom"/>
            <w:shd w:val="clear" w:color="auto" w:fill="1F2A44"/>
          </w:tcPr>
          <w:p>
            <w:pPr>
              <w:spacing w:after="0"/>
              <w:rPr>
                <w:sz w:val="20"/>
                <w:szCs w:val="20"/>
                <w:color w:val="auto"/>
              </w:rPr>
            </w:pPr>
          </w:p>
        </w:tc>
      </w:tr>
      <w:tr>
        <w:trPr>
          <w:trHeight w:val="188"/>
        </w:trPr>
        <w:tc>
          <w:tcPr>
            <w:tcW w:w="3820" w:type="dxa"/>
            <w:vAlign w:val="bottom"/>
            <w:shd w:val="clear" w:color="auto" w:fill="1F2A44"/>
          </w:tcPr>
          <w:p>
            <w:pPr>
              <w:spacing w:after="0"/>
              <w:rPr>
                <w:sz w:val="16"/>
                <w:szCs w:val="16"/>
                <w:color w:val="auto"/>
              </w:rPr>
            </w:pPr>
          </w:p>
        </w:tc>
        <w:tc>
          <w:tcPr>
            <w:tcW w:w="620" w:type="dxa"/>
            <w:vAlign w:val="bottom"/>
            <w:shd w:val="clear" w:color="auto" w:fill="1F2A44"/>
          </w:tcPr>
          <w:p>
            <w:pPr>
              <w:spacing w:after="0"/>
              <w:rPr>
                <w:sz w:val="16"/>
                <w:szCs w:val="16"/>
                <w:color w:val="auto"/>
              </w:rPr>
            </w:pPr>
          </w:p>
        </w:tc>
        <w:tc>
          <w:tcPr>
            <w:tcW w:w="920" w:type="dxa"/>
            <w:vAlign w:val="bottom"/>
            <w:shd w:val="clear" w:color="auto" w:fill="1F2A44"/>
          </w:tcPr>
          <w:p>
            <w:pPr>
              <w:spacing w:after="0"/>
              <w:rPr>
                <w:sz w:val="16"/>
                <w:szCs w:val="16"/>
                <w:color w:val="auto"/>
              </w:rPr>
            </w:pPr>
          </w:p>
        </w:tc>
        <w:tc>
          <w:tcPr>
            <w:tcW w:w="200" w:type="dxa"/>
            <w:vAlign w:val="bottom"/>
            <w:shd w:val="clear" w:color="auto" w:fill="1F2A44"/>
          </w:tcPr>
          <w:p>
            <w:pPr>
              <w:spacing w:after="0"/>
              <w:rPr>
                <w:sz w:val="16"/>
                <w:szCs w:val="16"/>
                <w:color w:val="auto"/>
              </w:rPr>
            </w:pPr>
          </w:p>
        </w:tc>
        <w:tc>
          <w:tcPr>
            <w:tcW w:w="680" w:type="dxa"/>
            <w:vAlign w:val="bottom"/>
            <w:shd w:val="clear" w:color="auto" w:fill="1F2A44"/>
          </w:tcPr>
          <w:p>
            <w:pPr>
              <w:spacing w:after="0"/>
              <w:rPr>
                <w:sz w:val="16"/>
                <w:szCs w:val="16"/>
                <w:color w:val="auto"/>
              </w:rPr>
            </w:pPr>
          </w:p>
        </w:tc>
        <w:tc>
          <w:tcPr>
            <w:tcW w:w="180" w:type="dxa"/>
            <w:vAlign w:val="bottom"/>
            <w:shd w:val="clear" w:color="auto" w:fill="1F2A44"/>
          </w:tcPr>
          <w:p>
            <w:pPr>
              <w:spacing w:after="0"/>
              <w:rPr>
                <w:sz w:val="16"/>
                <w:szCs w:val="16"/>
                <w:color w:val="auto"/>
              </w:rPr>
            </w:pPr>
          </w:p>
        </w:tc>
        <w:tc>
          <w:tcPr>
            <w:tcW w:w="780" w:type="dxa"/>
            <w:vAlign w:val="bottom"/>
            <w:shd w:val="clear" w:color="auto" w:fill="1F2A44"/>
          </w:tcPr>
          <w:p>
            <w:pPr>
              <w:jc w:val="right"/>
              <w:ind w:right="159"/>
              <w:spacing w:after="0"/>
              <w:rPr>
                <w:sz w:val="20"/>
                <w:szCs w:val="20"/>
                <w:color w:val="auto"/>
              </w:rPr>
            </w:pPr>
            <w:r>
              <w:rPr>
                <w:rFonts w:ascii="Arial" w:cs="Arial" w:eastAsia="Arial" w:hAnsi="Arial"/>
                <w:sz w:val="16"/>
                <w:szCs w:val="16"/>
                <w:b w:val="1"/>
                <w:bCs w:val="1"/>
                <w:color w:val="FFFFFF"/>
              </w:rPr>
              <w:t>Stock</w:t>
            </w:r>
          </w:p>
        </w:tc>
        <w:tc>
          <w:tcPr>
            <w:tcW w:w="1400" w:type="dxa"/>
            <w:vAlign w:val="bottom"/>
            <w:gridSpan w:val="2"/>
            <w:shd w:val="clear" w:color="auto" w:fill="1F2A44"/>
          </w:tcPr>
          <w:p>
            <w:pPr>
              <w:jc w:val="center"/>
              <w:spacing w:after="0"/>
              <w:rPr>
                <w:sz w:val="20"/>
                <w:szCs w:val="20"/>
                <w:color w:val="auto"/>
              </w:rPr>
            </w:pPr>
            <w:r>
              <w:rPr>
                <w:rFonts w:ascii="Arial" w:cs="Arial" w:eastAsia="Arial" w:hAnsi="Arial"/>
                <w:sz w:val="16"/>
                <w:szCs w:val="16"/>
                <w:b w:val="1"/>
                <w:bCs w:val="1"/>
                <w:color w:val="FFFFFF"/>
              </w:rPr>
              <w:t>Incentive Plan</w:t>
            </w:r>
          </w:p>
        </w:tc>
        <w:tc>
          <w:tcPr>
            <w:tcW w:w="1420" w:type="dxa"/>
            <w:vAlign w:val="bottom"/>
            <w:gridSpan w:val="2"/>
            <w:shd w:val="clear" w:color="auto" w:fill="1F2A44"/>
          </w:tcPr>
          <w:p>
            <w:pPr>
              <w:jc w:val="right"/>
              <w:ind w:right="299"/>
              <w:spacing w:after="0"/>
              <w:rPr>
                <w:sz w:val="20"/>
                <w:szCs w:val="20"/>
                <w:color w:val="auto"/>
              </w:rPr>
            </w:pPr>
            <w:r>
              <w:rPr>
                <w:rFonts w:ascii="Arial" w:cs="Arial" w:eastAsia="Arial" w:hAnsi="Arial"/>
                <w:sz w:val="16"/>
                <w:szCs w:val="16"/>
                <w:b w:val="1"/>
                <w:bCs w:val="1"/>
                <w:color w:val="FFFFFF"/>
              </w:rPr>
              <w:t>All Other</w:t>
            </w:r>
          </w:p>
        </w:tc>
        <w:tc>
          <w:tcPr>
            <w:tcW w:w="1000" w:type="dxa"/>
            <w:vAlign w:val="bottom"/>
            <w:shd w:val="clear" w:color="auto" w:fill="1F2A44"/>
          </w:tcPr>
          <w:p>
            <w:pPr>
              <w:spacing w:after="0"/>
              <w:rPr>
                <w:sz w:val="16"/>
                <w:szCs w:val="16"/>
                <w:color w:val="auto"/>
              </w:rPr>
            </w:pPr>
          </w:p>
        </w:tc>
      </w:tr>
      <w:tr>
        <w:trPr>
          <w:trHeight w:val="222"/>
        </w:trPr>
        <w:tc>
          <w:tcPr>
            <w:tcW w:w="3820" w:type="dxa"/>
            <w:vAlign w:val="bottom"/>
            <w:shd w:val="clear" w:color="auto" w:fill="1F2A44"/>
          </w:tcPr>
          <w:p>
            <w:pPr>
              <w:ind w:left="60"/>
              <w:spacing w:after="0"/>
              <w:rPr>
                <w:sz w:val="20"/>
                <w:szCs w:val="20"/>
                <w:color w:val="auto"/>
              </w:rPr>
            </w:pPr>
            <w:r>
              <w:rPr>
                <w:rFonts w:ascii="Arial" w:cs="Arial" w:eastAsia="Arial" w:hAnsi="Arial"/>
                <w:sz w:val="16"/>
                <w:szCs w:val="16"/>
                <w:b w:val="1"/>
                <w:bCs w:val="1"/>
                <w:color w:val="FFFFFF"/>
              </w:rPr>
              <w:t>Name and Principal Position</w:t>
            </w:r>
          </w:p>
        </w:tc>
        <w:tc>
          <w:tcPr>
            <w:tcW w:w="620" w:type="dxa"/>
            <w:vAlign w:val="bottom"/>
            <w:shd w:val="clear" w:color="auto" w:fill="1F2A44"/>
          </w:tcPr>
          <w:p>
            <w:pPr>
              <w:jc w:val="right"/>
              <w:ind w:right="59"/>
              <w:spacing w:after="0"/>
              <w:rPr>
                <w:sz w:val="20"/>
                <w:szCs w:val="20"/>
                <w:color w:val="auto"/>
              </w:rPr>
            </w:pPr>
            <w:r>
              <w:rPr>
                <w:rFonts w:ascii="Arial" w:cs="Arial" w:eastAsia="Arial" w:hAnsi="Arial"/>
                <w:sz w:val="16"/>
                <w:szCs w:val="16"/>
                <w:b w:val="1"/>
                <w:bCs w:val="1"/>
                <w:color w:val="FFFFFF"/>
              </w:rPr>
              <w:t>Year</w:t>
            </w:r>
          </w:p>
        </w:tc>
        <w:tc>
          <w:tcPr>
            <w:tcW w:w="920" w:type="dxa"/>
            <w:vAlign w:val="bottom"/>
            <w:shd w:val="clear" w:color="auto" w:fill="1F2A44"/>
          </w:tcPr>
          <w:p>
            <w:pPr>
              <w:jc w:val="right"/>
              <w:ind w:right="59"/>
              <w:spacing w:after="0" w:line="222" w:lineRule="exact"/>
              <w:rPr>
                <w:sz w:val="20"/>
                <w:szCs w:val="20"/>
                <w:color w:val="auto"/>
              </w:rPr>
            </w:pPr>
            <w:r>
              <w:rPr>
                <w:rFonts w:ascii="Arial" w:cs="Arial" w:eastAsia="Arial" w:hAnsi="Arial"/>
                <w:sz w:val="15"/>
                <w:szCs w:val="15"/>
                <w:b w:val="1"/>
                <w:bCs w:val="1"/>
                <w:color w:val="FFFFFF"/>
              </w:rPr>
              <w:t>Salary</w:t>
            </w:r>
            <w:r>
              <w:rPr>
                <w:rFonts w:ascii="Arial" w:cs="Arial" w:eastAsia="Arial" w:hAnsi="Arial"/>
                <w:sz w:val="25"/>
                <w:szCs w:val="25"/>
                <w:b w:val="1"/>
                <w:bCs w:val="1"/>
                <w:color w:val="FFFFFF"/>
                <w:vertAlign w:val="superscript"/>
              </w:rPr>
              <w:t>(1)</w:t>
            </w:r>
          </w:p>
        </w:tc>
        <w:tc>
          <w:tcPr>
            <w:tcW w:w="880" w:type="dxa"/>
            <w:vAlign w:val="bottom"/>
            <w:gridSpan w:val="2"/>
            <w:shd w:val="clear" w:color="auto" w:fill="1F2A44"/>
          </w:tcPr>
          <w:p>
            <w:pPr>
              <w:ind w:left="100"/>
              <w:spacing w:after="0" w:line="222" w:lineRule="exact"/>
              <w:rPr>
                <w:sz w:val="20"/>
                <w:szCs w:val="20"/>
                <w:color w:val="auto"/>
              </w:rPr>
            </w:pPr>
            <w:r>
              <w:rPr>
                <w:rFonts w:ascii="Arial" w:cs="Arial" w:eastAsia="Arial" w:hAnsi="Arial"/>
                <w:sz w:val="15"/>
                <w:szCs w:val="15"/>
                <w:b w:val="1"/>
                <w:bCs w:val="1"/>
                <w:color w:val="FFFFFF"/>
              </w:rPr>
              <w:t>Bonus</w:t>
            </w:r>
            <w:r>
              <w:rPr>
                <w:rFonts w:ascii="Arial" w:cs="Arial" w:eastAsia="Arial" w:hAnsi="Arial"/>
                <w:sz w:val="25"/>
                <w:szCs w:val="25"/>
                <w:b w:val="1"/>
                <w:bCs w:val="1"/>
                <w:color w:val="FFFFFF"/>
                <w:vertAlign w:val="superscript"/>
              </w:rPr>
              <w:t>(2)</w:t>
            </w:r>
          </w:p>
        </w:tc>
        <w:tc>
          <w:tcPr>
            <w:tcW w:w="960" w:type="dxa"/>
            <w:vAlign w:val="bottom"/>
            <w:gridSpan w:val="2"/>
            <w:shd w:val="clear" w:color="auto" w:fill="1F2A44"/>
          </w:tcPr>
          <w:p>
            <w:pPr>
              <w:jc w:val="right"/>
              <w:spacing w:after="0" w:line="222" w:lineRule="exact"/>
              <w:rPr>
                <w:sz w:val="20"/>
                <w:szCs w:val="20"/>
                <w:color w:val="auto"/>
              </w:rPr>
            </w:pPr>
            <w:r>
              <w:rPr>
                <w:rFonts w:ascii="Arial" w:cs="Arial" w:eastAsia="Arial" w:hAnsi="Arial"/>
                <w:sz w:val="15"/>
                <w:szCs w:val="15"/>
                <w:b w:val="1"/>
                <w:bCs w:val="1"/>
                <w:color w:val="FFFFFF"/>
              </w:rPr>
              <w:t>Awards</w:t>
            </w:r>
            <w:r>
              <w:rPr>
                <w:rFonts w:ascii="Arial" w:cs="Arial" w:eastAsia="Arial" w:hAnsi="Arial"/>
                <w:sz w:val="25"/>
                <w:szCs w:val="25"/>
                <w:b w:val="1"/>
                <w:bCs w:val="1"/>
                <w:color w:val="FFFFFF"/>
                <w:vertAlign w:val="superscript"/>
              </w:rPr>
              <w:t>(3)</w:t>
            </w:r>
          </w:p>
        </w:tc>
        <w:tc>
          <w:tcPr>
            <w:tcW w:w="1400" w:type="dxa"/>
            <w:vAlign w:val="bottom"/>
            <w:gridSpan w:val="2"/>
            <w:shd w:val="clear" w:color="auto" w:fill="1F2A44"/>
          </w:tcPr>
          <w:p>
            <w:pPr>
              <w:jc w:val="center"/>
              <w:spacing w:after="0" w:line="222" w:lineRule="exact"/>
              <w:rPr>
                <w:sz w:val="20"/>
                <w:szCs w:val="20"/>
                <w:color w:val="auto"/>
              </w:rPr>
            </w:pPr>
            <w:r>
              <w:rPr>
                <w:rFonts w:ascii="Arial" w:cs="Arial" w:eastAsia="Arial" w:hAnsi="Arial"/>
                <w:sz w:val="15"/>
                <w:szCs w:val="15"/>
                <w:b w:val="1"/>
                <w:bCs w:val="1"/>
                <w:color w:val="FFFFFF"/>
              </w:rPr>
              <w:t>Compensation</w:t>
            </w:r>
            <w:r>
              <w:rPr>
                <w:rFonts w:ascii="Arial" w:cs="Arial" w:eastAsia="Arial" w:hAnsi="Arial"/>
                <w:sz w:val="25"/>
                <w:szCs w:val="25"/>
                <w:b w:val="1"/>
                <w:bCs w:val="1"/>
                <w:color w:val="FFFFFF"/>
                <w:vertAlign w:val="superscript"/>
              </w:rPr>
              <w:t>(4)</w:t>
            </w:r>
          </w:p>
        </w:tc>
        <w:tc>
          <w:tcPr>
            <w:tcW w:w="1420" w:type="dxa"/>
            <w:vAlign w:val="bottom"/>
            <w:gridSpan w:val="2"/>
            <w:shd w:val="clear" w:color="auto" w:fill="1F2A44"/>
          </w:tcPr>
          <w:p>
            <w:pPr>
              <w:jc w:val="right"/>
              <w:spacing w:after="0" w:line="222" w:lineRule="exact"/>
              <w:rPr>
                <w:sz w:val="20"/>
                <w:szCs w:val="20"/>
                <w:color w:val="auto"/>
              </w:rPr>
            </w:pPr>
            <w:r>
              <w:rPr>
                <w:rFonts w:ascii="Arial" w:cs="Arial" w:eastAsia="Arial" w:hAnsi="Arial"/>
                <w:sz w:val="15"/>
                <w:szCs w:val="15"/>
                <w:b w:val="1"/>
                <w:bCs w:val="1"/>
                <w:color w:val="FFFFFF"/>
              </w:rPr>
              <w:t>Compensation</w:t>
            </w:r>
            <w:r>
              <w:rPr>
                <w:rFonts w:ascii="Arial" w:cs="Arial" w:eastAsia="Arial" w:hAnsi="Arial"/>
                <w:sz w:val="25"/>
                <w:szCs w:val="25"/>
                <w:b w:val="1"/>
                <w:bCs w:val="1"/>
                <w:color w:val="FFFFFF"/>
                <w:vertAlign w:val="superscript"/>
              </w:rPr>
              <w:t>(5)</w:t>
            </w:r>
          </w:p>
        </w:tc>
        <w:tc>
          <w:tcPr>
            <w:tcW w:w="1000" w:type="dxa"/>
            <w:vAlign w:val="bottom"/>
            <w:shd w:val="clear" w:color="auto" w:fill="1F2A44"/>
          </w:tcPr>
          <w:p>
            <w:pPr>
              <w:jc w:val="right"/>
              <w:ind w:right="279"/>
              <w:spacing w:after="0"/>
              <w:rPr>
                <w:sz w:val="20"/>
                <w:szCs w:val="20"/>
                <w:color w:val="auto"/>
              </w:rPr>
            </w:pPr>
            <w:r>
              <w:rPr>
                <w:rFonts w:ascii="Arial" w:cs="Arial" w:eastAsia="Arial" w:hAnsi="Arial"/>
                <w:sz w:val="16"/>
                <w:szCs w:val="16"/>
                <w:b w:val="1"/>
                <w:bCs w:val="1"/>
                <w:color w:val="FFFFFF"/>
              </w:rPr>
              <w:t>Total</w:t>
            </w:r>
          </w:p>
        </w:tc>
      </w:tr>
      <w:tr>
        <w:trPr>
          <w:trHeight w:val="68"/>
        </w:trPr>
        <w:tc>
          <w:tcPr>
            <w:tcW w:w="3820" w:type="dxa"/>
            <w:vAlign w:val="bottom"/>
            <w:shd w:val="clear" w:color="auto" w:fill="1F2A44"/>
          </w:tcPr>
          <w:p>
            <w:pPr>
              <w:spacing w:after="0"/>
              <w:rPr>
                <w:sz w:val="5"/>
                <w:szCs w:val="5"/>
                <w:color w:val="auto"/>
              </w:rPr>
            </w:pPr>
          </w:p>
        </w:tc>
        <w:tc>
          <w:tcPr>
            <w:tcW w:w="620" w:type="dxa"/>
            <w:vAlign w:val="bottom"/>
            <w:shd w:val="clear" w:color="auto" w:fill="1F2A44"/>
          </w:tcPr>
          <w:p>
            <w:pPr>
              <w:spacing w:after="0"/>
              <w:rPr>
                <w:sz w:val="5"/>
                <w:szCs w:val="5"/>
                <w:color w:val="auto"/>
              </w:rPr>
            </w:pPr>
          </w:p>
        </w:tc>
        <w:tc>
          <w:tcPr>
            <w:tcW w:w="920" w:type="dxa"/>
            <w:vAlign w:val="bottom"/>
            <w:shd w:val="clear" w:color="auto" w:fill="1F2A44"/>
          </w:tcPr>
          <w:p>
            <w:pPr>
              <w:spacing w:after="0"/>
              <w:rPr>
                <w:sz w:val="5"/>
                <w:szCs w:val="5"/>
                <w:color w:val="auto"/>
              </w:rPr>
            </w:pPr>
          </w:p>
        </w:tc>
        <w:tc>
          <w:tcPr>
            <w:tcW w:w="200" w:type="dxa"/>
            <w:vAlign w:val="bottom"/>
            <w:shd w:val="clear" w:color="auto" w:fill="1F2A44"/>
          </w:tcPr>
          <w:p>
            <w:pPr>
              <w:spacing w:after="0"/>
              <w:rPr>
                <w:sz w:val="5"/>
                <w:szCs w:val="5"/>
                <w:color w:val="auto"/>
              </w:rPr>
            </w:pPr>
          </w:p>
        </w:tc>
        <w:tc>
          <w:tcPr>
            <w:tcW w:w="680" w:type="dxa"/>
            <w:vAlign w:val="bottom"/>
            <w:shd w:val="clear" w:color="auto" w:fill="1F2A44"/>
          </w:tcPr>
          <w:p>
            <w:pPr>
              <w:spacing w:after="0"/>
              <w:rPr>
                <w:sz w:val="5"/>
                <w:szCs w:val="5"/>
                <w:color w:val="auto"/>
              </w:rPr>
            </w:pPr>
          </w:p>
        </w:tc>
        <w:tc>
          <w:tcPr>
            <w:tcW w:w="180" w:type="dxa"/>
            <w:vAlign w:val="bottom"/>
            <w:shd w:val="clear" w:color="auto" w:fill="1F2A44"/>
          </w:tcPr>
          <w:p>
            <w:pPr>
              <w:spacing w:after="0"/>
              <w:rPr>
                <w:sz w:val="5"/>
                <w:szCs w:val="5"/>
                <w:color w:val="auto"/>
              </w:rPr>
            </w:pPr>
          </w:p>
        </w:tc>
        <w:tc>
          <w:tcPr>
            <w:tcW w:w="780" w:type="dxa"/>
            <w:vAlign w:val="bottom"/>
            <w:shd w:val="clear" w:color="auto" w:fill="1F2A44"/>
          </w:tcPr>
          <w:p>
            <w:pPr>
              <w:spacing w:after="0"/>
              <w:rPr>
                <w:sz w:val="5"/>
                <w:szCs w:val="5"/>
                <w:color w:val="auto"/>
              </w:rPr>
            </w:pPr>
          </w:p>
        </w:tc>
        <w:tc>
          <w:tcPr>
            <w:tcW w:w="380" w:type="dxa"/>
            <w:vAlign w:val="bottom"/>
            <w:shd w:val="clear" w:color="auto" w:fill="1F2A44"/>
          </w:tcPr>
          <w:p>
            <w:pPr>
              <w:spacing w:after="0"/>
              <w:rPr>
                <w:sz w:val="5"/>
                <w:szCs w:val="5"/>
                <w:color w:val="auto"/>
              </w:rPr>
            </w:pPr>
          </w:p>
        </w:tc>
        <w:tc>
          <w:tcPr>
            <w:tcW w:w="1020" w:type="dxa"/>
            <w:vAlign w:val="bottom"/>
            <w:shd w:val="clear" w:color="auto" w:fill="1F2A44"/>
          </w:tcPr>
          <w:p>
            <w:pPr>
              <w:spacing w:after="0"/>
              <w:rPr>
                <w:sz w:val="5"/>
                <w:szCs w:val="5"/>
                <w:color w:val="auto"/>
              </w:rPr>
            </w:pPr>
          </w:p>
        </w:tc>
        <w:tc>
          <w:tcPr>
            <w:tcW w:w="480" w:type="dxa"/>
            <w:vAlign w:val="bottom"/>
            <w:shd w:val="clear" w:color="auto" w:fill="1F2A44"/>
          </w:tcPr>
          <w:p>
            <w:pPr>
              <w:spacing w:after="0"/>
              <w:rPr>
                <w:sz w:val="5"/>
                <w:szCs w:val="5"/>
                <w:color w:val="auto"/>
              </w:rPr>
            </w:pPr>
          </w:p>
        </w:tc>
        <w:tc>
          <w:tcPr>
            <w:tcW w:w="940" w:type="dxa"/>
            <w:vAlign w:val="bottom"/>
            <w:shd w:val="clear" w:color="auto" w:fill="1F2A44"/>
          </w:tcPr>
          <w:p>
            <w:pPr>
              <w:spacing w:after="0"/>
              <w:rPr>
                <w:sz w:val="5"/>
                <w:szCs w:val="5"/>
                <w:color w:val="auto"/>
              </w:rPr>
            </w:pPr>
          </w:p>
        </w:tc>
        <w:tc>
          <w:tcPr>
            <w:tcW w:w="1000" w:type="dxa"/>
            <w:vAlign w:val="bottom"/>
            <w:shd w:val="clear" w:color="auto" w:fill="1F2A44"/>
          </w:tcPr>
          <w:p>
            <w:pPr>
              <w:spacing w:after="0"/>
              <w:rPr>
                <w:sz w:val="5"/>
                <w:szCs w:val="5"/>
                <w:color w:val="auto"/>
              </w:rPr>
            </w:pPr>
          </w:p>
        </w:tc>
      </w:tr>
      <w:tr>
        <w:trPr>
          <w:trHeight w:val="258"/>
        </w:trPr>
        <w:tc>
          <w:tcPr>
            <w:tcW w:w="3820" w:type="dxa"/>
            <w:vAlign w:val="bottom"/>
          </w:tcPr>
          <w:p>
            <w:pPr>
              <w:ind w:left="60"/>
              <w:spacing w:after="0"/>
              <w:rPr>
                <w:sz w:val="20"/>
                <w:szCs w:val="20"/>
                <w:color w:val="auto"/>
              </w:rPr>
            </w:pPr>
            <w:r>
              <w:rPr>
                <w:rFonts w:ascii="Arial" w:cs="Arial" w:eastAsia="Arial" w:hAnsi="Arial"/>
                <w:sz w:val="16"/>
                <w:szCs w:val="16"/>
                <w:color w:val="auto"/>
              </w:rPr>
              <w:t>Donald C. Wood, President and Chief</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2018</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$950,000</w:t>
            </w:r>
          </w:p>
        </w:tc>
        <w:tc>
          <w:tcPr>
            <w:tcW w:w="200" w:type="dxa"/>
            <w:vAlign w:val="bottom"/>
          </w:tcPr>
          <w:p>
            <w:pPr>
              <w:ind w:left="10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w w:val="98"/>
              </w:rPr>
              <w:t>5,160,832</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19"/>
              <w:spacing w:after="0"/>
              <w:rPr>
                <w:sz w:val="20"/>
                <w:szCs w:val="20"/>
                <w:color w:val="auto"/>
              </w:rPr>
            </w:pPr>
            <w:r>
              <w:rPr>
                <w:rFonts w:ascii="Arial" w:cs="Arial" w:eastAsia="Arial" w:hAnsi="Arial"/>
                <w:sz w:val="16"/>
                <w:szCs w:val="16"/>
                <w:color w:val="auto"/>
                <w:w w:val="98"/>
              </w:rPr>
              <w:t>1,335,938</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59"/>
              <w:spacing w:after="0"/>
              <w:rPr>
                <w:sz w:val="20"/>
                <w:szCs w:val="20"/>
                <w:color w:val="auto"/>
              </w:rPr>
            </w:pPr>
            <w:r>
              <w:rPr>
                <w:rFonts w:ascii="Arial" w:cs="Arial" w:eastAsia="Arial" w:hAnsi="Arial"/>
                <w:sz w:val="16"/>
                <w:szCs w:val="16"/>
                <w:color w:val="auto"/>
                <w:w w:val="98"/>
              </w:rPr>
              <w:t>17,412</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$7,464,182</w:t>
            </w:r>
          </w:p>
        </w:tc>
      </w:tr>
      <w:tr>
        <w:trPr>
          <w:trHeight w:val="189"/>
        </w:trPr>
        <w:tc>
          <w:tcPr>
            <w:tcW w:w="3820" w:type="dxa"/>
            <w:vAlign w:val="bottom"/>
          </w:tcPr>
          <w:p>
            <w:pPr>
              <w:ind w:left="60"/>
              <w:spacing w:after="0"/>
              <w:rPr>
                <w:sz w:val="20"/>
                <w:szCs w:val="20"/>
                <w:color w:val="auto"/>
              </w:rPr>
            </w:pPr>
            <w:r>
              <w:rPr>
                <w:rFonts w:ascii="Arial" w:cs="Arial" w:eastAsia="Arial" w:hAnsi="Arial"/>
                <w:sz w:val="16"/>
                <w:szCs w:val="16"/>
                <w:color w:val="auto"/>
              </w:rPr>
              <w:t>Executive Officer (PEO)</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2017</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$950,000</w:t>
            </w:r>
          </w:p>
        </w:tc>
        <w:tc>
          <w:tcPr>
            <w:tcW w:w="200" w:type="dxa"/>
            <w:vAlign w:val="bottom"/>
          </w:tcPr>
          <w:p>
            <w:pPr>
              <w:ind w:left="10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w w:val="98"/>
              </w:rPr>
              <w:t>6,927,569</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19"/>
              <w:spacing w:after="0"/>
              <w:rPr>
                <w:sz w:val="20"/>
                <w:szCs w:val="20"/>
                <w:color w:val="auto"/>
              </w:rPr>
            </w:pPr>
            <w:r>
              <w:rPr>
                <w:rFonts w:ascii="Arial" w:cs="Arial" w:eastAsia="Arial" w:hAnsi="Arial"/>
                <w:sz w:val="16"/>
                <w:szCs w:val="16"/>
                <w:color w:val="auto"/>
                <w:w w:val="98"/>
              </w:rPr>
              <w:t>1,183,213</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59"/>
              <w:spacing w:after="0"/>
              <w:rPr>
                <w:sz w:val="20"/>
                <w:szCs w:val="20"/>
                <w:color w:val="auto"/>
              </w:rPr>
            </w:pPr>
            <w:r>
              <w:rPr>
                <w:rFonts w:ascii="Arial" w:cs="Arial" w:eastAsia="Arial" w:hAnsi="Arial"/>
                <w:sz w:val="16"/>
                <w:szCs w:val="16"/>
                <w:color w:val="auto"/>
                <w:w w:val="98"/>
              </w:rPr>
              <w:t>17,000</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$9,077,782</w:t>
            </w:r>
          </w:p>
        </w:tc>
      </w:tr>
      <w:tr>
        <w:trPr>
          <w:trHeight w:val="195"/>
        </w:trPr>
        <w:tc>
          <w:tcPr>
            <w:tcW w:w="3820" w:type="dxa"/>
            <w:vAlign w:val="bottom"/>
          </w:tcPr>
          <w:p>
            <w:pPr>
              <w:spacing w:after="0"/>
              <w:rPr>
                <w:sz w:val="16"/>
                <w:szCs w:val="16"/>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2016</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$950,000</w:t>
            </w:r>
          </w:p>
        </w:tc>
        <w:tc>
          <w:tcPr>
            <w:tcW w:w="200" w:type="dxa"/>
            <w:vAlign w:val="bottom"/>
          </w:tcPr>
          <w:p>
            <w:pPr>
              <w:ind w:left="10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w w:val="98"/>
              </w:rPr>
              <w:t>7,462,223</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19"/>
              <w:spacing w:after="0"/>
              <w:rPr>
                <w:sz w:val="20"/>
                <w:szCs w:val="20"/>
                <w:color w:val="auto"/>
              </w:rPr>
            </w:pPr>
            <w:r>
              <w:rPr>
                <w:rFonts w:ascii="Arial" w:cs="Arial" w:eastAsia="Arial" w:hAnsi="Arial"/>
                <w:sz w:val="16"/>
                <w:szCs w:val="16"/>
                <w:color w:val="auto"/>
                <w:w w:val="98"/>
              </w:rPr>
              <w:t>1,068,750</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59"/>
              <w:spacing w:after="0"/>
              <w:rPr>
                <w:sz w:val="20"/>
                <w:szCs w:val="20"/>
                <w:color w:val="auto"/>
              </w:rPr>
            </w:pPr>
            <w:r>
              <w:rPr>
                <w:rFonts w:ascii="Arial" w:cs="Arial" w:eastAsia="Arial" w:hAnsi="Arial"/>
                <w:sz w:val="16"/>
                <w:szCs w:val="16"/>
                <w:color w:val="auto"/>
                <w:w w:val="98"/>
              </w:rPr>
              <w:t>15,767</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$9,496,740</w:t>
            </w:r>
          </w:p>
        </w:tc>
      </w:tr>
      <w:tr>
        <w:trPr>
          <w:trHeight w:val="47"/>
        </w:trPr>
        <w:tc>
          <w:tcPr>
            <w:tcW w:w="3820" w:type="dxa"/>
            <w:vAlign w:val="bottom"/>
          </w:tcPr>
          <w:p>
            <w:pPr>
              <w:spacing w:after="0"/>
              <w:rPr>
                <w:sz w:val="4"/>
                <w:szCs w:val="4"/>
                <w:color w:val="auto"/>
              </w:rPr>
            </w:pPr>
          </w:p>
        </w:tc>
        <w:tc>
          <w:tcPr>
            <w:tcW w:w="6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57"/>
        </w:trPr>
        <w:tc>
          <w:tcPr>
            <w:tcW w:w="3820" w:type="dxa"/>
            <w:vAlign w:val="bottom"/>
            <w:shd w:val="clear" w:color="auto" w:fill="D2D4D9"/>
          </w:tcPr>
          <w:p>
            <w:pPr>
              <w:ind w:left="60"/>
              <w:spacing w:after="0"/>
              <w:rPr>
                <w:sz w:val="20"/>
                <w:szCs w:val="20"/>
                <w:color w:val="auto"/>
              </w:rPr>
            </w:pPr>
            <w:r>
              <w:rPr>
                <w:rFonts w:ascii="Arial" w:cs="Arial" w:eastAsia="Arial" w:hAnsi="Arial"/>
                <w:sz w:val="16"/>
                <w:szCs w:val="16"/>
                <w:color w:val="auto"/>
              </w:rPr>
              <w:t>Daniel Guglielmone, Executive Vice</w:t>
            </w:r>
          </w:p>
        </w:tc>
        <w:tc>
          <w:tcPr>
            <w:tcW w:w="620" w:type="dxa"/>
            <w:vAlign w:val="bottom"/>
            <w:shd w:val="clear" w:color="auto" w:fill="D2D4D9"/>
          </w:tcPr>
          <w:p>
            <w:pPr>
              <w:jc w:val="right"/>
              <w:ind w:right="19"/>
              <w:spacing w:after="0"/>
              <w:rPr>
                <w:sz w:val="20"/>
                <w:szCs w:val="20"/>
                <w:color w:val="auto"/>
              </w:rPr>
            </w:pPr>
            <w:r>
              <w:rPr>
                <w:rFonts w:ascii="Arial" w:cs="Arial" w:eastAsia="Arial" w:hAnsi="Arial"/>
                <w:sz w:val="16"/>
                <w:szCs w:val="16"/>
                <w:color w:val="auto"/>
              </w:rPr>
              <w:t>2018</w:t>
            </w:r>
          </w:p>
        </w:tc>
        <w:tc>
          <w:tcPr>
            <w:tcW w:w="920" w:type="dxa"/>
            <w:vAlign w:val="bottom"/>
            <w:shd w:val="clear" w:color="auto" w:fill="D2D4D9"/>
          </w:tcPr>
          <w:p>
            <w:pPr>
              <w:jc w:val="right"/>
              <w:ind w:right="19"/>
              <w:spacing w:after="0"/>
              <w:rPr>
                <w:sz w:val="20"/>
                <w:szCs w:val="20"/>
                <w:color w:val="auto"/>
              </w:rPr>
            </w:pPr>
            <w:r>
              <w:rPr>
                <w:rFonts w:ascii="Arial" w:cs="Arial" w:eastAsia="Arial" w:hAnsi="Arial"/>
                <w:sz w:val="16"/>
                <w:szCs w:val="16"/>
                <w:color w:val="auto"/>
              </w:rPr>
              <w:t>$475,000</w:t>
            </w:r>
          </w:p>
        </w:tc>
        <w:tc>
          <w:tcPr>
            <w:tcW w:w="200" w:type="dxa"/>
            <w:vAlign w:val="bottom"/>
            <w:shd w:val="clear" w:color="auto" w:fill="D2D4D9"/>
          </w:tcPr>
          <w:p>
            <w:pPr>
              <w:ind w:left="100"/>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D2D4D9"/>
          </w:tcPr>
          <w:p>
            <w:pPr>
              <w:jc w:val="right"/>
              <w:ind w:right="19"/>
              <w:spacing w:after="0"/>
              <w:rPr>
                <w:sz w:val="20"/>
                <w:szCs w:val="20"/>
                <w:color w:val="auto"/>
              </w:rPr>
            </w:pPr>
            <w:r>
              <w:rPr>
                <w:rFonts w:ascii="Arial" w:cs="Arial" w:eastAsia="Arial" w:hAnsi="Arial"/>
                <w:sz w:val="16"/>
                <w:szCs w:val="16"/>
                <w:color w:val="auto"/>
                <w:w w:val="96"/>
              </w:rPr>
              <w:t>300,000</w:t>
            </w:r>
          </w:p>
        </w:tc>
        <w:tc>
          <w:tcPr>
            <w:tcW w:w="180" w:type="dxa"/>
            <w:vAlign w:val="bottom"/>
            <w:shd w:val="clear" w:color="auto" w:fill="D2D4D9"/>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D2D4D9"/>
          </w:tcPr>
          <w:p>
            <w:pPr>
              <w:jc w:val="right"/>
              <w:spacing w:after="0"/>
              <w:rPr>
                <w:sz w:val="20"/>
                <w:szCs w:val="20"/>
                <w:color w:val="auto"/>
              </w:rPr>
            </w:pPr>
            <w:r>
              <w:rPr>
                <w:rFonts w:ascii="Arial" w:cs="Arial" w:eastAsia="Arial" w:hAnsi="Arial"/>
                <w:sz w:val="16"/>
                <w:szCs w:val="16"/>
                <w:color w:val="auto"/>
              </w:rPr>
              <w:t>787,508</w:t>
            </w:r>
          </w:p>
        </w:tc>
        <w:tc>
          <w:tcPr>
            <w:tcW w:w="380" w:type="dxa"/>
            <w:vAlign w:val="bottom"/>
            <w:shd w:val="clear" w:color="auto" w:fill="D2D4D9"/>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D2D4D9"/>
          </w:tcPr>
          <w:p>
            <w:pPr>
              <w:jc w:val="right"/>
              <w:ind w:right="219"/>
              <w:spacing w:after="0"/>
              <w:rPr>
                <w:sz w:val="20"/>
                <w:szCs w:val="20"/>
                <w:color w:val="auto"/>
              </w:rPr>
            </w:pPr>
            <w:r>
              <w:rPr>
                <w:rFonts w:ascii="Arial" w:cs="Arial" w:eastAsia="Arial" w:hAnsi="Arial"/>
                <w:sz w:val="16"/>
                <w:szCs w:val="16"/>
                <w:color w:val="auto"/>
              </w:rPr>
              <w:t>445,313</w:t>
            </w:r>
          </w:p>
        </w:tc>
        <w:tc>
          <w:tcPr>
            <w:tcW w:w="480" w:type="dxa"/>
            <w:vAlign w:val="bottom"/>
            <w:shd w:val="clear" w:color="auto" w:fill="D2D4D9"/>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D2D4D9"/>
          </w:tcPr>
          <w:p>
            <w:pPr>
              <w:jc w:val="right"/>
              <w:ind w:right="359"/>
              <w:spacing w:after="0"/>
              <w:rPr>
                <w:sz w:val="20"/>
                <w:szCs w:val="20"/>
                <w:color w:val="auto"/>
              </w:rPr>
            </w:pPr>
            <w:r>
              <w:rPr>
                <w:rFonts w:ascii="Arial" w:cs="Arial" w:eastAsia="Arial" w:hAnsi="Arial"/>
                <w:sz w:val="16"/>
                <w:szCs w:val="16"/>
                <w:color w:val="auto"/>
              </w:rPr>
              <w:t>9,592</w:t>
            </w:r>
          </w:p>
        </w:tc>
        <w:tc>
          <w:tcPr>
            <w:tcW w:w="1000" w:type="dxa"/>
            <w:vAlign w:val="bottom"/>
            <w:shd w:val="clear" w:color="auto" w:fill="D2D4D9"/>
          </w:tcPr>
          <w:p>
            <w:pPr>
              <w:jc w:val="right"/>
              <w:ind w:right="39"/>
              <w:spacing w:after="0"/>
              <w:rPr>
                <w:sz w:val="20"/>
                <w:szCs w:val="20"/>
                <w:color w:val="auto"/>
              </w:rPr>
            </w:pPr>
            <w:r>
              <w:rPr>
                <w:rFonts w:ascii="Arial" w:cs="Arial" w:eastAsia="Arial" w:hAnsi="Arial"/>
                <w:sz w:val="16"/>
                <w:szCs w:val="16"/>
                <w:color w:val="auto"/>
              </w:rPr>
              <w:t>$2,017,413</w:t>
            </w:r>
          </w:p>
        </w:tc>
      </w:tr>
      <w:tr>
        <w:trPr>
          <w:trHeight w:val="189"/>
        </w:trPr>
        <w:tc>
          <w:tcPr>
            <w:tcW w:w="3820" w:type="dxa"/>
            <w:vAlign w:val="bottom"/>
            <w:shd w:val="clear" w:color="auto" w:fill="D2D4D9"/>
          </w:tcPr>
          <w:p>
            <w:pPr>
              <w:ind w:left="60"/>
              <w:spacing w:after="0"/>
              <w:rPr>
                <w:sz w:val="20"/>
                <w:szCs w:val="20"/>
                <w:color w:val="auto"/>
              </w:rPr>
            </w:pPr>
            <w:r>
              <w:rPr>
                <w:rFonts w:ascii="Arial" w:cs="Arial" w:eastAsia="Arial" w:hAnsi="Arial"/>
                <w:sz w:val="16"/>
                <w:szCs w:val="16"/>
                <w:color w:val="auto"/>
              </w:rPr>
              <w:t>President-Chief Financial Officer and Treasurer</w:t>
            </w:r>
          </w:p>
        </w:tc>
        <w:tc>
          <w:tcPr>
            <w:tcW w:w="620" w:type="dxa"/>
            <w:vAlign w:val="bottom"/>
            <w:shd w:val="clear" w:color="auto" w:fill="D2D4D9"/>
          </w:tcPr>
          <w:p>
            <w:pPr>
              <w:jc w:val="right"/>
              <w:ind w:right="19"/>
              <w:spacing w:after="0"/>
              <w:rPr>
                <w:sz w:val="20"/>
                <w:szCs w:val="20"/>
                <w:color w:val="auto"/>
              </w:rPr>
            </w:pPr>
            <w:r>
              <w:rPr>
                <w:rFonts w:ascii="Arial" w:cs="Arial" w:eastAsia="Arial" w:hAnsi="Arial"/>
                <w:sz w:val="16"/>
                <w:szCs w:val="16"/>
                <w:color w:val="auto"/>
              </w:rPr>
              <w:t>2017</w:t>
            </w:r>
          </w:p>
        </w:tc>
        <w:tc>
          <w:tcPr>
            <w:tcW w:w="920" w:type="dxa"/>
            <w:vAlign w:val="bottom"/>
            <w:shd w:val="clear" w:color="auto" w:fill="D2D4D9"/>
          </w:tcPr>
          <w:p>
            <w:pPr>
              <w:jc w:val="right"/>
              <w:ind w:right="19"/>
              <w:spacing w:after="0"/>
              <w:rPr>
                <w:sz w:val="20"/>
                <w:szCs w:val="20"/>
                <w:color w:val="auto"/>
              </w:rPr>
            </w:pPr>
            <w:r>
              <w:rPr>
                <w:rFonts w:ascii="Arial" w:cs="Arial" w:eastAsia="Arial" w:hAnsi="Arial"/>
                <w:sz w:val="16"/>
                <w:szCs w:val="16"/>
                <w:color w:val="auto"/>
              </w:rPr>
              <w:t>$475,000</w:t>
            </w:r>
          </w:p>
        </w:tc>
        <w:tc>
          <w:tcPr>
            <w:tcW w:w="200" w:type="dxa"/>
            <w:vAlign w:val="bottom"/>
            <w:shd w:val="clear" w:color="auto" w:fill="D2D4D9"/>
          </w:tcPr>
          <w:p>
            <w:pPr>
              <w:ind w:left="100"/>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D2D4D9"/>
          </w:tcPr>
          <w:p>
            <w:pPr>
              <w:jc w:val="right"/>
              <w:ind w:right="19"/>
              <w:spacing w:after="0"/>
              <w:rPr>
                <w:sz w:val="20"/>
                <w:szCs w:val="20"/>
                <w:color w:val="auto"/>
              </w:rPr>
            </w:pPr>
            <w:r>
              <w:rPr>
                <w:rFonts w:ascii="Arial" w:cs="Arial" w:eastAsia="Arial" w:hAnsi="Arial"/>
                <w:sz w:val="16"/>
                <w:szCs w:val="16"/>
                <w:color w:val="auto"/>
                <w:w w:val="96"/>
              </w:rPr>
              <w:t>250,000</w:t>
            </w:r>
          </w:p>
        </w:tc>
        <w:tc>
          <w:tcPr>
            <w:tcW w:w="180" w:type="dxa"/>
            <w:vAlign w:val="bottom"/>
            <w:shd w:val="clear" w:color="auto" w:fill="D2D4D9"/>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D2D4D9"/>
          </w:tcPr>
          <w:p>
            <w:pPr>
              <w:jc w:val="right"/>
              <w:spacing w:after="0"/>
              <w:rPr>
                <w:sz w:val="20"/>
                <w:szCs w:val="20"/>
                <w:color w:val="auto"/>
              </w:rPr>
            </w:pPr>
            <w:r>
              <w:rPr>
                <w:rFonts w:ascii="Arial" w:cs="Arial" w:eastAsia="Arial" w:hAnsi="Arial"/>
                <w:sz w:val="16"/>
                <w:szCs w:val="16"/>
                <w:color w:val="auto"/>
              </w:rPr>
              <w:t>899,958</w:t>
            </w:r>
          </w:p>
        </w:tc>
        <w:tc>
          <w:tcPr>
            <w:tcW w:w="380" w:type="dxa"/>
            <w:vAlign w:val="bottom"/>
            <w:shd w:val="clear" w:color="auto" w:fill="D2D4D9"/>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D2D4D9"/>
          </w:tcPr>
          <w:p>
            <w:pPr>
              <w:jc w:val="right"/>
              <w:ind w:right="219"/>
              <w:spacing w:after="0"/>
              <w:rPr>
                <w:sz w:val="20"/>
                <w:szCs w:val="20"/>
                <w:color w:val="auto"/>
              </w:rPr>
            </w:pPr>
            <w:r>
              <w:rPr>
                <w:rFonts w:ascii="Arial" w:cs="Arial" w:eastAsia="Arial" w:hAnsi="Arial"/>
                <w:sz w:val="16"/>
                <w:szCs w:val="16"/>
                <w:color w:val="auto"/>
              </w:rPr>
              <w:t>394,404</w:t>
            </w:r>
          </w:p>
        </w:tc>
        <w:tc>
          <w:tcPr>
            <w:tcW w:w="480" w:type="dxa"/>
            <w:vAlign w:val="bottom"/>
            <w:shd w:val="clear" w:color="auto" w:fill="D2D4D9"/>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D2D4D9"/>
          </w:tcPr>
          <w:p>
            <w:pPr>
              <w:jc w:val="right"/>
              <w:ind w:right="359"/>
              <w:spacing w:after="0"/>
              <w:rPr>
                <w:sz w:val="20"/>
                <w:szCs w:val="20"/>
                <w:color w:val="auto"/>
              </w:rPr>
            </w:pPr>
            <w:r>
              <w:rPr>
                <w:rFonts w:ascii="Arial" w:cs="Arial" w:eastAsia="Arial" w:hAnsi="Arial"/>
                <w:sz w:val="16"/>
                <w:szCs w:val="16"/>
                <w:color w:val="auto"/>
                <w:w w:val="98"/>
              </w:rPr>
              <w:t>38,701</w:t>
            </w:r>
          </w:p>
        </w:tc>
        <w:tc>
          <w:tcPr>
            <w:tcW w:w="1000" w:type="dxa"/>
            <w:vAlign w:val="bottom"/>
            <w:shd w:val="clear" w:color="auto" w:fill="D2D4D9"/>
          </w:tcPr>
          <w:p>
            <w:pPr>
              <w:jc w:val="right"/>
              <w:ind w:right="39"/>
              <w:spacing w:after="0"/>
              <w:rPr>
                <w:sz w:val="20"/>
                <w:szCs w:val="20"/>
                <w:color w:val="auto"/>
              </w:rPr>
            </w:pPr>
            <w:r>
              <w:rPr>
                <w:rFonts w:ascii="Arial" w:cs="Arial" w:eastAsia="Arial" w:hAnsi="Arial"/>
                <w:sz w:val="16"/>
                <w:szCs w:val="16"/>
                <w:color w:val="auto"/>
              </w:rPr>
              <w:t>$2,058,064</w:t>
            </w:r>
          </w:p>
        </w:tc>
      </w:tr>
      <w:tr>
        <w:trPr>
          <w:trHeight w:val="230"/>
        </w:trPr>
        <w:tc>
          <w:tcPr>
            <w:tcW w:w="3820" w:type="dxa"/>
            <w:vAlign w:val="bottom"/>
            <w:shd w:val="clear" w:color="auto" w:fill="D2D4D9"/>
          </w:tcPr>
          <w:p>
            <w:pPr>
              <w:ind w:left="60"/>
              <w:spacing w:after="0"/>
              <w:rPr>
                <w:sz w:val="20"/>
                <w:szCs w:val="20"/>
                <w:color w:val="auto"/>
              </w:rPr>
            </w:pPr>
            <w:r>
              <w:rPr>
                <w:rFonts w:ascii="Arial" w:cs="Arial" w:eastAsia="Arial" w:hAnsi="Arial"/>
                <w:sz w:val="16"/>
                <w:szCs w:val="16"/>
                <w:color w:val="auto"/>
              </w:rPr>
              <w:t>(PFO)</w:t>
            </w:r>
          </w:p>
        </w:tc>
        <w:tc>
          <w:tcPr>
            <w:tcW w:w="620" w:type="dxa"/>
            <w:vAlign w:val="bottom"/>
            <w:shd w:val="clear" w:color="auto" w:fill="D2D4D9"/>
          </w:tcPr>
          <w:p>
            <w:pPr>
              <w:jc w:val="right"/>
              <w:ind w:right="19"/>
              <w:spacing w:after="0"/>
              <w:rPr>
                <w:sz w:val="20"/>
                <w:szCs w:val="20"/>
                <w:color w:val="auto"/>
              </w:rPr>
            </w:pPr>
            <w:r>
              <w:rPr>
                <w:rFonts w:ascii="Arial" w:cs="Arial" w:eastAsia="Arial" w:hAnsi="Arial"/>
                <w:sz w:val="16"/>
                <w:szCs w:val="16"/>
                <w:color w:val="auto"/>
              </w:rPr>
              <w:t>2016</w:t>
            </w:r>
          </w:p>
        </w:tc>
        <w:tc>
          <w:tcPr>
            <w:tcW w:w="920" w:type="dxa"/>
            <w:vAlign w:val="bottom"/>
            <w:shd w:val="clear" w:color="auto" w:fill="D2D4D9"/>
          </w:tcPr>
          <w:p>
            <w:pPr>
              <w:jc w:val="right"/>
              <w:ind w:right="19"/>
              <w:spacing w:after="0"/>
              <w:rPr>
                <w:sz w:val="20"/>
                <w:szCs w:val="20"/>
                <w:color w:val="auto"/>
              </w:rPr>
            </w:pPr>
            <w:r>
              <w:rPr>
                <w:rFonts w:ascii="Arial" w:cs="Arial" w:eastAsia="Arial" w:hAnsi="Arial"/>
                <w:sz w:val="16"/>
                <w:szCs w:val="16"/>
                <w:color w:val="auto"/>
              </w:rPr>
              <w:t>$164,423</w:t>
            </w:r>
          </w:p>
        </w:tc>
        <w:tc>
          <w:tcPr>
            <w:tcW w:w="200" w:type="dxa"/>
            <w:vAlign w:val="bottom"/>
            <w:shd w:val="clear" w:color="auto" w:fill="D2D4D9"/>
          </w:tcPr>
          <w:p>
            <w:pPr>
              <w:ind w:left="100"/>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D2D4D9"/>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shd w:val="clear" w:color="auto" w:fill="D2D4D9"/>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D2D4D9"/>
          </w:tcPr>
          <w:p>
            <w:pPr>
              <w:jc w:val="right"/>
              <w:spacing w:after="0"/>
              <w:rPr>
                <w:sz w:val="20"/>
                <w:szCs w:val="20"/>
                <w:color w:val="auto"/>
              </w:rPr>
            </w:pPr>
            <w:r>
              <w:rPr>
                <w:rFonts w:ascii="Arial" w:cs="Arial" w:eastAsia="Arial" w:hAnsi="Arial"/>
                <w:sz w:val="16"/>
                <w:szCs w:val="16"/>
                <w:color w:val="auto"/>
                <w:w w:val="98"/>
              </w:rPr>
              <w:t>1,500,080</w:t>
            </w:r>
          </w:p>
        </w:tc>
        <w:tc>
          <w:tcPr>
            <w:tcW w:w="380" w:type="dxa"/>
            <w:vAlign w:val="bottom"/>
            <w:shd w:val="clear" w:color="auto" w:fill="D2D4D9"/>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D2D4D9"/>
          </w:tcPr>
          <w:p>
            <w:pPr>
              <w:jc w:val="right"/>
              <w:ind w:right="219"/>
              <w:spacing w:after="0"/>
              <w:rPr>
                <w:sz w:val="20"/>
                <w:szCs w:val="20"/>
                <w:color w:val="auto"/>
              </w:rPr>
            </w:pPr>
            <w:r>
              <w:rPr>
                <w:rFonts w:ascii="Arial" w:cs="Arial" w:eastAsia="Arial" w:hAnsi="Arial"/>
                <w:sz w:val="16"/>
                <w:szCs w:val="16"/>
                <w:color w:val="auto"/>
              </w:rPr>
              <w:t>337,500</w:t>
            </w:r>
          </w:p>
        </w:tc>
        <w:tc>
          <w:tcPr>
            <w:tcW w:w="480" w:type="dxa"/>
            <w:vAlign w:val="bottom"/>
            <w:shd w:val="clear" w:color="auto" w:fill="D2D4D9"/>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D2D4D9"/>
          </w:tcPr>
          <w:p>
            <w:pPr>
              <w:jc w:val="right"/>
              <w:ind w:right="359"/>
              <w:spacing w:after="0"/>
              <w:rPr>
                <w:sz w:val="20"/>
                <w:szCs w:val="20"/>
                <w:color w:val="auto"/>
              </w:rPr>
            </w:pPr>
            <w:r>
              <w:rPr>
                <w:rFonts w:ascii="Arial" w:cs="Arial" w:eastAsia="Arial" w:hAnsi="Arial"/>
                <w:sz w:val="16"/>
                <w:szCs w:val="16"/>
                <w:color w:val="auto"/>
                <w:w w:val="98"/>
              </w:rPr>
              <w:t>20,802</w:t>
            </w:r>
          </w:p>
        </w:tc>
        <w:tc>
          <w:tcPr>
            <w:tcW w:w="1000" w:type="dxa"/>
            <w:vAlign w:val="bottom"/>
            <w:shd w:val="clear" w:color="auto" w:fill="D2D4D9"/>
          </w:tcPr>
          <w:p>
            <w:pPr>
              <w:jc w:val="right"/>
              <w:ind w:right="39"/>
              <w:spacing w:after="0"/>
              <w:rPr>
                <w:sz w:val="20"/>
                <w:szCs w:val="20"/>
                <w:color w:val="auto"/>
              </w:rPr>
            </w:pPr>
            <w:r>
              <w:rPr>
                <w:rFonts w:ascii="Arial" w:cs="Arial" w:eastAsia="Arial" w:hAnsi="Arial"/>
                <w:sz w:val="16"/>
                <w:szCs w:val="16"/>
                <w:color w:val="auto"/>
              </w:rPr>
              <w:t>$2,022,805</w:t>
            </w:r>
          </w:p>
        </w:tc>
      </w:tr>
      <w:tr>
        <w:trPr>
          <w:trHeight w:val="258"/>
        </w:trPr>
        <w:tc>
          <w:tcPr>
            <w:tcW w:w="3820" w:type="dxa"/>
            <w:vAlign w:val="bottom"/>
          </w:tcPr>
          <w:p>
            <w:pPr>
              <w:ind w:left="60"/>
              <w:spacing w:after="0"/>
              <w:rPr>
                <w:sz w:val="20"/>
                <w:szCs w:val="20"/>
                <w:color w:val="auto"/>
              </w:rPr>
            </w:pPr>
            <w:r>
              <w:rPr>
                <w:rFonts w:ascii="Arial" w:cs="Arial" w:eastAsia="Arial" w:hAnsi="Arial"/>
                <w:sz w:val="16"/>
                <w:szCs w:val="16"/>
                <w:color w:val="auto"/>
              </w:rPr>
              <w:t>Dawn M. Becker, Executive Vice</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2018</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$450,000</w:t>
            </w:r>
          </w:p>
        </w:tc>
        <w:tc>
          <w:tcPr>
            <w:tcW w:w="200" w:type="dxa"/>
            <w:vAlign w:val="bottom"/>
          </w:tcPr>
          <w:p>
            <w:pPr>
              <w:ind w:left="10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50,000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562,490</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19"/>
              <w:spacing w:after="0"/>
              <w:rPr>
                <w:sz w:val="20"/>
                <w:szCs w:val="20"/>
                <w:color w:val="auto"/>
              </w:rPr>
            </w:pPr>
            <w:r>
              <w:rPr>
                <w:rFonts w:ascii="Arial" w:cs="Arial" w:eastAsia="Arial" w:hAnsi="Arial"/>
                <w:sz w:val="16"/>
                <w:szCs w:val="16"/>
                <w:color w:val="auto"/>
              </w:rPr>
              <w:t>316,406</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59"/>
              <w:spacing w:after="0"/>
              <w:rPr>
                <w:sz w:val="20"/>
                <w:szCs w:val="20"/>
                <w:color w:val="auto"/>
              </w:rPr>
            </w:pPr>
            <w:r>
              <w:rPr>
                <w:rFonts w:ascii="Arial" w:cs="Arial" w:eastAsia="Arial" w:hAnsi="Arial"/>
                <w:sz w:val="16"/>
                <w:szCs w:val="16"/>
                <w:color w:val="auto"/>
                <w:w w:val="98"/>
              </w:rPr>
              <w:t>12,406</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$1,391,302</w:t>
            </w:r>
          </w:p>
        </w:tc>
      </w:tr>
      <w:tr>
        <w:trPr>
          <w:trHeight w:val="189"/>
        </w:trPr>
        <w:tc>
          <w:tcPr>
            <w:tcW w:w="3820" w:type="dxa"/>
            <w:vAlign w:val="bottom"/>
          </w:tcPr>
          <w:p>
            <w:pPr>
              <w:ind w:left="60"/>
              <w:spacing w:after="0"/>
              <w:rPr>
                <w:sz w:val="20"/>
                <w:szCs w:val="20"/>
                <w:color w:val="auto"/>
              </w:rPr>
            </w:pPr>
            <w:r>
              <w:rPr>
                <w:rFonts w:ascii="Arial" w:cs="Arial" w:eastAsia="Arial" w:hAnsi="Arial"/>
                <w:sz w:val="16"/>
                <w:szCs w:val="16"/>
                <w:color w:val="auto"/>
              </w:rPr>
              <w:t>President-General Counsel and Secretary</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2017</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$450,000</w:t>
            </w:r>
          </w:p>
        </w:tc>
        <w:tc>
          <w:tcPr>
            <w:tcW w:w="200" w:type="dxa"/>
            <w:vAlign w:val="bottom"/>
          </w:tcPr>
          <w:p>
            <w:pPr>
              <w:ind w:left="10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979,017</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19"/>
              <w:spacing w:after="0"/>
              <w:rPr>
                <w:sz w:val="20"/>
                <w:szCs w:val="20"/>
                <w:color w:val="auto"/>
              </w:rPr>
            </w:pPr>
            <w:r>
              <w:rPr>
                <w:rFonts w:ascii="Arial" w:cs="Arial" w:eastAsia="Arial" w:hAnsi="Arial"/>
                <w:sz w:val="16"/>
                <w:szCs w:val="16"/>
                <w:color w:val="auto"/>
              </w:rPr>
              <w:t>373,646</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59"/>
              <w:spacing w:after="0"/>
              <w:rPr>
                <w:sz w:val="20"/>
                <w:szCs w:val="20"/>
                <w:color w:val="auto"/>
              </w:rPr>
            </w:pPr>
            <w:r>
              <w:rPr>
                <w:rFonts w:ascii="Arial" w:cs="Arial" w:eastAsia="Arial" w:hAnsi="Arial"/>
                <w:sz w:val="16"/>
                <w:szCs w:val="16"/>
                <w:color w:val="auto"/>
                <w:w w:val="98"/>
              </w:rPr>
              <w:t>11,073</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$1,813,737</w:t>
            </w:r>
          </w:p>
        </w:tc>
      </w:tr>
      <w:tr>
        <w:trPr>
          <w:trHeight w:val="195"/>
        </w:trPr>
        <w:tc>
          <w:tcPr>
            <w:tcW w:w="3820" w:type="dxa"/>
            <w:vAlign w:val="bottom"/>
          </w:tcPr>
          <w:p>
            <w:pPr>
              <w:spacing w:after="0"/>
              <w:rPr>
                <w:sz w:val="16"/>
                <w:szCs w:val="16"/>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2016</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$450,000</w:t>
            </w:r>
          </w:p>
        </w:tc>
        <w:tc>
          <w:tcPr>
            <w:tcW w:w="200" w:type="dxa"/>
            <w:vAlign w:val="bottom"/>
          </w:tcPr>
          <w:p>
            <w:pPr>
              <w:ind w:left="10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798,719</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19"/>
              <w:spacing w:after="0"/>
              <w:rPr>
                <w:sz w:val="20"/>
                <w:szCs w:val="20"/>
                <w:color w:val="auto"/>
              </w:rPr>
            </w:pPr>
            <w:r>
              <w:rPr>
                <w:rFonts w:ascii="Arial" w:cs="Arial" w:eastAsia="Arial" w:hAnsi="Arial"/>
                <w:sz w:val="16"/>
                <w:szCs w:val="16"/>
                <w:color w:val="auto"/>
              </w:rPr>
              <w:t>253,125</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59"/>
              <w:spacing w:after="0"/>
              <w:rPr>
                <w:sz w:val="20"/>
                <w:szCs w:val="20"/>
                <w:color w:val="auto"/>
              </w:rPr>
            </w:pPr>
            <w:r>
              <w:rPr>
                <w:rFonts w:ascii="Arial" w:cs="Arial" w:eastAsia="Arial" w:hAnsi="Arial"/>
                <w:sz w:val="16"/>
                <w:szCs w:val="16"/>
                <w:color w:val="auto"/>
                <w:w w:val="98"/>
              </w:rPr>
              <w:t>10,307</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$1,512,151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115570</wp:posOffset>
            </wp:positionV>
            <wp:extent cx="69469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1" w:lineRule="exact"/>
        <w:rPr>
          <w:sz w:val="20"/>
          <w:szCs w:val="20"/>
          <w:color w:val="auto"/>
        </w:rPr>
      </w:pPr>
    </w:p>
    <w:p>
      <w:pPr>
        <w:ind w:left="640" w:right="20" w:hanging="436"/>
        <w:spacing w:after="0" w:line="234"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Amounts shown in the Salary column include all amounts deferred at the election of the NEOs into our non-qualified deferred compensation plan.</w:t>
      </w:r>
    </w:p>
    <w:p>
      <w:pPr>
        <w:spacing w:after="0" w:line="1" w:lineRule="exact"/>
        <w:rPr>
          <w:rFonts w:ascii="Arial" w:cs="Arial" w:eastAsia="Arial" w:hAnsi="Arial"/>
          <w:sz w:val="18"/>
          <w:szCs w:val="18"/>
          <w:color w:val="auto"/>
        </w:rPr>
      </w:pPr>
    </w:p>
    <w:p>
      <w:pPr>
        <w:jc w:val="both"/>
        <w:ind w:left="640" w:right="20" w:hanging="43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Guglielmone and Ms. Becker each received a $50,000 cash supplemental bonus for 2018. In each of 2017 and 2018, Mr. Guglielmone received a $250,000 cash bonus that was agreed to as part of Mr. Guglielmone’s initial hiring compensation package.</w:t>
      </w:r>
    </w:p>
    <w:p>
      <w:pPr>
        <w:spacing w:after="0" w:line="193" w:lineRule="exact"/>
        <w:rPr>
          <w:rFonts w:ascii="Arial" w:cs="Arial" w:eastAsia="Arial" w:hAnsi="Arial"/>
          <w:sz w:val="18"/>
          <w:szCs w:val="18"/>
          <w:color w:val="auto"/>
        </w:rPr>
      </w:pPr>
    </w:p>
    <w:p>
      <w:pPr>
        <w:jc w:val="both"/>
        <w:ind w:left="640" w:right="20" w:hanging="436"/>
        <w:spacing w:after="0" w:line="234"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Amounts shown in the Stock Awards column reflect the aggregate grant date fair value of the awards calculated in accordance with FASB ASC Topic 718 that were made in the fiscal years ended December 31, 2018, 2017 and 2016. For a discussion of the valuation of these awards, please refer to Note 12 in the notes to our consolidated financial statements in our Annual Report on Form 10-K filed on February 13, 2019.</w:t>
      </w:r>
    </w:p>
    <w:p>
      <w:pPr>
        <w:spacing w:after="0" w:line="3" w:lineRule="exact"/>
        <w:rPr>
          <w:rFonts w:ascii="Arial" w:cs="Arial" w:eastAsia="Arial" w:hAnsi="Arial"/>
          <w:sz w:val="18"/>
          <w:szCs w:val="18"/>
          <w:color w:val="auto"/>
        </w:rPr>
      </w:pPr>
    </w:p>
    <w:p>
      <w:pPr>
        <w:ind w:left="640" w:right="20" w:hanging="436"/>
        <w:spacing w:after="0" w:line="246"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Amounts shown in this column represent only the cash portion paid under our Annual Bonus Plan and include amounts deferred by our NEOs into our non-qualified deferred compensation plan. Mr. Wood received 75% of his Annual Bonus</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240" w:top="459" w:right="4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640" w:right="20"/>
        <w:spacing w:after="0" w:line="234" w:lineRule="auto"/>
        <w:rPr>
          <w:sz w:val="20"/>
          <w:szCs w:val="20"/>
          <w:color w:val="auto"/>
        </w:rPr>
      </w:pPr>
      <w:r>
        <w:rPr>
          <w:rFonts w:ascii="Arial" w:cs="Arial" w:eastAsia="Arial" w:hAnsi="Arial"/>
          <w:sz w:val="18"/>
          <w:szCs w:val="18"/>
          <w:color w:val="auto"/>
        </w:rPr>
        <w:t>in cash for each of 2018, 2017 and 2016. Ms. Becker received 75% of her bonus in cash for 2018 and 2016 and 100% of her bonus in cash for 2017. Mr. Guglielmone received 100% of his Annual Bonus in cash for 2018, 2017 and 2016. The remaining amounts earned under the Annual Bonus Plan in 2018, 2017 and 2016 were paid in Shares in an amount equal to 120% of the cash value in consideration of a 3-year vesting schedule.</w:t>
      </w:r>
    </w:p>
    <w:p>
      <w:pPr>
        <w:spacing w:after="0" w:line="3" w:lineRule="exact"/>
        <w:rPr>
          <w:sz w:val="20"/>
          <w:szCs w:val="20"/>
          <w:color w:val="auto"/>
        </w:rPr>
      </w:pPr>
    </w:p>
    <w:p>
      <w:pPr>
        <w:jc w:val="both"/>
        <w:ind w:left="640" w:right="20" w:hanging="436"/>
        <w:spacing w:after="0" w:line="234"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amounts shown in this column for the last fiscal year include: (a) payments for group term life insurance, long-term disability insurance and supplement life insurance of $10,537 for Mr. Wood, $2,717 for Mr. Guglielmone and $5,531 for Ms. Becker; and</w:t>
      </w:r>
    </w:p>
    <w:p>
      <w:pPr>
        <w:spacing w:after="0" w:line="1"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(b) contributions to our 401(k) plan of $6,875 for each of our NEOs.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GRANTS OF PLAN-BASED AWARDS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8" w:lineRule="exact"/>
        <w:rPr>
          <w:sz w:val="20"/>
          <w:szCs w:val="20"/>
          <w:color w:val="auto"/>
        </w:rPr>
      </w:pPr>
    </w:p>
    <w:p>
      <w:pPr>
        <w:jc w:val="both"/>
        <w:ind w:left="200" w:right="20"/>
        <w:spacing w:after="0" w:line="239" w:lineRule="auto"/>
        <w:rPr>
          <w:sz w:val="20"/>
          <w:szCs w:val="20"/>
          <w:color w:val="auto"/>
        </w:rPr>
      </w:pPr>
      <w:r>
        <w:rPr>
          <w:rFonts w:ascii="Arial" w:cs="Arial" w:eastAsia="Arial" w:hAnsi="Arial"/>
          <w:sz w:val="18"/>
          <w:szCs w:val="18"/>
          <w:color w:val="auto"/>
        </w:rPr>
        <w:t>The following Share awards were made in 2018, all of which were earned based on the 1-year or 3-year performance period ending December 31, 2017. Awards made in 2019 to the NEOs under our Annual Bonus Plan and long-term incentive plan for the 1-year and 3-year performance periods ending December 31, 2018 will be reported in the Grants of Plan-Based Awards Table in next year’s proxy statement.</w:t>
      </w:r>
    </w:p>
    <w:p>
      <w:pPr>
        <w:spacing w:after="0" w:line="230"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6160" w:type="dxa"/>
            <w:vAlign w:val="bottom"/>
            <w:shd w:val="clear" w:color="auto" w:fill="1F2A44"/>
          </w:tcPr>
          <w:p>
            <w:pPr>
              <w:spacing w:after="0"/>
              <w:rPr>
                <w:sz w:val="19"/>
                <w:szCs w:val="19"/>
                <w:color w:val="auto"/>
              </w:rPr>
            </w:pPr>
          </w:p>
        </w:tc>
        <w:tc>
          <w:tcPr>
            <w:tcW w:w="1180" w:type="dxa"/>
            <w:vAlign w:val="bottom"/>
            <w:shd w:val="clear" w:color="auto" w:fill="1F2A44"/>
          </w:tcPr>
          <w:p>
            <w:pPr>
              <w:spacing w:after="0"/>
              <w:rPr>
                <w:sz w:val="19"/>
                <w:szCs w:val="19"/>
                <w:color w:val="auto"/>
              </w:rPr>
            </w:pPr>
          </w:p>
        </w:tc>
        <w:tc>
          <w:tcPr>
            <w:tcW w:w="2180" w:type="dxa"/>
            <w:vAlign w:val="bottom"/>
            <w:shd w:val="clear" w:color="auto" w:fill="1F2A44"/>
          </w:tcPr>
          <w:p>
            <w:pPr>
              <w:jc w:val="center"/>
              <w:spacing w:after="0"/>
              <w:rPr>
                <w:sz w:val="20"/>
                <w:szCs w:val="20"/>
                <w:color w:val="auto"/>
              </w:rPr>
            </w:pPr>
            <w:r>
              <w:rPr>
                <w:rFonts w:ascii="Arial" w:cs="Arial" w:eastAsia="Arial" w:hAnsi="Arial"/>
                <w:sz w:val="14"/>
                <w:szCs w:val="14"/>
                <w:b w:val="1"/>
                <w:bCs w:val="1"/>
                <w:color w:val="FFFFFF"/>
              </w:rPr>
              <w:t>All Other Stock Awards:</w:t>
            </w:r>
          </w:p>
        </w:tc>
        <w:tc>
          <w:tcPr>
            <w:tcW w:w="480" w:type="dxa"/>
            <w:vAlign w:val="bottom"/>
            <w:shd w:val="clear" w:color="auto" w:fill="1F2A44"/>
          </w:tcPr>
          <w:p>
            <w:pPr>
              <w:spacing w:after="0"/>
              <w:rPr>
                <w:sz w:val="19"/>
                <w:szCs w:val="19"/>
                <w:color w:val="auto"/>
              </w:rPr>
            </w:pPr>
          </w:p>
        </w:tc>
        <w:tc>
          <w:tcPr>
            <w:tcW w:w="1020" w:type="dxa"/>
            <w:vAlign w:val="bottom"/>
            <w:shd w:val="clear" w:color="auto" w:fill="1F2A44"/>
          </w:tcPr>
          <w:p>
            <w:pPr>
              <w:spacing w:after="0"/>
              <w:rPr>
                <w:sz w:val="19"/>
                <w:szCs w:val="19"/>
                <w:color w:val="auto"/>
              </w:rPr>
            </w:pPr>
          </w:p>
        </w:tc>
      </w:tr>
      <w:tr>
        <w:trPr>
          <w:trHeight w:val="159"/>
        </w:trPr>
        <w:tc>
          <w:tcPr>
            <w:tcW w:w="6160" w:type="dxa"/>
            <w:vAlign w:val="bottom"/>
            <w:shd w:val="clear" w:color="auto" w:fill="1F2A44"/>
          </w:tcPr>
          <w:p>
            <w:pPr>
              <w:spacing w:after="0"/>
              <w:rPr>
                <w:sz w:val="13"/>
                <w:szCs w:val="13"/>
                <w:color w:val="auto"/>
              </w:rPr>
            </w:pPr>
          </w:p>
        </w:tc>
        <w:tc>
          <w:tcPr>
            <w:tcW w:w="1180" w:type="dxa"/>
            <w:vAlign w:val="bottom"/>
            <w:shd w:val="clear" w:color="auto" w:fill="1F2A44"/>
          </w:tcPr>
          <w:p>
            <w:pPr>
              <w:jc w:val="center"/>
              <w:ind w:right="8"/>
              <w:spacing w:after="0" w:line="159" w:lineRule="exact"/>
              <w:rPr>
                <w:sz w:val="20"/>
                <w:szCs w:val="20"/>
                <w:color w:val="auto"/>
              </w:rPr>
            </w:pPr>
            <w:r>
              <w:rPr>
                <w:rFonts w:ascii="Arial" w:cs="Arial" w:eastAsia="Arial" w:hAnsi="Arial"/>
                <w:sz w:val="14"/>
                <w:szCs w:val="14"/>
                <w:b w:val="1"/>
                <w:bCs w:val="1"/>
                <w:color w:val="FFFFFF"/>
              </w:rPr>
              <w:t>Grant</w:t>
            </w:r>
          </w:p>
        </w:tc>
        <w:tc>
          <w:tcPr>
            <w:tcW w:w="2180" w:type="dxa"/>
            <w:vAlign w:val="bottom"/>
            <w:shd w:val="clear" w:color="auto" w:fill="1F2A44"/>
          </w:tcPr>
          <w:p>
            <w:pPr>
              <w:jc w:val="center"/>
              <w:spacing w:after="0" w:line="159" w:lineRule="exact"/>
              <w:rPr>
                <w:sz w:val="20"/>
                <w:szCs w:val="20"/>
                <w:color w:val="auto"/>
              </w:rPr>
            </w:pPr>
            <w:r>
              <w:rPr>
                <w:rFonts w:ascii="Arial" w:cs="Arial" w:eastAsia="Arial" w:hAnsi="Arial"/>
                <w:sz w:val="14"/>
                <w:szCs w:val="14"/>
                <w:b w:val="1"/>
                <w:bCs w:val="1"/>
                <w:color w:val="FFFFFF"/>
              </w:rPr>
              <w:t>Number of Shares of</w:t>
            </w:r>
          </w:p>
        </w:tc>
        <w:tc>
          <w:tcPr>
            <w:tcW w:w="1500" w:type="dxa"/>
            <w:vAlign w:val="bottom"/>
            <w:gridSpan w:val="2"/>
            <w:shd w:val="clear" w:color="auto" w:fill="1F2A44"/>
          </w:tcPr>
          <w:p>
            <w:pPr>
              <w:ind w:left="360"/>
              <w:spacing w:after="0" w:line="159" w:lineRule="exact"/>
              <w:rPr>
                <w:sz w:val="20"/>
                <w:szCs w:val="20"/>
                <w:color w:val="auto"/>
              </w:rPr>
            </w:pPr>
            <w:r>
              <w:rPr>
                <w:rFonts w:ascii="Arial" w:cs="Arial" w:eastAsia="Arial" w:hAnsi="Arial"/>
                <w:sz w:val="14"/>
                <w:szCs w:val="14"/>
                <w:b w:val="1"/>
                <w:bCs w:val="1"/>
                <w:color w:val="FFFFFF"/>
              </w:rPr>
              <w:t>Grant Date</w:t>
            </w:r>
          </w:p>
        </w:tc>
      </w:tr>
      <w:tr>
        <w:trPr>
          <w:trHeight w:val="192"/>
        </w:trPr>
        <w:tc>
          <w:tcPr>
            <w:tcW w:w="6160" w:type="dxa"/>
            <w:vAlign w:val="bottom"/>
            <w:shd w:val="clear" w:color="auto" w:fill="1F2A44"/>
          </w:tcPr>
          <w:p>
            <w:pPr>
              <w:ind w:left="60"/>
              <w:spacing w:after="0"/>
              <w:rPr>
                <w:sz w:val="20"/>
                <w:szCs w:val="20"/>
                <w:color w:val="auto"/>
              </w:rPr>
            </w:pPr>
            <w:r>
              <w:rPr>
                <w:rFonts w:ascii="Arial" w:cs="Arial" w:eastAsia="Arial" w:hAnsi="Arial"/>
                <w:sz w:val="14"/>
                <w:szCs w:val="14"/>
                <w:b w:val="1"/>
                <w:bCs w:val="1"/>
                <w:color w:val="FFFFFF"/>
              </w:rPr>
              <w:t>Name</w:t>
            </w:r>
          </w:p>
        </w:tc>
        <w:tc>
          <w:tcPr>
            <w:tcW w:w="1180" w:type="dxa"/>
            <w:vAlign w:val="bottom"/>
            <w:shd w:val="clear" w:color="auto" w:fill="1F2A44"/>
          </w:tcPr>
          <w:p>
            <w:pPr>
              <w:jc w:val="center"/>
              <w:spacing w:after="0"/>
              <w:rPr>
                <w:sz w:val="20"/>
                <w:szCs w:val="20"/>
                <w:color w:val="auto"/>
              </w:rPr>
            </w:pPr>
            <w:r>
              <w:rPr>
                <w:rFonts w:ascii="Arial" w:cs="Arial" w:eastAsia="Arial" w:hAnsi="Arial"/>
                <w:sz w:val="14"/>
                <w:szCs w:val="14"/>
                <w:b w:val="1"/>
                <w:bCs w:val="1"/>
                <w:color w:val="FFFFFF"/>
              </w:rPr>
              <w:t>Date</w:t>
            </w:r>
          </w:p>
        </w:tc>
        <w:tc>
          <w:tcPr>
            <w:tcW w:w="2180" w:type="dxa"/>
            <w:vAlign w:val="bottom"/>
            <w:shd w:val="clear" w:color="auto" w:fill="1F2A44"/>
          </w:tcPr>
          <w:p>
            <w:pPr>
              <w:jc w:val="center"/>
              <w:spacing w:after="0" w:line="192" w:lineRule="exact"/>
              <w:rPr>
                <w:sz w:val="20"/>
                <w:szCs w:val="20"/>
                <w:color w:val="auto"/>
              </w:rPr>
            </w:pPr>
            <w:r>
              <w:rPr>
                <w:rFonts w:ascii="Arial" w:cs="Arial" w:eastAsia="Arial" w:hAnsi="Arial"/>
                <w:sz w:val="13"/>
                <w:szCs w:val="13"/>
                <w:b w:val="1"/>
                <w:bCs w:val="1"/>
                <w:color w:val="FFFFFF"/>
              </w:rPr>
              <w:t>Stock or Units</w:t>
            </w:r>
            <w:r>
              <w:rPr>
                <w:rFonts w:ascii="Arial" w:cs="Arial" w:eastAsia="Arial" w:hAnsi="Arial"/>
                <w:sz w:val="22"/>
                <w:szCs w:val="22"/>
                <w:b w:val="1"/>
                <w:bCs w:val="1"/>
                <w:color w:val="FFFFFF"/>
                <w:vertAlign w:val="superscript"/>
              </w:rPr>
              <w:t>(3)</w:t>
            </w:r>
          </w:p>
        </w:tc>
        <w:tc>
          <w:tcPr>
            <w:tcW w:w="1500" w:type="dxa"/>
            <w:vAlign w:val="bottom"/>
            <w:gridSpan w:val="2"/>
            <w:shd w:val="clear" w:color="auto" w:fill="1F2A44"/>
          </w:tcPr>
          <w:p>
            <w:pPr>
              <w:ind w:left="300"/>
              <w:spacing w:after="0" w:line="192" w:lineRule="exact"/>
              <w:rPr>
                <w:sz w:val="20"/>
                <w:szCs w:val="20"/>
                <w:color w:val="auto"/>
              </w:rPr>
            </w:pPr>
            <w:r>
              <w:rPr>
                <w:rFonts w:ascii="Arial" w:cs="Arial" w:eastAsia="Arial" w:hAnsi="Arial"/>
                <w:sz w:val="13"/>
                <w:szCs w:val="13"/>
                <w:b w:val="1"/>
                <w:bCs w:val="1"/>
                <w:color w:val="FFFFFF"/>
              </w:rPr>
              <w:t>Fair Value</w:t>
            </w:r>
            <w:r>
              <w:rPr>
                <w:rFonts w:ascii="Arial" w:cs="Arial" w:eastAsia="Arial" w:hAnsi="Arial"/>
                <w:sz w:val="22"/>
                <w:szCs w:val="22"/>
                <w:b w:val="1"/>
                <w:bCs w:val="1"/>
                <w:color w:val="FFFFFF"/>
                <w:vertAlign w:val="superscript"/>
              </w:rPr>
              <w:t>(4)</w:t>
            </w:r>
          </w:p>
        </w:tc>
      </w:tr>
      <w:tr>
        <w:trPr>
          <w:trHeight w:val="81"/>
        </w:trPr>
        <w:tc>
          <w:tcPr>
            <w:tcW w:w="6160" w:type="dxa"/>
            <w:vAlign w:val="bottom"/>
            <w:shd w:val="clear" w:color="auto" w:fill="1F2A44"/>
          </w:tcPr>
          <w:p>
            <w:pPr>
              <w:spacing w:after="0"/>
              <w:rPr>
                <w:sz w:val="7"/>
                <w:szCs w:val="7"/>
                <w:color w:val="auto"/>
              </w:rPr>
            </w:pPr>
          </w:p>
        </w:tc>
        <w:tc>
          <w:tcPr>
            <w:tcW w:w="1180" w:type="dxa"/>
            <w:vAlign w:val="bottom"/>
            <w:shd w:val="clear" w:color="auto" w:fill="1F2A44"/>
          </w:tcPr>
          <w:p>
            <w:pPr>
              <w:spacing w:after="0"/>
              <w:rPr>
                <w:sz w:val="7"/>
                <w:szCs w:val="7"/>
                <w:color w:val="auto"/>
              </w:rPr>
            </w:pPr>
          </w:p>
        </w:tc>
        <w:tc>
          <w:tcPr>
            <w:tcW w:w="2180" w:type="dxa"/>
            <w:vAlign w:val="bottom"/>
            <w:shd w:val="clear" w:color="auto" w:fill="1F2A44"/>
          </w:tcPr>
          <w:p>
            <w:pPr>
              <w:spacing w:after="0"/>
              <w:rPr>
                <w:sz w:val="7"/>
                <w:szCs w:val="7"/>
                <w:color w:val="auto"/>
              </w:rPr>
            </w:pPr>
          </w:p>
        </w:tc>
        <w:tc>
          <w:tcPr>
            <w:tcW w:w="480" w:type="dxa"/>
            <w:vAlign w:val="bottom"/>
            <w:shd w:val="clear" w:color="auto" w:fill="1F2A44"/>
          </w:tcPr>
          <w:p>
            <w:pPr>
              <w:spacing w:after="0"/>
              <w:rPr>
                <w:sz w:val="7"/>
                <w:szCs w:val="7"/>
                <w:color w:val="auto"/>
              </w:rPr>
            </w:pPr>
          </w:p>
        </w:tc>
        <w:tc>
          <w:tcPr>
            <w:tcW w:w="1020" w:type="dxa"/>
            <w:vAlign w:val="bottom"/>
            <w:shd w:val="clear" w:color="auto" w:fill="1F2A44"/>
          </w:tcPr>
          <w:p>
            <w:pPr>
              <w:spacing w:after="0"/>
              <w:rPr>
                <w:sz w:val="7"/>
                <w:szCs w:val="7"/>
                <w:color w:val="auto"/>
              </w:rPr>
            </w:pPr>
          </w:p>
        </w:tc>
      </w:tr>
      <w:tr>
        <w:trPr>
          <w:trHeight w:val="267"/>
        </w:trPr>
        <w:tc>
          <w:tcPr>
            <w:tcW w:w="6160" w:type="dxa"/>
            <w:vAlign w:val="bottom"/>
          </w:tcPr>
          <w:p>
            <w:pPr>
              <w:ind w:left="60"/>
              <w:spacing w:after="0"/>
              <w:rPr>
                <w:sz w:val="20"/>
                <w:szCs w:val="20"/>
                <w:color w:val="auto"/>
              </w:rPr>
            </w:pPr>
            <w:r>
              <w:rPr>
                <w:rFonts w:ascii="Arial" w:cs="Arial" w:eastAsia="Arial" w:hAnsi="Arial"/>
                <w:sz w:val="14"/>
                <w:szCs w:val="14"/>
                <w:color w:val="auto"/>
              </w:rPr>
              <w:t>Donald C. Wood</w:t>
            </w:r>
          </w:p>
        </w:tc>
        <w:tc>
          <w:tcPr>
            <w:tcW w:w="1180" w:type="dxa"/>
            <w:vAlign w:val="bottom"/>
          </w:tcPr>
          <w:p>
            <w:pPr>
              <w:jc w:val="center"/>
              <w:spacing w:after="0" w:line="267" w:lineRule="exact"/>
              <w:rPr>
                <w:sz w:val="20"/>
                <w:szCs w:val="20"/>
                <w:color w:val="auto"/>
              </w:rPr>
            </w:pPr>
            <w:r>
              <w:rPr>
                <w:rFonts w:ascii="Arial" w:cs="Arial" w:eastAsia="Arial" w:hAnsi="Arial"/>
                <w:sz w:val="14"/>
                <w:szCs w:val="14"/>
                <w:color w:val="auto"/>
                <w:w w:val="97"/>
              </w:rPr>
              <w:t>2/7/2018</w:t>
            </w:r>
            <w:r>
              <w:rPr>
                <w:rFonts w:ascii="Arial" w:cs="Arial" w:eastAsia="Arial" w:hAnsi="Arial"/>
                <w:sz w:val="24"/>
                <w:szCs w:val="24"/>
                <w:color w:val="auto"/>
                <w:w w:val="97"/>
                <w:vertAlign w:val="superscript"/>
              </w:rPr>
              <w:t>(1)</w:t>
            </w:r>
          </w:p>
        </w:tc>
        <w:tc>
          <w:tcPr>
            <w:tcW w:w="2180" w:type="dxa"/>
            <w:vAlign w:val="bottom"/>
          </w:tcPr>
          <w:p>
            <w:pPr>
              <w:jc w:val="right"/>
              <w:ind w:right="849"/>
              <w:spacing w:after="0"/>
              <w:rPr>
                <w:sz w:val="20"/>
                <w:szCs w:val="20"/>
                <w:color w:val="auto"/>
              </w:rPr>
            </w:pPr>
            <w:r>
              <w:rPr>
                <w:rFonts w:ascii="Arial" w:cs="Arial" w:eastAsia="Arial" w:hAnsi="Arial"/>
                <w:sz w:val="14"/>
                <w:szCs w:val="14"/>
                <w:color w:val="auto"/>
              </w:rPr>
              <w:t>4,251</w:t>
            </w:r>
          </w:p>
        </w:tc>
        <w:tc>
          <w:tcPr>
            <w:tcW w:w="480" w:type="dxa"/>
            <w:vAlign w:val="bottom"/>
          </w:tcPr>
          <w:p>
            <w:pPr>
              <w:ind w:left="34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368"/>
              <w:spacing w:after="0"/>
              <w:rPr>
                <w:sz w:val="20"/>
                <w:szCs w:val="20"/>
                <w:color w:val="auto"/>
              </w:rPr>
            </w:pPr>
            <w:r>
              <w:rPr>
                <w:rFonts w:ascii="Arial" w:cs="Arial" w:eastAsia="Arial" w:hAnsi="Arial"/>
                <w:sz w:val="14"/>
                <w:szCs w:val="14"/>
                <w:color w:val="auto"/>
              </w:rPr>
              <w:t>473,306</w:t>
            </w:r>
          </w:p>
        </w:tc>
      </w:tr>
      <w:tr>
        <w:trPr>
          <w:trHeight w:val="219"/>
        </w:trPr>
        <w:tc>
          <w:tcPr>
            <w:tcW w:w="6160" w:type="dxa"/>
            <w:vAlign w:val="bottom"/>
          </w:tcPr>
          <w:p>
            <w:pPr>
              <w:spacing w:after="0"/>
              <w:rPr>
                <w:sz w:val="19"/>
                <w:szCs w:val="19"/>
                <w:color w:val="auto"/>
              </w:rPr>
            </w:pPr>
          </w:p>
        </w:tc>
        <w:tc>
          <w:tcPr>
            <w:tcW w:w="1180" w:type="dxa"/>
            <w:vAlign w:val="bottom"/>
          </w:tcPr>
          <w:p>
            <w:pPr>
              <w:jc w:val="center"/>
              <w:spacing w:after="0" w:line="219" w:lineRule="exact"/>
              <w:rPr>
                <w:sz w:val="20"/>
                <w:szCs w:val="20"/>
                <w:color w:val="auto"/>
              </w:rPr>
            </w:pPr>
            <w:r>
              <w:rPr>
                <w:rFonts w:ascii="Arial" w:cs="Arial" w:eastAsia="Arial" w:hAnsi="Arial"/>
                <w:sz w:val="14"/>
                <w:szCs w:val="14"/>
                <w:color w:val="auto"/>
                <w:w w:val="97"/>
              </w:rPr>
              <w:t>2/7/2018</w:t>
            </w:r>
            <w:r>
              <w:rPr>
                <w:rFonts w:ascii="Arial" w:cs="Arial" w:eastAsia="Arial" w:hAnsi="Arial"/>
                <w:sz w:val="24"/>
                <w:szCs w:val="24"/>
                <w:color w:val="auto"/>
                <w:w w:val="97"/>
                <w:vertAlign w:val="superscript"/>
              </w:rPr>
              <w:t>(2)</w:t>
            </w:r>
          </w:p>
        </w:tc>
        <w:tc>
          <w:tcPr>
            <w:tcW w:w="2180" w:type="dxa"/>
            <w:vAlign w:val="bottom"/>
          </w:tcPr>
          <w:p>
            <w:pPr>
              <w:jc w:val="right"/>
              <w:ind w:right="849"/>
              <w:spacing w:after="0"/>
              <w:rPr>
                <w:sz w:val="20"/>
                <w:szCs w:val="20"/>
                <w:color w:val="auto"/>
              </w:rPr>
            </w:pPr>
            <w:r>
              <w:rPr>
                <w:rFonts w:ascii="Arial" w:cs="Arial" w:eastAsia="Arial" w:hAnsi="Arial"/>
                <w:sz w:val="14"/>
                <w:szCs w:val="14"/>
                <w:color w:val="auto"/>
              </w:rPr>
              <w:t>42,101</w:t>
            </w:r>
          </w:p>
        </w:tc>
        <w:tc>
          <w:tcPr>
            <w:tcW w:w="1500" w:type="dxa"/>
            <w:vAlign w:val="bottom"/>
            <w:gridSpan w:val="2"/>
          </w:tcPr>
          <w:p>
            <w:pPr>
              <w:jc w:val="right"/>
              <w:ind w:right="368"/>
              <w:spacing w:after="0"/>
              <w:rPr>
                <w:sz w:val="20"/>
                <w:szCs w:val="20"/>
                <w:color w:val="auto"/>
              </w:rPr>
            </w:pPr>
            <w:r>
              <w:rPr>
                <w:rFonts w:ascii="Arial" w:cs="Arial" w:eastAsia="Arial" w:hAnsi="Arial"/>
                <w:sz w:val="14"/>
                <w:szCs w:val="14"/>
                <w:color w:val="auto"/>
              </w:rPr>
              <w:t>$4,687,525</w:t>
            </w:r>
          </w:p>
        </w:tc>
      </w:tr>
      <w:tr>
        <w:trPr>
          <w:trHeight w:val="250"/>
        </w:trPr>
        <w:tc>
          <w:tcPr>
            <w:tcW w:w="6160" w:type="dxa"/>
            <w:vAlign w:val="bottom"/>
            <w:tcBorders>
              <w:bottom w:val="single" w:sz="8" w:color="D2D4D9"/>
            </w:tcBorders>
            <w:shd w:val="clear" w:color="auto" w:fill="D2D4D9"/>
          </w:tcPr>
          <w:p>
            <w:pPr>
              <w:ind w:left="60"/>
              <w:spacing w:after="0"/>
              <w:rPr>
                <w:sz w:val="20"/>
                <w:szCs w:val="20"/>
                <w:color w:val="auto"/>
              </w:rPr>
            </w:pPr>
            <w:r>
              <w:rPr>
                <w:rFonts w:ascii="Arial" w:cs="Arial" w:eastAsia="Arial" w:hAnsi="Arial"/>
                <w:sz w:val="14"/>
                <w:szCs w:val="14"/>
                <w:color w:val="auto"/>
              </w:rPr>
              <w:t>Daniel Guglielmone</w:t>
            </w:r>
          </w:p>
        </w:tc>
        <w:tc>
          <w:tcPr>
            <w:tcW w:w="1180" w:type="dxa"/>
            <w:vAlign w:val="bottom"/>
            <w:tcBorders>
              <w:bottom w:val="single" w:sz="8" w:color="D2D4D9"/>
            </w:tcBorders>
            <w:shd w:val="clear" w:color="auto" w:fill="D2D4D9"/>
          </w:tcPr>
          <w:p>
            <w:pPr>
              <w:jc w:val="center"/>
              <w:spacing w:after="0" w:line="216" w:lineRule="exact"/>
              <w:rPr>
                <w:sz w:val="20"/>
                <w:szCs w:val="20"/>
                <w:color w:val="auto"/>
              </w:rPr>
            </w:pPr>
            <w:r>
              <w:rPr>
                <w:rFonts w:ascii="Arial" w:cs="Arial" w:eastAsia="Arial" w:hAnsi="Arial"/>
                <w:sz w:val="14"/>
                <w:szCs w:val="14"/>
                <w:color w:val="auto"/>
                <w:w w:val="97"/>
              </w:rPr>
              <w:t>2/7/2018</w:t>
            </w:r>
            <w:r>
              <w:rPr>
                <w:rFonts w:ascii="Arial" w:cs="Arial" w:eastAsia="Arial" w:hAnsi="Arial"/>
                <w:sz w:val="24"/>
                <w:szCs w:val="24"/>
                <w:color w:val="auto"/>
                <w:w w:val="97"/>
                <w:vertAlign w:val="superscript"/>
              </w:rPr>
              <w:t>(2)</w:t>
            </w:r>
          </w:p>
        </w:tc>
        <w:tc>
          <w:tcPr>
            <w:tcW w:w="2180" w:type="dxa"/>
            <w:vAlign w:val="bottom"/>
            <w:tcBorders>
              <w:bottom w:val="single" w:sz="8" w:color="D2D4D9"/>
            </w:tcBorders>
            <w:shd w:val="clear" w:color="auto" w:fill="D2D4D9"/>
          </w:tcPr>
          <w:p>
            <w:pPr>
              <w:jc w:val="right"/>
              <w:ind w:right="849"/>
              <w:spacing w:after="0"/>
              <w:rPr>
                <w:sz w:val="20"/>
                <w:szCs w:val="20"/>
                <w:color w:val="auto"/>
              </w:rPr>
            </w:pPr>
            <w:r>
              <w:rPr>
                <w:rFonts w:ascii="Arial" w:cs="Arial" w:eastAsia="Arial" w:hAnsi="Arial"/>
                <w:sz w:val="14"/>
                <w:szCs w:val="14"/>
                <w:color w:val="auto"/>
              </w:rPr>
              <w:t>7,073</w:t>
            </w:r>
          </w:p>
        </w:tc>
        <w:tc>
          <w:tcPr>
            <w:tcW w:w="480" w:type="dxa"/>
            <w:vAlign w:val="bottom"/>
            <w:tcBorders>
              <w:bottom w:val="single" w:sz="8" w:color="D2D4D9"/>
            </w:tcBorders>
            <w:shd w:val="clear" w:color="auto" w:fill="D2D4D9"/>
          </w:tcPr>
          <w:p>
            <w:pPr>
              <w:ind w:left="34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D2D4D9"/>
            </w:tcBorders>
            <w:shd w:val="clear" w:color="auto" w:fill="D2D4D9"/>
          </w:tcPr>
          <w:p>
            <w:pPr>
              <w:jc w:val="right"/>
              <w:ind w:right="368"/>
              <w:spacing w:after="0"/>
              <w:rPr>
                <w:sz w:val="20"/>
                <w:szCs w:val="20"/>
                <w:color w:val="auto"/>
              </w:rPr>
            </w:pPr>
            <w:r>
              <w:rPr>
                <w:rFonts w:ascii="Arial" w:cs="Arial" w:eastAsia="Arial" w:hAnsi="Arial"/>
                <w:sz w:val="14"/>
                <w:szCs w:val="14"/>
                <w:color w:val="auto"/>
              </w:rPr>
              <w:t>787,508</w:t>
            </w:r>
          </w:p>
        </w:tc>
      </w:tr>
      <w:tr>
        <w:trPr>
          <w:trHeight w:val="351"/>
        </w:trPr>
        <w:tc>
          <w:tcPr>
            <w:tcW w:w="6160" w:type="dxa"/>
            <w:vAlign w:val="bottom"/>
          </w:tcPr>
          <w:p>
            <w:pPr>
              <w:ind w:left="60"/>
              <w:spacing w:after="0"/>
              <w:rPr>
                <w:sz w:val="20"/>
                <w:szCs w:val="20"/>
                <w:color w:val="auto"/>
              </w:rPr>
            </w:pPr>
            <w:r>
              <w:rPr>
                <w:rFonts w:ascii="Arial" w:cs="Arial" w:eastAsia="Arial" w:hAnsi="Arial"/>
                <w:sz w:val="14"/>
                <w:szCs w:val="14"/>
                <w:color w:val="auto"/>
              </w:rPr>
              <w:t>Dawn M. Becker</w:t>
            </w:r>
          </w:p>
        </w:tc>
        <w:tc>
          <w:tcPr>
            <w:tcW w:w="1180" w:type="dxa"/>
            <w:vAlign w:val="bottom"/>
          </w:tcPr>
          <w:p>
            <w:pPr>
              <w:jc w:val="center"/>
              <w:spacing w:after="0"/>
              <w:rPr>
                <w:sz w:val="20"/>
                <w:szCs w:val="20"/>
                <w:color w:val="auto"/>
              </w:rPr>
            </w:pPr>
            <w:r>
              <w:rPr>
                <w:rFonts w:ascii="Arial" w:cs="Arial" w:eastAsia="Arial" w:hAnsi="Arial"/>
                <w:sz w:val="14"/>
                <w:szCs w:val="14"/>
                <w:color w:val="auto"/>
                <w:w w:val="97"/>
              </w:rPr>
              <w:t>2/7/2018</w:t>
            </w:r>
            <w:r>
              <w:rPr>
                <w:rFonts w:ascii="Arial" w:cs="Arial" w:eastAsia="Arial" w:hAnsi="Arial"/>
                <w:sz w:val="24"/>
                <w:szCs w:val="24"/>
                <w:color w:val="auto"/>
                <w:w w:val="97"/>
                <w:vertAlign w:val="superscript"/>
              </w:rPr>
              <w:t>(2)</w:t>
            </w:r>
          </w:p>
        </w:tc>
        <w:tc>
          <w:tcPr>
            <w:tcW w:w="2180" w:type="dxa"/>
            <w:vAlign w:val="bottom"/>
          </w:tcPr>
          <w:p>
            <w:pPr>
              <w:jc w:val="right"/>
              <w:ind w:right="849"/>
              <w:spacing w:after="0"/>
              <w:rPr>
                <w:sz w:val="20"/>
                <w:szCs w:val="20"/>
                <w:color w:val="auto"/>
              </w:rPr>
            </w:pPr>
            <w:r>
              <w:rPr>
                <w:rFonts w:ascii="Arial" w:cs="Arial" w:eastAsia="Arial" w:hAnsi="Arial"/>
                <w:sz w:val="14"/>
                <w:szCs w:val="14"/>
                <w:color w:val="auto"/>
              </w:rPr>
              <w:t>5,052</w:t>
            </w:r>
          </w:p>
        </w:tc>
        <w:tc>
          <w:tcPr>
            <w:tcW w:w="480" w:type="dxa"/>
            <w:vAlign w:val="bottom"/>
          </w:tcPr>
          <w:p>
            <w:pPr>
              <w:ind w:left="34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368"/>
              <w:spacing w:after="0"/>
              <w:rPr>
                <w:sz w:val="20"/>
                <w:szCs w:val="20"/>
                <w:color w:val="auto"/>
              </w:rPr>
            </w:pPr>
            <w:r>
              <w:rPr>
                <w:rFonts w:ascii="Arial" w:cs="Arial" w:eastAsia="Arial" w:hAnsi="Arial"/>
                <w:sz w:val="14"/>
                <w:szCs w:val="14"/>
                <w:color w:val="auto"/>
              </w:rPr>
              <w:t>562,490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34925</wp:posOffset>
            </wp:positionV>
            <wp:extent cx="69469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70" w:lineRule="exact"/>
        <w:rPr>
          <w:sz w:val="20"/>
          <w:szCs w:val="20"/>
          <w:color w:val="auto"/>
        </w:rPr>
      </w:pPr>
    </w:p>
    <w:p>
      <w:pPr>
        <w:ind w:left="640" w:hanging="43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Issued under our Annual Bonus Plan. These Shares vest equally over 3 years.</w:t>
      </w:r>
    </w:p>
    <w:p>
      <w:pPr>
        <w:ind w:left="640" w:hanging="436"/>
        <w:spacing w:after="0" w:line="234"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Issued under our LTIAP. These Shares vest equally over 3 years.</w:t>
      </w:r>
    </w:p>
    <w:p>
      <w:pPr>
        <w:ind w:left="640" w:right="20" w:hanging="436"/>
        <w:spacing w:after="0" w:line="234"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Dividends are paid on all Shares issued at the same rate and time as paid to all other holders of our Shares as declared by our Board from time to time.</w:t>
      </w:r>
    </w:p>
    <w:p>
      <w:pPr>
        <w:spacing w:after="0" w:line="1" w:lineRule="exact"/>
        <w:rPr>
          <w:rFonts w:ascii="Arial" w:cs="Arial" w:eastAsia="Arial" w:hAnsi="Arial"/>
          <w:sz w:val="18"/>
          <w:szCs w:val="18"/>
          <w:color w:val="auto"/>
        </w:rPr>
      </w:pPr>
    </w:p>
    <w:p>
      <w:pPr>
        <w:ind w:left="640" w:right="20" w:hanging="436"/>
        <w:spacing w:after="0" w:line="246"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the grant date fair value of Share awards as computed in accordance with FASB ASC Topic 718. The grant date fair value for these Share awards was based on the closing price of the Trust’s Shares on the grant date.</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240" w:top="459" w:right="4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OUTSTANDING EQUITY AWARDS AT FISCAL YEAR-END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sets forth information about outstanding equity awards held on December 31, 2018 by our NEOs:</w:t>
      </w:r>
    </w:p>
    <w:p>
      <w:pPr>
        <w:spacing w:after="0" w:line="240" w:lineRule="exact"/>
        <w:rPr>
          <w:sz w:val="20"/>
          <w:szCs w:val="20"/>
          <w:color w:val="auto"/>
        </w:rPr>
      </w:pPr>
    </w:p>
    <w:tbl>
      <w:tblPr>
        <w:tblLayout w:type="fixed"/>
        <w:tblInd w:w="220" w:type="dxa"/>
        <w:tblCellMar>
          <w:top w:w="0" w:type="dxa"/>
          <w:left w:w="0" w:type="dxa"/>
          <w:bottom w:w="0" w:type="dxa"/>
          <w:right w:w="0" w:type="dxa"/>
        </w:tblCellMar>
      </w:tblPr>
      <w:tr>
        <w:trPr>
          <w:trHeight w:val="218"/>
        </w:trPr>
        <w:tc>
          <w:tcPr>
            <w:tcW w:w="7840" w:type="dxa"/>
            <w:vAlign w:val="bottom"/>
            <w:shd w:val="clear" w:color="auto" w:fill="1F2A44"/>
          </w:tcPr>
          <w:p>
            <w:pPr>
              <w:spacing w:after="0"/>
              <w:rPr>
                <w:sz w:val="18"/>
                <w:szCs w:val="18"/>
                <w:color w:val="auto"/>
              </w:rPr>
            </w:pPr>
          </w:p>
        </w:tc>
        <w:tc>
          <w:tcPr>
            <w:tcW w:w="3180" w:type="dxa"/>
            <w:vAlign w:val="bottom"/>
            <w:gridSpan w:val="3"/>
            <w:shd w:val="clear" w:color="auto" w:fill="1F2A44"/>
          </w:tcPr>
          <w:p>
            <w:pPr>
              <w:jc w:val="right"/>
              <w:ind w:right="1168"/>
              <w:spacing w:after="0"/>
              <w:rPr>
                <w:sz w:val="20"/>
                <w:szCs w:val="20"/>
                <w:color w:val="auto"/>
              </w:rPr>
            </w:pPr>
            <w:r>
              <w:rPr>
                <w:rFonts w:ascii="Arial" w:cs="Arial" w:eastAsia="Arial" w:hAnsi="Arial"/>
                <w:sz w:val="14"/>
                <w:szCs w:val="14"/>
                <w:b w:val="1"/>
                <w:bCs w:val="1"/>
                <w:color w:val="FFFFFF"/>
              </w:rPr>
              <w:t>Stock Awards</w:t>
            </w:r>
          </w:p>
        </w:tc>
        <w:tc>
          <w:tcPr>
            <w:tcW w:w="0" w:type="dxa"/>
            <w:vAlign w:val="bottom"/>
          </w:tcPr>
          <w:p>
            <w:pPr>
              <w:spacing w:after="0"/>
              <w:rPr>
                <w:sz w:val="1"/>
                <w:szCs w:val="1"/>
                <w:color w:val="auto"/>
              </w:rPr>
            </w:pPr>
          </w:p>
        </w:tc>
      </w:tr>
      <w:tr>
        <w:trPr>
          <w:trHeight w:val="215"/>
        </w:trPr>
        <w:tc>
          <w:tcPr>
            <w:tcW w:w="7840" w:type="dxa"/>
            <w:vAlign w:val="bottom"/>
            <w:shd w:val="clear" w:color="auto" w:fill="1F2A44"/>
          </w:tcPr>
          <w:p>
            <w:pPr>
              <w:spacing w:after="0"/>
              <w:rPr>
                <w:sz w:val="18"/>
                <w:szCs w:val="18"/>
                <w:color w:val="auto"/>
              </w:rPr>
            </w:pPr>
          </w:p>
        </w:tc>
        <w:tc>
          <w:tcPr>
            <w:tcW w:w="1460" w:type="dxa"/>
            <w:vAlign w:val="bottom"/>
            <w:shd w:val="clear" w:color="auto" w:fill="1F2A44"/>
          </w:tcPr>
          <w:p>
            <w:pPr>
              <w:jc w:val="center"/>
              <w:ind w:left="149"/>
              <w:spacing w:after="0"/>
              <w:rPr>
                <w:sz w:val="20"/>
                <w:szCs w:val="20"/>
                <w:color w:val="auto"/>
              </w:rPr>
            </w:pPr>
            <w:r>
              <w:rPr>
                <w:rFonts w:ascii="Arial" w:cs="Arial" w:eastAsia="Arial" w:hAnsi="Arial"/>
                <w:sz w:val="14"/>
                <w:szCs w:val="14"/>
                <w:b w:val="1"/>
                <w:bCs w:val="1"/>
                <w:color w:val="FFFFFF"/>
              </w:rPr>
              <w:t>Number of</w:t>
            </w:r>
          </w:p>
        </w:tc>
        <w:tc>
          <w:tcPr>
            <w:tcW w:w="1720" w:type="dxa"/>
            <w:vAlign w:val="bottom"/>
            <w:gridSpan w:val="2"/>
            <w:shd w:val="clear" w:color="auto" w:fill="1F2A44"/>
          </w:tcPr>
          <w:p>
            <w:pPr>
              <w:jc w:val="center"/>
              <w:ind w:right="288"/>
              <w:spacing w:after="0"/>
              <w:rPr>
                <w:sz w:val="20"/>
                <w:szCs w:val="20"/>
                <w:color w:val="auto"/>
              </w:rPr>
            </w:pPr>
            <w:r>
              <w:rPr>
                <w:rFonts w:ascii="Arial" w:cs="Arial" w:eastAsia="Arial" w:hAnsi="Arial"/>
                <w:sz w:val="14"/>
                <w:szCs w:val="14"/>
                <w:b w:val="1"/>
                <w:bCs w:val="1"/>
                <w:color w:val="FFFFFF"/>
              </w:rPr>
              <w:t>Market Value</w:t>
            </w:r>
          </w:p>
        </w:tc>
        <w:tc>
          <w:tcPr>
            <w:tcW w:w="0" w:type="dxa"/>
            <w:vAlign w:val="bottom"/>
          </w:tcPr>
          <w:p>
            <w:pPr>
              <w:spacing w:after="0"/>
              <w:rPr>
                <w:sz w:val="1"/>
                <w:szCs w:val="1"/>
                <w:color w:val="auto"/>
              </w:rPr>
            </w:pPr>
          </w:p>
        </w:tc>
      </w:tr>
      <w:tr>
        <w:trPr>
          <w:trHeight w:val="162"/>
        </w:trPr>
        <w:tc>
          <w:tcPr>
            <w:tcW w:w="7840" w:type="dxa"/>
            <w:vAlign w:val="bottom"/>
            <w:shd w:val="clear" w:color="auto" w:fill="1F2A44"/>
          </w:tcPr>
          <w:p>
            <w:pPr>
              <w:spacing w:after="0"/>
              <w:rPr>
                <w:sz w:val="14"/>
                <w:szCs w:val="14"/>
                <w:color w:val="auto"/>
              </w:rPr>
            </w:pPr>
          </w:p>
        </w:tc>
        <w:tc>
          <w:tcPr>
            <w:tcW w:w="1460" w:type="dxa"/>
            <w:vAlign w:val="bottom"/>
            <w:shd w:val="clear" w:color="auto" w:fill="1F2A44"/>
          </w:tcPr>
          <w:p>
            <w:pPr>
              <w:jc w:val="center"/>
              <w:ind w:left="149"/>
              <w:spacing w:after="0"/>
              <w:rPr>
                <w:sz w:val="20"/>
                <w:szCs w:val="20"/>
                <w:color w:val="auto"/>
              </w:rPr>
            </w:pPr>
            <w:r>
              <w:rPr>
                <w:rFonts w:ascii="Arial" w:cs="Arial" w:eastAsia="Arial" w:hAnsi="Arial"/>
                <w:sz w:val="14"/>
                <w:szCs w:val="14"/>
                <w:b w:val="1"/>
                <w:bCs w:val="1"/>
                <w:color w:val="FFFFFF"/>
              </w:rPr>
              <w:t>Shares or</w:t>
            </w:r>
          </w:p>
        </w:tc>
        <w:tc>
          <w:tcPr>
            <w:tcW w:w="1720" w:type="dxa"/>
            <w:vAlign w:val="bottom"/>
            <w:gridSpan w:val="2"/>
            <w:shd w:val="clear" w:color="auto" w:fill="1F2A44"/>
          </w:tcPr>
          <w:p>
            <w:pPr>
              <w:jc w:val="center"/>
              <w:ind w:right="288"/>
              <w:spacing w:after="0"/>
              <w:rPr>
                <w:sz w:val="20"/>
                <w:szCs w:val="20"/>
                <w:color w:val="auto"/>
              </w:rPr>
            </w:pPr>
            <w:r>
              <w:rPr>
                <w:rFonts w:ascii="Arial" w:cs="Arial" w:eastAsia="Arial" w:hAnsi="Arial"/>
                <w:sz w:val="14"/>
                <w:szCs w:val="14"/>
                <w:b w:val="1"/>
                <w:bCs w:val="1"/>
                <w:color w:val="FFFFFF"/>
              </w:rPr>
              <w:t>of Shares or</w:t>
            </w:r>
          </w:p>
        </w:tc>
        <w:tc>
          <w:tcPr>
            <w:tcW w:w="0" w:type="dxa"/>
            <w:vAlign w:val="bottom"/>
          </w:tcPr>
          <w:p>
            <w:pPr>
              <w:spacing w:after="0"/>
              <w:rPr>
                <w:sz w:val="1"/>
                <w:szCs w:val="1"/>
                <w:color w:val="auto"/>
              </w:rPr>
            </w:pPr>
          </w:p>
        </w:tc>
      </w:tr>
      <w:tr>
        <w:trPr>
          <w:trHeight w:val="162"/>
        </w:trPr>
        <w:tc>
          <w:tcPr>
            <w:tcW w:w="7840" w:type="dxa"/>
            <w:vAlign w:val="bottom"/>
            <w:shd w:val="clear" w:color="auto" w:fill="1F2A44"/>
          </w:tcPr>
          <w:p>
            <w:pPr>
              <w:spacing w:after="0"/>
              <w:rPr>
                <w:sz w:val="14"/>
                <w:szCs w:val="14"/>
                <w:color w:val="auto"/>
              </w:rPr>
            </w:pPr>
          </w:p>
        </w:tc>
        <w:tc>
          <w:tcPr>
            <w:tcW w:w="1460" w:type="dxa"/>
            <w:vAlign w:val="bottom"/>
            <w:shd w:val="clear" w:color="auto" w:fill="1F2A44"/>
          </w:tcPr>
          <w:p>
            <w:pPr>
              <w:jc w:val="center"/>
              <w:ind w:left="149"/>
              <w:spacing w:after="0"/>
              <w:rPr>
                <w:sz w:val="20"/>
                <w:szCs w:val="20"/>
                <w:color w:val="auto"/>
              </w:rPr>
            </w:pPr>
            <w:r>
              <w:rPr>
                <w:rFonts w:ascii="Arial" w:cs="Arial" w:eastAsia="Arial" w:hAnsi="Arial"/>
                <w:sz w:val="14"/>
                <w:szCs w:val="14"/>
                <w:b w:val="1"/>
                <w:bCs w:val="1"/>
                <w:color w:val="FFFFFF"/>
                <w:w w:val="99"/>
              </w:rPr>
              <w:t>Units of</w:t>
            </w:r>
          </w:p>
        </w:tc>
        <w:tc>
          <w:tcPr>
            <w:tcW w:w="1720" w:type="dxa"/>
            <w:vAlign w:val="bottom"/>
            <w:gridSpan w:val="2"/>
            <w:shd w:val="clear" w:color="auto" w:fill="1F2A44"/>
          </w:tcPr>
          <w:p>
            <w:pPr>
              <w:jc w:val="center"/>
              <w:ind w:right="308"/>
              <w:spacing w:after="0"/>
              <w:rPr>
                <w:sz w:val="20"/>
                <w:szCs w:val="20"/>
                <w:color w:val="auto"/>
              </w:rPr>
            </w:pPr>
            <w:r>
              <w:rPr>
                <w:rFonts w:ascii="Arial" w:cs="Arial" w:eastAsia="Arial" w:hAnsi="Arial"/>
                <w:sz w:val="14"/>
                <w:szCs w:val="14"/>
                <w:b w:val="1"/>
                <w:bCs w:val="1"/>
                <w:color w:val="FFFFFF"/>
              </w:rPr>
              <w:t>Units of</w:t>
            </w:r>
          </w:p>
        </w:tc>
        <w:tc>
          <w:tcPr>
            <w:tcW w:w="0" w:type="dxa"/>
            <w:vAlign w:val="bottom"/>
          </w:tcPr>
          <w:p>
            <w:pPr>
              <w:spacing w:after="0"/>
              <w:rPr>
                <w:sz w:val="1"/>
                <w:szCs w:val="1"/>
                <w:color w:val="auto"/>
              </w:rPr>
            </w:pPr>
          </w:p>
        </w:tc>
      </w:tr>
      <w:tr>
        <w:trPr>
          <w:trHeight w:val="162"/>
        </w:trPr>
        <w:tc>
          <w:tcPr>
            <w:tcW w:w="7840" w:type="dxa"/>
            <w:vAlign w:val="bottom"/>
            <w:shd w:val="clear" w:color="auto" w:fill="1F2A44"/>
          </w:tcPr>
          <w:p>
            <w:pPr>
              <w:spacing w:after="0"/>
              <w:rPr>
                <w:sz w:val="14"/>
                <w:szCs w:val="14"/>
                <w:color w:val="auto"/>
              </w:rPr>
            </w:pPr>
          </w:p>
        </w:tc>
        <w:tc>
          <w:tcPr>
            <w:tcW w:w="1460" w:type="dxa"/>
            <w:vAlign w:val="bottom"/>
            <w:shd w:val="clear" w:color="auto" w:fill="1F2A44"/>
          </w:tcPr>
          <w:p>
            <w:pPr>
              <w:jc w:val="center"/>
              <w:ind w:left="149"/>
              <w:spacing w:after="0"/>
              <w:rPr>
                <w:sz w:val="20"/>
                <w:szCs w:val="20"/>
                <w:color w:val="auto"/>
              </w:rPr>
            </w:pPr>
            <w:r>
              <w:rPr>
                <w:rFonts w:ascii="Arial" w:cs="Arial" w:eastAsia="Arial" w:hAnsi="Arial"/>
                <w:sz w:val="14"/>
                <w:szCs w:val="14"/>
                <w:b w:val="1"/>
                <w:bCs w:val="1"/>
                <w:color w:val="FFFFFF"/>
              </w:rPr>
              <w:t>Stock That</w:t>
            </w:r>
          </w:p>
        </w:tc>
        <w:tc>
          <w:tcPr>
            <w:tcW w:w="1720" w:type="dxa"/>
            <w:vAlign w:val="bottom"/>
            <w:gridSpan w:val="2"/>
            <w:shd w:val="clear" w:color="auto" w:fill="1F2A44"/>
          </w:tcPr>
          <w:p>
            <w:pPr>
              <w:jc w:val="center"/>
              <w:ind w:right="308"/>
              <w:spacing w:after="0"/>
              <w:rPr>
                <w:sz w:val="20"/>
                <w:szCs w:val="20"/>
                <w:color w:val="auto"/>
              </w:rPr>
            </w:pPr>
            <w:r>
              <w:rPr>
                <w:rFonts w:ascii="Arial" w:cs="Arial" w:eastAsia="Arial" w:hAnsi="Arial"/>
                <w:sz w:val="14"/>
                <w:szCs w:val="14"/>
                <w:b w:val="1"/>
                <w:bCs w:val="1"/>
                <w:color w:val="FFFFFF"/>
              </w:rPr>
              <w:t>Stock That</w:t>
            </w:r>
          </w:p>
        </w:tc>
        <w:tc>
          <w:tcPr>
            <w:tcW w:w="0" w:type="dxa"/>
            <w:vAlign w:val="bottom"/>
          </w:tcPr>
          <w:p>
            <w:pPr>
              <w:spacing w:after="0"/>
              <w:rPr>
                <w:sz w:val="1"/>
                <w:szCs w:val="1"/>
                <w:color w:val="auto"/>
              </w:rPr>
            </w:pPr>
          </w:p>
        </w:tc>
      </w:tr>
      <w:tr>
        <w:trPr>
          <w:trHeight w:val="159"/>
        </w:trPr>
        <w:tc>
          <w:tcPr>
            <w:tcW w:w="7840" w:type="dxa"/>
            <w:vAlign w:val="bottom"/>
            <w:shd w:val="clear" w:color="auto" w:fill="1F2A44"/>
          </w:tcPr>
          <w:p>
            <w:pPr>
              <w:spacing w:after="0"/>
              <w:rPr>
                <w:sz w:val="13"/>
                <w:szCs w:val="13"/>
                <w:color w:val="auto"/>
              </w:rPr>
            </w:pPr>
          </w:p>
        </w:tc>
        <w:tc>
          <w:tcPr>
            <w:tcW w:w="1460" w:type="dxa"/>
            <w:vAlign w:val="bottom"/>
            <w:shd w:val="clear" w:color="auto" w:fill="1F2A44"/>
          </w:tcPr>
          <w:p>
            <w:pPr>
              <w:jc w:val="center"/>
              <w:ind w:left="149"/>
              <w:spacing w:after="0" w:line="159" w:lineRule="exact"/>
              <w:rPr>
                <w:sz w:val="20"/>
                <w:szCs w:val="20"/>
                <w:color w:val="auto"/>
              </w:rPr>
            </w:pPr>
            <w:r>
              <w:rPr>
                <w:rFonts w:ascii="Arial" w:cs="Arial" w:eastAsia="Arial" w:hAnsi="Arial"/>
                <w:sz w:val="14"/>
                <w:szCs w:val="14"/>
                <w:b w:val="1"/>
                <w:bCs w:val="1"/>
                <w:color w:val="FFFFFF"/>
              </w:rPr>
              <w:t>Have Not</w:t>
            </w:r>
          </w:p>
        </w:tc>
        <w:tc>
          <w:tcPr>
            <w:tcW w:w="1720" w:type="dxa"/>
            <w:vAlign w:val="bottom"/>
            <w:gridSpan w:val="2"/>
            <w:shd w:val="clear" w:color="auto" w:fill="1F2A44"/>
          </w:tcPr>
          <w:p>
            <w:pPr>
              <w:jc w:val="center"/>
              <w:ind w:right="308"/>
              <w:spacing w:after="0" w:line="159" w:lineRule="exact"/>
              <w:rPr>
                <w:sz w:val="20"/>
                <w:szCs w:val="20"/>
                <w:color w:val="auto"/>
              </w:rPr>
            </w:pPr>
            <w:r>
              <w:rPr>
                <w:rFonts w:ascii="Arial" w:cs="Arial" w:eastAsia="Arial" w:hAnsi="Arial"/>
                <w:sz w:val="14"/>
                <w:szCs w:val="14"/>
                <w:b w:val="1"/>
                <w:bCs w:val="1"/>
                <w:color w:val="FFFFFF"/>
              </w:rPr>
              <w:t>Have Not</w:t>
            </w:r>
          </w:p>
        </w:tc>
        <w:tc>
          <w:tcPr>
            <w:tcW w:w="0" w:type="dxa"/>
            <w:vAlign w:val="bottom"/>
          </w:tcPr>
          <w:p>
            <w:pPr>
              <w:spacing w:after="0"/>
              <w:rPr>
                <w:sz w:val="1"/>
                <w:szCs w:val="1"/>
                <w:color w:val="auto"/>
              </w:rPr>
            </w:pPr>
          </w:p>
        </w:tc>
      </w:tr>
      <w:tr>
        <w:trPr>
          <w:trHeight w:val="206"/>
        </w:trPr>
        <w:tc>
          <w:tcPr>
            <w:tcW w:w="7840" w:type="dxa"/>
            <w:vAlign w:val="bottom"/>
            <w:shd w:val="clear" w:color="auto" w:fill="1F2A44"/>
          </w:tcPr>
          <w:p>
            <w:pPr>
              <w:ind w:left="60"/>
              <w:spacing w:after="0"/>
              <w:rPr>
                <w:sz w:val="20"/>
                <w:szCs w:val="20"/>
                <w:color w:val="auto"/>
              </w:rPr>
            </w:pPr>
            <w:r>
              <w:rPr>
                <w:rFonts w:ascii="Arial" w:cs="Arial" w:eastAsia="Arial" w:hAnsi="Arial"/>
                <w:sz w:val="14"/>
                <w:szCs w:val="14"/>
                <w:b w:val="1"/>
                <w:bCs w:val="1"/>
                <w:color w:val="FFFFFF"/>
              </w:rPr>
              <w:t>Name</w:t>
            </w:r>
          </w:p>
        </w:tc>
        <w:tc>
          <w:tcPr>
            <w:tcW w:w="1460" w:type="dxa"/>
            <w:vAlign w:val="bottom"/>
            <w:shd w:val="clear" w:color="auto" w:fill="1F2A44"/>
          </w:tcPr>
          <w:p>
            <w:pPr>
              <w:jc w:val="center"/>
              <w:ind w:left="149"/>
              <w:spacing w:after="0"/>
              <w:rPr>
                <w:sz w:val="20"/>
                <w:szCs w:val="20"/>
                <w:color w:val="auto"/>
              </w:rPr>
            </w:pPr>
            <w:r>
              <w:rPr>
                <w:rFonts w:ascii="Arial" w:cs="Arial" w:eastAsia="Arial" w:hAnsi="Arial"/>
                <w:sz w:val="14"/>
                <w:szCs w:val="14"/>
                <w:b w:val="1"/>
                <w:bCs w:val="1"/>
                <w:color w:val="FFFFFF"/>
              </w:rPr>
              <w:t>Vested</w:t>
            </w:r>
          </w:p>
        </w:tc>
        <w:tc>
          <w:tcPr>
            <w:tcW w:w="1720" w:type="dxa"/>
            <w:vAlign w:val="bottom"/>
            <w:gridSpan w:val="2"/>
            <w:shd w:val="clear" w:color="auto" w:fill="1F2A44"/>
          </w:tcPr>
          <w:p>
            <w:pPr>
              <w:jc w:val="center"/>
              <w:ind w:right="348"/>
              <w:spacing w:after="0" w:line="205" w:lineRule="exact"/>
              <w:rPr>
                <w:sz w:val="20"/>
                <w:szCs w:val="20"/>
                <w:color w:val="auto"/>
              </w:rPr>
            </w:pPr>
            <w:r>
              <w:rPr>
                <w:rFonts w:ascii="Arial" w:cs="Arial" w:eastAsia="Arial" w:hAnsi="Arial"/>
                <w:sz w:val="14"/>
                <w:szCs w:val="14"/>
                <w:b w:val="1"/>
                <w:bCs w:val="1"/>
                <w:color w:val="FFFFFF"/>
                <w:w w:val="95"/>
              </w:rPr>
              <w:t>Vested</w:t>
            </w:r>
            <w:r>
              <w:rPr>
                <w:rFonts w:ascii="Arial" w:cs="Arial" w:eastAsia="Arial" w:hAnsi="Arial"/>
                <w:sz w:val="23"/>
                <w:szCs w:val="23"/>
                <w:b w:val="1"/>
                <w:bCs w:val="1"/>
                <w:color w:val="FFFFFF"/>
                <w:w w:val="95"/>
                <w:vertAlign w:val="superscript"/>
              </w:rPr>
              <w:t>(6)</w:t>
            </w:r>
          </w:p>
        </w:tc>
        <w:tc>
          <w:tcPr>
            <w:tcW w:w="0" w:type="dxa"/>
            <w:vAlign w:val="bottom"/>
          </w:tcPr>
          <w:p>
            <w:pPr>
              <w:spacing w:after="0"/>
              <w:rPr>
                <w:sz w:val="1"/>
                <w:szCs w:val="1"/>
                <w:color w:val="auto"/>
              </w:rPr>
            </w:pPr>
          </w:p>
        </w:tc>
      </w:tr>
      <w:tr>
        <w:trPr>
          <w:trHeight w:val="167"/>
        </w:trPr>
        <w:tc>
          <w:tcPr>
            <w:tcW w:w="7840" w:type="dxa"/>
            <w:vAlign w:val="bottom"/>
          </w:tcPr>
          <w:p>
            <w:pPr>
              <w:ind w:left="60"/>
              <w:spacing w:after="0"/>
              <w:rPr>
                <w:sz w:val="20"/>
                <w:szCs w:val="20"/>
                <w:color w:val="auto"/>
              </w:rPr>
            </w:pPr>
            <w:r>
              <w:rPr>
                <w:rFonts w:ascii="Arial" w:cs="Arial" w:eastAsia="Arial" w:hAnsi="Arial"/>
                <w:sz w:val="14"/>
                <w:szCs w:val="14"/>
                <w:color w:val="auto"/>
              </w:rPr>
              <w:t>Donald C. Wood</w:t>
            </w:r>
          </w:p>
        </w:tc>
        <w:tc>
          <w:tcPr>
            <w:tcW w:w="1460" w:type="dxa"/>
            <w:vAlign w:val="bottom"/>
          </w:tcPr>
          <w:p>
            <w:pPr>
              <w:jc w:val="right"/>
              <w:ind w:right="329"/>
              <w:spacing w:after="0"/>
              <w:rPr>
                <w:sz w:val="20"/>
                <w:szCs w:val="20"/>
                <w:color w:val="auto"/>
              </w:rPr>
            </w:pPr>
            <w:r>
              <w:rPr>
                <w:rFonts w:ascii="Arial" w:cs="Arial" w:eastAsia="Arial" w:hAnsi="Arial"/>
                <w:sz w:val="12"/>
                <w:szCs w:val="12"/>
                <w:color w:val="auto"/>
              </w:rPr>
              <w:t>(1)</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00" w:type="dxa"/>
            <w:vAlign w:val="bottom"/>
            <w:vMerge w:val="restart"/>
          </w:tcPr>
          <w:p>
            <w:pPr>
              <w:jc w:val="right"/>
              <w:ind w:right="588"/>
              <w:spacing w:after="0"/>
              <w:rPr>
                <w:sz w:val="20"/>
                <w:szCs w:val="20"/>
                <w:color w:val="auto"/>
              </w:rPr>
            </w:pPr>
            <w:r>
              <w:rPr>
                <w:rFonts w:ascii="Arial" w:cs="Arial" w:eastAsia="Arial" w:hAnsi="Arial"/>
                <w:sz w:val="14"/>
                <w:szCs w:val="14"/>
                <w:color w:val="auto"/>
              </w:rPr>
              <w:t>501,788</w:t>
            </w:r>
          </w:p>
        </w:tc>
        <w:tc>
          <w:tcPr>
            <w:tcW w:w="0" w:type="dxa"/>
            <w:vAlign w:val="bottom"/>
          </w:tcPr>
          <w:p>
            <w:pPr>
              <w:spacing w:after="0"/>
              <w:rPr>
                <w:sz w:val="1"/>
                <w:szCs w:val="1"/>
                <w:color w:val="auto"/>
              </w:rPr>
            </w:pPr>
          </w:p>
        </w:tc>
      </w:tr>
      <w:tr>
        <w:trPr>
          <w:trHeight w:val="172"/>
        </w:trPr>
        <w:tc>
          <w:tcPr>
            <w:tcW w:w="7840" w:type="dxa"/>
            <w:vAlign w:val="bottom"/>
          </w:tcPr>
          <w:p>
            <w:pPr>
              <w:spacing w:after="0"/>
              <w:rPr>
                <w:sz w:val="14"/>
                <w:szCs w:val="14"/>
                <w:color w:val="auto"/>
              </w:rPr>
            </w:pPr>
          </w:p>
        </w:tc>
        <w:tc>
          <w:tcPr>
            <w:tcW w:w="1460" w:type="dxa"/>
            <w:vAlign w:val="bottom"/>
          </w:tcPr>
          <w:p>
            <w:pPr>
              <w:jc w:val="right"/>
              <w:ind w:right="489"/>
              <w:spacing w:after="0"/>
              <w:rPr>
                <w:sz w:val="20"/>
                <w:szCs w:val="20"/>
                <w:color w:val="auto"/>
              </w:rPr>
            </w:pPr>
            <w:r>
              <w:rPr>
                <w:rFonts w:ascii="Arial" w:cs="Arial" w:eastAsia="Arial" w:hAnsi="Arial"/>
                <w:sz w:val="14"/>
                <w:szCs w:val="14"/>
                <w:color w:val="auto"/>
              </w:rPr>
              <w:t>4,251</w:t>
            </w:r>
          </w:p>
        </w:tc>
        <w:tc>
          <w:tcPr>
            <w:tcW w:w="42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7840" w:type="dxa"/>
            <w:vAlign w:val="bottom"/>
          </w:tcPr>
          <w:p>
            <w:pPr>
              <w:spacing w:after="0"/>
              <w:rPr>
                <w:sz w:val="20"/>
                <w:szCs w:val="20"/>
                <w:color w:val="auto"/>
              </w:rPr>
            </w:pPr>
          </w:p>
        </w:tc>
        <w:tc>
          <w:tcPr>
            <w:tcW w:w="1460" w:type="dxa"/>
            <w:vAlign w:val="bottom"/>
          </w:tcPr>
          <w:p>
            <w:pPr>
              <w:jc w:val="right"/>
              <w:ind w:right="329"/>
              <w:spacing w:after="0" w:line="239" w:lineRule="exact"/>
              <w:rPr>
                <w:sz w:val="20"/>
                <w:szCs w:val="20"/>
                <w:color w:val="auto"/>
              </w:rPr>
            </w:pPr>
            <w:r>
              <w:rPr>
                <w:rFonts w:ascii="Arial" w:cs="Arial" w:eastAsia="Arial" w:hAnsi="Arial"/>
                <w:sz w:val="14"/>
                <w:szCs w:val="14"/>
                <w:color w:val="auto"/>
              </w:rPr>
              <w:t>42,101</w:t>
            </w:r>
            <w:r>
              <w:rPr>
                <w:rFonts w:ascii="Arial" w:cs="Arial" w:eastAsia="Arial" w:hAnsi="Arial"/>
                <w:sz w:val="24"/>
                <w:szCs w:val="24"/>
                <w:color w:val="auto"/>
                <w:vertAlign w:val="superscript"/>
              </w:rPr>
              <w:t>(1)</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588"/>
              <w:spacing w:after="0"/>
              <w:rPr>
                <w:sz w:val="20"/>
                <w:szCs w:val="20"/>
                <w:color w:val="auto"/>
              </w:rPr>
            </w:pPr>
            <w:r>
              <w:rPr>
                <w:rFonts w:ascii="Arial" w:cs="Arial" w:eastAsia="Arial" w:hAnsi="Arial"/>
                <w:sz w:val="14"/>
                <w:szCs w:val="14"/>
                <w:color w:val="auto"/>
                <w:w w:val="99"/>
              </w:rPr>
              <w:t>4,969,602</w:t>
            </w:r>
          </w:p>
        </w:tc>
        <w:tc>
          <w:tcPr>
            <w:tcW w:w="0" w:type="dxa"/>
            <w:vAlign w:val="bottom"/>
          </w:tcPr>
          <w:p>
            <w:pPr>
              <w:spacing w:after="0"/>
              <w:rPr>
                <w:sz w:val="1"/>
                <w:szCs w:val="1"/>
                <w:color w:val="auto"/>
              </w:rPr>
            </w:pPr>
          </w:p>
        </w:tc>
      </w:tr>
      <w:tr>
        <w:trPr>
          <w:trHeight w:val="216"/>
        </w:trPr>
        <w:tc>
          <w:tcPr>
            <w:tcW w:w="7840" w:type="dxa"/>
            <w:vAlign w:val="bottom"/>
          </w:tcPr>
          <w:p>
            <w:pPr>
              <w:spacing w:after="0"/>
              <w:rPr>
                <w:sz w:val="18"/>
                <w:szCs w:val="18"/>
                <w:color w:val="auto"/>
              </w:rPr>
            </w:pPr>
          </w:p>
        </w:tc>
        <w:tc>
          <w:tcPr>
            <w:tcW w:w="1460" w:type="dxa"/>
            <w:vAlign w:val="bottom"/>
          </w:tcPr>
          <w:p>
            <w:pPr>
              <w:jc w:val="right"/>
              <w:ind w:right="329"/>
              <w:spacing w:after="0" w:line="216" w:lineRule="exact"/>
              <w:rPr>
                <w:sz w:val="20"/>
                <w:szCs w:val="20"/>
                <w:color w:val="auto"/>
              </w:rPr>
            </w:pPr>
            <w:r>
              <w:rPr>
                <w:rFonts w:ascii="Arial" w:cs="Arial" w:eastAsia="Arial" w:hAnsi="Arial"/>
                <w:sz w:val="14"/>
                <w:szCs w:val="14"/>
                <w:color w:val="auto"/>
              </w:rPr>
              <w:t>2,041</w:t>
            </w:r>
            <w:r>
              <w:rPr>
                <w:rFonts w:ascii="Arial" w:cs="Arial" w:eastAsia="Arial" w:hAnsi="Arial"/>
                <w:sz w:val="24"/>
                <w:szCs w:val="24"/>
                <w:color w:val="auto"/>
                <w:vertAlign w:val="superscript"/>
              </w:rPr>
              <w:t>(2)</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588"/>
              <w:spacing w:after="0"/>
              <w:rPr>
                <w:sz w:val="20"/>
                <w:szCs w:val="20"/>
                <w:color w:val="auto"/>
              </w:rPr>
            </w:pPr>
            <w:r>
              <w:rPr>
                <w:rFonts w:ascii="Arial" w:cs="Arial" w:eastAsia="Arial" w:hAnsi="Arial"/>
                <w:sz w:val="14"/>
                <w:szCs w:val="14"/>
                <w:color w:val="auto"/>
              </w:rPr>
              <w:t>240,920</w:t>
            </w:r>
          </w:p>
        </w:tc>
        <w:tc>
          <w:tcPr>
            <w:tcW w:w="0" w:type="dxa"/>
            <w:vAlign w:val="bottom"/>
          </w:tcPr>
          <w:p>
            <w:pPr>
              <w:spacing w:after="0"/>
              <w:rPr>
                <w:sz w:val="1"/>
                <w:szCs w:val="1"/>
                <w:color w:val="auto"/>
              </w:rPr>
            </w:pPr>
          </w:p>
        </w:tc>
      </w:tr>
      <w:tr>
        <w:trPr>
          <w:trHeight w:val="216"/>
        </w:trPr>
        <w:tc>
          <w:tcPr>
            <w:tcW w:w="7840" w:type="dxa"/>
            <w:vAlign w:val="bottom"/>
          </w:tcPr>
          <w:p>
            <w:pPr>
              <w:spacing w:after="0"/>
              <w:rPr>
                <w:sz w:val="18"/>
                <w:szCs w:val="18"/>
                <w:color w:val="auto"/>
              </w:rPr>
            </w:pPr>
          </w:p>
        </w:tc>
        <w:tc>
          <w:tcPr>
            <w:tcW w:w="1460" w:type="dxa"/>
            <w:vAlign w:val="bottom"/>
          </w:tcPr>
          <w:p>
            <w:pPr>
              <w:jc w:val="right"/>
              <w:ind w:right="329"/>
              <w:spacing w:after="0" w:line="216" w:lineRule="exact"/>
              <w:rPr>
                <w:sz w:val="20"/>
                <w:szCs w:val="20"/>
                <w:color w:val="auto"/>
              </w:rPr>
            </w:pPr>
            <w:r>
              <w:rPr>
                <w:rFonts w:ascii="Arial" w:cs="Arial" w:eastAsia="Arial" w:hAnsi="Arial"/>
                <w:sz w:val="14"/>
                <w:szCs w:val="14"/>
                <w:color w:val="auto"/>
              </w:rPr>
              <w:t>31,023</w:t>
            </w:r>
            <w:r>
              <w:rPr>
                <w:rFonts w:ascii="Arial" w:cs="Arial" w:eastAsia="Arial" w:hAnsi="Arial"/>
                <w:sz w:val="24"/>
                <w:szCs w:val="24"/>
                <w:color w:val="auto"/>
                <w:vertAlign w:val="superscript"/>
              </w:rPr>
              <w:t>(2)</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588"/>
              <w:spacing w:after="0"/>
              <w:rPr>
                <w:sz w:val="20"/>
                <w:szCs w:val="20"/>
                <w:color w:val="auto"/>
              </w:rPr>
            </w:pPr>
            <w:r>
              <w:rPr>
                <w:rFonts w:ascii="Arial" w:cs="Arial" w:eastAsia="Arial" w:hAnsi="Arial"/>
                <w:sz w:val="14"/>
                <w:szCs w:val="14"/>
                <w:color w:val="auto"/>
                <w:w w:val="99"/>
              </w:rPr>
              <w:t>3,661,955</w:t>
            </w:r>
          </w:p>
        </w:tc>
        <w:tc>
          <w:tcPr>
            <w:tcW w:w="0" w:type="dxa"/>
            <w:vAlign w:val="bottom"/>
          </w:tcPr>
          <w:p>
            <w:pPr>
              <w:spacing w:after="0"/>
              <w:rPr>
                <w:sz w:val="1"/>
                <w:szCs w:val="1"/>
                <w:color w:val="auto"/>
              </w:rPr>
            </w:pPr>
          </w:p>
        </w:tc>
      </w:tr>
      <w:tr>
        <w:trPr>
          <w:trHeight w:val="216"/>
        </w:trPr>
        <w:tc>
          <w:tcPr>
            <w:tcW w:w="7840" w:type="dxa"/>
            <w:vAlign w:val="bottom"/>
          </w:tcPr>
          <w:p>
            <w:pPr>
              <w:spacing w:after="0"/>
              <w:rPr>
                <w:sz w:val="18"/>
                <w:szCs w:val="18"/>
                <w:color w:val="auto"/>
              </w:rPr>
            </w:pPr>
          </w:p>
        </w:tc>
        <w:tc>
          <w:tcPr>
            <w:tcW w:w="1460" w:type="dxa"/>
            <w:vAlign w:val="bottom"/>
          </w:tcPr>
          <w:p>
            <w:pPr>
              <w:jc w:val="right"/>
              <w:ind w:right="329"/>
              <w:spacing w:after="0" w:line="216" w:lineRule="exact"/>
              <w:rPr>
                <w:sz w:val="20"/>
                <w:szCs w:val="20"/>
                <w:color w:val="auto"/>
              </w:rPr>
            </w:pPr>
            <w:r>
              <w:rPr>
                <w:rFonts w:ascii="Arial" w:cs="Arial" w:eastAsia="Arial" w:hAnsi="Arial"/>
                <w:sz w:val="14"/>
                <w:szCs w:val="14"/>
                <w:color w:val="auto"/>
              </w:rPr>
              <w:t>1,011</w:t>
            </w:r>
            <w:r>
              <w:rPr>
                <w:rFonts w:ascii="Arial" w:cs="Arial" w:eastAsia="Arial" w:hAnsi="Arial"/>
                <w:sz w:val="24"/>
                <w:szCs w:val="24"/>
                <w:color w:val="auto"/>
                <w:vertAlign w:val="superscript"/>
              </w:rPr>
              <w:t>(3)</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588"/>
              <w:spacing w:after="0"/>
              <w:rPr>
                <w:sz w:val="20"/>
                <w:szCs w:val="20"/>
                <w:color w:val="auto"/>
              </w:rPr>
            </w:pPr>
            <w:r>
              <w:rPr>
                <w:rFonts w:ascii="Arial" w:cs="Arial" w:eastAsia="Arial" w:hAnsi="Arial"/>
                <w:sz w:val="14"/>
                <w:szCs w:val="14"/>
                <w:color w:val="auto"/>
              </w:rPr>
              <w:t>119,338</w:t>
            </w:r>
          </w:p>
        </w:tc>
        <w:tc>
          <w:tcPr>
            <w:tcW w:w="0" w:type="dxa"/>
            <w:vAlign w:val="bottom"/>
          </w:tcPr>
          <w:p>
            <w:pPr>
              <w:spacing w:after="0"/>
              <w:rPr>
                <w:sz w:val="1"/>
                <w:szCs w:val="1"/>
                <w:color w:val="auto"/>
              </w:rPr>
            </w:pPr>
          </w:p>
        </w:tc>
      </w:tr>
      <w:tr>
        <w:trPr>
          <w:trHeight w:val="205"/>
        </w:trPr>
        <w:tc>
          <w:tcPr>
            <w:tcW w:w="7840" w:type="dxa"/>
            <w:vAlign w:val="bottom"/>
          </w:tcPr>
          <w:p>
            <w:pPr>
              <w:spacing w:after="0"/>
              <w:rPr>
                <w:sz w:val="17"/>
                <w:szCs w:val="17"/>
                <w:color w:val="auto"/>
              </w:rPr>
            </w:pPr>
          </w:p>
        </w:tc>
        <w:tc>
          <w:tcPr>
            <w:tcW w:w="1460" w:type="dxa"/>
            <w:vAlign w:val="bottom"/>
          </w:tcPr>
          <w:p>
            <w:pPr>
              <w:jc w:val="right"/>
              <w:ind w:right="329"/>
              <w:spacing w:after="0" w:line="205" w:lineRule="exact"/>
              <w:rPr>
                <w:sz w:val="20"/>
                <w:szCs w:val="20"/>
                <w:color w:val="auto"/>
              </w:rPr>
            </w:pPr>
            <w:r>
              <w:rPr>
                <w:rFonts w:ascii="Arial" w:cs="Arial" w:eastAsia="Arial" w:hAnsi="Arial"/>
                <w:sz w:val="14"/>
                <w:szCs w:val="14"/>
                <w:color w:val="auto"/>
              </w:rPr>
              <w:t>15,317</w:t>
            </w:r>
            <w:r>
              <w:rPr>
                <w:rFonts w:ascii="Arial" w:cs="Arial" w:eastAsia="Arial" w:hAnsi="Arial"/>
                <w:sz w:val="23"/>
                <w:szCs w:val="23"/>
                <w:color w:val="auto"/>
                <w:vertAlign w:val="superscript"/>
              </w:rPr>
              <w:t>(3)</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588"/>
              <w:spacing w:after="0"/>
              <w:rPr>
                <w:sz w:val="20"/>
                <w:szCs w:val="20"/>
                <w:color w:val="auto"/>
              </w:rPr>
            </w:pPr>
            <w:r>
              <w:rPr>
                <w:rFonts w:ascii="Arial" w:cs="Arial" w:eastAsia="Arial" w:hAnsi="Arial"/>
                <w:sz w:val="14"/>
                <w:szCs w:val="14"/>
                <w:color w:val="auto"/>
                <w:w w:val="99"/>
              </w:rPr>
              <w:t>1,808,019</w:t>
            </w:r>
          </w:p>
        </w:tc>
        <w:tc>
          <w:tcPr>
            <w:tcW w:w="0" w:type="dxa"/>
            <w:vAlign w:val="bottom"/>
          </w:tcPr>
          <w:p>
            <w:pPr>
              <w:spacing w:after="0"/>
              <w:rPr>
                <w:sz w:val="1"/>
                <w:szCs w:val="1"/>
                <w:color w:val="auto"/>
              </w:rPr>
            </w:pPr>
          </w:p>
        </w:tc>
      </w:tr>
      <w:tr>
        <w:trPr>
          <w:trHeight w:val="216"/>
        </w:trPr>
        <w:tc>
          <w:tcPr>
            <w:tcW w:w="7840" w:type="dxa"/>
            <w:vAlign w:val="bottom"/>
            <w:shd w:val="clear" w:color="auto" w:fill="D2D4D9"/>
          </w:tcPr>
          <w:p>
            <w:pPr>
              <w:ind w:left="60"/>
              <w:spacing w:after="0"/>
              <w:rPr>
                <w:sz w:val="20"/>
                <w:szCs w:val="20"/>
                <w:color w:val="auto"/>
              </w:rPr>
            </w:pPr>
            <w:r>
              <w:rPr>
                <w:rFonts w:ascii="Arial" w:cs="Arial" w:eastAsia="Arial" w:hAnsi="Arial"/>
                <w:sz w:val="14"/>
                <w:szCs w:val="14"/>
                <w:color w:val="auto"/>
              </w:rPr>
              <w:t>Daniel Guglielmone</w:t>
            </w:r>
          </w:p>
        </w:tc>
        <w:tc>
          <w:tcPr>
            <w:tcW w:w="1460" w:type="dxa"/>
            <w:vAlign w:val="bottom"/>
            <w:shd w:val="clear" w:color="auto" w:fill="D2D4D9"/>
          </w:tcPr>
          <w:p>
            <w:pPr>
              <w:jc w:val="right"/>
              <w:ind w:right="329"/>
              <w:spacing w:after="0" w:line="216" w:lineRule="exact"/>
              <w:rPr>
                <w:sz w:val="20"/>
                <w:szCs w:val="20"/>
                <w:color w:val="auto"/>
              </w:rPr>
            </w:pPr>
            <w:r>
              <w:rPr>
                <w:rFonts w:ascii="Arial" w:cs="Arial" w:eastAsia="Arial" w:hAnsi="Arial"/>
                <w:sz w:val="14"/>
                <w:szCs w:val="14"/>
                <w:color w:val="auto"/>
              </w:rPr>
              <w:t>7,073</w:t>
            </w:r>
            <w:r>
              <w:rPr>
                <w:rFonts w:ascii="Arial" w:cs="Arial" w:eastAsia="Arial" w:hAnsi="Arial"/>
                <w:sz w:val="24"/>
                <w:szCs w:val="24"/>
                <w:color w:val="auto"/>
                <w:vertAlign w:val="superscript"/>
              </w:rPr>
              <w:t>(1)</w:t>
            </w:r>
          </w:p>
        </w:tc>
        <w:tc>
          <w:tcPr>
            <w:tcW w:w="420" w:type="dxa"/>
            <w:vAlign w:val="bottom"/>
            <w:shd w:val="clear" w:color="auto" w:fill="D2D4D9"/>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D2D4D9"/>
          </w:tcPr>
          <w:p>
            <w:pPr>
              <w:jc w:val="right"/>
              <w:ind w:right="588"/>
              <w:spacing w:after="0"/>
              <w:rPr>
                <w:sz w:val="20"/>
                <w:szCs w:val="20"/>
                <w:color w:val="auto"/>
              </w:rPr>
            </w:pPr>
            <w:r>
              <w:rPr>
                <w:rFonts w:ascii="Arial" w:cs="Arial" w:eastAsia="Arial" w:hAnsi="Arial"/>
                <w:sz w:val="14"/>
                <w:szCs w:val="14"/>
                <w:color w:val="auto"/>
              </w:rPr>
              <w:t>834,897</w:t>
            </w:r>
          </w:p>
        </w:tc>
        <w:tc>
          <w:tcPr>
            <w:tcW w:w="0" w:type="dxa"/>
            <w:vAlign w:val="bottom"/>
          </w:tcPr>
          <w:p>
            <w:pPr>
              <w:spacing w:after="0"/>
              <w:rPr>
                <w:sz w:val="1"/>
                <w:szCs w:val="1"/>
                <w:color w:val="auto"/>
              </w:rPr>
            </w:pPr>
          </w:p>
        </w:tc>
      </w:tr>
      <w:tr>
        <w:trPr>
          <w:trHeight w:val="216"/>
        </w:trPr>
        <w:tc>
          <w:tcPr>
            <w:tcW w:w="7840" w:type="dxa"/>
            <w:vAlign w:val="bottom"/>
            <w:shd w:val="clear" w:color="auto" w:fill="D2D4D9"/>
          </w:tcPr>
          <w:p>
            <w:pPr>
              <w:spacing w:after="0"/>
              <w:rPr>
                <w:sz w:val="18"/>
                <w:szCs w:val="18"/>
                <w:color w:val="auto"/>
              </w:rPr>
            </w:pPr>
          </w:p>
        </w:tc>
        <w:tc>
          <w:tcPr>
            <w:tcW w:w="1460" w:type="dxa"/>
            <w:vAlign w:val="bottom"/>
            <w:shd w:val="clear" w:color="auto" w:fill="D2D4D9"/>
          </w:tcPr>
          <w:p>
            <w:pPr>
              <w:jc w:val="right"/>
              <w:ind w:right="329"/>
              <w:spacing w:after="0" w:line="216" w:lineRule="exact"/>
              <w:rPr>
                <w:sz w:val="20"/>
                <w:szCs w:val="20"/>
                <w:color w:val="auto"/>
              </w:rPr>
            </w:pPr>
            <w:r>
              <w:rPr>
                <w:rFonts w:ascii="Arial" w:cs="Arial" w:eastAsia="Arial" w:hAnsi="Arial"/>
                <w:sz w:val="14"/>
                <w:szCs w:val="14"/>
                <w:color w:val="auto"/>
              </w:rPr>
              <w:t>4,295</w:t>
            </w:r>
            <w:r>
              <w:rPr>
                <w:rFonts w:ascii="Arial" w:cs="Arial" w:eastAsia="Arial" w:hAnsi="Arial"/>
                <w:sz w:val="24"/>
                <w:szCs w:val="24"/>
                <w:color w:val="auto"/>
                <w:vertAlign w:val="superscript"/>
              </w:rPr>
              <w:t>(2)</w:t>
            </w:r>
          </w:p>
        </w:tc>
        <w:tc>
          <w:tcPr>
            <w:tcW w:w="420" w:type="dxa"/>
            <w:vAlign w:val="bottom"/>
            <w:shd w:val="clear" w:color="auto" w:fill="D2D4D9"/>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D2D4D9"/>
          </w:tcPr>
          <w:p>
            <w:pPr>
              <w:jc w:val="right"/>
              <w:ind w:right="588"/>
              <w:spacing w:after="0"/>
              <w:rPr>
                <w:sz w:val="20"/>
                <w:szCs w:val="20"/>
                <w:color w:val="auto"/>
              </w:rPr>
            </w:pPr>
            <w:r>
              <w:rPr>
                <w:rFonts w:ascii="Arial" w:cs="Arial" w:eastAsia="Arial" w:hAnsi="Arial"/>
                <w:sz w:val="14"/>
                <w:szCs w:val="14"/>
                <w:color w:val="auto"/>
              </w:rPr>
              <w:t>506,982</w:t>
            </w:r>
          </w:p>
        </w:tc>
        <w:tc>
          <w:tcPr>
            <w:tcW w:w="0" w:type="dxa"/>
            <w:vAlign w:val="bottom"/>
          </w:tcPr>
          <w:p>
            <w:pPr>
              <w:spacing w:after="0"/>
              <w:rPr>
                <w:sz w:val="1"/>
                <w:szCs w:val="1"/>
                <w:color w:val="auto"/>
              </w:rPr>
            </w:pPr>
          </w:p>
        </w:tc>
      </w:tr>
      <w:tr>
        <w:trPr>
          <w:trHeight w:val="216"/>
        </w:trPr>
        <w:tc>
          <w:tcPr>
            <w:tcW w:w="7840" w:type="dxa"/>
            <w:vAlign w:val="bottom"/>
            <w:shd w:val="clear" w:color="auto" w:fill="D2D4D9"/>
          </w:tcPr>
          <w:p>
            <w:pPr>
              <w:spacing w:after="0"/>
              <w:rPr>
                <w:sz w:val="18"/>
                <w:szCs w:val="18"/>
                <w:color w:val="auto"/>
              </w:rPr>
            </w:pPr>
          </w:p>
        </w:tc>
        <w:tc>
          <w:tcPr>
            <w:tcW w:w="1460" w:type="dxa"/>
            <w:vAlign w:val="bottom"/>
            <w:shd w:val="clear" w:color="auto" w:fill="D2D4D9"/>
          </w:tcPr>
          <w:p>
            <w:pPr>
              <w:jc w:val="right"/>
              <w:ind w:right="329"/>
              <w:spacing w:after="0" w:line="216" w:lineRule="exact"/>
              <w:rPr>
                <w:sz w:val="20"/>
                <w:szCs w:val="20"/>
                <w:color w:val="auto"/>
              </w:rPr>
            </w:pPr>
            <w:r>
              <w:rPr>
                <w:rFonts w:ascii="Arial" w:cs="Arial" w:eastAsia="Arial" w:hAnsi="Arial"/>
                <w:sz w:val="14"/>
                <w:szCs w:val="14"/>
                <w:color w:val="auto"/>
              </w:rPr>
              <w:t>1,044</w:t>
            </w:r>
            <w:r>
              <w:rPr>
                <w:rFonts w:ascii="Arial" w:cs="Arial" w:eastAsia="Arial" w:hAnsi="Arial"/>
                <w:sz w:val="24"/>
                <w:szCs w:val="24"/>
                <w:color w:val="auto"/>
                <w:vertAlign w:val="superscript"/>
              </w:rPr>
              <w:t>(4)</w:t>
            </w:r>
          </w:p>
        </w:tc>
        <w:tc>
          <w:tcPr>
            <w:tcW w:w="420" w:type="dxa"/>
            <w:vAlign w:val="bottom"/>
            <w:shd w:val="clear" w:color="auto" w:fill="D2D4D9"/>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D2D4D9"/>
          </w:tcPr>
          <w:p>
            <w:pPr>
              <w:jc w:val="right"/>
              <w:ind w:right="588"/>
              <w:spacing w:after="0"/>
              <w:rPr>
                <w:sz w:val="20"/>
                <w:szCs w:val="20"/>
                <w:color w:val="auto"/>
              </w:rPr>
            </w:pPr>
            <w:r>
              <w:rPr>
                <w:rFonts w:ascii="Arial" w:cs="Arial" w:eastAsia="Arial" w:hAnsi="Arial"/>
                <w:sz w:val="14"/>
                <w:szCs w:val="14"/>
                <w:color w:val="auto"/>
              </w:rPr>
              <w:t>123,234</w:t>
            </w:r>
          </w:p>
        </w:tc>
        <w:tc>
          <w:tcPr>
            <w:tcW w:w="0" w:type="dxa"/>
            <w:vAlign w:val="bottom"/>
          </w:tcPr>
          <w:p>
            <w:pPr>
              <w:spacing w:after="0"/>
              <w:rPr>
                <w:sz w:val="1"/>
                <w:szCs w:val="1"/>
                <w:color w:val="auto"/>
              </w:rPr>
            </w:pPr>
          </w:p>
        </w:tc>
      </w:tr>
      <w:tr>
        <w:trPr>
          <w:trHeight w:val="216"/>
        </w:trPr>
        <w:tc>
          <w:tcPr>
            <w:tcW w:w="7840" w:type="dxa"/>
            <w:vAlign w:val="bottom"/>
            <w:shd w:val="clear" w:color="auto" w:fill="D2D4D9"/>
          </w:tcPr>
          <w:p>
            <w:pPr>
              <w:spacing w:after="0"/>
              <w:rPr>
                <w:sz w:val="18"/>
                <w:szCs w:val="18"/>
                <w:color w:val="auto"/>
              </w:rPr>
            </w:pPr>
          </w:p>
        </w:tc>
        <w:tc>
          <w:tcPr>
            <w:tcW w:w="1460" w:type="dxa"/>
            <w:vAlign w:val="bottom"/>
            <w:shd w:val="clear" w:color="auto" w:fill="D2D4D9"/>
          </w:tcPr>
          <w:p>
            <w:pPr>
              <w:jc w:val="right"/>
              <w:ind w:right="329"/>
              <w:spacing w:after="0" w:line="216" w:lineRule="exact"/>
              <w:rPr>
                <w:sz w:val="20"/>
                <w:szCs w:val="20"/>
                <w:color w:val="auto"/>
              </w:rPr>
            </w:pPr>
            <w:r>
              <w:rPr>
                <w:rFonts w:ascii="Arial" w:cs="Arial" w:eastAsia="Arial" w:hAnsi="Arial"/>
                <w:sz w:val="14"/>
                <w:szCs w:val="14"/>
                <w:color w:val="auto"/>
              </w:rPr>
              <w:t>4,476</w:t>
            </w:r>
            <w:r>
              <w:rPr>
                <w:rFonts w:ascii="Arial" w:cs="Arial" w:eastAsia="Arial" w:hAnsi="Arial"/>
                <w:sz w:val="24"/>
                <w:szCs w:val="24"/>
                <w:color w:val="auto"/>
                <w:vertAlign w:val="superscript"/>
              </w:rPr>
              <w:t>(5)</w:t>
            </w:r>
          </w:p>
        </w:tc>
        <w:tc>
          <w:tcPr>
            <w:tcW w:w="420" w:type="dxa"/>
            <w:vAlign w:val="bottom"/>
            <w:shd w:val="clear" w:color="auto" w:fill="D2D4D9"/>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D2D4D9"/>
          </w:tcPr>
          <w:p>
            <w:pPr>
              <w:jc w:val="right"/>
              <w:ind w:right="588"/>
              <w:spacing w:after="0"/>
              <w:rPr>
                <w:sz w:val="20"/>
                <w:szCs w:val="20"/>
                <w:color w:val="auto"/>
              </w:rPr>
            </w:pPr>
            <w:r>
              <w:rPr>
                <w:rFonts w:ascii="Arial" w:cs="Arial" w:eastAsia="Arial" w:hAnsi="Arial"/>
                <w:sz w:val="14"/>
                <w:szCs w:val="14"/>
                <w:color w:val="auto"/>
              </w:rPr>
              <w:t>528,347</w:t>
            </w:r>
          </w:p>
        </w:tc>
        <w:tc>
          <w:tcPr>
            <w:tcW w:w="0" w:type="dxa"/>
            <w:vAlign w:val="bottom"/>
          </w:tcPr>
          <w:p>
            <w:pPr>
              <w:spacing w:after="0"/>
              <w:rPr>
                <w:sz w:val="1"/>
                <w:szCs w:val="1"/>
                <w:color w:val="auto"/>
              </w:rPr>
            </w:pPr>
          </w:p>
        </w:tc>
      </w:tr>
      <w:tr>
        <w:trPr>
          <w:trHeight w:val="227"/>
        </w:trPr>
        <w:tc>
          <w:tcPr>
            <w:tcW w:w="7840" w:type="dxa"/>
            <w:vAlign w:val="bottom"/>
          </w:tcPr>
          <w:p>
            <w:pPr>
              <w:ind w:left="60"/>
              <w:spacing w:after="0"/>
              <w:rPr>
                <w:sz w:val="20"/>
                <w:szCs w:val="20"/>
                <w:color w:val="auto"/>
              </w:rPr>
            </w:pPr>
            <w:r>
              <w:rPr>
                <w:rFonts w:ascii="Arial" w:cs="Arial" w:eastAsia="Arial" w:hAnsi="Arial"/>
                <w:sz w:val="14"/>
                <w:szCs w:val="14"/>
                <w:color w:val="auto"/>
              </w:rPr>
              <w:t>Dawn M. Becker</w:t>
            </w:r>
          </w:p>
        </w:tc>
        <w:tc>
          <w:tcPr>
            <w:tcW w:w="1460" w:type="dxa"/>
            <w:vAlign w:val="bottom"/>
          </w:tcPr>
          <w:p>
            <w:pPr>
              <w:jc w:val="right"/>
              <w:ind w:right="329"/>
              <w:spacing w:after="0" w:line="227" w:lineRule="exact"/>
              <w:rPr>
                <w:sz w:val="20"/>
                <w:szCs w:val="20"/>
                <w:color w:val="auto"/>
              </w:rPr>
            </w:pPr>
            <w:r>
              <w:rPr>
                <w:rFonts w:ascii="Arial" w:cs="Arial" w:eastAsia="Arial" w:hAnsi="Arial"/>
                <w:sz w:val="14"/>
                <w:szCs w:val="14"/>
                <w:color w:val="auto"/>
              </w:rPr>
              <w:t>5,052</w:t>
            </w:r>
            <w:r>
              <w:rPr>
                <w:rFonts w:ascii="Arial" w:cs="Arial" w:eastAsia="Arial" w:hAnsi="Arial"/>
                <w:sz w:val="24"/>
                <w:szCs w:val="24"/>
                <w:color w:val="auto"/>
                <w:vertAlign w:val="superscript"/>
              </w:rPr>
              <w:t>(1)</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588"/>
              <w:spacing w:after="0"/>
              <w:rPr>
                <w:sz w:val="20"/>
                <w:szCs w:val="20"/>
                <w:color w:val="auto"/>
              </w:rPr>
            </w:pPr>
            <w:r>
              <w:rPr>
                <w:rFonts w:ascii="Arial" w:cs="Arial" w:eastAsia="Arial" w:hAnsi="Arial"/>
                <w:sz w:val="14"/>
                <w:szCs w:val="14"/>
                <w:color w:val="auto"/>
              </w:rPr>
              <w:t>596,338</w:t>
            </w:r>
          </w:p>
        </w:tc>
        <w:tc>
          <w:tcPr>
            <w:tcW w:w="0" w:type="dxa"/>
            <w:vAlign w:val="bottom"/>
          </w:tcPr>
          <w:p>
            <w:pPr>
              <w:spacing w:after="0"/>
              <w:rPr>
                <w:sz w:val="1"/>
                <w:szCs w:val="1"/>
                <w:color w:val="auto"/>
              </w:rPr>
            </w:pPr>
          </w:p>
        </w:tc>
      </w:tr>
      <w:tr>
        <w:trPr>
          <w:trHeight w:val="216"/>
        </w:trPr>
        <w:tc>
          <w:tcPr>
            <w:tcW w:w="7840" w:type="dxa"/>
            <w:vAlign w:val="bottom"/>
          </w:tcPr>
          <w:p>
            <w:pPr>
              <w:spacing w:after="0"/>
              <w:rPr>
                <w:sz w:val="18"/>
                <w:szCs w:val="18"/>
                <w:color w:val="auto"/>
              </w:rPr>
            </w:pPr>
          </w:p>
        </w:tc>
        <w:tc>
          <w:tcPr>
            <w:tcW w:w="1460" w:type="dxa"/>
            <w:vAlign w:val="bottom"/>
          </w:tcPr>
          <w:p>
            <w:pPr>
              <w:jc w:val="right"/>
              <w:ind w:right="329"/>
              <w:spacing w:after="0" w:line="216" w:lineRule="exact"/>
              <w:rPr>
                <w:sz w:val="20"/>
                <w:szCs w:val="20"/>
                <w:color w:val="auto"/>
              </w:rPr>
            </w:pPr>
            <w:r>
              <w:rPr>
                <w:rFonts w:ascii="Arial" w:cs="Arial" w:eastAsia="Arial" w:hAnsi="Arial"/>
                <w:sz w:val="14"/>
                <w:szCs w:val="14"/>
                <w:color w:val="auto"/>
              </w:rPr>
              <w:t>483</w:t>
            </w:r>
            <w:r>
              <w:rPr>
                <w:rFonts w:ascii="Arial" w:cs="Arial" w:eastAsia="Arial" w:hAnsi="Arial"/>
                <w:sz w:val="24"/>
                <w:szCs w:val="24"/>
                <w:color w:val="auto"/>
                <w:vertAlign w:val="superscript"/>
              </w:rPr>
              <w:t>(2)</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588"/>
              <w:spacing w:after="0"/>
              <w:rPr>
                <w:sz w:val="20"/>
                <w:szCs w:val="20"/>
                <w:color w:val="auto"/>
              </w:rPr>
            </w:pPr>
            <w:r>
              <w:rPr>
                <w:rFonts w:ascii="Arial" w:cs="Arial" w:eastAsia="Arial" w:hAnsi="Arial"/>
                <w:sz w:val="14"/>
                <w:szCs w:val="14"/>
                <w:color w:val="auto"/>
              </w:rPr>
              <w:t>57,013</w:t>
            </w:r>
          </w:p>
        </w:tc>
        <w:tc>
          <w:tcPr>
            <w:tcW w:w="0" w:type="dxa"/>
            <w:vAlign w:val="bottom"/>
          </w:tcPr>
          <w:p>
            <w:pPr>
              <w:spacing w:after="0"/>
              <w:rPr>
                <w:sz w:val="1"/>
                <w:szCs w:val="1"/>
                <w:color w:val="auto"/>
              </w:rPr>
            </w:pPr>
          </w:p>
        </w:tc>
      </w:tr>
      <w:tr>
        <w:trPr>
          <w:trHeight w:val="216"/>
        </w:trPr>
        <w:tc>
          <w:tcPr>
            <w:tcW w:w="7840" w:type="dxa"/>
            <w:vAlign w:val="bottom"/>
          </w:tcPr>
          <w:p>
            <w:pPr>
              <w:spacing w:after="0"/>
              <w:rPr>
                <w:sz w:val="18"/>
                <w:szCs w:val="18"/>
                <w:color w:val="auto"/>
              </w:rPr>
            </w:pPr>
          </w:p>
        </w:tc>
        <w:tc>
          <w:tcPr>
            <w:tcW w:w="1460" w:type="dxa"/>
            <w:vAlign w:val="bottom"/>
          </w:tcPr>
          <w:p>
            <w:pPr>
              <w:jc w:val="right"/>
              <w:ind w:right="329"/>
              <w:spacing w:after="0" w:line="216" w:lineRule="exact"/>
              <w:rPr>
                <w:sz w:val="20"/>
                <w:szCs w:val="20"/>
                <w:color w:val="auto"/>
              </w:rPr>
            </w:pPr>
            <w:r>
              <w:rPr>
                <w:rFonts w:ascii="Arial" w:cs="Arial" w:eastAsia="Arial" w:hAnsi="Arial"/>
                <w:sz w:val="14"/>
                <w:szCs w:val="14"/>
                <w:color w:val="auto"/>
              </w:rPr>
              <w:t>4,189</w:t>
            </w:r>
            <w:r>
              <w:rPr>
                <w:rFonts w:ascii="Arial" w:cs="Arial" w:eastAsia="Arial" w:hAnsi="Arial"/>
                <w:sz w:val="24"/>
                <w:szCs w:val="24"/>
                <w:color w:val="auto"/>
                <w:vertAlign w:val="superscript"/>
              </w:rPr>
              <w:t>(2)</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588"/>
              <w:spacing w:after="0"/>
              <w:rPr>
                <w:sz w:val="20"/>
                <w:szCs w:val="20"/>
                <w:color w:val="auto"/>
              </w:rPr>
            </w:pPr>
            <w:r>
              <w:rPr>
                <w:rFonts w:ascii="Arial" w:cs="Arial" w:eastAsia="Arial" w:hAnsi="Arial"/>
                <w:sz w:val="14"/>
                <w:szCs w:val="14"/>
                <w:color w:val="auto"/>
              </w:rPr>
              <w:t>494,470</w:t>
            </w:r>
          </w:p>
        </w:tc>
        <w:tc>
          <w:tcPr>
            <w:tcW w:w="0" w:type="dxa"/>
            <w:vAlign w:val="bottom"/>
          </w:tcPr>
          <w:p>
            <w:pPr>
              <w:spacing w:after="0"/>
              <w:rPr>
                <w:sz w:val="1"/>
                <w:szCs w:val="1"/>
                <w:color w:val="auto"/>
              </w:rPr>
            </w:pPr>
          </w:p>
        </w:tc>
      </w:tr>
      <w:tr>
        <w:trPr>
          <w:trHeight w:val="313"/>
        </w:trPr>
        <w:tc>
          <w:tcPr>
            <w:tcW w:w="7840" w:type="dxa"/>
            <w:vAlign w:val="bottom"/>
          </w:tcPr>
          <w:p>
            <w:pPr>
              <w:spacing w:after="0"/>
              <w:rPr>
                <w:sz w:val="24"/>
                <w:szCs w:val="24"/>
                <w:color w:val="auto"/>
              </w:rPr>
            </w:pPr>
          </w:p>
        </w:tc>
        <w:tc>
          <w:tcPr>
            <w:tcW w:w="1460" w:type="dxa"/>
            <w:vAlign w:val="bottom"/>
          </w:tcPr>
          <w:p>
            <w:pPr>
              <w:jc w:val="right"/>
              <w:ind w:right="329"/>
              <w:spacing w:after="0"/>
              <w:rPr>
                <w:sz w:val="20"/>
                <w:szCs w:val="20"/>
                <w:color w:val="auto"/>
              </w:rPr>
            </w:pPr>
            <w:r>
              <w:rPr>
                <w:rFonts w:ascii="Arial" w:cs="Arial" w:eastAsia="Arial" w:hAnsi="Arial"/>
                <w:sz w:val="14"/>
                <w:szCs w:val="14"/>
                <w:color w:val="auto"/>
              </w:rPr>
              <w:t>1,748</w:t>
            </w:r>
            <w:r>
              <w:rPr>
                <w:rFonts w:ascii="Arial" w:cs="Arial" w:eastAsia="Arial" w:hAnsi="Arial"/>
                <w:sz w:val="24"/>
                <w:szCs w:val="24"/>
                <w:color w:val="auto"/>
                <w:vertAlign w:val="superscript"/>
              </w:rPr>
              <w:t>(3)</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588"/>
              <w:spacing w:after="0"/>
              <w:rPr>
                <w:sz w:val="20"/>
                <w:szCs w:val="20"/>
                <w:color w:val="auto"/>
              </w:rPr>
            </w:pPr>
            <w:r>
              <w:rPr>
                <w:rFonts w:ascii="Arial" w:cs="Arial" w:eastAsia="Arial" w:hAnsi="Arial"/>
                <w:sz w:val="14"/>
                <w:szCs w:val="14"/>
                <w:color w:val="auto"/>
              </w:rPr>
              <w:t>206,334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-2734945</wp:posOffset>
            </wp:positionV>
            <wp:extent cx="176657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766570" cy="1714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17145</wp:posOffset>
            </wp:positionV>
            <wp:extent cx="69469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43" w:lineRule="exact"/>
        <w:rPr>
          <w:sz w:val="20"/>
          <w:szCs w:val="20"/>
          <w:color w:val="auto"/>
        </w:rPr>
      </w:pPr>
    </w:p>
    <w:p>
      <w:pPr>
        <w:ind w:left="640" w:hanging="43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One-third of these Shares vested on February 12, 2019 and the remaining Shares will vest on February 12, 2020 and 2021.</w:t>
      </w:r>
    </w:p>
    <w:p>
      <w:pPr>
        <w:ind w:left="640" w:hanging="436"/>
        <w:spacing w:after="0" w:line="234"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One-half of these Shares vested on February 12, 2019 and the remaining Shares will vest on February 12, 2020.</w:t>
      </w:r>
    </w:p>
    <w:p>
      <w:pPr>
        <w:ind w:left="640" w:hanging="436"/>
        <w:spacing w:after="0" w:line="234"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These shares vested on February 12, 2019.</w:t>
      </w:r>
    </w:p>
    <w:p>
      <w:pPr>
        <w:ind w:left="640" w:hanging="436"/>
        <w:spacing w:after="0" w:line="234"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One-half of these Shares vested on August 15, 2018 and the remaining Shares will vest on August 15, 2019.</w:t>
      </w:r>
    </w:p>
    <w:p>
      <w:pPr>
        <w:ind w:left="640" w:right="20" w:hanging="436"/>
        <w:spacing w:after="0" w:line="234"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One-sixth of these Shares vested on August 15, 2018 and the remaining Shares will vest equally on August 15 of each of 2019 through 2023.</w:t>
      </w:r>
    </w:p>
    <w:p>
      <w:pPr>
        <w:spacing w:after="0" w:line="1" w:lineRule="exact"/>
        <w:rPr>
          <w:rFonts w:ascii="Arial" w:cs="Arial" w:eastAsia="Arial" w:hAnsi="Arial"/>
          <w:sz w:val="18"/>
          <w:szCs w:val="18"/>
          <w:color w:val="auto"/>
        </w:rPr>
      </w:pPr>
    </w:p>
    <w:p>
      <w:pPr>
        <w:ind w:left="640" w:right="20" w:hanging="436"/>
        <w:spacing w:after="0" w:line="246"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market value of outstanding unvested Shares is based on $118.04, the closing price of our Shares on the NYSE on December 31, 2018.</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OPTION EXERCISES AND STOCK VESTED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8" w:lineRule="exact"/>
        <w:rPr>
          <w:sz w:val="20"/>
          <w:szCs w:val="20"/>
          <w:color w:val="auto"/>
        </w:rPr>
      </w:pPr>
    </w:p>
    <w:p>
      <w:pPr>
        <w:ind w:left="200" w:right="20"/>
        <w:spacing w:after="0" w:line="246" w:lineRule="auto"/>
        <w:rPr>
          <w:sz w:val="20"/>
          <w:szCs w:val="20"/>
          <w:color w:val="auto"/>
        </w:rPr>
      </w:pPr>
      <w:r>
        <w:rPr>
          <w:rFonts w:ascii="Arial" w:cs="Arial" w:eastAsia="Arial" w:hAnsi="Arial"/>
          <w:sz w:val="18"/>
          <w:szCs w:val="18"/>
          <w:color w:val="auto"/>
        </w:rPr>
        <w:t>The following table includes certain information with respect to options exercised in 2018 by each of our NEOs and Shares that vested during 2018.</w:t>
      </w:r>
    </w:p>
    <w:p>
      <w:pPr>
        <w:spacing w:after="0" w:line="225" w:lineRule="exact"/>
        <w:rPr>
          <w:sz w:val="20"/>
          <w:szCs w:val="20"/>
          <w:color w:val="auto"/>
        </w:rPr>
      </w:pPr>
    </w:p>
    <w:tbl>
      <w:tblPr>
        <w:tblLayout w:type="fixed"/>
        <w:tblInd w:w="220" w:type="dxa"/>
        <w:tblCellMar>
          <w:top w:w="0" w:type="dxa"/>
          <w:left w:w="0" w:type="dxa"/>
          <w:bottom w:w="0" w:type="dxa"/>
          <w:right w:w="0" w:type="dxa"/>
        </w:tblCellMar>
      </w:tblPr>
      <w:tr>
        <w:trPr>
          <w:trHeight w:val="231"/>
        </w:trPr>
        <w:tc>
          <w:tcPr>
            <w:tcW w:w="3520" w:type="dxa"/>
            <w:vAlign w:val="bottom"/>
            <w:shd w:val="clear" w:color="auto" w:fill="1F2A44"/>
          </w:tcPr>
          <w:p>
            <w:pPr>
              <w:spacing w:after="0"/>
              <w:rPr>
                <w:sz w:val="20"/>
                <w:szCs w:val="20"/>
                <w:color w:val="auto"/>
              </w:rPr>
            </w:pPr>
          </w:p>
        </w:tc>
        <w:tc>
          <w:tcPr>
            <w:tcW w:w="2680" w:type="dxa"/>
            <w:vAlign w:val="bottom"/>
            <w:shd w:val="clear" w:color="auto" w:fill="1F2A44"/>
          </w:tcPr>
          <w:p>
            <w:pPr>
              <w:jc w:val="right"/>
              <w:spacing w:after="0"/>
              <w:rPr>
                <w:sz w:val="20"/>
                <w:szCs w:val="20"/>
                <w:color w:val="auto"/>
              </w:rPr>
            </w:pPr>
            <w:r>
              <w:rPr>
                <w:rFonts w:ascii="Arial" w:cs="Arial" w:eastAsia="Arial" w:hAnsi="Arial"/>
                <w:sz w:val="14"/>
                <w:szCs w:val="14"/>
                <w:b w:val="1"/>
                <w:bCs w:val="1"/>
                <w:color w:val="FFFFFF"/>
              </w:rPr>
              <w:t>Option Awards</w:t>
            </w:r>
          </w:p>
        </w:tc>
        <w:tc>
          <w:tcPr>
            <w:tcW w:w="340" w:type="dxa"/>
            <w:vAlign w:val="bottom"/>
            <w:shd w:val="clear" w:color="auto" w:fill="1F2A44"/>
          </w:tcPr>
          <w:p>
            <w:pPr>
              <w:spacing w:after="0"/>
              <w:rPr>
                <w:sz w:val="20"/>
                <w:szCs w:val="20"/>
                <w:color w:val="auto"/>
              </w:rPr>
            </w:pPr>
          </w:p>
        </w:tc>
        <w:tc>
          <w:tcPr>
            <w:tcW w:w="980" w:type="dxa"/>
            <w:vAlign w:val="bottom"/>
            <w:shd w:val="clear" w:color="auto" w:fill="1F2A44"/>
          </w:tcPr>
          <w:p>
            <w:pPr>
              <w:spacing w:after="0"/>
              <w:rPr>
                <w:sz w:val="20"/>
                <w:szCs w:val="20"/>
                <w:color w:val="auto"/>
              </w:rPr>
            </w:pPr>
          </w:p>
        </w:tc>
        <w:tc>
          <w:tcPr>
            <w:tcW w:w="2400" w:type="dxa"/>
            <w:vAlign w:val="bottom"/>
            <w:shd w:val="clear" w:color="auto" w:fill="1F2A44"/>
          </w:tcPr>
          <w:p>
            <w:pPr>
              <w:jc w:val="right"/>
              <w:spacing w:after="0"/>
              <w:rPr>
                <w:sz w:val="20"/>
                <w:szCs w:val="20"/>
                <w:color w:val="auto"/>
              </w:rPr>
            </w:pPr>
            <w:r>
              <w:rPr>
                <w:rFonts w:ascii="Arial" w:cs="Arial" w:eastAsia="Arial" w:hAnsi="Arial"/>
                <w:sz w:val="14"/>
                <w:szCs w:val="14"/>
                <w:b w:val="1"/>
                <w:bCs w:val="1"/>
                <w:color w:val="FFFFFF"/>
              </w:rPr>
              <w:t>Stock Awards</w:t>
            </w:r>
          </w:p>
        </w:tc>
        <w:tc>
          <w:tcPr>
            <w:tcW w:w="260" w:type="dxa"/>
            <w:vAlign w:val="bottom"/>
            <w:shd w:val="clear" w:color="auto" w:fill="1F2A44"/>
          </w:tcPr>
          <w:p>
            <w:pPr>
              <w:spacing w:after="0"/>
              <w:rPr>
                <w:sz w:val="20"/>
                <w:szCs w:val="20"/>
                <w:color w:val="auto"/>
              </w:rPr>
            </w:pPr>
          </w:p>
        </w:tc>
        <w:tc>
          <w:tcPr>
            <w:tcW w:w="840" w:type="dxa"/>
            <w:vAlign w:val="bottom"/>
            <w:shd w:val="clear" w:color="auto" w:fill="1F2A44"/>
          </w:tcPr>
          <w:p>
            <w:pPr>
              <w:spacing w:after="0"/>
              <w:rPr>
                <w:sz w:val="20"/>
                <w:szCs w:val="20"/>
                <w:color w:val="auto"/>
              </w:rPr>
            </w:pPr>
          </w:p>
        </w:tc>
      </w:tr>
      <w:tr>
        <w:trPr>
          <w:trHeight w:val="215"/>
        </w:trPr>
        <w:tc>
          <w:tcPr>
            <w:tcW w:w="3520" w:type="dxa"/>
            <w:vAlign w:val="bottom"/>
            <w:shd w:val="clear" w:color="auto" w:fill="1F2A44"/>
          </w:tcPr>
          <w:p>
            <w:pPr>
              <w:spacing w:after="0"/>
              <w:rPr>
                <w:sz w:val="18"/>
                <w:szCs w:val="18"/>
                <w:color w:val="auto"/>
              </w:rPr>
            </w:pPr>
          </w:p>
        </w:tc>
        <w:tc>
          <w:tcPr>
            <w:tcW w:w="2680" w:type="dxa"/>
            <w:vAlign w:val="bottom"/>
            <w:shd w:val="clear" w:color="auto" w:fill="1F2A44"/>
          </w:tcPr>
          <w:p>
            <w:pPr>
              <w:spacing w:after="0"/>
              <w:rPr>
                <w:sz w:val="18"/>
                <w:szCs w:val="18"/>
                <w:color w:val="auto"/>
              </w:rPr>
            </w:pPr>
          </w:p>
        </w:tc>
        <w:tc>
          <w:tcPr>
            <w:tcW w:w="1320" w:type="dxa"/>
            <w:vAlign w:val="bottom"/>
            <w:gridSpan w:val="2"/>
            <w:shd w:val="clear" w:color="auto" w:fill="1F2A44"/>
          </w:tcPr>
          <w:p>
            <w:pPr>
              <w:jc w:val="center"/>
              <w:ind w:right="228"/>
              <w:spacing w:after="0"/>
              <w:rPr>
                <w:sz w:val="20"/>
                <w:szCs w:val="20"/>
                <w:color w:val="auto"/>
              </w:rPr>
            </w:pPr>
            <w:r>
              <w:rPr>
                <w:rFonts w:ascii="Arial" w:cs="Arial" w:eastAsia="Arial" w:hAnsi="Arial"/>
                <w:sz w:val="14"/>
                <w:szCs w:val="14"/>
                <w:b w:val="1"/>
                <w:bCs w:val="1"/>
                <w:color w:val="FFFFFF"/>
              </w:rPr>
              <w:t>Value</w:t>
            </w:r>
          </w:p>
        </w:tc>
        <w:tc>
          <w:tcPr>
            <w:tcW w:w="2400" w:type="dxa"/>
            <w:vAlign w:val="bottom"/>
            <w:shd w:val="clear" w:color="auto" w:fill="1F2A44"/>
          </w:tcPr>
          <w:p>
            <w:pPr>
              <w:spacing w:after="0"/>
              <w:rPr>
                <w:sz w:val="18"/>
                <w:szCs w:val="18"/>
                <w:color w:val="auto"/>
              </w:rPr>
            </w:pPr>
          </w:p>
        </w:tc>
        <w:tc>
          <w:tcPr>
            <w:tcW w:w="260" w:type="dxa"/>
            <w:vAlign w:val="bottom"/>
            <w:shd w:val="clear" w:color="auto" w:fill="1F2A44"/>
          </w:tcPr>
          <w:p>
            <w:pPr>
              <w:spacing w:after="0"/>
              <w:rPr>
                <w:sz w:val="18"/>
                <w:szCs w:val="18"/>
                <w:color w:val="auto"/>
              </w:rPr>
            </w:pPr>
          </w:p>
        </w:tc>
        <w:tc>
          <w:tcPr>
            <w:tcW w:w="840" w:type="dxa"/>
            <w:vAlign w:val="bottom"/>
            <w:shd w:val="clear" w:color="auto" w:fill="1F2A44"/>
          </w:tcPr>
          <w:p>
            <w:pPr>
              <w:jc w:val="right"/>
              <w:ind w:right="368"/>
              <w:spacing w:after="0"/>
              <w:rPr>
                <w:sz w:val="20"/>
                <w:szCs w:val="20"/>
                <w:color w:val="auto"/>
              </w:rPr>
            </w:pPr>
            <w:r>
              <w:rPr>
                <w:rFonts w:ascii="Arial" w:cs="Arial" w:eastAsia="Arial" w:hAnsi="Arial"/>
                <w:sz w:val="14"/>
                <w:szCs w:val="14"/>
                <w:b w:val="1"/>
                <w:bCs w:val="1"/>
                <w:color w:val="FFFFFF"/>
              </w:rPr>
              <w:t>Value</w:t>
            </w:r>
          </w:p>
        </w:tc>
      </w:tr>
      <w:tr>
        <w:trPr>
          <w:trHeight w:val="159"/>
        </w:trPr>
        <w:tc>
          <w:tcPr>
            <w:tcW w:w="3520" w:type="dxa"/>
            <w:vAlign w:val="bottom"/>
            <w:shd w:val="clear" w:color="auto" w:fill="1F2A44"/>
          </w:tcPr>
          <w:p>
            <w:pPr>
              <w:spacing w:after="0"/>
              <w:rPr>
                <w:sz w:val="13"/>
                <w:szCs w:val="13"/>
                <w:color w:val="auto"/>
              </w:rPr>
            </w:pPr>
          </w:p>
        </w:tc>
        <w:tc>
          <w:tcPr>
            <w:tcW w:w="2680" w:type="dxa"/>
            <w:vAlign w:val="bottom"/>
            <w:shd w:val="clear" w:color="auto" w:fill="1F2A44"/>
          </w:tcPr>
          <w:p>
            <w:pPr>
              <w:jc w:val="right"/>
              <w:ind w:right="668"/>
              <w:spacing w:after="0" w:line="159" w:lineRule="exact"/>
              <w:rPr>
                <w:sz w:val="20"/>
                <w:szCs w:val="20"/>
                <w:color w:val="auto"/>
              </w:rPr>
            </w:pPr>
            <w:r>
              <w:rPr>
                <w:rFonts w:ascii="Arial" w:cs="Arial" w:eastAsia="Arial" w:hAnsi="Arial"/>
                <w:sz w:val="14"/>
                <w:szCs w:val="14"/>
                <w:b w:val="1"/>
                <w:bCs w:val="1"/>
                <w:color w:val="FFFFFF"/>
              </w:rPr>
              <w:t>Number of Shares</w:t>
            </w:r>
          </w:p>
        </w:tc>
        <w:tc>
          <w:tcPr>
            <w:tcW w:w="1320" w:type="dxa"/>
            <w:vAlign w:val="bottom"/>
            <w:gridSpan w:val="2"/>
            <w:shd w:val="clear" w:color="auto" w:fill="1F2A44"/>
          </w:tcPr>
          <w:p>
            <w:pPr>
              <w:jc w:val="center"/>
              <w:ind w:right="228"/>
              <w:spacing w:after="0" w:line="159" w:lineRule="exact"/>
              <w:rPr>
                <w:sz w:val="20"/>
                <w:szCs w:val="20"/>
                <w:color w:val="auto"/>
              </w:rPr>
            </w:pPr>
            <w:r>
              <w:rPr>
                <w:rFonts w:ascii="Arial" w:cs="Arial" w:eastAsia="Arial" w:hAnsi="Arial"/>
                <w:sz w:val="14"/>
                <w:szCs w:val="14"/>
                <w:b w:val="1"/>
                <w:bCs w:val="1"/>
                <w:color w:val="FFFFFF"/>
              </w:rPr>
              <w:t>Realized</w:t>
            </w:r>
          </w:p>
        </w:tc>
        <w:tc>
          <w:tcPr>
            <w:tcW w:w="2400" w:type="dxa"/>
            <w:vAlign w:val="bottom"/>
            <w:shd w:val="clear" w:color="auto" w:fill="1F2A44"/>
          </w:tcPr>
          <w:p>
            <w:pPr>
              <w:jc w:val="right"/>
              <w:ind w:right="668"/>
              <w:spacing w:after="0" w:line="159" w:lineRule="exact"/>
              <w:rPr>
                <w:sz w:val="20"/>
                <w:szCs w:val="20"/>
                <w:color w:val="auto"/>
              </w:rPr>
            </w:pPr>
            <w:r>
              <w:rPr>
                <w:rFonts w:ascii="Arial" w:cs="Arial" w:eastAsia="Arial" w:hAnsi="Arial"/>
                <w:sz w:val="14"/>
                <w:szCs w:val="14"/>
                <w:b w:val="1"/>
                <w:bCs w:val="1"/>
                <w:color w:val="FFFFFF"/>
              </w:rPr>
              <w:t>Number of Shares</w:t>
            </w:r>
          </w:p>
        </w:tc>
        <w:tc>
          <w:tcPr>
            <w:tcW w:w="1100" w:type="dxa"/>
            <w:vAlign w:val="bottom"/>
            <w:gridSpan w:val="2"/>
            <w:shd w:val="clear" w:color="auto" w:fill="1F2A44"/>
          </w:tcPr>
          <w:p>
            <w:pPr>
              <w:ind w:left="180"/>
              <w:spacing w:after="0" w:line="159" w:lineRule="exact"/>
              <w:rPr>
                <w:sz w:val="20"/>
                <w:szCs w:val="20"/>
                <w:color w:val="auto"/>
              </w:rPr>
            </w:pPr>
            <w:r>
              <w:rPr>
                <w:rFonts w:ascii="Arial" w:cs="Arial" w:eastAsia="Arial" w:hAnsi="Arial"/>
                <w:sz w:val="14"/>
                <w:szCs w:val="14"/>
                <w:b w:val="1"/>
                <w:bCs w:val="1"/>
                <w:color w:val="FFFFFF"/>
              </w:rPr>
              <w:t>Realized</w:t>
            </w:r>
          </w:p>
        </w:tc>
      </w:tr>
      <w:tr>
        <w:trPr>
          <w:trHeight w:val="206"/>
        </w:trPr>
        <w:tc>
          <w:tcPr>
            <w:tcW w:w="3520" w:type="dxa"/>
            <w:vAlign w:val="bottom"/>
            <w:shd w:val="clear" w:color="auto" w:fill="1F2A44"/>
          </w:tcPr>
          <w:p>
            <w:pPr>
              <w:ind w:left="60"/>
              <w:spacing w:after="0"/>
              <w:rPr>
                <w:sz w:val="20"/>
                <w:szCs w:val="20"/>
                <w:color w:val="auto"/>
              </w:rPr>
            </w:pPr>
            <w:r>
              <w:rPr>
                <w:rFonts w:ascii="Arial" w:cs="Arial" w:eastAsia="Arial" w:hAnsi="Arial"/>
                <w:sz w:val="14"/>
                <w:szCs w:val="14"/>
                <w:b w:val="1"/>
                <w:bCs w:val="1"/>
                <w:color w:val="FFFFFF"/>
              </w:rPr>
              <w:t>Name</w:t>
            </w:r>
          </w:p>
        </w:tc>
        <w:tc>
          <w:tcPr>
            <w:tcW w:w="2680" w:type="dxa"/>
            <w:vAlign w:val="bottom"/>
            <w:shd w:val="clear" w:color="auto" w:fill="1F2A44"/>
          </w:tcPr>
          <w:p>
            <w:pPr>
              <w:jc w:val="right"/>
              <w:ind w:right="548"/>
              <w:spacing w:after="0"/>
              <w:rPr>
                <w:sz w:val="20"/>
                <w:szCs w:val="20"/>
                <w:color w:val="auto"/>
              </w:rPr>
            </w:pPr>
            <w:r>
              <w:rPr>
                <w:rFonts w:ascii="Arial" w:cs="Arial" w:eastAsia="Arial" w:hAnsi="Arial"/>
                <w:sz w:val="14"/>
                <w:szCs w:val="14"/>
                <w:b w:val="1"/>
                <w:bCs w:val="1"/>
                <w:color w:val="FFFFFF"/>
              </w:rPr>
              <w:t>Acquired on Exercise</w:t>
            </w:r>
          </w:p>
        </w:tc>
        <w:tc>
          <w:tcPr>
            <w:tcW w:w="1320" w:type="dxa"/>
            <w:vAlign w:val="bottom"/>
            <w:gridSpan w:val="2"/>
            <w:shd w:val="clear" w:color="auto" w:fill="1F2A44"/>
          </w:tcPr>
          <w:p>
            <w:pPr>
              <w:jc w:val="center"/>
              <w:ind w:right="208"/>
              <w:spacing w:after="0" w:line="205" w:lineRule="exact"/>
              <w:rPr>
                <w:sz w:val="20"/>
                <w:szCs w:val="20"/>
                <w:color w:val="auto"/>
              </w:rPr>
            </w:pPr>
            <w:r>
              <w:rPr>
                <w:rFonts w:ascii="Arial" w:cs="Arial" w:eastAsia="Arial" w:hAnsi="Arial"/>
                <w:sz w:val="14"/>
                <w:szCs w:val="14"/>
                <w:b w:val="1"/>
                <w:bCs w:val="1"/>
                <w:color w:val="FFFFFF"/>
                <w:w w:val="98"/>
              </w:rPr>
              <w:t>on Exercise</w:t>
            </w:r>
            <w:r>
              <w:rPr>
                <w:rFonts w:ascii="Arial" w:cs="Arial" w:eastAsia="Arial" w:hAnsi="Arial"/>
                <w:sz w:val="23"/>
                <w:szCs w:val="23"/>
                <w:b w:val="1"/>
                <w:bCs w:val="1"/>
                <w:color w:val="FFFFFF"/>
                <w:w w:val="98"/>
                <w:vertAlign w:val="superscript"/>
              </w:rPr>
              <w:t>(1)</w:t>
            </w:r>
          </w:p>
        </w:tc>
        <w:tc>
          <w:tcPr>
            <w:tcW w:w="2400" w:type="dxa"/>
            <w:vAlign w:val="bottom"/>
            <w:shd w:val="clear" w:color="auto" w:fill="1F2A44"/>
          </w:tcPr>
          <w:p>
            <w:pPr>
              <w:jc w:val="right"/>
              <w:ind w:right="588"/>
              <w:spacing w:after="0"/>
              <w:rPr>
                <w:sz w:val="20"/>
                <w:szCs w:val="20"/>
                <w:color w:val="auto"/>
              </w:rPr>
            </w:pPr>
            <w:r>
              <w:rPr>
                <w:rFonts w:ascii="Arial" w:cs="Arial" w:eastAsia="Arial" w:hAnsi="Arial"/>
                <w:sz w:val="14"/>
                <w:szCs w:val="14"/>
                <w:b w:val="1"/>
                <w:bCs w:val="1"/>
                <w:color w:val="FFFFFF"/>
              </w:rPr>
              <w:t>Acquired on Vesting</w:t>
            </w:r>
          </w:p>
        </w:tc>
        <w:tc>
          <w:tcPr>
            <w:tcW w:w="1100" w:type="dxa"/>
            <w:vAlign w:val="bottom"/>
            <w:gridSpan w:val="2"/>
            <w:shd w:val="clear" w:color="auto" w:fill="1F2A44"/>
          </w:tcPr>
          <w:p>
            <w:pPr>
              <w:spacing w:after="0" w:line="205" w:lineRule="exact"/>
              <w:rPr>
                <w:sz w:val="20"/>
                <w:szCs w:val="20"/>
                <w:color w:val="auto"/>
              </w:rPr>
            </w:pPr>
            <w:r>
              <w:rPr>
                <w:rFonts w:ascii="Arial" w:cs="Arial" w:eastAsia="Arial" w:hAnsi="Arial"/>
                <w:sz w:val="14"/>
                <w:szCs w:val="14"/>
                <w:b w:val="1"/>
                <w:bCs w:val="1"/>
                <w:color w:val="FFFFFF"/>
              </w:rPr>
              <w:t>on Vesting</w:t>
            </w:r>
            <w:r>
              <w:rPr>
                <w:rFonts w:ascii="Arial" w:cs="Arial" w:eastAsia="Arial" w:hAnsi="Arial"/>
                <w:sz w:val="23"/>
                <w:szCs w:val="23"/>
                <w:b w:val="1"/>
                <w:bCs w:val="1"/>
                <w:color w:val="FFFFFF"/>
                <w:vertAlign w:val="superscript"/>
              </w:rPr>
              <w:t>(2)</w:t>
            </w:r>
          </w:p>
        </w:tc>
      </w:tr>
      <w:tr>
        <w:trPr>
          <w:trHeight w:val="197"/>
        </w:trPr>
        <w:tc>
          <w:tcPr>
            <w:tcW w:w="3520" w:type="dxa"/>
            <w:vAlign w:val="bottom"/>
          </w:tcPr>
          <w:p>
            <w:pPr>
              <w:ind w:left="60"/>
              <w:spacing w:after="0"/>
              <w:rPr>
                <w:sz w:val="20"/>
                <w:szCs w:val="20"/>
                <w:color w:val="auto"/>
              </w:rPr>
            </w:pPr>
            <w:r>
              <w:rPr>
                <w:rFonts w:ascii="Arial" w:cs="Arial" w:eastAsia="Arial" w:hAnsi="Arial"/>
                <w:sz w:val="14"/>
                <w:szCs w:val="14"/>
                <w:color w:val="auto"/>
              </w:rPr>
              <w:t>Donald C. Wood</w:t>
            </w:r>
          </w:p>
        </w:tc>
        <w:tc>
          <w:tcPr>
            <w:tcW w:w="2680" w:type="dxa"/>
            <w:vAlign w:val="bottom"/>
          </w:tcPr>
          <w:p>
            <w:pPr>
              <w:jc w:val="right"/>
              <w:ind w:right="868"/>
              <w:spacing w:after="0"/>
              <w:rPr>
                <w:sz w:val="20"/>
                <w:szCs w:val="20"/>
                <w:color w:val="auto"/>
              </w:rPr>
            </w:pPr>
            <w:r>
              <w:rPr>
                <w:rFonts w:ascii="Arial" w:cs="Arial" w:eastAsia="Arial" w:hAnsi="Arial"/>
                <w:sz w:val="14"/>
                <w:szCs w:val="14"/>
                <w:color w:val="auto"/>
              </w:rPr>
              <w:t>104,788</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68"/>
              <w:spacing w:after="0"/>
              <w:rPr>
                <w:sz w:val="20"/>
                <w:szCs w:val="20"/>
                <w:color w:val="auto"/>
              </w:rPr>
            </w:pPr>
            <w:r>
              <w:rPr>
                <w:rFonts w:ascii="Arial" w:cs="Arial" w:eastAsia="Arial" w:hAnsi="Arial"/>
                <w:sz w:val="14"/>
                <w:szCs w:val="14"/>
                <w:color w:val="auto"/>
                <w:w w:val="99"/>
              </w:rPr>
              <w:t>8,101,187</w:t>
            </w:r>
          </w:p>
        </w:tc>
        <w:tc>
          <w:tcPr>
            <w:tcW w:w="2400" w:type="dxa"/>
            <w:vAlign w:val="bottom"/>
          </w:tcPr>
          <w:p>
            <w:pPr>
              <w:jc w:val="right"/>
              <w:ind w:right="968"/>
              <w:spacing w:after="0"/>
              <w:rPr>
                <w:sz w:val="20"/>
                <w:szCs w:val="20"/>
                <w:color w:val="auto"/>
              </w:rPr>
            </w:pPr>
            <w:r>
              <w:rPr>
                <w:rFonts w:ascii="Arial" w:cs="Arial" w:eastAsia="Arial" w:hAnsi="Arial"/>
                <w:sz w:val="14"/>
                <w:szCs w:val="14"/>
                <w:color w:val="auto"/>
              </w:rPr>
              <w:t>40,970</w:t>
            </w:r>
          </w:p>
        </w:tc>
        <w:tc>
          <w:tcPr>
            <w:tcW w:w="260" w:type="dxa"/>
            <w:vAlign w:val="bottom"/>
          </w:tcPr>
          <w:p>
            <w:pPr>
              <w:ind w:left="180"/>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4,516,533</w:t>
            </w:r>
          </w:p>
        </w:tc>
      </w:tr>
      <w:tr>
        <w:trPr>
          <w:trHeight w:val="209"/>
        </w:trPr>
        <w:tc>
          <w:tcPr>
            <w:tcW w:w="3520" w:type="dxa"/>
            <w:vAlign w:val="bottom"/>
            <w:shd w:val="clear" w:color="auto" w:fill="D2D4D9"/>
          </w:tcPr>
          <w:p>
            <w:pPr>
              <w:ind w:left="60"/>
              <w:spacing w:after="0"/>
              <w:rPr>
                <w:sz w:val="20"/>
                <w:szCs w:val="20"/>
                <w:color w:val="auto"/>
              </w:rPr>
            </w:pPr>
            <w:r>
              <w:rPr>
                <w:rFonts w:ascii="Arial" w:cs="Arial" w:eastAsia="Arial" w:hAnsi="Arial"/>
                <w:sz w:val="14"/>
                <w:szCs w:val="14"/>
                <w:color w:val="auto"/>
              </w:rPr>
              <w:t>Daniel Guglielmone</w:t>
            </w:r>
          </w:p>
        </w:tc>
        <w:tc>
          <w:tcPr>
            <w:tcW w:w="2680" w:type="dxa"/>
            <w:vAlign w:val="bottom"/>
            <w:shd w:val="clear" w:color="auto" w:fill="D2D4D9"/>
          </w:tcPr>
          <w:p>
            <w:pPr>
              <w:jc w:val="right"/>
              <w:ind w:right="868"/>
              <w:spacing w:after="0"/>
              <w:rPr>
                <w:sz w:val="20"/>
                <w:szCs w:val="20"/>
                <w:color w:val="auto"/>
              </w:rPr>
            </w:pPr>
            <w:r>
              <w:rPr>
                <w:rFonts w:ascii="Arial" w:cs="Arial" w:eastAsia="Arial" w:hAnsi="Arial"/>
                <w:sz w:val="14"/>
                <w:szCs w:val="14"/>
                <w:color w:val="auto"/>
              </w:rPr>
              <w:t>0</w:t>
            </w:r>
          </w:p>
        </w:tc>
        <w:tc>
          <w:tcPr>
            <w:tcW w:w="340" w:type="dxa"/>
            <w:vAlign w:val="bottom"/>
            <w:shd w:val="clear" w:color="auto" w:fill="D2D4D9"/>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D2D4D9"/>
          </w:tcPr>
          <w:p>
            <w:pPr>
              <w:jc w:val="right"/>
              <w:ind w:right="268"/>
              <w:spacing w:after="0"/>
              <w:rPr>
                <w:sz w:val="20"/>
                <w:szCs w:val="20"/>
                <w:color w:val="auto"/>
              </w:rPr>
            </w:pPr>
            <w:r>
              <w:rPr>
                <w:rFonts w:ascii="Arial" w:cs="Arial" w:eastAsia="Arial" w:hAnsi="Arial"/>
                <w:sz w:val="14"/>
                <w:szCs w:val="14"/>
                <w:color w:val="auto"/>
              </w:rPr>
              <w:t>—</w:t>
            </w:r>
          </w:p>
        </w:tc>
        <w:tc>
          <w:tcPr>
            <w:tcW w:w="2400" w:type="dxa"/>
            <w:vAlign w:val="bottom"/>
            <w:shd w:val="clear" w:color="auto" w:fill="D2D4D9"/>
          </w:tcPr>
          <w:p>
            <w:pPr>
              <w:jc w:val="right"/>
              <w:ind w:right="968"/>
              <w:spacing w:after="0"/>
              <w:rPr>
                <w:sz w:val="20"/>
                <w:szCs w:val="20"/>
                <w:color w:val="auto"/>
              </w:rPr>
            </w:pPr>
            <w:r>
              <w:rPr>
                <w:rFonts w:ascii="Arial" w:cs="Arial" w:eastAsia="Arial" w:hAnsi="Arial"/>
                <w:sz w:val="14"/>
                <w:szCs w:val="14"/>
                <w:color w:val="auto"/>
              </w:rPr>
              <w:t>4,088</w:t>
            </w:r>
          </w:p>
        </w:tc>
        <w:tc>
          <w:tcPr>
            <w:tcW w:w="260" w:type="dxa"/>
            <w:vAlign w:val="bottom"/>
            <w:shd w:val="clear" w:color="auto" w:fill="D2D4D9"/>
          </w:tcPr>
          <w:p>
            <w:pPr>
              <w:ind w:left="180"/>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D2D4D9"/>
          </w:tcPr>
          <w:p>
            <w:pPr>
              <w:jc w:val="right"/>
              <w:ind w:right="108"/>
              <w:spacing w:after="0"/>
              <w:rPr>
                <w:sz w:val="20"/>
                <w:szCs w:val="20"/>
                <w:color w:val="auto"/>
              </w:rPr>
            </w:pPr>
            <w:r>
              <w:rPr>
                <w:rFonts w:ascii="Arial" w:cs="Arial" w:eastAsia="Arial" w:hAnsi="Arial"/>
                <w:sz w:val="14"/>
                <w:szCs w:val="14"/>
                <w:color w:val="auto"/>
              </w:rPr>
              <w:t>482,031</w:t>
            </w:r>
          </w:p>
        </w:tc>
      </w:tr>
      <w:tr>
        <w:trPr>
          <w:trHeight w:val="177"/>
        </w:trPr>
        <w:tc>
          <w:tcPr>
            <w:tcW w:w="3520" w:type="dxa"/>
            <w:vAlign w:val="bottom"/>
          </w:tcPr>
          <w:p>
            <w:pPr>
              <w:ind w:left="60"/>
              <w:spacing w:after="0"/>
              <w:rPr>
                <w:sz w:val="20"/>
                <w:szCs w:val="20"/>
                <w:color w:val="auto"/>
              </w:rPr>
            </w:pPr>
            <w:r>
              <w:rPr>
                <w:rFonts w:ascii="Arial" w:cs="Arial" w:eastAsia="Arial" w:hAnsi="Arial"/>
                <w:sz w:val="14"/>
                <w:szCs w:val="14"/>
                <w:color w:val="auto"/>
              </w:rPr>
              <w:t>Dawn M. Becker</w:t>
            </w:r>
          </w:p>
        </w:tc>
        <w:tc>
          <w:tcPr>
            <w:tcW w:w="2680" w:type="dxa"/>
            <w:vAlign w:val="bottom"/>
          </w:tcPr>
          <w:p>
            <w:pPr>
              <w:jc w:val="right"/>
              <w:ind w:right="868"/>
              <w:spacing w:after="0"/>
              <w:rPr>
                <w:sz w:val="20"/>
                <w:szCs w:val="20"/>
                <w:color w:val="auto"/>
              </w:rPr>
            </w:pPr>
            <w:r>
              <w:rPr>
                <w:rFonts w:ascii="Arial" w:cs="Arial" w:eastAsia="Arial" w:hAnsi="Arial"/>
                <w:sz w:val="14"/>
                <w:szCs w:val="14"/>
                <w:color w:val="auto"/>
              </w:rPr>
              <w:t>0</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2400" w:type="dxa"/>
            <w:vAlign w:val="bottom"/>
          </w:tcPr>
          <w:p>
            <w:pPr>
              <w:jc w:val="right"/>
              <w:ind w:right="968"/>
              <w:spacing w:after="0"/>
              <w:rPr>
                <w:sz w:val="20"/>
                <w:szCs w:val="20"/>
                <w:color w:val="auto"/>
              </w:rPr>
            </w:pPr>
            <w:r>
              <w:rPr>
                <w:rFonts w:ascii="Arial" w:cs="Arial" w:eastAsia="Arial" w:hAnsi="Arial"/>
                <w:sz w:val="14"/>
                <w:szCs w:val="14"/>
                <w:color w:val="auto"/>
              </w:rPr>
              <w:t>5,409</w:t>
            </w:r>
          </w:p>
        </w:tc>
        <w:tc>
          <w:tcPr>
            <w:tcW w:w="260" w:type="dxa"/>
            <w:vAlign w:val="bottom"/>
          </w:tcPr>
          <w:p>
            <w:pPr>
              <w:ind w:left="180"/>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596,288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2749550</wp:posOffset>
            </wp:positionH>
            <wp:positionV relativeFrom="paragraph">
              <wp:posOffset>-728980</wp:posOffset>
            </wp:positionV>
            <wp:extent cx="438213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382135"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93345</wp:posOffset>
            </wp:positionV>
            <wp:extent cx="69469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2" w:lineRule="exact"/>
        <w:rPr>
          <w:sz w:val="20"/>
          <w:szCs w:val="20"/>
          <w:color w:val="auto"/>
        </w:rPr>
      </w:pPr>
    </w:p>
    <w:p>
      <w:pPr>
        <w:ind w:left="640" w:hanging="43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value realized is based on the difference between the price at which the Shares were sold and the exercise price of the option.</w:t>
      </w:r>
    </w:p>
    <w:p>
      <w:pPr>
        <w:ind w:left="640" w:hanging="43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value realized is based on the closing price of a Share on the date of the Share vesting.</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240" w:top="459" w:right="4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NON-QUALIFIED DEFERRED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8" w:lineRule="exact"/>
        <w:rPr>
          <w:sz w:val="20"/>
          <w:szCs w:val="20"/>
          <w:color w:val="auto"/>
        </w:rPr>
      </w:pPr>
    </w:p>
    <w:p>
      <w:pPr>
        <w:jc w:val="both"/>
        <w:ind w:left="200" w:right="20"/>
        <w:spacing w:after="0" w:line="236" w:lineRule="auto"/>
        <w:rPr>
          <w:sz w:val="20"/>
          <w:szCs w:val="20"/>
          <w:color w:val="auto"/>
        </w:rPr>
      </w:pPr>
      <w:r>
        <w:rPr>
          <w:rFonts w:ascii="Arial" w:cs="Arial" w:eastAsia="Arial" w:hAnsi="Arial"/>
          <w:sz w:val="18"/>
          <w:szCs w:val="18"/>
          <w:color w:val="auto"/>
        </w:rPr>
        <w:t>We maintain a non-qualified deferred compensation plan that is open to participation by 39 members of our management team, including our NEOs. Each participant can elect to defer up to 100% of his or her base salary and cash payment under our Annual Bonus Plan with deferral elections made in December of each year for amounts to be earned in the following year. A number of widely available investment options are made available to each plan participant who then decides how to allocate amounts deferred among those investment options. The amount earned by plan participants on their deferrals is calculated by our third party plan administrator as if the amounts deferred had actually been invested in the investment options selected by each participant. We do not make any contributions to the deferred compensation plan for any individual nor do we guaranty any rate of return on amounts deferred. Amounts deferred into the plan, including amounts earned on the deferrals, are generally payable to the participant shortly after he or she retires or is otherwise no longer employed by us; however, there are a few other alternatives where amounts may be paid to a participant sooner. The amounts deferred by Ms. Becker and Mr. Wood into the plan in 2018, the earnings on plan investments in 2018 and aggregate withdrawals and distributions made in 2018 are described below. Mr. Guglielmone does not participate in our deferred compensation plan.</w:t>
      </w:r>
    </w:p>
    <w:p>
      <w:pPr>
        <w:spacing w:after="0" w:line="233" w:lineRule="exact"/>
        <w:rPr>
          <w:sz w:val="20"/>
          <w:szCs w:val="20"/>
          <w:color w:val="auto"/>
        </w:rPr>
      </w:pPr>
    </w:p>
    <w:tbl>
      <w:tblPr>
        <w:tblLayout w:type="fixed"/>
        <w:tblInd w:w="220" w:type="dxa"/>
        <w:tblCellMar>
          <w:top w:w="0" w:type="dxa"/>
          <w:left w:w="0" w:type="dxa"/>
          <w:bottom w:w="0" w:type="dxa"/>
          <w:right w:w="0" w:type="dxa"/>
        </w:tblCellMar>
      </w:tblPr>
      <w:tr>
        <w:trPr>
          <w:trHeight w:val="189"/>
        </w:trPr>
        <w:tc>
          <w:tcPr>
            <w:tcW w:w="2000" w:type="dxa"/>
            <w:vAlign w:val="bottom"/>
            <w:shd w:val="clear" w:color="auto" w:fill="1F2A44"/>
          </w:tcPr>
          <w:p>
            <w:pPr>
              <w:spacing w:after="0"/>
              <w:rPr>
                <w:sz w:val="16"/>
                <w:szCs w:val="16"/>
                <w:color w:val="auto"/>
              </w:rPr>
            </w:pPr>
          </w:p>
        </w:tc>
        <w:tc>
          <w:tcPr>
            <w:tcW w:w="2400" w:type="dxa"/>
            <w:vAlign w:val="bottom"/>
            <w:shd w:val="clear" w:color="auto" w:fill="1F2A44"/>
          </w:tcPr>
          <w:p>
            <w:pPr>
              <w:jc w:val="center"/>
              <w:ind w:left="549"/>
              <w:spacing w:after="0"/>
              <w:rPr>
                <w:sz w:val="20"/>
                <w:szCs w:val="20"/>
                <w:color w:val="auto"/>
              </w:rPr>
            </w:pPr>
            <w:r>
              <w:rPr>
                <w:rFonts w:ascii="Arial" w:cs="Arial" w:eastAsia="Arial" w:hAnsi="Arial"/>
                <w:sz w:val="14"/>
                <w:szCs w:val="14"/>
                <w:b w:val="1"/>
                <w:bCs w:val="1"/>
                <w:color w:val="FFFFFF"/>
              </w:rPr>
              <w:t>Executive</w:t>
            </w:r>
          </w:p>
        </w:tc>
        <w:tc>
          <w:tcPr>
            <w:tcW w:w="1680" w:type="dxa"/>
            <w:vAlign w:val="bottom"/>
            <w:shd w:val="clear" w:color="auto" w:fill="1F2A44"/>
          </w:tcPr>
          <w:p>
            <w:pPr>
              <w:jc w:val="center"/>
              <w:spacing w:after="0"/>
              <w:rPr>
                <w:sz w:val="20"/>
                <w:szCs w:val="20"/>
                <w:color w:val="auto"/>
              </w:rPr>
            </w:pPr>
            <w:r>
              <w:rPr>
                <w:rFonts w:ascii="Arial" w:cs="Arial" w:eastAsia="Arial" w:hAnsi="Arial"/>
                <w:sz w:val="14"/>
                <w:szCs w:val="14"/>
                <w:b w:val="1"/>
                <w:bCs w:val="1"/>
                <w:color w:val="FFFFFF"/>
              </w:rPr>
              <w:t>Registrant</w:t>
            </w:r>
          </w:p>
        </w:tc>
        <w:tc>
          <w:tcPr>
            <w:tcW w:w="1620" w:type="dxa"/>
            <w:vAlign w:val="bottom"/>
            <w:shd w:val="clear" w:color="auto" w:fill="1F2A44"/>
          </w:tcPr>
          <w:p>
            <w:pPr>
              <w:jc w:val="right"/>
              <w:ind w:right="368"/>
              <w:spacing w:after="0"/>
              <w:rPr>
                <w:sz w:val="20"/>
                <w:szCs w:val="20"/>
                <w:color w:val="auto"/>
              </w:rPr>
            </w:pPr>
            <w:r>
              <w:rPr>
                <w:rFonts w:ascii="Arial" w:cs="Arial" w:eastAsia="Arial" w:hAnsi="Arial"/>
                <w:sz w:val="14"/>
                <w:szCs w:val="14"/>
                <w:b w:val="1"/>
                <w:bCs w:val="1"/>
                <w:color w:val="FFFFFF"/>
              </w:rPr>
              <w:t>Aggregate</w:t>
            </w:r>
          </w:p>
        </w:tc>
        <w:tc>
          <w:tcPr>
            <w:tcW w:w="1460" w:type="dxa"/>
            <w:vAlign w:val="bottom"/>
            <w:shd w:val="clear" w:color="auto" w:fill="1F2A44"/>
          </w:tcPr>
          <w:p>
            <w:pPr>
              <w:jc w:val="center"/>
              <w:spacing w:after="0"/>
              <w:rPr>
                <w:sz w:val="20"/>
                <w:szCs w:val="20"/>
                <w:color w:val="auto"/>
              </w:rPr>
            </w:pPr>
            <w:r>
              <w:rPr>
                <w:rFonts w:ascii="Arial" w:cs="Arial" w:eastAsia="Arial" w:hAnsi="Arial"/>
                <w:sz w:val="14"/>
                <w:szCs w:val="14"/>
                <w:b w:val="1"/>
                <w:bCs w:val="1"/>
                <w:color w:val="FFFFFF"/>
              </w:rPr>
              <w:t>Aggregate</w:t>
            </w:r>
          </w:p>
        </w:tc>
        <w:tc>
          <w:tcPr>
            <w:tcW w:w="1860" w:type="dxa"/>
            <w:vAlign w:val="bottom"/>
            <w:shd w:val="clear" w:color="auto" w:fill="1F2A44"/>
          </w:tcPr>
          <w:p>
            <w:pPr>
              <w:jc w:val="right"/>
              <w:ind w:right="448"/>
              <w:spacing w:after="0"/>
              <w:rPr>
                <w:sz w:val="20"/>
                <w:szCs w:val="20"/>
                <w:color w:val="auto"/>
              </w:rPr>
            </w:pPr>
            <w:r>
              <w:rPr>
                <w:rFonts w:ascii="Arial" w:cs="Arial" w:eastAsia="Arial" w:hAnsi="Arial"/>
                <w:sz w:val="14"/>
                <w:szCs w:val="14"/>
                <w:b w:val="1"/>
                <w:bCs w:val="1"/>
                <w:color w:val="FFFFFF"/>
              </w:rPr>
              <w:t>Aggregate</w:t>
            </w:r>
          </w:p>
        </w:tc>
      </w:tr>
      <w:tr>
        <w:trPr>
          <w:trHeight w:val="159"/>
        </w:trPr>
        <w:tc>
          <w:tcPr>
            <w:tcW w:w="2000" w:type="dxa"/>
            <w:vAlign w:val="bottom"/>
            <w:shd w:val="clear" w:color="auto" w:fill="1F2A44"/>
          </w:tcPr>
          <w:p>
            <w:pPr>
              <w:spacing w:after="0"/>
              <w:rPr>
                <w:sz w:val="13"/>
                <w:szCs w:val="13"/>
                <w:color w:val="auto"/>
              </w:rPr>
            </w:pPr>
          </w:p>
        </w:tc>
        <w:tc>
          <w:tcPr>
            <w:tcW w:w="2400" w:type="dxa"/>
            <w:vAlign w:val="bottom"/>
            <w:shd w:val="clear" w:color="auto" w:fill="1F2A44"/>
          </w:tcPr>
          <w:p>
            <w:pPr>
              <w:jc w:val="center"/>
              <w:ind w:left="549"/>
              <w:spacing w:after="0" w:line="159" w:lineRule="exact"/>
              <w:rPr>
                <w:sz w:val="20"/>
                <w:szCs w:val="20"/>
                <w:color w:val="auto"/>
              </w:rPr>
            </w:pPr>
            <w:r>
              <w:rPr>
                <w:rFonts w:ascii="Arial" w:cs="Arial" w:eastAsia="Arial" w:hAnsi="Arial"/>
                <w:sz w:val="14"/>
                <w:szCs w:val="14"/>
                <w:b w:val="1"/>
                <w:bCs w:val="1"/>
                <w:color w:val="FFFFFF"/>
              </w:rPr>
              <w:t>Contributions in</w:t>
            </w:r>
          </w:p>
        </w:tc>
        <w:tc>
          <w:tcPr>
            <w:tcW w:w="1680" w:type="dxa"/>
            <w:vAlign w:val="bottom"/>
            <w:shd w:val="clear" w:color="auto" w:fill="1F2A44"/>
          </w:tcPr>
          <w:p>
            <w:pPr>
              <w:jc w:val="center"/>
              <w:spacing w:after="0" w:line="159" w:lineRule="exact"/>
              <w:rPr>
                <w:sz w:val="20"/>
                <w:szCs w:val="20"/>
                <w:color w:val="auto"/>
              </w:rPr>
            </w:pPr>
            <w:r>
              <w:rPr>
                <w:rFonts w:ascii="Arial" w:cs="Arial" w:eastAsia="Arial" w:hAnsi="Arial"/>
                <w:sz w:val="14"/>
                <w:szCs w:val="14"/>
                <w:b w:val="1"/>
                <w:bCs w:val="1"/>
                <w:color w:val="FFFFFF"/>
              </w:rPr>
              <w:t>Contributions in</w:t>
            </w:r>
          </w:p>
        </w:tc>
        <w:tc>
          <w:tcPr>
            <w:tcW w:w="1620" w:type="dxa"/>
            <w:vAlign w:val="bottom"/>
            <w:shd w:val="clear" w:color="auto" w:fill="1F2A44"/>
          </w:tcPr>
          <w:p>
            <w:pPr>
              <w:jc w:val="right"/>
              <w:ind w:right="328"/>
              <w:spacing w:after="0" w:line="159" w:lineRule="exact"/>
              <w:rPr>
                <w:sz w:val="20"/>
                <w:szCs w:val="20"/>
                <w:color w:val="auto"/>
              </w:rPr>
            </w:pPr>
            <w:r>
              <w:rPr>
                <w:rFonts w:ascii="Arial" w:cs="Arial" w:eastAsia="Arial" w:hAnsi="Arial"/>
                <w:sz w:val="14"/>
                <w:szCs w:val="14"/>
                <w:b w:val="1"/>
                <w:bCs w:val="1"/>
                <w:color w:val="FFFFFF"/>
              </w:rPr>
              <w:t>Earnings in</w:t>
            </w:r>
          </w:p>
        </w:tc>
        <w:tc>
          <w:tcPr>
            <w:tcW w:w="1460" w:type="dxa"/>
            <w:vAlign w:val="bottom"/>
            <w:shd w:val="clear" w:color="auto" w:fill="1F2A44"/>
          </w:tcPr>
          <w:p>
            <w:pPr>
              <w:jc w:val="center"/>
              <w:spacing w:after="0" w:line="159" w:lineRule="exact"/>
              <w:rPr>
                <w:sz w:val="20"/>
                <w:szCs w:val="20"/>
                <w:color w:val="auto"/>
              </w:rPr>
            </w:pPr>
            <w:r>
              <w:rPr>
                <w:rFonts w:ascii="Arial" w:cs="Arial" w:eastAsia="Arial" w:hAnsi="Arial"/>
                <w:sz w:val="14"/>
                <w:szCs w:val="14"/>
                <w:b w:val="1"/>
                <w:bCs w:val="1"/>
                <w:color w:val="FFFFFF"/>
              </w:rPr>
              <w:t>Withdrawals /</w:t>
            </w:r>
          </w:p>
        </w:tc>
        <w:tc>
          <w:tcPr>
            <w:tcW w:w="1860" w:type="dxa"/>
            <w:vAlign w:val="bottom"/>
            <w:shd w:val="clear" w:color="auto" w:fill="1F2A44"/>
          </w:tcPr>
          <w:p>
            <w:pPr>
              <w:jc w:val="right"/>
              <w:ind w:right="368"/>
              <w:spacing w:after="0" w:line="159" w:lineRule="exact"/>
              <w:rPr>
                <w:sz w:val="20"/>
                <w:szCs w:val="20"/>
                <w:color w:val="auto"/>
              </w:rPr>
            </w:pPr>
            <w:r>
              <w:rPr>
                <w:rFonts w:ascii="Arial" w:cs="Arial" w:eastAsia="Arial" w:hAnsi="Arial"/>
                <w:sz w:val="14"/>
                <w:szCs w:val="14"/>
                <w:b w:val="1"/>
                <w:bCs w:val="1"/>
                <w:color w:val="FFFFFF"/>
              </w:rPr>
              <w:t>Balance at</w:t>
            </w:r>
          </w:p>
        </w:tc>
      </w:tr>
      <w:tr>
        <w:trPr>
          <w:trHeight w:val="206"/>
        </w:trPr>
        <w:tc>
          <w:tcPr>
            <w:tcW w:w="2000" w:type="dxa"/>
            <w:vAlign w:val="bottom"/>
            <w:shd w:val="clear" w:color="auto" w:fill="1F2A44"/>
          </w:tcPr>
          <w:p>
            <w:pPr>
              <w:ind w:left="60"/>
              <w:spacing w:after="0"/>
              <w:rPr>
                <w:sz w:val="20"/>
                <w:szCs w:val="20"/>
                <w:color w:val="auto"/>
              </w:rPr>
            </w:pPr>
            <w:r>
              <w:rPr>
                <w:rFonts w:ascii="Arial" w:cs="Arial" w:eastAsia="Arial" w:hAnsi="Arial"/>
                <w:sz w:val="14"/>
                <w:szCs w:val="14"/>
                <w:b w:val="1"/>
                <w:bCs w:val="1"/>
                <w:color w:val="FFFFFF"/>
              </w:rPr>
              <w:t>Name</w:t>
            </w:r>
          </w:p>
        </w:tc>
        <w:tc>
          <w:tcPr>
            <w:tcW w:w="2400" w:type="dxa"/>
            <w:vAlign w:val="bottom"/>
            <w:shd w:val="clear" w:color="auto" w:fill="1F2A44"/>
          </w:tcPr>
          <w:p>
            <w:pPr>
              <w:jc w:val="center"/>
              <w:ind w:left="549"/>
              <w:spacing w:after="0" w:line="205" w:lineRule="exact"/>
              <w:rPr>
                <w:sz w:val="20"/>
                <w:szCs w:val="20"/>
                <w:color w:val="auto"/>
              </w:rPr>
            </w:pPr>
            <w:r>
              <w:rPr>
                <w:rFonts w:ascii="Arial" w:cs="Arial" w:eastAsia="Arial" w:hAnsi="Arial"/>
                <w:sz w:val="14"/>
                <w:szCs w:val="14"/>
                <w:b w:val="1"/>
                <w:bCs w:val="1"/>
                <w:color w:val="FFFFFF"/>
                <w:w w:val="97"/>
              </w:rPr>
              <w:t>Last Fiscal Year</w:t>
            </w:r>
            <w:r>
              <w:rPr>
                <w:rFonts w:ascii="Arial" w:cs="Arial" w:eastAsia="Arial" w:hAnsi="Arial"/>
                <w:sz w:val="23"/>
                <w:szCs w:val="23"/>
                <w:b w:val="1"/>
                <w:bCs w:val="1"/>
                <w:color w:val="FFFFFF"/>
                <w:w w:val="97"/>
                <w:vertAlign w:val="superscript"/>
              </w:rPr>
              <w:t>(1)</w:t>
            </w:r>
          </w:p>
        </w:tc>
        <w:tc>
          <w:tcPr>
            <w:tcW w:w="1680" w:type="dxa"/>
            <w:vAlign w:val="bottom"/>
            <w:shd w:val="clear" w:color="auto" w:fill="1F2A44"/>
          </w:tcPr>
          <w:p>
            <w:pPr>
              <w:jc w:val="center"/>
              <w:spacing w:after="0"/>
              <w:rPr>
                <w:sz w:val="20"/>
                <w:szCs w:val="20"/>
                <w:color w:val="auto"/>
              </w:rPr>
            </w:pPr>
            <w:r>
              <w:rPr>
                <w:rFonts w:ascii="Arial" w:cs="Arial" w:eastAsia="Arial" w:hAnsi="Arial"/>
                <w:sz w:val="14"/>
                <w:szCs w:val="14"/>
                <w:b w:val="1"/>
                <w:bCs w:val="1"/>
                <w:color w:val="FFFFFF"/>
              </w:rPr>
              <w:t>Last Fiscal Year</w:t>
            </w:r>
          </w:p>
        </w:tc>
        <w:tc>
          <w:tcPr>
            <w:tcW w:w="1620" w:type="dxa"/>
            <w:vAlign w:val="bottom"/>
            <w:shd w:val="clear" w:color="auto" w:fill="1F2A44"/>
          </w:tcPr>
          <w:p>
            <w:pPr>
              <w:jc w:val="right"/>
              <w:ind w:right="188"/>
              <w:spacing w:after="0"/>
              <w:rPr>
                <w:sz w:val="20"/>
                <w:szCs w:val="20"/>
                <w:color w:val="auto"/>
              </w:rPr>
            </w:pPr>
            <w:r>
              <w:rPr>
                <w:rFonts w:ascii="Arial" w:cs="Arial" w:eastAsia="Arial" w:hAnsi="Arial"/>
                <w:sz w:val="14"/>
                <w:szCs w:val="14"/>
                <w:b w:val="1"/>
                <w:bCs w:val="1"/>
                <w:color w:val="FFFFFF"/>
              </w:rPr>
              <w:t>Last Fiscal Year</w:t>
            </w:r>
          </w:p>
        </w:tc>
        <w:tc>
          <w:tcPr>
            <w:tcW w:w="1460" w:type="dxa"/>
            <w:vAlign w:val="bottom"/>
            <w:shd w:val="clear" w:color="auto" w:fill="1F2A44"/>
          </w:tcPr>
          <w:p>
            <w:pPr>
              <w:jc w:val="center"/>
              <w:spacing w:after="0"/>
              <w:rPr>
                <w:sz w:val="20"/>
                <w:szCs w:val="20"/>
                <w:color w:val="auto"/>
              </w:rPr>
            </w:pPr>
            <w:r>
              <w:rPr>
                <w:rFonts w:ascii="Arial" w:cs="Arial" w:eastAsia="Arial" w:hAnsi="Arial"/>
                <w:sz w:val="14"/>
                <w:szCs w:val="14"/>
                <w:b w:val="1"/>
                <w:bCs w:val="1"/>
                <w:color w:val="FFFFFF"/>
              </w:rPr>
              <w:t>Distributions</w:t>
            </w:r>
          </w:p>
        </w:tc>
        <w:tc>
          <w:tcPr>
            <w:tcW w:w="1860" w:type="dxa"/>
            <w:vAlign w:val="bottom"/>
            <w:shd w:val="clear" w:color="auto" w:fill="1F2A44"/>
          </w:tcPr>
          <w:p>
            <w:pPr>
              <w:jc w:val="right"/>
              <w:ind w:right="108"/>
              <w:spacing w:after="0"/>
              <w:rPr>
                <w:sz w:val="20"/>
                <w:szCs w:val="20"/>
                <w:color w:val="auto"/>
              </w:rPr>
            </w:pPr>
            <w:r>
              <w:rPr>
                <w:rFonts w:ascii="Arial" w:cs="Arial" w:eastAsia="Arial" w:hAnsi="Arial"/>
                <w:sz w:val="14"/>
                <w:szCs w:val="14"/>
                <w:b w:val="1"/>
                <w:bCs w:val="1"/>
                <w:color w:val="FFFFFF"/>
              </w:rPr>
              <w:t>Last Fiscal Year-End</w:t>
            </w:r>
          </w:p>
        </w:tc>
      </w:tr>
      <w:tr>
        <w:trPr>
          <w:trHeight w:val="191"/>
        </w:trPr>
        <w:tc>
          <w:tcPr>
            <w:tcW w:w="2000" w:type="dxa"/>
            <w:vAlign w:val="bottom"/>
          </w:tcPr>
          <w:p>
            <w:pPr>
              <w:ind w:left="60"/>
              <w:spacing w:after="0"/>
              <w:rPr>
                <w:sz w:val="20"/>
                <w:szCs w:val="20"/>
                <w:color w:val="auto"/>
              </w:rPr>
            </w:pPr>
            <w:r>
              <w:rPr>
                <w:rFonts w:ascii="Arial" w:cs="Arial" w:eastAsia="Arial" w:hAnsi="Arial"/>
                <w:sz w:val="14"/>
                <w:szCs w:val="14"/>
                <w:color w:val="auto"/>
              </w:rPr>
              <w:t>Donald C. Wood</w:t>
            </w:r>
          </w:p>
        </w:tc>
        <w:tc>
          <w:tcPr>
            <w:tcW w:w="2400" w:type="dxa"/>
            <w:vAlign w:val="bottom"/>
          </w:tcPr>
          <w:p>
            <w:pPr>
              <w:jc w:val="right"/>
              <w:ind w:right="289"/>
              <w:spacing w:after="0"/>
              <w:rPr>
                <w:sz w:val="20"/>
                <w:szCs w:val="20"/>
                <w:color w:val="auto"/>
              </w:rPr>
            </w:pPr>
            <w:r>
              <w:rPr>
                <w:rFonts w:ascii="Arial" w:cs="Arial" w:eastAsia="Arial" w:hAnsi="Arial"/>
                <w:sz w:val="14"/>
                <w:szCs w:val="14"/>
                <w:color w:val="auto"/>
              </w:rPr>
              <w:t>$250,000</w:t>
            </w:r>
          </w:p>
        </w:tc>
        <w:tc>
          <w:tcPr>
            <w:tcW w:w="1680" w:type="dxa"/>
            <w:vAlign w:val="bottom"/>
          </w:tcPr>
          <w:p>
            <w:pPr>
              <w:ind w:left="820"/>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188"/>
              <w:spacing w:after="0"/>
              <w:rPr>
                <w:sz w:val="20"/>
                <w:szCs w:val="20"/>
                <w:color w:val="auto"/>
              </w:rPr>
            </w:pPr>
            <w:r>
              <w:rPr>
                <w:rFonts w:ascii="Arial" w:cs="Arial" w:eastAsia="Arial" w:hAnsi="Arial"/>
                <w:sz w:val="14"/>
                <w:szCs w:val="14"/>
                <w:color w:val="auto"/>
              </w:rPr>
              <w:t>$(507,591)</w:t>
            </w:r>
          </w:p>
        </w:tc>
        <w:tc>
          <w:tcPr>
            <w:tcW w:w="1460" w:type="dxa"/>
            <w:vAlign w:val="bottom"/>
          </w:tcPr>
          <w:p>
            <w:pPr>
              <w:ind w:left="700"/>
              <w:spacing w:after="0"/>
              <w:rPr>
                <w:sz w:val="20"/>
                <w:szCs w:val="20"/>
                <w:color w:val="auto"/>
              </w:rPr>
            </w:pPr>
            <w:r>
              <w:rPr>
                <w:rFonts w:ascii="Arial" w:cs="Arial" w:eastAsia="Arial" w:hAnsi="Arial"/>
                <w:sz w:val="14"/>
                <w:szCs w:val="14"/>
                <w:color w:val="auto"/>
              </w:rPr>
              <w:t>$—</w:t>
            </w:r>
          </w:p>
        </w:tc>
        <w:tc>
          <w:tcPr>
            <w:tcW w:w="1860" w:type="dxa"/>
            <w:vAlign w:val="bottom"/>
          </w:tcPr>
          <w:p>
            <w:pPr>
              <w:jc w:val="right"/>
              <w:ind w:right="208"/>
              <w:spacing w:after="0"/>
              <w:rPr>
                <w:sz w:val="20"/>
                <w:szCs w:val="20"/>
                <w:color w:val="auto"/>
              </w:rPr>
            </w:pPr>
            <w:r>
              <w:rPr>
                <w:rFonts w:ascii="Arial" w:cs="Arial" w:eastAsia="Arial" w:hAnsi="Arial"/>
                <w:sz w:val="14"/>
                <w:szCs w:val="14"/>
                <w:color w:val="auto"/>
              </w:rPr>
              <w:t>$5,703,564</w:t>
            </w:r>
          </w:p>
        </w:tc>
      </w:tr>
      <w:tr>
        <w:trPr>
          <w:trHeight w:val="203"/>
        </w:trPr>
        <w:tc>
          <w:tcPr>
            <w:tcW w:w="2000" w:type="dxa"/>
            <w:vAlign w:val="bottom"/>
          </w:tcPr>
          <w:p>
            <w:pPr>
              <w:ind w:left="60"/>
              <w:spacing w:after="0"/>
              <w:rPr>
                <w:sz w:val="20"/>
                <w:szCs w:val="20"/>
                <w:color w:val="auto"/>
              </w:rPr>
            </w:pPr>
            <w:r>
              <w:rPr>
                <w:rFonts w:ascii="Arial" w:cs="Arial" w:eastAsia="Arial" w:hAnsi="Arial"/>
                <w:sz w:val="14"/>
                <w:szCs w:val="14"/>
                <w:color w:val="auto"/>
              </w:rPr>
              <w:t>Dawn M. Becker</w:t>
            </w:r>
          </w:p>
        </w:tc>
        <w:tc>
          <w:tcPr>
            <w:tcW w:w="2400" w:type="dxa"/>
            <w:vAlign w:val="bottom"/>
          </w:tcPr>
          <w:p>
            <w:pPr>
              <w:jc w:val="right"/>
              <w:ind w:right="289"/>
              <w:spacing w:after="0"/>
              <w:rPr>
                <w:sz w:val="20"/>
                <w:szCs w:val="20"/>
                <w:color w:val="auto"/>
              </w:rPr>
            </w:pPr>
            <w:r>
              <w:rPr>
                <w:rFonts w:ascii="Arial" w:cs="Arial" w:eastAsia="Arial" w:hAnsi="Arial"/>
                <w:sz w:val="14"/>
                <w:szCs w:val="14"/>
                <w:color w:val="auto"/>
              </w:rPr>
              <w:t>$ 45,000</w:t>
            </w:r>
          </w:p>
        </w:tc>
        <w:tc>
          <w:tcPr>
            <w:tcW w:w="1680" w:type="dxa"/>
            <w:vAlign w:val="bottom"/>
          </w:tcPr>
          <w:p>
            <w:pPr>
              <w:ind w:left="820"/>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188"/>
              <w:spacing w:after="0"/>
              <w:rPr>
                <w:sz w:val="20"/>
                <w:szCs w:val="20"/>
                <w:color w:val="auto"/>
              </w:rPr>
            </w:pPr>
            <w:r>
              <w:rPr>
                <w:rFonts w:ascii="Arial" w:cs="Arial" w:eastAsia="Arial" w:hAnsi="Arial"/>
                <w:sz w:val="14"/>
                <w:szCs w:val="14"/>
                <w:color w:val="auto"/>
              </w:rPr>
              <w:t>$(125,894)</w:t>
            </w:r>
          </w:p>
        </w:tc>
        <w:tc>
          <w:tcPr>
            <w:tcW w:w="1460" w:type="dxa"/>
            <w:vAlign w:val="bottom"/>
          </w:tcPr>
          <w:p>
            <w:pPr>
              <w:ind w:left="700"/>
              <w:spacing w:after="0"/>
              <w:rPr>
                <w:sz w:val="20"/>
                <w:szCs w:val="20"/>
                <w:color w:val="auto"/>
              </w:rPr>
            </w:pPr>
            <w:r>
              <w:rPr>
                <w:rFonts w:ascii="Arial" w:cs="Arial" w:eastAsia="Arial" w:hAnsi="Arial"/>
                <w:sz w:val="14"/>
                <w:szCs w:val="14"/>
                <w:color w:val="auto"/>
              </w:rPr>
              <w:t>$—</w:t>
            </w:r>
          </w:p>
        </w:tc>
        <w:tc>
          <w:tcPr>
            <w:tcW w:w="1860" w:type="dxa"/>
            <w:vAlign w:val="bottom"/>
          </w:tcPr>
          <w:p>
            <w:pPr>
              <w:jc w:val="right"/>
              <w:ind w:right="208"/>
              <w:spacing w:after="0"/>
              <w:rPr>
                <w:sz w:val="20"/>
                <w:szCs w:val="20"/>
                <w:color w:val="auto"/>
              </w:rPr>
            </w:pPr>
            <w:r>
              <w:rPr>
                <w:rFonts w:ascii="Arial" w:cs="Arial" w:eastAsia="Arial" w:hAnsi="Arial"/>
                <w:sz w:val="14"/>
                <w:szCs w:val="14"/>
                <w:color w:val="auto"/>
              </w:rPr>
              <w:t>$1,449,962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85090</wp:posOffset>
            </wp:positionV>
            <wp:extent cx="69469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3" w:lineRule="exact"/>
        <w:rPr>
          <w:sz w:val="20"/>
          <w:szCs w:val="20"/>
          <w:color w:val="auto"/>
        </w:rPr>
      </w:pPr>
    </w:p>
    <w:p>
      <w:pPr>
        <w:ind w:left="640" w:right="20" w:hanging="436"/>
        <w:spacing w:after="0" w:line="246"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amounts in this column are included in either the “Salary” or “Non-Equity Incentive Plan Compensation” column of the Summary Compensation Table for 2018.</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POTENTIAL PAYMENTS ON TERMINATION OF EMPLOYMENT AND CHANGE-IN-CONTROL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8" w:lineRule="exact"/>
        <w:rPr>
          <w:sz w:val="20"/>
          <w:szCs w:val="20"/>
          <w:color w:val="auto"/>
        </w:rPr>
      </w:pPr>
    </w:p>
    <w:p>
      <w:pPr>
        <w:jc w:val="both"/>
        <w:ind w:left="200" w:right="20"/>
        <w:spacing w:after="0" w:line="236" w:lineRule="auto"/>
        <w:rPr>
          <w:sz w:val="20"/>
          <w:szCs w:val="20"/>
          <w:color w:val="auto"/>
        </w:rPr>
      </w:pPr>
      <w:r>
        <w:rPr>
          <w:rFonts w:ascii="Arial" w:cs="Arial" w:eastAsia="Arial" w:hAnsi="Arial"/>
          <w:sz w:val="18"/>
          <w:szCs w:val="18"/>
          <w:color w:val="auto"/>
        </w:rPr>
        <w:t>We have entered into severance agreements with each of our NEOs that require us to make certain payments and provide certain benefits to them in the event of a termination of employment or change in control of the Trust. Regardless of the reason for an NEO’s termination of employment, he or she will be entitled to receive upon termination all accrued but unused vacation pay and a distribution of any amounts in our non -qualified deferred compensation plan as described in the “2018 Non-Qualified Deferred Compensation” section above. No NEO is entitled to receive a new award under the Annual Bonus Plan or the LTIAP for the year in which the termination occurs. The agreements with each of our NEOs contain provisions restricting the executive from engaging in competing behavior and soliciting and/or hiring our employees for a period of time after termination. The payments that will be made to a NEO on termination vary depending on the reason for termination and may be conditioned on the signing of a release in favor of the Trust.</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240" w:top="459" w:right="4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line="246" w:lineRule="auto"/>
        <w:rPr>
          <w:sz w:val="20"/>
          <w:szCs w:val="20"/>
          <w:color w:val="auto"/>
        </w:rPr>
      </w:pPr>
      <w:r>
        <w:rPr>
          <w:rFonts w:ascii="Arial" w:cs="Arial" w:eastAsia="Arial" w:hAnsi="Arial"/>
          <w:sz w:val="18"/>
          <w:szCs w:val="18"/>
          <w:color w:val="auto"/>
        </w:rPr>
        <w:t>The amount of compensation payable to each of our NEOs under various termination scenarios is reflected below assuming that the separation of service was effective on December 31, 2018:</w:t>
      </w:r>
    </w:p>
    <w:p>
      <w:pPr>
        <w:spacing w:after="0" w:line="225" w:lineRule="exact"/>
        <w:rPr>
          <w:sz w:val="20"/>
          <w:szCs w:val="20"/>
          <w:color w:val="auto"/>
        </w:rPr>
      </w:pPr>
    </w:p>
    <w:tbl>
      <w:tblPr>
        <w:tblLayout w:type="fixed"/>
        <w:tblInd w:w="220" w:type="dxa"/>
        <w:tblCellMar>
          <w:top w:w="0" w:type="dxa"/>
          <w:left w:w="0" w:type="dxa"/>
          <w:bottom w:w="0" w:type="dxa"/>
          <w:right w:w="0" w:type="dxa"/>
        </w:tblCellMar>
      </w:tblPr>
      <w:tr>
        <w:trPr>
          <w:trHeight w:val="213"/>
        </w:trPr>
        <w:tc>
          <w:tcPr>
            <w:tcW w:w="4840" w:type="dxa"/>
            <w:vAlign w:val="bottom"/>
            <w:shd w:val="clear" w:color="auto" w:fill="1F2A44"/>
          </w:tcPr>
          <w:p>
            <w:pPr>
              <w:spacing w:after="0"/>
              <w:rPr>
                <w:sz w:val="18"/>
                <w:szCs w:val="18"/>
                <w:color w:val="auto"/>
              </w:rPr>
            </w:pPr>
          </w:p>
        </w:tc>
        <w:tc>
          <w:tcPr>
            <w:tcW w:w="280" w:type="dxa"/>
            <w:vAlign w:val="bottom"/>
            <w:shd w:val="clear" w:color="auto" w:fill="1F2A44"/>
          </w:tcPr>
          <w:p>
            <w:pPr>
              <w:spacing w:after="0"/>
              <w:rPr>
                <w:sz w:val="18"/>
                <w:szCs w:val="18"/>
                <w:color w:val="auto"/>
              </w:rPr>
            </w:pPr>
          </w:p>
        </w:tc>
        <w:tc>
          <w:tcPr>
            <w:tcW w:w="60" w:type="dxa"/>
            <w:vAlign w:val="bottom"/>
            <w:shd w:val="clear" w:color="auto" w:fill="1F2A44"/>
          </w:tcPr>
          <w:p>
            <w:pPr>
              <w:spacing w:after="0"/>
              <w:rPr>
                <w:sz w:val="18"/>
                <w:szCs w:val="18"/>
                <w:color w:val="auto"/>
              </w:rPr>
            </w:pPr>
          </w:p>
        </w:tc>
        <w:tc>
          <w:tcPr>
            <w:tcW w:w="680" w:type="dxa"/>
            <w:vAlign w:val="bottom"/>
            <w:shd w:val="clear" w:color="auto" w:fill="1F2A44"/>
          </w:tcPr>
          <w:p>
            <w:pPr>
              <w:jc w:val="right"/>
              <w:ind w:right="220"/>
              <w:spacing w:after="0"/>
              <w:rPr>
                <w:sz w:val="20"/>
                <w:szCs w:val="20"/>
                <w:color w:val="auto"/>
              </w:rPr>
            </w:pPr>
            <w:r>
              <w:rPr>
                <w:rFonts w:ascii="Arial" w:cs="Arial" w:eastAsia="Arial" w:hAnsi="Arial"/>
                <w:sz w:val="14"/>
                <w:szCs w:val="14"/>
                <w:b w:val="1"/>
                <w:bCs w:val="1"/>
                <w:color w:val="FFFFFF"/>
              </w:rPr>
              <w:t>Cash</w:t>
            </w:r>
          </w:p>
        </w:tc>
        <w:tc>
          <w:tcPr>
            <w:tcW w:w="1120" w:type="dxa"/>
            <w:vAlign w:val="bottom"/>
            <w:gridSpan w:val="3"/>
            <w:shd w:val="clear" w:color="auto" w:fill="1F2A44"/>
          </w:tcPr>
          <w:p>
            <w:pPr>
              <w:jc w:val="right"/>
              <w:ind w:right="219"/>
              <w:spacing w:after="0"/>
              <w:rPr>
                <w:sz w:val="20"/>
                <w:szCs w:val="20"/>
                <w:color w:val="auto"/>
              </w:rPr>
            </w:pPr>
            <w:r>
              <w:rPr>
                <w:rFonts w:ascii="Arial" w:cs="Arial" w:eastAsia="Arial" w:hAnsi="Arial"/>
                <w:sz w:val="14"/>
                <w:szCs w:val="14"/>
                <w:b w:val="1"/>
                <w:bCs w:val="1"/>
                <w:color w:val="FFFFFF"/>
              </w:rPr>
              <w:t>Medical</w:t>
            </w:r>
          </w:p>
        </w:tc>
        <w:tc>
          <w:tcPr>
            <w:tcW w:w="1060" w:type="dxa"/>
            <w:vAlign w:val="bottom"/>
            <w:gridSpan w:val="3"/>
            <w:shd w:val="clear" w:color="auto" w:fill="1F2A44"/>
          </w:tcPr>
          <w:p>
            <w:pPr>
              <w:jc w:val="right"/>
              <w:ind w:right="80"/>
              <w:spacing w:after="0"/>
              <w:rPr>
                <w:sz w:val="20"/>
                <w:szCs w:val="20"/>
                <w:color w:val="auto"/>
              </w:rPr>
            </w:pPr>
            <w:r>
              <w:rPr>
                <w:rFonts w:ascii="Arial" w:cs="Arial" w:eastAsia="Arial" w:hAnsi="Arial"/>
                <w:sz w:val="14"/>
                <w:szCs w:val="14"/>
                <w:b w:val="1"/>
                <w:bCs w:val="1"/>
                <w:color w:val="FFFFFF"/>
              </w:rPr>
              <w:t>Accelerated</w:t>
            </w:r>
          </w:p>
        </w:tc>
        <w:tc>
          <w:tcPr>
            <w:tcW w:w="880" w:type="dxa"/>
            <w:vAlign w:val="bottom"/>
            <w:gridSpan w:val="2"/>
            <w:shd w:val="clear" w:color="auto" w:fill="1F2A44"/>
          </w:tcPr>
          <w:p>
            <w:pPr>
              <w:jc w:val="right"/>
              <w:ind w:right="159"/>
              <w:spacing w:after="0"/>
              <w:rPr>
                <w:sz w:val="20"/>
                <w:szCs w:val="20"/>
                <w:color w:val="auto"/>
              </w:rPr>
            </w:pPr>
            <w:r>
              <w:rPr>
                <w:rFonts w:ascii="Arial" w:cs="Arial" w:eastAsia="Arial" w:hAnsi="Arial"/>
                <w:sz w:val="14"/>
                <w:szCs w:val="14"/>
                <w:b w:val="1"/>
                <w:bCs w:val="1"/>
                <w:color w:val="FFFFFF"/>
              </w:rPr>
              <w:t>Other</w:t>
            </w:r>
          </w:p>
        </w:tc>
        <w:tc>
          <w:tcPr>
            <w:tcW w:w="880" w:type="dxa"/>
            <w:vAlign w:val="bottom"/>
            <w:gridSpan w:val="2"/>
            <w:shd w:val="clear" w:color="auto" w:fill="1F2A44"/>
          </w:tcPr>
          <w:p>
            <w:pPr>
              <w:jc w:val="right"/>
              <w:ind w:right="19"/>
              <w:spacing w:after="0"/>
              <w:rPr>
                <w:sz w:val="20"/>
                <w:szCs w:val="20"/>
                <w:color w:val="auto"/>
              </w:rPr>
            </w:pPr>
            <w:r>
              <w:rPr>
                <w:rFonts w:ascii="Arial" w:cs="Arial" w:eastAsia="Arial" w:hAnsi="Arial"/>
                <w:sz w:val="14"/>
                <w:szCs w:val="14"/>
                <w:b w:val="1"/>
                <w:bCs w:val="1"/>
                <w:color w:val="FFFFFF"/>
              </w:rPr>
              <w:t>Excise Tax</w:t>
            </w:r>
          </w:p>
        </w:tc>
        <w:tc>
          <w:tcPr>
            <w:tcW w:w="340" w:type="dxa"/>
            <w:vAlign w:val="bottom"/>
            <w:shd w:val="clear" w:color="auto" w:fill="1F2A44"/>
          </w:tcPr>
          <w:p>
            <w:pPr>
              <w:spacing w:after="0"/>
              <w:rPr>
                <w:sz w:val="18"/>
                <w:szCs w:val="18"/>
                <w:color w:val="auto"/>
              </w:rPr>
            </w:pPr>
          </w:p>
        </w:tc>
        <w:tc>
          <w:tcPr>
            <w:tcW w:w="880" w:type="dxa"/>
            <w:vAlign w:val="bottom"/>
            <w:shd w:val="clear" w:color="auto" w:fill="1F2A44"/>
          </w:tcPr>
          <w:p>
            <w:pPr>
              <w:spacing w:after="0"/>
              <w:rPr>
                <w:sz w:val="18"/>
                <w:szCs w:val="18"/>
                <w:color w:val="auto"/>
              </w:rPr>
            </w:pPr>
          </w:p>
        </w:tc>
      </w:tr>
      <w:tr>
        <w:trPr>
          <w:trHeight w:val="206"/>
        </w:trPr>
        <w:tc>
          <w:tcPr>
            <w:tcW w:w="4840" w:type="dxa"/>
            <w:vAlign w:val="bottom"/>
            <w:shd w:val="clear" w:color="auto" w:fill="1F2A44"/>
          </w:tcPr>
          <w:p>
            <w:pPr>
              <w:spacing w:after="0"/>
              <w:rPr>
                <w:sz w:val="17"/>
                <w:szCs w:val="17"/>
                <w:color w:val="auto"/>
              </w:rPr>
            </w:pPr>
          </w:p>
        </w:tc>
        <w:tc>
          <w:tcPr>
            <w:tcW w:w="1020" w:type="dxa"/>
            <w:vAlign w:val="bottom"/>
            <w:gridSpan w:val="3"/>
            <w:shd w:val="clear" w:color="auto" w:fill="1F2A44"/>
          </w:tcPr>
          <w:p>
            <w:pPr>
              <w:jc w:val="right"/>
              <w:ind w:right="20"/>
              <w:spacing w:after="0" w:line="205" w:lineRule="exact"/>
              <w:rPr>
                <w:sz w:val="20"/>
                <w:szCs w:val="20"/>
                <w:color w:val="auto"/>
              </w:rPr>
            </w:pPr>
            <w:r>
              <w:rPr>
                <w:rFonts w:ascii="Arial" w:cs="Arial" w:eastAsia="Arial" w:hAnsi="Arial"/>
                <w:sz w:val="14"/>
                <w:szCs w:val="14"/>
                <w:b w:val="1"/>
                <w:bCs w:val="1"/>
                <w:color w:val="FFFFFF"/>
              </w:rPr>
              <w:t>Payment</w:t>
            </w:r>
            <w:r>
              <w:rPr>
                <w:rFonts w:ascii="Arial" w:cs="Arial" w:eastAsia="Arial" w:hAnsi="Arial"/>
                <w:sz w:val="23"/>
                <w:szCs w:val="23"/>
                <w:b w:val="1"/>
                <w:bCs w:val="1"/>
                <w:color w:val="FFFFFF"/>
                <w:vertAlign w:val="superscript"/>
              </w:rPr>
              <w:t>(1)</w:t>
            </w:r>
          </w:p>
        </w:tc>
        <w:tc>
          <w:tcPr>
            <w:tcW w:w="1120" w:type="dxa"/>
            <w:vAlign w:val="bottom"/>
            <w:gridSpan w:val="3"/>
            <w:shd w:val="clear" w:color="auto" w:fill="1F2A44"/>
          </w:tcPr>
          <w:p>
            <w:pPr>
              <w:jc w:val="right"/>
              <w:ind w:right="119"/>
              <w:spacing w:after="0" w:line="205" w:lineRule="exact"/>
              <w:rPr>
                <w:sz w:val="20"/>
                <w:szCs w:val="20"/>
                <w:color w:val="auto"/>
              </w:rPr>
            </w:pPr>
            <w:r>
              <w:rPr>
                <w:rFonts w:ascii="Arial" w:cs="Arial" w:eastAsia="Arial" w:hAnsi="Arial"/>
                <w:sz w:val="14"/>
                <w:szCs w:val="14"/>
                <w:b w:val="1"/>
                <w:bCs w:val="1"/>
                <w:color w:val="FFFFFF"/>
              </w:rPr>
              <w:t>Benefits</w:t>
            </w:r>
            <w:r>
              <w:rPr>
                <w:rFonts w:ascii="Arial" w:cs="Arial" w:eastAsia="Arial" w:hAnsi="Arial"/>
                <w:sz w:val="23"/>
                <w:szCs w:val="23"/>
                <w:b w:val="1"/>
                <w:bCs w:val="1"/>
                <w:color w:val="FFFFFF"/>
                <w:vertAlign w:val="superscript"/>
              </w:rPr>
              <w:t>(2)</w:t>
            </w:r>
          </w:p>
        </w:tc>
        <w:tc>
          <w:tcPr>
            <w:tcW w:w="180" w:type="dxa"/>
            <w:vAlign w:val="bottom"/>
            <w:shd w:val="clear" w:color="auto" w:fill="1F2A44"/>
          </w:tcPr>
          <w:p>
            <w:pPr>
              <w:spacing w:after="0"/>
              <w:rPr>
                <w:sz w:val="17"/>
                <w:szCs w:val="17"/>
                <w:color w:val="auto"/>
              </w:rPr>
            </w:pPr>
          </w:p>
        </w:tc>
        <w:tc>
          <w:tcPr>
            <w:tcW w:w="20" w:type="dxa"/>
            <w:vAlign w:val="bottom"/>
            <w:shd w:val="clear" w:color="auto" w:fill="1F2A44"/>
          </w:tcPr>
          <w:p>
            <w:pPr>
              <w:spacing w:after="0"/>
              <w:rPr>
                <w:sz w:val="17"/>
                <w:szCs w:val="17"/>
                <w:color w:val="auto"/>
              </w:rPr>
            </w:pPr>
          </w:p>
        </w:tc>
        <w:tc>
          <w:tcPr>
            <w:tcW w:w="860" w:type="dxa"/>
            <w:vAlign w:val="bottom"/>
            <w:shd w:val="clear" w:color="auto" w:fill="1F2A44"/>
          </w:tcPr>
          <w:p>
            <w:pPr>
              <w:jc w:val="right"/>
              <w:ind w:right="180"/>
              <w:spacing w:after="0" w:line="205" w:lineRule="exact"/>
              <w:rPr>
                <w:sz w:val="20"/>
                <w:szCs w:val="20"/>
                <w:color w:val="auto"/>
              </w:rPr>
            </w:pPr>
            <w:r>
              <w:rPr>
                <w:rFonts w:ascii="Arial" w:cs="Arial" w:eastAsia="Arial" w:hAnsi="Arial"/>
                <w:sz w:val="14"/>
                <w:szCs w:val="14"/>
                <w:b w:val="1"/>
                <w:bCs w:val="1"/>
                <w:color w:val="FFFFFF"/>
                <w:w w:val="94"/>
              </w:rPr>
              <w:t>Equity</w:t>
            </w:r>
            <w:r>
              <w:rPr>
                <w:rFonts w:ascii="Arial" w:cs="Arial" w:eastAsia="Arial" w:hAnsi="Arial"/>
                <w:sz w:val="23"/>
                <w:szCs w:val="23"/>
                <w:b w:val="1"/>
                <w:bCs w:val="1"/>
                <w:color w:val="FFFFFF"/>
                <w:w w:val="94"/>
                <w:vertAlign w:val="superscript"/>
              </w:rPr>
              <w:t>(3)</w:t>
            </w:r>
          </w:p>
        </w:tc>
        <w:tc>
          <w:tcPr>
            <w:tcW w:w="880" w:type="dxa"/>
            <w:vAlign w:val="bottom"/>
            <w:gridSpan w:val="2"/>
            <w:shd w:val="clear" w:color="auto" w:fill="1F2A44"/>
          </w:tcPr>
          <w:p>
            <w:pPr>
              <w:jc w:val="right"/>
              <w:spacing w:after="0" w:line="205" w:lineRule="exact"/>
              <w:rPr>
                <w:sz w:val="20"/>
                <w:szCs w:val="20"/>
                <w:color w:val="auto"/>
              </w:rPr>
            </w:pPr>
            <w:r>
              <w:rPr>
                <w:rFonts w:ascii="Arial" w:cs="Arial" w:eastAsia="Arial" w:hAnsi="Arial"/>
                <w:sz w:val="14"/>
                <w:szCs w:val="14"/>
                <w:b w:val="1"/>
                <w:bCs w:val="1"/>
                <w:color w:val="FFFFFF"/>
              </w:rPr>
              <w:t>Benefits</w:t>
            </w:r>
            <w:r>
              <w:rPr>
                <w:rFonts w:ascii="Arial" w:cs="Arial" w:eastAsia="Arial" w:hAnsi="Arial"/>
                <w:sz w:val="23"/>
                <w:szCs w:val="23"/>
                <w:b w:val="1"/>
                <w:bCs w:val="1"/>
                <w:color w:val="FFFFFF"/>
                <w:vertAlign w:val="superscript"/>
              </w:rPr>
              <w:t>(4)</w:t>
            </w:r>
          </w:p>
        </w:tc>
        <w:tc>
          <w:tcPr>
            <w:tcW w:w="880" w:type="dxa"/>
            <w:vAlign w:val="bottom"/>
            <w:gridSpan w:val="2"/>
            <w:shd w:val="clear" w:color="auto" w:fill="1F2A44"/>
          </w:tcPr>
          <w:p>
            <w:pPr>
              <w:jc w:val="right"/>
              <w:ind w:right="59"/>
              <w:spacing w:after="0"/>
              <w:rPr>
                <w:sz w:val="20"/>
                <w:szCs w:val="20"/>
                <w:color w:val="auto"/>
              </w:rPr>
            </w:pPr>
            <w:r>
              <w:rPr>
                <w:rFonts w:ascii="Arial" w:cs="Arial" w:eastAsia="Arial" w:hAnsi="Arial"/>
                <w:sz w:val="14"/>
                <w:szCs w:val="14"/>
                <w:b w:val="1"/>
                <w:bCs w:val="1"/>
                <w:color w:val="FFFFFF"/>
              </w:rPr>
              <w:t>Gross-Up</w:t>
            </w:r>
          </w:p>
        </w:tc>
        <w:tc>
          <w:tcPr>
            <w:tcW w:w="340" w:type="dxa"/>
            <w:vAlign w:val="bottom"/>
            <w:shd w:val="clear" w:color="auto" w:fill="1F2A44"/>
          </w:tcPr>
          <w:p>
            <w:pPr>
              <w:spacing w:after="0"/>
              <w:rPr>
                <w:sz w:val="17"/>
                <w:szCs w:val="17"/>
                <w:color w:val="auto"/>
              </w:rPr>
            </w:pPr>
          </w:p>
        </w:tc>
        <w:tc>
          <w:tcPr>
            <w:tcW w:w="880" w:type="dxa"/>
            <w:vAlign w:val="bottom"/>
            <w:shd w:val="clear" w:color="auto" w:fill="1F2A44"/>
          </w:tcPr>
          <w:p>
            <w:pPr>
              <w:jc w:val="right"/>
              <w:ind w:right="441"/>
              <w:spacing w:after="0"/>
              <w:rPr>
                <w:sz w:val="20"/>
                <w:szCs w:val="20"/>
                <w:color w:val="auto"/>
              </w:rPr>
            </w:pPr>
            <w:r>
              <w:rPr>
                <w:rFonts w:ascii="Arial" w:cs="Arial" w:eastAsia="Arial" w:hAnsi="Arial"/>
                <w:sz w:val="14"/>
                <w:szCs w:val="14"/>
                <w:b w:val="1"/>
                <w:bCs w:val="1"/>
                <w:color w:val="FFFFFF"/>
              </w:rPr>
              <w:t>Total</w:t>
            </w:r>
          </w:p>
        </w:tc>
      </w:tr>
      <w:tr>
        <w:trPr>
          <w:trHeight w:val="278"/>
        </w:trPr>
        <w:tc>
          <w:tcPr>
            <w:tcW w:w="4840" w:type="dxa"/>
            <w:vAlign w:val="bottom"/>
          </w:tcPr>
          <w:p>
            <w:pPr>
              <w:ind w:left="80"/>
              <w:spacing w:after="0"/>
              <w:rPr>
                <w:sz w:val="20"/>
                <w:szCs w:val="20"/>
                <w:color w:val="auto"/>
              </w:rPr>
            </w:pPr>
            <w:r>
              <w:rPr>
                <w:rFonts w:ascii="Arial" w:cs="Arial" w:eastAsia="Arial" w:hAnsi="Arial"/>
                <w:sz w:val="16"/>
                <w:szCs w:val="16"/>
                <w:color w:val="auto"/>
              </w:rPr>
              <w:t>Donald C. Wood</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97"/>
        </w:trPr>
        <w:tc>
          <w:tcPr>
            <w:tcW w:w="4840" w:type="dxa"/>
            <w:vAlign w:val="bottom"/>
          </w:tcPr>
          <w:p>
            <w:pPr>
              <w:ind w:left="440"/>
              <w:spacing w:after="0"/>
              <w:rPr>
                <w:sz w:val="20"/>
                <w:szCs w:val="20"/>
                <w:color w:val="auto"/>
              </w:rPr>
            </w:pPr>
            <w:r>
              <w:rPr>
                <w:rFonts w:ascii="Arial" w:cs="Arial" w:eastAsia="Arial" w:hAnsi="Arial"/>
                <w:sz w:val="16"/>
                <w:szCs w:val="16"/>
                <w:color w:val="auto"/>
              </w:rPr>
              <w:t>Death</w:t>
            </w:r>
          </w:p>
        </w:tc>
        <w:tc>
          <w:tcPr>
            <w:tcW w:w="34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9"/>
              <w:spacing w:after="0"/>
              <w:rPr>
                <w:sz w:val="20"/>
                <w:szCs w:val="20"/>
                <w:color w:val="auto"/>
              </w:rPr>
            </w:pPr>
            <w:r>
              <w:rPr>
                <w:rFonts w:ascii="Arial" w:cs="Arial" w:eastAsia="Arial" w:hAnsi="Arial"/>
                <w:sz w:val="16"/>
                <w:szCs w:val="16"/>
                <w:color w:val="auto"/>
                <w:w w:val="98"/>
              </w:rPr>
              <w:t>1,688,000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w w:val="99"/>
              </w:rPr>
              <w:t>11,301,622</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4"/>
                <w:szCs w:val="24"/>
                <w:color w:val="auto"/>
              </w:rPr>
            </w:pPr>
          </w:p>
        </w:tc>
        <w:tc>
          <w:tcPr>
            <w:tcW w:w="460" w:type="dxa"/>
            <w:vAlign w:val="bottom"/>
          </w:tcPr>
          <w:p>
            <w:pPr>
              <w:jc w:val="right"/>
              <w:ind w:right="99"/>
              <w:spacing w:after="0"/>
              <w:rPr>
                <w:sz w:val="20"/>
                <w:szCs w:val="20"/>
                <w:color w:val="auto"/>
              </w:rPr>
            </w:pPr>
            <w:r>
              <w:rPr>
                <w:rFonts w:ascii="Arial" w:cs="Arial" w:eastAsia="Arial" w:hAnsi="Arial"/>
                <w:sz w:val="16"/>
                <w:szCs w:val="16"/>
                <w:color w:val="auto"/>
                <w:w w:val="97"/>
              </w:rPr>
              <w:t>N/A</w:t>
            </w:r>
          </w:p>
        </w:tc>
        <w:tc>
          <w:tcPr>
            <w:tcW w:w="1220" w:type="dxa"/>
            <w:vAlign w:val="bottom"/>
            <w:gridSpan w:val="2"/>
          </w:tcPr>
          <w:p>
            <w:pPr>
              <w:jc w:val="right"/>
              <w:ind w:right="121"/>
              <w:spacing w:after="0"/>
              <w:rPr>
                <w:sz w:val="20"/>
                <w:szCs w:val="20"/>
                <w:color w:val="auto"/>
              </w:rPr>
            </w:pPr>
            <w:r>
              <w:rPr>
                <w:rFonts w:ascii="Arial" w:cs="Arial" w:eastAsia="Arial" w:hAnsi="Arial"/>
                <w:sz w:val="16"/>
                <w:szCs w:val="16"/>
                <w:color w:val="auto"/>
              </w:rPr>
              <w:t>$12,989,622</w:t>
            </w:r>
          </w:p>
        </w:tc>
      </w:tr>
      <w:tr>
        <w:trPr>
          <w:trHeight w:val="284"/>
        </w:trPr>
        <w:tc>
          <w:tcPr>
            <w:tcW w:w="4840" w:type="dxa"/>
            <w:vAlign w:val="bottom"/>
          </w:tcPr>
          <w:p>
            <w:pPr>
              <w:ind w:left="440"/>
              <w:spacing w:after="0"/>
              <w:rPr>
                <w:sz w:val="20"/>
                <w:szCs w:val="20"/>
                <w:color w:val="auto"/>
              </w:rPr>
            </w:pPr>
            <w:r>
              <w:rPr>
                <w:rFonts w:ascii="Arial" w:cs="Arial" w:eastAsia="Arial" w:hAnsi="Arial"/>
                <w:sz w:val="16"/>
                <w:szCs w:val="16"/>
                <w:color w:val="auto"/>
              </w:rPr>
              <w:t>Disability</w:t>
            </w:r>
          </w:p>
        </w:tc>
        <w:tc>
          <w:tcPr>
            <w:tcW w:w="280" w:type="dxa"/>
            <w:vAlign w:val="bottom"/>
          </w:tcPr>
          <w:p>
            <w:pPr>
              <w:ind w:left="200"/>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w w:val="98"/>
              </w:rPr>
              <w:t>1,286,525</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9"/>
              <w:spacing w:after="0"/>
              <w:rPr>
                <w:sz w:val="20"/>
                <w:szCs w:val="20"/>
                <w:color w:val="auto"/>
              </w:rPr>
            </w:pPr>
            <w:r>
              <w:rPr>
                <w:rFonts w:ascii="Arial" w:cs="Arial" w:eastAsia="Arial" w:hAnsi="Arial"/>
                <w:sz w:val="16"/>
                <w:szCs w:val="16"/>
                <w:color w:val="auto"/>
                <w:w w:val="98"/>
              </w:rPr>
              <w:t>2,211,223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w w:val="99"/>
              </w:rPr>
              <w:t>11,301,622</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4"/>
                <w:szCs w:val="24"/>
                <w:color w:val="auto"/>
              </w:rPr>
            </w:pPr>
          </w:p>
        </w:tc>
        <w:tc>
          <w:tcPr>
            <w:tcW w:w="460" w:type="dxa"/>
            <w:vAlign w:val="bottom"/>
          </w:tcPr>
          <w:p>
            <w:pPr>
              <w:jc w:val="right"/>
              <w:ind w:right="99"/>
              <w:spacing w:after="0"/>
              <w:rPr>
                <w:sz w:val="20"/>
                <w:szCs w:val="20"/>
                <w:color w:val="auto"/>
              </w:rPr>
            </w:pPr>
            <w:r>
              <w:rPr>
                <w:rFonts w:ascii="Arial" w:cs="Arial" w:eastAsia="Arial" w:hAnsi="Arial"/>
                <w:sz w:val="16"/>
                <w:szCs w:val="16"/>
                <w:color w:val="auto"/>
                <w:w w:val="97"/>
              </w:rPr>
              <w:t>N/A</w:t>
            </w:r>
          </w:p>
        </w:tc>
        <w:tc>
          <w:tcPr>
            <w:tcW w:w="1220" w:type="dxa"/>
            <w:vAlign w:val="bottom"/>
            <w:gridSpan w:val="2"/>
          </w:tcPr>
          <w:p>
            <w:pPr>
              <w:jc w:val="right"/>
              <w:ind w:right="121"/>
              <w:spacing w:after="0"/>
              <w:rPr>
                <w:sz w:val="20"/>
                <w:szCs w:val="20"/>
                <w:color w:val="auto"/>
              </w:rPr>
            </w:pPr>
            <w:r>
              <w:rPr>
                <w:rFonts w:ascii="Arial" w:cs="Arial" w:eastAsia="Arial" w:hAnsi="Arial"/>
                <w:sz w:val="16"/>
                <w:szCs w:val="16"/>
                <w:color w:val="auto"/>
              </w:rPr>
              <w:t>$14,799,370</w:t>
            </w:r>
          </w:p>
        </w:tc>
      </w:tr>
      <w:tr>
        <w:trPr>
          <w:trHeight w:val="284"/>
        </w:trPr>
        <w:tc>
          <w:tcPr>
            <w:tcW w:w="4840" w:type="dxa"/>
            <w:vAlign w:val="bottom"/>
          </w:tcPr>
          <w:p>
            <w:pPr>
              <w:ind w:left="440"/>
              <w:spacing w:after="0"/>
              <w:rPr>
                <w:sz w:val="20"/>
                <w:szCs w:val="20"/>
                <w:color w:val="auto"/>
              </w:rPr>
            </w:pPr>
            <w:r>
              <w:rPr>
                <w:rFonts w:ascii="Arial" w:cs="Arial" w:eastAsia="Arial" w:hAnsi="Arial"/>
                <w:sz w:val="16"/>
                <w:szCs w:val="16"/>
                <w:color w:val="auto"/>
              </w:rPr>
              <w:t>TWOC</w:t>
            </w:r>
          </w:p>
        </w:tc>
        <w:tc>
          <w:tcPr>
            <w:tcW w:w="280" w:type="dxa"/>
            <w:vAlign w:val="bottom"/>
          </w:tcPr>
          <w:p>
            <w:pPr>
              <w:ind w:left="200"/>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w w:val="98"/>
              </w:rPr>
              <w:t>4,096,875</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9"/>
              <w:spacing w:after="0"/>
              <w:rPr>
                <w:sz w:val="20"/>
                <w:szCs w:val="20"/>
                <w:color w:val="auto"/>
              </w:rPr>
            </w:pPr>
            <w:r>
              <w:rPr>
                <w:rFonts w:ascii="Arial" w:cs="Arial" w:eastAsia="Arial" w:hAnsi="Arial"/>
                <w:sz w:val="16"/>
                <w:szCs w:val="16"/>
                <w:color w:val="auto"/>
                <w:w w:val="98"/>
              </w:rPr>
              <w:t>2,243,667</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w w:val="99"/>
              </w:rPr>
              <w:t>11,301,622</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60,250</w:t>
            </w:r>
          </w:p>
        </w:tc>
        <w:tc>
          <w:tcPr>
            <w:tcW w:w="420" w:type="dxa"/>
            <w:vAlign w:val="bottom"/>
          </w:tcPr>
          <w:p>
            <w:pPr>
              <w:spacing w:after="0"/>
              <w:rPr>
                <w:sz w:val="24"/>
                <w:szCs w:val="24"/>
                <w:color w:val="auto"/>
              </w:rPr>
            </w:pPr>
          </w:p>
        </w:tc>
        <w:tc>
          <w:tcPr>
            <w:tcW w:w="460" w:type="dxa"/>
            <w:vAlign w:val="bottom"/>
          </w:tcPr>
          <w:p>
            <w:pPr>
              <w:jc w:val="right"/>
              <w:ind w:right="99"/>
              <w:spacing w:after="0"/>
              <w:rPr>
                <w:sz w:val="20"/>
                <w:szCs w:val="20"/>
                <w:color w:val="auto"/>
              </w:rPr>
            </w:pPr>
            <w:r>
              <w:rPr>
                <w:rFonts w:ascii="Arial" w:cs="Arial" w:eastAsia="Arial" w:hAnsi="Arial"/>
                <w:sz w:val="16"/>
                <w:szCs w:val="16"/>
                <w:color w:val="auto"/>
                <w:w w:val="97"/>
              </w:rPr>
              <w:t>N/A</w:t>
            </w:r>
          </w:p>
        </w:tc>
        <w:tc>
          <w:tcPr>
            <w:tcW w:w="1220" w:type="dxa"/>
            <w:vAlign w:val="bottom"/>
            <w:gridSpan w:val="2"/>
          </w:tcPr>
          <w:p>
            <w:pPr>
              <w:jc w:val="right"/>
              <w:ind w:right="121"/>
              <w:spacing w:after="0"/>
              <w:rPr>
                <w:sz w:val="20"/>
                <w:szCs w:val="20"/>
                <w:color w:val="auto"/>
              </w:rPr>
            </w:pPr>
            <w:r>
              <w:rPr>
                <w:rFonts w:ascii="Arial" w:cs="Arial" w:eastAsia="Arial" w:hAnsi="Arial"/>
                <w:sz w:val="16"/>
                <w:szCs w:val="16"/>
                <w:color w:val="auto"/>
              </w:rPr>
              <w:t>$17,702,414</w:t>
            </w:r>
          </w:p>
        </w:tc>
      </w:tr>
      <w:tr>
        <w:trPr>
          <w:trHeight w:val="284"/>
        </w:trPr>
        <w:tc>
          <w:tcPr>
            <w:tcW w:w="4840" w:type="dxa"/>
            <w:vAlign w:val="bottom"/>
          </w:tcPr>
          <w:p>
            <w:pPr>
              <w:ind w:left="440"/>
              <w:spacing w:after="0"/>
              <w:rPr>
                <w:sz w:val="20"/>
                <w:szCs w:val="20"/>
                <w:color w:val="auto"/>
              </w:rPr>
            </w:pPr>
            <w:r>
              <w:rPr>
                <w:rFonts w:ascii="Arial" w:cs="Arial" w:eastAsia="Arial" w:hAnsi="Arial"/>
                <w:sz w:val="16"/>
                <w:szCs w:val="16"/>
                <w:color w:val="auto"/>
              </w:rPr>
              <w:t>Termination for Cause</w:t>
            </w:r>
          </w:p>
        </w:tc>
        <w:tc>
          <w:tcPr>
            <w:tcW w:w="280" w:type="dxa"/>
            <w:vAlign w:val="bottom"/>
          </w:tcPr>
          <w:p>
            <w:pPr>
              <w:ind w:left="200"/>
              <w:spacing w:after="0"/>
              <w:rPr>
                <w:sz w:val="20"/>
                <w:szCs w:val="20"/>
                <w:color w:val="auto"/>
              </w:rPr>
            </w:pPr>
            <w:r>
              <w:rPr>
                <w:rFonts w:ascii="Arial" w:cs="Arial" w:eastAsia="Arial" w:hAnsi="Arial"/>
                <w:sz w:val="15"/>
                <w:szCs w:val="15"/>
                <w:color w:val="auto"/>
                <w:w w:val="71"/>
              </w:rPr>
              <w:t>$</w:t>
            </w:r>
          </w:p>
        </w:tc>
        <w:tc>
          <w:tcPr>
            <w:tcW w:w="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475,000</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21,111</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4"/>
                <w:szCs w:val="24"/>
                <w:color w:val="auto"/>
              </w:rPr>
            </w:pPr>
          </w:p>
        </w:tc>
        <w:tc>
          <w:tcPr>
            <w:tcW w:w="460" w:type="dxa"/>
            <w:vAlign w:val="bottom"/>
          </w:tcPr>
          <w:p>
            <w:pPr>
              <w:jc w:val="right"/>
              <w:ind w:right="99"/>
              <w:spacing w:after="0"/>
              <w:rPr>
                <w:sz w:val="20"/>
                <w:szCs w:val="20"/>
                <w:color w:val="auto"/>
              </w:rPr>
            </w:pPr>
            <w:r>
              <w:rPr>
                <w:rFonts w:ascii="Arial" w:cs="Arial" w:eastAsia="Arial" w:hAnsi="Arial"/>
                <w:sz w:val="16"/>
                <w:szCs w:val="16"/>
                <w:color w:val="auto"/>
                <w:w w:val="97"/>
              </w:rPr>
              <w:t>N/A</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21"/>
              <w:spacing w:after="0"/>
              <w:rPr>
                <w:sz w:val="20"/>
                <w:szCs w:val="20"/>
                <w:color w:val="auto"/>
              </w:rPr>
            </w:pPr>
            <w:r>
              <w:rPr>
                <w:rFonts w:ascii="Arial" w:cs="Arial" w:eastAsia="Arial" w:hAnsi="Arial"/>
                <w:sz w:val="16"/>
                <w:szCs w:val="16"/>
                <w:color w:val="auto"/>
              </w:rPr>
              <w:t>496,111</w:t>
            </w:r>
          </w:p>
        </w:tc>
      </w:tr>
      <w:tr>
        <w:trPr>
          <w:trHeight w:val="303"/>
        </w:trPr>
        <w:tc>
          <w:tcPr>
            <w:tcW w:w="4840" w:type="dxa"/>
            <w:vAlign w:val="bottom"/>
          </w:tcPr>
          <w:p>
            <w:pPr>
              <w:ind w:left="440"/>
              <w:spacing w:after="0" w:line="303" w:lineRule="exact"/>
              <w:rPr>
                <w:sz w:val="20"/>
                <w:szCs w:val="20"/>
                <w:color w:val="auto"/>
              </w:rPr>
            </w:pPr>
            <w:r>
              <w:rPr>
                <w:rFonts w:ascii="Arial" w:cs="Arial" w:eastAsia="Arial" w:hAnsi="Arial"/>
                <w:sz w:val="16"/>
                <w:szCs w:val="16"/>
                <w:color w:val="auto"/>
              </w:rPr>
              <w:t>CIC</w:t>
            </w:r>
            <w:r>
              <w:rPr>
                <w:rFonts w:ascii="Arial" w:cs="Arial" w:eastAsia="Arial" w:hAnsi="Arial"/>
                <w:sz w:val="27"/>
                <w:szCs w:val="27"/>
                <w:color w:val="auto"/>
                <w:vertAlign w:val="superscript"/>
              </w:rPr>
              <w:t>(5)</w:t>
            </w:r>
          </w:p>
        </w:tc>
        <w:tc>
          <w:tcPr>
            <w:tcW w:w="280" w:type="dxa"/>
            <w:vAlign w:val="bottom"/>
          </w:tcPr>
          <w:p>
            <w:pPr>
              <w:ind w:left="200"/>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w w:val="98"/>
              </w:rPr>
              <w:t>8,193,750</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9"/>
              <w:spacing w:after="0"/>
              <w:rPr>
                <w:sz w:val="20"/>
                <w:szCs w:val="20"/>
                <w:color w:val="auto"/>
              </w:rPr>
            </w:pPr>
            <w:r>
              <w:rPr>
                <w:rFonts w:ascii="Arial" w:cs="Arial" w:eastAsia="Arial" w:hAnsi="Arial"/>
                <w:sz w:val="16"/>
                <w:szCs w:val="16"/>
                <w:color w:val="auto"/>
                <w:w w:val="98"/>
              </w:rPr>
              <w:t>2,338,669</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w w:val="99"/>
              </w:rPr>
              <w:t>11,301,622</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$167,165</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21"/>
              <w:spacing w:after="0"/>
              <w:rPr>
                <w:sz w:val="20"/>
                <w:szCs w:val="20"/>
                <w:color w:val="auto"/>
              </w:rPr>
            </w:pPr>
            <w:r>
              <w:rPr>
                <w:rFonts w:ascii="Arial" w:cs="Arial" w:eastAsia="Arial" w:hAnsi="Arial"/>
                <w:sz w:val="16"/>
                <w:szCs w:val="16"/>
                <w:color w:val="auto"/>
              </w:rPr>
              <w:t>$22,001,206</w:t>
            </w:r>
          </w:p>
        </w:tc>
      </w:tr>
      <w:tr>
        <w:trPr>
          <w:trHeight w:val="278"/>
        </w:trPr>
        <w:tc>
          <w:tcPr>
            <w:tcW w:w="4840" w:type="dxa"/>
            <w:vAlign w:val="bottom"/>
            <w:shd w:val="clear" w:color="auto" w:fill="D2D4D9"/>
          </w:tcPr>
          <w:p>
            <w:pPr>
              <w:ind w:left="80"/>
              <w:spacing w:after="0"/>
              <w:rPr>
                <w:sz w:val="20"/>
                <w:szCs w:val="20"/>
                <w:color w:val="auto"/>
              </w:rPr>
            </w:pPr>
            <w:r>
              <w:rPr>
                <w:rFonts w:ascii="Arial" w:cs="Arial" w:eastAsia="Arial" w:hAnsi="Arial"/>
                <w:sz w:val="16"/>
                <w:szCs w:val="16"/>
                <w:color w:val="auto"/>
              </w:rPr>
              <w:t>Daniel Guglielmone</w:t>
            </w:r>
          </w:p>
        </w:tc>
        <w:tc>
          <w:tcPr>
            <w:tcW w:w="280" w:type="dxa"/>
            <w:vAlign w:val="bottom"/>
            <w:shd w:val="clear" w:color="auto" w:fill="D2D4D9"/>
          </w:tcPr>
          <w:p>
            <w:pPr>
              <w:spacing w:after="0"/>
              <w:rPr>
                <w:sz w:val="24"/>
                <w:szCs w:val="24"/>
                <w:color w:val="auto"/>
              </w:rPr>
            </w:pPr>
          </w:p>
        </w:tc>
        <w:tc>
          <w:tcPr>
            <w:tcW w:w="60" w:type="dxa"/>
            <w:vAlign w:val="bottom"/>
            <w:shd w:val="clear" w:color="auto" w:fill="D2D4D9"/>
          </w:tcPr>
          <w:p>
            <w:pPr>
              <w:spacing w:after="0"/>
              <w:rPr>
                <w:sz w:val="24"/>
                <w:szCs w:val="24"/>
                <w:color w:val="auto"/>
              </w:rPr>
            </w:pPr>
          </w:p>
        </w:tc>
        <w:tc>
          <w:tcPr>
            <w:tcW w:w="680" w:type="dxa"/>
            <w:vAlign w:val="bottom"/>
            <w:shd w:val="clear" w:color="auto" w:fill="D2D4D9"/>
          </w:tcPr>
          <w:p>
            <w:pPr>
              <w:spacing w:after="0"/>
              <w:rPr>
                <w:sz w:val="24"/>
                <w:szCs w:val="24"/>
                <w:color w:val="auto"/>
              </w:rPr>
            </w:pPr>
          </w:p>
        </w:tc>
        <w:tc>
          <w:tcPr>
            <w:tcW w:w="300" w:type="dxa"/>
            <w:vAlign w:val="bottom"/>
            <w:shd w:val="clear" w:color="auto" w:fill="D2D4D9"/>
          </w:tcPr>
          <w:p>
            <w:pPr>
              <w:spacing w:after="0"/>
              <w:rPr>
                <w:sz w:val="24"/>
                <w:szCs w:val="24"/>
                <w:color w:val="auto"/>
              </w:rPr>
            </w:pPr>
          </w:p>
        </w:tc>
        <w:tc>
          <w:tcPr>
            <w:tcW w:w="120" w:type="dxa"/>
            <w:vAlign w:val="bottom"/>
            <w:shd w:val="clear" w:color="auto" w:fill="D2D4D9"/>
          </w:tcPr>
          <w:p>
            <w:pPr>
              <w:spacing w:after="0"/>
              <w:rPr>
                <w:sz w:val="24"/>
                <w:szCs w:val="24"/>
                <w:color w:val="auto"/>
              </w:rPr>
            </w:pPr>
          </w:p>
        </w:tc>
        <w:tc>
          <w:tcPr>
            <w:tcW w:w="700" w:type="dxa"/>
            <w:vAlign w:val="bottom"/>
            <w:shd w:val="clear" w:color="auto" w:fill="D2D4D9"/>
          </w:tcPr>
          <w:p>
            <w:pPr>
              <w:spacing w:after="0"/>
              <w:rPr>
                <w:sz w:val="24"/>
                <w:szCs w:val="24"/>
                <w:color w:val="auto"/>
              </w:rPr>
            </w:pPr>
          </w:p>
        </w:tc>
        <w:tc>
          <w:tcPr>
            <w:tcW w:w="180" w:type="dxa"/>
            <w:vAlign w:val="bottom"/>
            <w:shd w:val="clear" w:color="auto" w:fill="D2D4D9"/>
          </w:tcPr>
          <w:p>
            <w:pPr>
              <w:spacing w:after="0"/>
              <w:rPr>
                <w:sz w:val="24"/>
                <w:szCs w:val="24"/>
                <w:color w:val="auto"/>
              </w:rPr>
            </w:pPr>
          </w:p>
        </w:tc>
        <w:tc>
          <w:tcPr>
            <w:tcW w:w="20" w:type="dxa"/>
            <w:vAlign w:val="bottom"/>
            <w:shd w:val="clear" w:color="auto" w:fill="D2D4D9"/>
          </w:tcPr>
          <w:p>
            <w:pPr>
              <w:spacing w:after="0"/>
              <w:rPr>
                <w:sz w:val="24"/>
                <w:szCs w:val="24"/>
                <w:color w:val="auto"/>
              </w:rPr>
            </w:pPr>
          </w:p>
        </w:tc>
        <w:tc>
          <w:tcPr>
            <w:tcW w:w="860" w:type="dxa"/>
            <w:vAlign w:val="bottom"/>
            <w:shd w:val="clear" w:color="auto" w:fill="D2D4D9"/>
          </w:tcPr>
          <w:p>
            <w:pPr>
              <w:spacing w:after="0"/>
              <w:rPr>
                <w:sz w:val="24"/>
                <w:szCs w:val="24"/>
                <w:color w:val="auto"/>
              </w:rPr>
            </w:pPr>
          </w:p>
        </w:tc>
        <w:tc>
          <w:tcPr>
            <w:tcW w:w="300" w:type="dxa"/>
            <w:vAlign w:val="bottom"/>
            <w:shd w:val="clear" w:color="auto" w:fill="D2D4D9"/>
          </w:tcPr>
          <w:p>
            <w:pPr>
              <w:spacing w:after="0"/>
              <w:rPr>
                <w:sz w:val="24"/>
                <w:szCs w:val="24"/>
                <w:color w:val="auto"/>
              </w:rPr>
            </w:pPr>
          </w:p>
        </w:tc>
        <w:tc>
          <w:tcPr>
            <w:tcW w:w="580" w:type="dxa"/>
            <w:vAlign w:val="bottom"/>
            <w:shd w:val="clear" w:color="auto" w:fill="D2D4D9"/>
          </w:tcPr>
          <w:p>
            <w:pPr>
              <w:spacing w:after="0"/>
              <w:rPr>
                <w:sz w:val="24"/>
                <w:szCs w:val="24"/>
                <w:color w:val="auto"/>
              </w:rPr>
            </w:pPr>
          </w:p>
        </w:tc>
        <w:tc>
          <w:tcPr>
            <w:tcW w:w="420" w:type="dxa"/>
            <w:vAlign w:val="bottom"/>
            <w:shd w:val="clear" w:color="auto" w:fill="D2D4D9"/>
          </w:tcPr>
          <w:p>
            <w:pPr>
              <w:spacing w:after="0"/>
              <w:rPr>
                <w:sz w:val="24"/>
                <w:szCs w:val="24"/>
                <w:color w:val="auto"/>
              </w:rPr>
            </w:pPr>
          </w:p>
        </w:tc>
        <w:tc>
          <w:tcPr>
            <w:tcW w:w="460" w:type="dxa"/>
            <w:vAlign w:val="bottom"/>
            <w:shd w:val="clear" w:color="auto" w:fill="D2D4D9"/>
          </w:tcPr>
          <w:p>
            <w:pPr>
              <w:spacing w:after="0"/>
              <w:rPr>
                <w:sz w:val="24"/>
                <w:szCs w:val="24"/>
                <w:color w:val="auto"/>
              </w:rPr>
            </w:pPr>
          </w:p>
        </w:tc>
        <w:tc>
          <w:tcPr>
            <w:tcW w:w="340" w:type="dxa"/>
            <w:vAlign w:val="bottom"/>
            <w:shd w:val="clear" w:color="auto" w:fill="D2D4D9"/>
          </w:tcPr>
          <w:p>
            <w:pPr>
              <w:spacing w:after="0"/>
              <w:rPr>
                <w:sz w:val="24"/>
                <w:szCs w:val="24"/>
                <w:color w:val="auto"/>
              </w:rPr>
            </w:pPr>
          </w:p>
        </w:tc>
        <w:tc>
          <w:tcPr>
            <w:tcW w:w="880" w:type="dxa"/>
            <w:vAlign w:val="bottom"/>
            <w:shd w:val="clear" w:color="auto" w:fill="D2D4D9"/>
          </w:tcPr>
          <w:p>
            <w:pPr>
              <w:spacing w:after="0"/>
              <w:rPr>
                <w:sz w:val="24"/>
                <w:szCs w:val="24"/>
                <w:color w:val="auto"/>
              </w:rPr>
            </w:pPr>
          </w:p>
        </w:tc>
      </w:tr>
      <w:tr>
        <w:trPr>
          <w:trHeight w:val="284"/>
        </w:trPr>
        <w:tc>
          <w:tcPr>
            <w:tcW w:w="4840" w:type="dxa"/>
            <w:vAlign w:val="bottom"/>
            <w:shd w:val="clear" w:color="auto" w:fill="D2D4D9"/>
          </w:tcPr>
          <w:p>
            <w:pPr>
              <w:ind w:left="440"/>
              <w:spacing w:after="0"/>
              <w:rPr>
                <w:sz w:val="20"/>
                <w:szCs w:val="20"/>
                <w:color w:val="auto"/>
              </w:rPr>
            </w:pPr>
            <w:r>
              <w:rPr>
                <w:rFonts w:ascii="Arial" w:cs="Arial" w:eastAsia="Arial" w:hAnsi="Arial"/>
                <w:sz w:val="16"/>
                <w:szCs w:val="16"/>
                <w:color w:val="auto"/>
              </w:rPr>
              <w:t>Death</w:t>
            </w:r>
          </w:p>
        </w:tc>
        <w:tc>
          <w:tcPr>
            <w:tcW w:w="340" w:type="dxa"/>
            <w:vAlign w:val="bottom"/>
            <w:gridSpan w:val="2"/>
            <w:shd w:val="clear" w:color="auto" w:fill="D2D4D9"/>
          </w:tcPr>
          <w:p>
            <w:pPr>
              <w:ind w:left="220"/>
              <w:spacing w:after="0"/>
              <w:rPr>
                <w:sz w:val="20"/>
                <w:szCs w:val="20"/>
                <w:color w:val="auto"/>
              </w:rPr>
            </w:pPr>
            <w:r>
              <w:rPr>
                <w:rFonts w:ascii="Arial" w:cs="Arial" w:eastAsia="Arial" w:hAnsi="Arial"/>
                <w:sz w:val="16"/>
                <w:szCs w:val="16"/>
                <w:color w:val="auto"/>
              </w:rPr>
              <w:t>$</w:t>
            </w:r>
          </w:p>
        </w:tc>
        <w:tc>
          <w:tcPr>
            <w:tcW w:w="680" w:type="dxa"/>
            <w:vAlign w:val="bottom"/>
            <w:shd w:val="clear" w:color="auto" w:fill="D2D4D9"/>
          </w:tcPr>
          <w:p>
            <w:pPr>
              <w:jc w:val="right"/>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D2D4D9"/>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shd w:val="clear" w:color="auto" w:fill="D2D4D9"/>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shd w:val="clear" w:color="auto" w:fill="D2D4D9"/>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D2D4D9"/>
          </w:tcPr>
          <w:p>
            <w:pPr>
              <w:spacing w:after="0"/>
              <w:rPr>
                <w:sz w:val="24"/>
                <w:szCs w:val="24"/>
                <w:color w:val="auto"/>
              </w:rPr>
            </w:pPr>
          </w:p>
        </w:tc>
        <w:tc>
          <w:tcPr>
            <w:tcW w:w="860" w:type="dxa"/>
            <w:vAlign w:val="bottom"/>
            <w:shd w:val="clear" w:color="auto" w:fill="D2D4D9"/>
          </w:tcPr>
          <w:p>
            <w:pPr>
              <w:jc w:val="right"/>
              <w:spacing w:after="0"/>
              <w:rPr>
                <w:sz w:val="20"/>
                <w:szCs w:val="20"/>
                <w:color w:val="auto"/>
              </w:rPr>
            </w:pPr>
            <w:r>
              <w:rPr>
                <w:rFonts w:ascii="Arial" w:cs="Arial" w:eastAsia="Arial" w:hAnsi="Arial"/>
                <w:sz w:val="16"/>
                <w:szCs w:val="16"/>
                <w:color w:val="auto"/>
              </w:rPr>
              <w:t>1,993,460</w:t>
            </w:r>
          </w:p>
        </w:tc>
        <w:tc>
          <w:tcPr>
            <w:tcW w:w="300" w:type="dxa"/>
            <w:vAlign w:val="bottom"/>
            <w:shd w:val="clear" w:color="auto" w:fill="D2D4D9"/>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D2D4D9"/>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D2D4D9"/>
          </w:tcPr>
          <w:p>
            <w:pPr>
              <w:spacing w:after="0"/>
              <w:rPr>
                <w:sz w:val="24"/>
                <w:szCs w:val="24"/>
                <w:color w:val="auto"/>
              </w:rPr>
            </w:pPr>
          </w:p>
        </w:tc>
        <w:tc>
          <w:tcPr>
            <w:tcW w:w="460" w:type="dxa"/>
            <w:vAlign w:val="bottom"/>
            <w:shd w:val="clear" w:color="auto" w:fill="D2D4D9"/>
          </w:tcPr>
          <w:p>
            <w:pPr>
              <w:jc w:val="right"/>
              <w:ind w:right="99"/>
              <w:spacing w:after="0"/>
              <w:rPr>
                <w:sz w:val="20"/>
                <w:szCs w:val="20"/>
                <w:color w:val="auto"/>
              </w:rPr>
            </w:pPr>
            <w:r>
              <w:rPr>
                <w:rFonts w:ascii="Arial" w:cs="Arial" w:eastAsia="Arial" w:hAnsi="Arial"/>
                <w:sz w:val="16"/>
                <w:szCs w:val="16"/>
                <w:color w:val="auto"/>
                <w:w w:val="97"/>
              </w:rPr>
              <w:t>N/A</w:t>
            </w:r>
          </w:p>
        </w:tc>
        <w:tc>
          <w:tcPr>
            <w:tcW w:w="1220" w:type="dxa"/>
            <w:vAlign w:val="bottom"/>
            <w:gridSpan w:val="2"/>
            <w:shd w:val="clear" w:color="auto" w:fill="D2D4D9"/>
          </w:tcPr>
          <w:p>
            <w:pPr>
              <w:jc w:val="right"/>
              <w:ind w:right="121"/>
              <w:spacing w:after="0"/>
              <w:rPr>
                <w:sz w:val="20"/>
                <w:szCs w:val="20"/>
                <w:color w:val="auto"/>
              </w:rPr>
            </w:pPr>
            <w:r>
              <w:rPr>
                <w:rFonts w:ascii="Arial" w:cs="Arial" w:eastAsia="Arial" w:hAnsi="Arial"/>
                <w:sz w:val="16"/>
                <w:szCs w:val="16"/>
                <w:color w:val="auto"/>
              </w:rPr>
              <w:t>$1,993,460</w:t>
            </w:r>
          </w:p>
        </w:tc>
      </w:tr>
      <w:tr>
        <w:trPr>
          <w:trHeight w:val="284"/>
        </w:trPr>
        <w:tc>
          <w:tcPr>
            <w:tcW w:w="4840" w:type="dxa"/>
            <w:vAlign w:val="bottom"/>
            <w:shd w:val="clear" w:color="auto" w:fill="D2D4D9"/>
          </w:tcPr>
          <w:p>
            <w:pPr>
              <w:ind w:left="440"/>
              <w:spacing w:after="0"/>
              <w:rPr>
                <w:sz w:val="20"/>
                <w:szCs w:val="20"/>
                <w:color w:val="auto"/>
              </w:rPr>
            </w:pPr>
            <w:r>
              <w:rPr>
                <w:rFonts w:ascii="Arial" w:cs="Arial" w:eastAsia="Arial" w:hAnsi="Arial"/>
                <w:sz w:val="16"/>
                <w:szCs w:val="16"/>
                <w:color w:val="auto"/>
              </w:rPr>
              <w:t>Disability</w:t>
            </w:r>
          </w:p>
        </w:tc>
        <w:tc>
          <w:tcPr>
            <w:tcW w:w="280" w:type="dxa"/>
            <w:vAlign w:val="bottom"/>
            <w:shd w:val="clear" w:color="auto" w:fill="D2D4D9"/>
          </w:tcPr>
          <w:p>
            <w:pPr>
              <w:ind w:left="200"/>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D2D4D9"/>
          </w:tcPr>
          <w:p>
            <w:pPr>
              <w:spacing w:after="0"/>
              <w:rPr>
                <w:sz w:val="24"/>
                <w:szCs w:val="24"/>
                <w:color w:val="auto"/>
              </w:rPr>
            </w:pPr>
          </w:p>
        </w:tc>
        <w:tc>
          <w:tcPr>
            <w:tcW w:w="680" w:type="dxa"/>
            <w:vAlign w:val="bottom"/>
            <w:shd w:val="clear" w:color="auto" w:fill="D2D4D9"/>
          </w:tcPr>
          <w:p>
            <w:pPr>
              <w:jc w:val="right"/>
              <w:spacing w:after="0"/>
              <w:rPr>
                <w:sz w:val="20"/>
                <w:szCs w:val="20"/>
                <w:color w:val="auto"/>
              </w:rPr>
            </w:pPr>
            <w:r>
              <w:rPr>
                <w:rFonts w:ascii="Arial" w:cs="Arial" w:eastAsia="Arial" w:hAnsi="Arial"/>
                <w:sz w:val="16"/>
                <w:szCs w:val="16"/>
                <w:color w:val="auto"/>
              </w:rPr>
              <w:t>390,384</w:t>
            </w:r>
          </w:p>
        </w:tc>
        <w:tc>
          <w:tcPr>
            <w:tcW w:w="300" w:type="dxa"/>
            <w:vAlign w:val="bottom"/>
            <w:shd w:val="clear" w:color="auto" w:fill="D2D4D9"/>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D2D4D9"/>
          </w:tcPr>
          <w:p>
            <w:pPr>
              <w:spacing w:after="0"/>
              <w:rPr>
                <w:sz w:val="24"/>
                <w:szCs w:val="24"/>
                <w:color w:val="auto"/>
              </w:rPr>
            </w:pPr>
          </w:p>
        </w:tc>
        <w:tc>
          <w:tcPr>
            <w:tcW w:w="700" w:type="dxa"/>
            <w:vAlign w:val="bottom"/>
            <w:shd w:val="clear" w:color="auto" w:fill="D2D4D9"/>
          </w:tcPr>
          <w:p>
            <w:pPr>
              <w:jc w:val="right"/>
              <w:ind w:right="19"/>
              <w:spacing w:after="0"/>
              <w:rPr>
                <w:sz w:val="20"/>
                <w:szCs w:val="20"/>
                <w:color w:val="auto"/>
              </w:rPr>
            </w:pPr>
            <w:r>
              <w:rPr>
                <w:rFonts w:ascii="Arial" w:cs="Arial" w:eastAsia="Arial" w:hAnsi="Arial"/>
                <w:sz w:val="16"/>
                <w:szCs w:val="16"/>
                <w:color w:val="auto"/>
              </w:rPr>
              <w:t>34,403</w:t>
            </w:r>
          </w:p>
        </w:tc>
        <w:tc>
          <w:tcPr>
            <w:tcW w:w="180" w:type="dxa"/>
            <w:vAlign w:val="bottom"/>
            <w:shd w:val="clear" w:color="auto" w:fill="D2D4D9"/>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D2D4D9"/>
          </w:tcPr>
          <w:p>
            <w:pPr>
              <w:spacing w:after="0"/>
              <w:rPr>
                <w:sz w:val="24"/>
                <w:szCs w:val="24"/>
                <w:color w:val="auto"/>
              </w:rPr>
            </w:pPr>
          </w:p>
        </w:tc>
        <w:tc>
          <w:tcPr>
            <w:tcW w:w="860" w:type="dxa"/>
            <w:vAlign w:val="bottom"/>
            <w:shd w:val="clear" w:color="auto" w:fill="D2D4D9"/>
          </w:tcPr>
          <w:p>
            <w:pPr>
              <w:jc w:val="right"/>
              <w:spacing w:after="0"/>
              <w:rPr>
                <w:sz w:val="20"/>
                <w:szCs w:val="20"/>
                <w:color w:val="auto"/>
              </w:rPr>
            </w:pPr>
            <w:r>
              <w:rPr>
                <w:rFonts w:ascii="Arial" w:cs="Arial" w:eastAsia="Arial" w:hAnsi="Arial"/>
                <w:sz w:val="16"/>
                <w:szCs w:val="16"/>
                <w:color w:val="auto"/>
              </w:rPr>
              <w:t>1,993,460</w:t>
            </w:r>
          </w:p>
        </w:tc>
        <w:tc>
          <w:tcPr>
            <w:tcW w:w="300" w:type="dxa"/>
            <w:vAlign w:val="bottom"/>
            <w:shd w:val="clear" w:color="auto" w:fill="D2D4D9"/>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D2D4D9"/>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D2D4D9"/>
          </w:tcPr>
          <w:p>
            <w:pPr>
              <w:spacing w:after="0"/>
              <w:rPr>
                <w:sz w:val="24"/>
                <w:szCs w:val="24"/>
                <w:color w:val="auto"/>
              </w:rPr>
            </w:pPr>
          </w:p>
        </w:tc>
        <w:tc>
          <w:tcPr>
            <w:tcW w:w="460" w:type="dxa"/>
            <w:vAlign w:val="bottom"/>
            <w:shd w:val="clear" w:color="auto" w:fill="D2D4D9"/>
          </w:tcPr>
          <w:p>
            <w:pPr>
              <w:jc w:val="right"/>
              <w:ind w:right="99"/>
              <w:spacing w:after="0"/>
              <w:rPr>
                <w:sz w:val="20"/>
                <w:szCs w:val="20"/>
                <w:color w:val="auto"/>
              </w:rPr>
            </w:pPr>
            <w:r>
              <w:rPr>
                <w:rFonts w:ascii="Arial" w:cs="Arial" w:eastAsia="Arial" w:hAnsi="Arial"/>
                <w:sz w:val="16"/>
                <w:szCs w:val="16"/>
                <w:color w:val="auto"/>
                <w:w w:val="97"/>
              </w:rPr>
              <w:t>N/A</w:t>
            </w:r>
          </w:p>
        </w:tc>
        <w:tc>
          <w:tcPr>
            <w:tcW w:w="1220" w:type="dxa"/>
            <w:vAlign w:val="bottom"/>
            <w:gridSpan w:val="2"/>
            <w:shd w:val="clear" w:color="auto" w:fill="D2D4D9"/>
          </w:tcPr>
          <w:p>
            <w:pPr>
              <w:jc w:val="right"/>
              <w:ind w:right="121"/>
              <w:spacing w:after="0"/>
              <w:rPr>
                <w:sz w:val="20"/>
                <w:szCs w:val="20"/>
                <w:color w:val="auto"/>
              </w:rPr>
            </w:pPr>
            <w:r>
              <w:rPr>
                <w:rFonts w:ascii="Arial" w:cs="Arial" w:eastAsia="Arial" w:hAnsi="Arial"/>
                <w:sz w:val="16"/>
                <w:szCs w:val="16"/>
                <w:color w:val="auto"/>
              </w:rPr>
              <w:t>$2,418,247</w:t>
            </w:r>
          </w:p>
        </w:tc>
      </w:tr>
      <w:tr>
        <w:trPr>
          <w:trHeight w:val="284"/>
        </w:trPr>
        <w:tc>
          <w:tcPr>
            <w:tcW w:w="4840" w:type="dxa"/>
            <w:vAlign w:val="bottom"/>
            <w:shd w:val="clear" w:color="auto" w:fill="D2D4D9"/>
          </w:tcPr>
          <w:p>
            <w:pPr>
              <w:ind w:left="440"/>
              <w:spacing w:after="0"/>
              <w:rPr>
                <w:sz w:val="20"/>
                <w:szCs w:val="20"/>
                <w:color w:val="auto"/>
              </w:rPr>
            </w:pPr>
            <w:r>
              <w:rPr>
                <w:rFonts w:ascii="Arial" w:cs="Arial" w:eastAsia="Arial" w:hAnsi="Arial"/>
                <w:sz w:val="16"/>
                <w:szCs w:val="16"/>
                <w:color w:val="auto"/>
              </w:rPr>
              <w:t>TWOC</w:t>
            </w:r>
          </w:p>
        </w:tc>
        <w:tc>
          <w:tcPr>
            <w:tcW w:w="280" w:type="dxa"/>
            <w:vAlign w:val="bottom"/>
            <w:shd w:val="clear" w:color="auto" w:fill="D2D4D9"/>
          </w:tcPr>
          <w:p>
            <w:pPr>
              <w:ind w:left="200"/>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D2D4D9"/>
          </w:tcPr>
          <w:p>
            <w:pPr>
              <w:spacing w:after="0"/>
              <w:rPr>
                <w:sz w:val="24"/>
                <w:szCs w:val="24"/>
                <w:color w:val="auto"/>
              </w:rPr>
            </w:pPr>
          </w:p>
        </w:tc>
        <w:tc>
          <w:tcPr>
            <w:tcW w:w="680" w:type="dxa"/>
            <w:vAlign w:val="bottom"/>
            <w:shd w:val="clear" w:color="auto" w:fill="D2D4D9"/>
          </w:tcPr>
          <w:p>
            <w:pPr>
              <w:jc w:val="right"/>
              <w:spacing w:after="0"/>
              <w:rPr>
                <w:sz w:val="20"/>
                <w:szCs w:val="20"/>
                <w:color w:val="auto"/>
              </w:rPr>
            </w:pPr>
            <w:r>
              <w:rPr>
                <w:rFonts w:ascii="Arial" w:cs="Arial" w:eastAsia="Arial" w:hAnsi="Arial"/>
                <w:sz w:val="16"/>
                <w:szCs w:val="16"/>
                <w:color w:val="auto"/>
              </w:rPr>
              <w:t>920,313</w:t>
            </w:r>
          </w:p>
        </w:tc>
        <w:tc>
          <w:tcPr>
            <w:tcW w:w="300" w:type="dxa"/>
            <w:vAlign w:val="bottom"/>
            <w:shd w:val="clear" w:color="auto" w:fill="D2D4D9"/>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D2D4D9"/>
          </w:tcPr>
          <w:p>
            <w:pPr>
              <w:spacing w:after="0"/>
              <w:rPr>
                <w:sz w:val="24"/>
                <w:szCs w:val="24"/>
                <w:color w:val="auto"/>
              </w:rPr>
            </w:pPr>
          </w:p>
        </w:tc>
        <w:tc>
          <w:tcPr>
            <w:tcW w:w="700" w:type="dxa"/>
            <w:vAlign w:val="bottom"/>
            <w:shd w:val="clear" w:color="auto" w:fill="D2D4D9"/>
          </w:tcPr>
          <w:p>
            <w:pPr>
              <w:jc w:val="right"/>
              <w:ind w:right="19"/>
              <w:spacing w:after="0"/>
              <w:rPr>
                <w:sz w:val="20"/>
                <w:szCs w:val="20"/>
                <w:color w:val="auto"/>
              </w:rPr>
            </w:pPr>
            <w:r>
              <w:rPr>
                <w:rFonts w:ascii="Arial" w:cs="Arial" w:eastAsia="Arial" w:hAnsi="Arial"/>
                <w:sz w:val="16"/>
                <w:szCs w:val="16"/>
                <w:color w:val="auto"/>
              </w:rPr>
              <w:t>34,403</w:t>
            </w:r>
          </w:p>
        </w:tc>
        <w:tc>
          <w:tcPr>
            <w:tcW w:w="180" w:type="dxa"/>
            <w:vAlign w:val="bottom"/>
            <w:shd w:val="clear" w:color="auto" w:fill="D2D4D9"/>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D2D4D9"/>
          </w:tcPr>
          <w:p>
            <w:pPr>
              <w:spacing w:after="0"/>
              <w:rPr>
                <w:sz w:val="24"/>
                <w:szCs w:val="24"/>
                <w:color w:val="auto"/>
              </w:rPr>
            </w:pPr>
          </w:p>
        </w:tc>
        <w:tc>
          <w:tcPr>
            <w:tcW w:w="860" w:type="dxa"/>
            <w:vAlign w:val="bottom"/>
            <w:shd w:val="clear" w:color="auto" w:fill="D2D4D9"/>
          </w:tcPr>
          <w:p>
            <w:pPr>
              <w:jc w:val="right"/>
              <w:spacing w:after="0"/>
              <w:rPr>
                <w:sz w:val="20"/>
                <w:szCs w:val="20"/>
                <w:color w:val="auto"/>
              </w:rPr>
            </w:pPr>
            <w:r>
              <w:rPr>
                <w:rFonts w:ascii="Arial" w:cs="Arial" w:eastAsia="Arial" w:hAnsi="Arial"/>
                <w:sz w:val="16"/>
                <w:szCs w:val="16"/>
                <w:color w:val="auto"/>
              </w:rPr>
              <w:t>1,993,460</w:t>
            </w:r>
          </w:p>
        </w:tc>
        <w:tc>
          <w:tcPr>
            <w:tcW w:w="300" w:type="dxa"/>
            <w:vAlign w:val="bottom"/>
            <w:shd w:val="clear" w:color="auto" w:fill="D2D4D9"/>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D2D4D9"/>
          </w:tcPr>
          <w:p>
            <w:pPr>
              <w:jc w:val="right"/>
              <w:spacing w:after="0"/>
              <w:rPr>
                <w:sz w:val="20"/>
                <w:szCs w:val="20"/>
                <w:color w:val="auto"/>
              </w:rPr>
            </w:pPr>
            <w:r>
              <w:rPr>
                <w:rFonts w:ascii="Arial" w:cs="Arial" w:eastAsia="Arial" w:hAnsi="Arial"/>
                <w:sz w:val="16"/>
                <w:szCs w:val="16"/>
                <w:color w:val="auto"/>
              </w:rPr>
              <w:t>60,250</w:t>
            </w:r>
          </w:p>
        </w:tc>
        <w:tc>
          <w:tcPr>
            <w:tcW w:w="420" w:type="dxa"/>
            <w:vAlign w:val="bottom"/>
            <w:shd w:val="clear" w:color="auto" w:fill="D2D4D9"/>
          </w:tcPr>
          <w:p>
            <w:pPr>
              <w:spacing w:after="0"/>
              <w:rPr>
                <w:sz w:val="24"/>
                <w:szCs w:val="24"/>
                <w:color w:val="auto"/>
              </w:rPr>
            </w:pPr>
          </w:p>
        </w:tc>
        <w:tc>
          <w:tcPr>
            <w:tcW w:w="460" w:type="dxa"/>
            <w:vAlign w:val="bottom"/>
            <w:shd w:val="clear" w:color="auto" w:fill="D2D4D9"/>
          </w:tcPr>
          <w:p>
            <w:pPr>
              <w:jc w:val="right"/>
              <w:ind w:right="99"/>
              <w:spacing w:after="0"/>
              <w:rPr>
                <w:sz w:val="20"/>
                <w:szCs w:val="20"/>
                <w:color w:val="auto"/>
              </w:rPr>
            </w:pPr>
            <w:r>
              <w:rPr>
                <w:rFonts w:ascii="Arial" w:cs="Arial" w:eastAsia="Arial" w:hAnsi="Arial"/>
                <w:sz w:val="16"/>
                <w:szCs w:val="16"/>
                <w:color w:val="auto"/>
                <w:w w:val="97"/>
              </w:rPr>
              <w:t>N/A</w:t>
            </w:r>
          </w:p>
        </w:tc>
        <w:tc>
          <w:tcPr>
            <w:tcW w:w="1220" w:type="dxa"/>
            <w:vAlign w:val="bottom"/>
            <w:gridSpan w:val="2"/>
            <w:shd w:val="clear" w:color="auto" w:fill="D2D4D9"/>
          </w:tcPr>
          <w:p>
            <w:pPr>
              <w:jc w:val="right"/>
              <w:ind w:right="121"/>
              <w:spacing w:after="0"/>
              <w:rPr>
                <w:sz w:val="20"/>
                <w:szCs w:val="20"/>
                <w:color w:val="auto"/>
              </w:rPr>
            </w:pPr>
            <w:r>
              <w:rPr>
                <w:rFonts w:ascii="Arial" w:cs="Arial" w:eastAsia="Arial" w:hAnsi="Arial"/>
                <w:sz w:val="16"/>
                <w:szCs w:val="16"/>
                <w:color w:val="auto"/>
              </w:rPr>
              <w:t>$3,008,426</w:t>
            </w:r>
          </w:p>
        </w:tc>
      </w:tr>
      <w:tr>
        <w:trPr>
          <w:trHeight w:val="284"/>
        </w:trPr>
        <w:tc>
          <w:tcPr>
            <w:tcW w:w="4840" w:type="dxa"/>
            <w:vAlign w:val="bottom"/>
            <w:shd w:val="clear" w:color="auto" w:fill="D2D4D9"/>
          </w:tcPr>
          <w:p>
            <w:pPr>
              <w:ind w:left="440"/>
              <w:spacing w:after="0"/>
              <w:rPr>
                <w:sz w:val="20"/>
                <w:szCs w:val="20"/>
                <w:color w:val="auto"/>
              </w:rPr>
            </w:pPr>
            <w:r>
              <w:rPr>
                <w:rFonts w:ascii="Arial" w:cs="Arial" w:eastAsia="Arial" w:hAnsi="Arial"/>
                <w:sz w:val="16"/>
                <w:szCs w:val="16"/>
                <w:color w:val="auto"/>
              </w:rPr>
              <w:t>Termination for Cause</w:t>
            </w:r>
          </w:p>
        </w:tc>
        <w:tc>
          <w:tcPr>
            <w:tcW w:w="340" w:type="dxa"/>
            <w:vAlign w:val="bottom"/>
            <w:gridSpan w:val="2"/>
            <w:shd w:val="clear" w:color="auto" w:fill="D2D4D9"/>
          </w:tcPr>
          <w:p>
            <w:pPr>
              <w:ind w:left="220"/>
              <w:spacing w:after="0"/>
              <w:rPr>
                <w:sz w:val="20"/>
                <w:szCs w:val="20"/>
                <w:color w:val="auto"/>
              </w:rPr>
            </w:pPr>
            <w:r>
              <w:rPr>
                <w:rFonts w:ascii="Arial" w:cs="Arial" w:eastAsia="Arial" w:hAnsi="Arial"/>
                <w:sz w:val="16"/>
                <w:szCs w:val="16"/>
                <w:color w:val="auto"/>
              </w:rPr>
              <w:t>$</w:t>
            </w:r>
          </w:p>
        </w:tc>
        <w:tc>
          <w:tcPr>
            <w:tcW w:w="680" w:type="dxa"/>
            <w:vAlign w:val="bottom"/>
            <w:shd w:val="clear" w:color="auto" w:fill="D2D4D9"/>
          </w:tcPr>
          <w:p>
            <w:pPr>
              <w:jc w:val="right"/>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D2D4D9"/>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shd w:val="clear" w:color="auto" w:fill="D2D4D9"/>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D2D4D9"/>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D2D4D9"/>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D2D4D9"/>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D2D4D9"/>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D2D4D9"/>
          </w:tcPr>
          <w:p>
            <w:pPr>
              <w:spacing w:after="0"/>
              <w:rPr>
                <w:sz w:val="24"/>
                <w:szCs w:val="24"/>
                <w:color w:val="auto"/>
              </w:rPr>
            </w:pPr>
          </w:p>
        </w:tc>
        <w:tc>
          <w:tcPr>
            <w:tcW w:w="460" w:type="dxa"/>
            <w:vAlign w:val="bottom"/>
            <w:shd w:val="clear" w:color="auto" w:fill="D2D4D9"/>
          </w:tcPr>
          <w:p>
            <w:pPr>
              <w:jc w:val="right"/>
              <w:ind w:right="99"/>
              <w:spacing w:after="0"/>
              <w:rPr>
                <w:sz w:val="20"/>
                <w:szCs w:val="20"/>
                <w:color w:val="auto"/>
              </w:rPr>
            </w:pPr>
            <w:r>
              <w:rPr>
                <w:rFonts w:ascii="Arial" w:cs="Arial" w:eastAsia="Arial" w:hAnsi="Arial"/>
                <w:sz w:val="16"/>
                <w:szCs w:val="16"/>
                <w:color w:val="auto"/>
                <w:w w:val="97"/>
              </w:rPr>
              <w:t>N/A</w:t>
            </w:r>
          </w:p>
        </w:tc>
        <w:tc>
          <w:tcPr>
            <w:tcW w:w="340" w:type="dxa"/>
            <w:vAlign w:val="bottom"/>
            <w:shd w:val="clear" w:color="auto" w:fill="D2D4D9"/>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D2D4D9"/>
          </w:tcPr>
          <w:p>
            <w:pPr>
              <w:jc w:val="right"/>
              <w:ind w:right="121"/>
              <w:spacing w:after="0"/>
              <w:rPr>
                <w:sz w:val="20"/>
                <w:szCs w:val="20"/>
                <w:color w:val="auto"/>
              </w:rPr>
            </w:pPr>
            <w:r>
              <w:rPr>
                <w:rFonts w:ascii="Arial" w:cs="Arial" w:eastAsia="Arial" w:hAnsi="Arial"/>
                <w:sz w:val="16"/>
                <w:szCs w:val="16"/>
                <w:color w:val="auto"/>
              </w:rPr>
              <w:t>—</w:t>
            </w:r>
          </w:p>
        </w:tc>
      </w:tr>
      <w:tr>
        <w:trPr>
          <w:trHeight w:val="303"/>
        </w:trPr>
        <w:tc>
          <w:tcPr>
            <w:tcW w:w="4840" w:type="dxa"/>
            <w:vAlign w:val="bottom"/>
            <w:shd w:val="clear" w:color="auto" w:fill="D2D4D9"/>
          </w:tcPr>
          <w:p>
            <w:pPr>
              <w:ind w:left="440"/>
              <w:spacing w:after="0" w:line="303" w:lineRule="exact"/>
              <w:rPr>
                <w:sz w:val="20"/>
                <w:szCs w:val="20"/>
                <w:color w:val="auto"/>
              </w:rPr>
            </w:pPr>
            <w:r>
              <w:rPr>
                <w:rFonts w:ascii="Arial" w:cs="Arial" w:eastAsia="Arial" w:hAnsi="Arial"/>
                <w:sz w:val="16"/>
                <w:szCs w:val="16"/>
                <w:color w:val="auto"/>
              </w:rPr>
              <w:t>CIC</w:t>
            </w:r>
            <w:r>
              <w:rPr>
                <w:rFonts w:ascii="Arial" w:cs="Arial" w:eastAsia="Arial" w:hAnsi="Arial"/>
                <w:sz w:val="27"/>
                <w:szCs w:val="27"/>
                <w:color w:val="auto"/>
                <w:vertAlign w:val="superscript"/>
              </w:rPr>
              <w:t>(5)</w:t>
            </w:r>
          </w:p>
        </w:tc>
        <w:tc>
          <w:tcPr>
            <w:tcW w:w="280" w:type="dxa"/>
            <w:vAlign w:val="bottom"/>
            <w:shd w:val="clear" w:color="auto" w:fill="D2D4D9"/>
          </w:tcPr>
          <w:p>
            <w:pPr>
              <w:ind w:left="200"/>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D2D4D9"/>
          </w:tcPr>
          <w:p>
            <w:pPr>
              <w:jc w:val="right"/>
              <w:spacing w:after="0"/>
              <w:rPr>
                <w:sz w:val="20"/>
                <w:szCs w:val="20"/>
                <w:color w:val="auto"/>
              </w:rPr>
            </w:pPr>
            <w:r>
              <w:rPr>
                <w:rFonts w:ascii="Arial" w:cs="Arial" w:eastAsia="Arial" w:hAnsi="Arial"/>
                <w:sz w:val="16"/>
                <w:szCs w:val="16"/>
                <w:color w:val="auto"/>
                <w:w w:val="98"/>
              </w:rPr>
              <w:t>1,840,625</w:t>
            </w:r>
          </w:p>
        </w:tc>
        <w:tc>
          <w:tcPr>
            <w:tcW w:w="300" w:type="dxa"/>
            <w:vAlign w:val="bottom"/>
            <w:shd w:val="clear" w:color="auto" w:fill="D2D4D9"/>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D2D4D9"/>
          </w:tcPr>
          <w:p>
            <w:pPr>
              <w:spacing w:after="0"/>
              <w:rPr>
                <w:sz w:val="24"/>
                <w:szCs w:val="24"/>
                <w:color w:val="auto"/>
              </w:rPr>
            </w:pPr>
          </w:p>
        </w:tc>
        <w:tc>
          <w:tcPr>
            <w:tcW w:w="700" w:type="dxa"/>
            <w:vAlign w:val="bottom"/>
            <w:shd w:val="clear" w:color="auto" w:fill="D2D4D9"/>
          </w:tcPr>
          <w:p>
            <w:pPr>
              <w:jc w:val="right"/>
              <w:ind w:right="19"/>
              <w:spacing w:after="0"/>
              <w:rPr>
                <w:sz w:val="20"/>
                <w:szCs w:val="20"/>
                <w:color w:val="auto"/>
              </w:rPr>
            </w:pPr>
            <w:r>
              <w:rPr>
                <w:rFonts w:ascii="Arial" w:cs="Arial" w:eastAsia="Arial" w:hAnsi="Arial"/>
                <w:sz w:val="16"/>
                <w:szCs w:val="16"/>
                <w:color w:val="auto"/>
              </w:rPr>
              <w:t>68,806</w:t>
            </w:r>
          </w:p>
        </w:tc>
        <w:tc>
          <w:tcPr>
            <w:tcW w:w="180" w:type="dxa"/>
            <w:vAlign w:val="bottom"/>
            <w:shd w:val="clear" w:color="auto" w:fill="D2D4D9"/>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D2D4D9"/>
          </w:tcPr>
          <w:p>
            <w:pPr>
              <w:spacing w:after="0"/>
              <w:rPr>
                <w:sz w:val="24"/>
                <w:szCs w:val="24"/>
                <w:color w:val="auto"/>
              </w:rPr>
            </w:pPr>
          </w:p>
        </w:tc>
        <w:tc>
          <w:tcPr>
            <w:tcW w:w="860" w:type="dxa"/>
            <w:vAlign w:val="bottom"/>
            <w:shd w:val="clear" w:color="auto" w:fill="D2D4D9"/>
          </w:tcPr>
          <w:p>
            <w:pPr>
              <w:jc w:val="right"/>
              <w:spacing w:after="0"/>
              <w:rPr>
                <w:sz w:val="20"/>
                <w:szCs w:val="20"/>
                <w:color w:val="auto"/>
              </w:rPr>
            </w:pPr>
            <w:r>
              <w:rPr>
                <w:rFonts w:ascii="Arial" w:cs="Arial" w:eastAsia="Arial" w:hAnsi="Arial"/>
                <w:sz w:val="16"/>
                <w:szCs w:val="16"/>
                <w:color w:val="auto"/>
              </w:rPr>
              <w:t>1,993,460</w:t>
            </w:r>
          </w:p>
        </w:tc>
        <w:tc>
          <w:tcPr>
            <w:tcW w:w="300" w:type="dxa"/>
            <w:vAlign w:val="bottom"/>
            <w:shd w:val="clear" w:color="auto" w:fill="D2D4D9"/>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D2D4D9"/>
          </w:tcPr>
          <w:p>
            <w:pPr>
              <w:jc w:val="right"/>
              <w:spacing w:after="0"/>
              <w:rPr>
                <w:sz w:val="20"/>
                <w:szCs w:val="20"/>
                <w:color w:val="auto"/>
              </w:rPr>
            </w:pPr>
            <w:r>
              <w:rPr>
                <w:rFonts w:ascii="Arial" w:cs="Arial" w:eastAsia="Arial" w:hAnsi="Arial"/>
                <w:sz w:val="16"/>
                <w:szCs w:val="16"/>
                <w:color w:val="auto"/>
              </w:rPr>
              <w:t>90,375</w:t>
            </w:r>
          </w:p>
        </w:tc>
        <w:tc>
          <w:tcPr>
            <w:tcW w:w="420" w:type="dxa"/>
            <w:vAlign w:val="bottom"/>
            <w:shd w:val="clear" w:color="auto" w:fill="D2D4D9"/>
          </w:tcPr>
          <w:p>
            <w:pPr>
              <w:spacing w:after="0"/>
              <w:rPr>
                <w:sz w:val="24"/>
                <w:szCs w:val="24"/>
                <w:color w:val="auto"/>
              </w:rPr>
            </w:pPr>
          </w:p>
        </w:tc>
        <w:tc>
          <w:tcPr>
            <w:tcW w:w="460" w:type="dxa"/>
            <w:vAlign w:val="bottom"/>
            <w:shd w:val="clear" w:color="auto" w:fill="D2D4D9"/>
          </w:tcPr>
          <w:p>
            <w:pPr>
              <w:jc w:val="right"/>
              <w:ind w:right="99"/>
              <w:spacing w:after="0"/>
              <w:rPr>
                <w:sz w:val="20"/>
                <w:szCs w:val="20"/>
                <w:color w:val="auto"/>
              </w:rPr>
            </w:pPr>
            <w:r>
              <w:rPr>
                <w:rFonts w:ascii="Arial" w:cs="Arial" w:eastAsia="Arial" w:hAnsi="Arial"/>
                <w:sz w:val="16"/>
                <w:szCs w:val="16"/>
                <w:color w:val="auto"/>
                <w:w w:val="97"/>
              </w:rPr>
              <w:t>N/A</w:t>
            </w:r>
          </w:p>
        </w:tc>
        <w:tc>
          <w:tcPr>
            <w:tcW w:w="1220" w:type="dxa"/>
            <w:vAlign w:val="bottom"/>
            <w:gridSpan w:val="2"/>
            <w:shd w:val="clear" w:color="auto" w:fill="D2D4D9"/>
          </w:tcPr>
          <w:p>
            <w:pPr>
              <w:jc w:val="right"/>
              <w:ind w:right="121"/>
              <w:spacing w:after="0"/>
              <w:rPr>
                <w:sz w:val="20"/>
                <w:szCs w:val="20"/>
                <w:color w:val="auto"/>
              </w:rPr>
            </w:pPr>
            <w:r>
              <w:rPr>
                <w:rFonts w:ascii="Arial" w:cs="Arial" w:eastAsia="Arial" w:hAnsi="Arial"/>
                <w:sz w:val="16"/>
                <w:szCs w:val="16"/>
                <w:color w:val="auto"/>
              </w:rPr>
              <w:t>$3,993,266</w:t>
            </w:r>
          </w:p>
        </w:tc>
      </w:tr>
      <w:tr>
        <w:trPr>
          <w:trHeight w:val="278"/>
        </w:trPr>
        <w:tc>
          <w:tcPr>
            <w:tcW w:w="4840" w:type="dxa"/>
            <w:vAlign w:val="bottom"/>
          </w:tcPr>
          <w:p>
            <w:pPr>
              <w:ind w:left="80"/>
              <w:spacing w:after="0"/>
              <w:rPr>
                <w:sz w:val="20"/>
                <w:szCs w:val="20"/>
                <w:color w:val="auto"/>
              </w:rPr>
            </w:pPr>
            <w:r>
              <w:rPr>
                <w:rFonts w:ascii="Arial" w:cs="Arial" w:eastAsia="Arial" w:hAnsi="Arial"/>
                <w:sz w:val="16"/>
                <w:szCs w:val="16"/>
                <w:color w:val="auto"/>
              </w:rPr>
              <w:t>Dawn M. Becker</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84"/>
        </w:trPr>
        <w:tc>
          <w:tcPr>
            <w:tcW w:w="4840" w:type="dxa"/>
            <w:vAlign w:val="bottom"/>
          </w:tcPr>
          <w:p>
            <w:pPr>
              <w:ind w:left="440"/>
              <w:spacing w:after="0"/>
              <w:rPr>
                <w:sz w:val="20"/>
                <w:szCs w:val="20"/>
                <w:color w:val="auto"/>
              </w:rPr>
            </w:pPr>
            <w:r>
              <w:rPr>
                <w:rFonts w:ascii="Arial" w:cs="Arial" w:eastAsia="Arial" w:hAnsi="Arial"/>
                <w:sz w:val="16"/>
                <w:szCs w:val="16"/>
                <w:color w:val="auto"/>
              </w:rPr>
              <w:t>Death</w:t>
            </w:r>
          </w:p>
        </w:tc>
        <w:tc>
          <w:tcPr>
            <w:tcW w:w="34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1,354,155</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4"/>
                <w:szCs w:val="24"/>
                <w:color w:val="auto"/>
              </w:rPr>
            </w:pPr>
          </w:p>
        </w:tc>
        <w:tc>
          <w:tcPr>
            <w:tcW w:w="460" w:type="dxa"/>
            <w:vAlign w:val="bottom"/>
          </w:tcPr>
          <w:p>
            <w:pPr>
              <w:jc w:val="right"/>
              <w:ind w:right="99"/>
              <w:spacing w:after="0"/>
              <w:rPr>
                <w:sz w:val="20"/>
                <w:szCs w:val="20"/>
                <w:color w:val="auto"/>
              </w:rPr>
            </w:pPr>
            <w:r>
              <w:rPr>
                <w:rFonts w:ascii="Arial" w:cs="Arial" w:eastAsia="Arial" w:hAnsi="Arial"/>
                <w:sz w:val="16"/>
                <w:szCs w:val="16"/>
                <w:color w:val="auto"/>
                <w:w w:val="97"/>
              </w:rPr>
              <w:t>N/A</w:t>
            </w:r>
          </w:p>
        </w:tc>
        <w:tc>
          <w:tcPr>
            <w:tcW w:w="1220" w:type="dxa"/>
            <w:vAlign w:val="bottom"/>
            <w:gridSpan w:val="2"/>
          </w:tcPr>
          <w:p>
            <w:pPr>
              <w:jc w:val="right"/>
              <w:ind w:right="121"/>
              <w:spacing w:after="0"/>
              <w:rPr>
                <w:sz w:val="20"/>
                <w:szCs w:val="20"/>
                <w:color w:val="auto"/>
              </w:rPr>
            </w:pPr>
            <w:r>
              <w:rPr>
                <w:rFonts w:ascii="Arial" w:cs="Arial" w:eastAsia="Arial" w:hAnsi="Arial"/>
                <w:sz w:val="16"/>
                <w:szCs w:val="16"/>
                <w:color w:val="auto"/>
              </w:rPr>
              <w:t>$1,354,155</w:t>
            </w:r>
          </w:p>
        </w:tc>
      </w:tr>
      <w:tr>
        <w:trPr>
          <w:trHeight w:val="284"/>
        </w:trPr>
        <w:tc>
          <w:tcPr>
            <w:tcW w:w="4840" w:type="dxa"/>
            <w:vAlign w:val="bottom"/>
          </w:tcPr>
          <w:p>
            <w:pPr>
              <w:ind w:left="440"/>
              <w:spacing w:after="0"/>
              <w:rPr>
                <w:sz w:val="20"/>
                <w:szCs w:val="20"/>
                <w:color w:val="auto"/>
              </w:rPr>
            </w:pPr>
            <w:r>
              <w:rPr>
                <w:rFonts w:ascii="Arial" w:cs="Arial" w:eastAsia="Arial" w:hAnsi="Arial"/>
                <w:sz w:val="16"/>
                <w:szCs w:val="16"/>
                <w:color w:val="auto"/>
              </w:rPr>
              <w:t>Disability</w:t>
            </w:r>
          </w:p>
        </w:tc>
        <w:tc>
          <w:tcPr>
            <w:tcW w:w="280" w:type="dxa"/>
            <w:vAlign w:val="bottom"/>
          </w:tcPr>
          <w:p>
            <w:pPr>
              <w:ind w:left="200"/>
              <w:spacing w:after="0"/>
              <w:rPr>
                <w:sz w:val="20"/>
                <w:szCs w:val="20"/>
                <w:color w:val="auto"/>
              </w:rPr>
            </w:pPr>
            <w:r>
              <w:rPr>
                <w:rFonts w:ascii="Arial" w:cs="Arial" w:eastAsia="Arial" w:hAnsi="Arial"/>
                <w:sz w:val="15"/>
                <w:szCs w:val="15"/>
                <w:color w:val="auto"/>
                <w:w w:val="71"/>
              </w:rPr>
              <w:t>$</w:t>
            </w:r>
          </w:p>
        </w:tc>
        <w:tc>
          <w:tcPr>
            <w:tcW w:w="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324,976</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14,321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1,354,155</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4"/>
                <w:szCs w:val="24"/>
                <w:color w:val="auto"/>
              </w:rPr>
            </w:pPr>
          </w:p>
        </w:tc>
        <w:tc>
          <w:tcPr>
            <w:tcW w:w="460" w:type="dxa"/>
            <w:vAlign w:val="bottom"/>
          </w:tcPr>
          <w:p>
            <w:pPr>
              <w:jc w:val="right"/>
              <w:ind w:right="99"/>
              <w:spacing w:after="0"/>
              <w:rPr>
                <w:sz w:val="20"/>
                <w:szCs w:val="20"/>
                <w:color w:val="auto"/>
              </w:rPr>
            </w:pPr>
            <w:r>
              <w:rPr>
                <w:rFonts w:ascii="Arial" w:cs="Arial" w:eastAsia="Arial" w:hAnsi="Arial"/>
                <w:sz w:val="16"/>
                <w:szCs w:val="16"/>
                <w:color w:val="auto"/>
                <w:w w:val="97"/>
              </w:rPr>
              <w:t>N/A</w:t>
            </w:r>
          </w:p>
        </w:tc>
        <w:tc>
          <w:tcPr>
            <w:tcW w:w="1220" w:type="dxa"/>
            <w:vAlign w:val="bottom"/>
            <w:gridSpan w:val="2"/>
          </w:tcPr>
          <w:p>
            <w:pPr>
              <w:jc w:val="right"/>
              <w:ind w:right="121"/>
              <w:spacing w:after="0"/>
              <w:rPr>
                <w:sz w:val="20"/>
                <w:szCs w:val="20"/>
                <w:color w:val="auto"/>
              </w:rPr>
            </w:pPr>
            <w:r>
              <w:rPr>
                <w:rFonts w:ascii="Arial" w:cs="Arial" w:eastAsia="Arial" w:hAnsi="Arial"/>
                <w:sz w:val="16"/>
                <w:szCs w:val="16"/>
                <w:color w:val="auto"/>
              </w:rPr>
              <w:t>$1,693,452</w:t>
            </w:r>
          </w:p>
        </w:tc>
      </w:tr>
      <w:tr>
        <w:trPr>
          <w:trHeight w:val="284"/>
        </w:trPr>
        <w:tc>
          <w:tcPr>
            <w:tcW w:w="4840" w:type="dxa"/>
            <w:vAlign w:val="bottom"/>
          </w:tcPr>
          <w:p>
            <w:pPr>
              <w:ind w:left="440"/>
              <w:spacing w:after="0"/>
              <w:rPr>
                <w:sz w:val="20"/>
                <w:szCs w:val="20"/>
                <w:color w:val="auto"/>
              </w:rPr>
            </w:pPr>
            <w:r>
              <w:rPr>
                <w:rFonts w:ascii="Arial" w:cs="Arial" w:eastAsia="Arial" w:hAnsi="Arial"/>
                <w:sz w:val="16"/>
                <w:szCs w:val="16"/>
                <w:color w:val="auto"/>
              </w:rPr>
              <w:t>TWOC</w:t>
            </w:r>
          </w:p>
        </w:tc>
        <w:tc>
          <w:tcPr>
            <w:tcW w:w="280" w:type="dxa"/>
            <w:vAlign w:val="bottom"/>
          </w:tcPr>
          <w:p>
            <w:pPr>
              <w:ind w:left="200"/>
              <w:spacing w:after="0"/>
              <w:rPr>
                <w:sz w:val="20"/>
                <w:szCs w:val="20"/>
                <w:color w:val="auto"/>
              </w:rPr>
            </w:pPr>
            <w:r>
              <w:rPr>
                <w:rFonts w:ascii="Arial" w:cs="Arial" w:eastAsia="Arial" w:hAnsi="Arial"/>
                <w:sz w:val="15"/>
                <w:szCs w:val="15"/>
                <w:color w:val="auto"/>
                <w:w w:val="71"/>
              </w:rPr>
              <w:t>$</w:t>
            </w:r>
          </w:p>
        </w:tc>
        <w:tc>
          <w:tcPr>
            <w:tcW w:w="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871,875</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10,741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1,354,155</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60,250</w:t>
            </w:r>
          </w:p>
        </w:tc>
        <w:tc>
          <w:tcPr>
            <w:tcW w:w="420" w:type="dxa"/>
            <w:vAlign w:val="bottom"/>
          </w:tcPr>
          <w:p>
            <w:pPr>
              <w:spacing w:after="0"/>
              <w:rPr>
                <w:sz w:val="24"/>
                <w:szCs w:val="24"/>
                <w:color w:val="auto"/>
              </w:rPr>
            </w:pPr>
          </w:p>
        </w:tc>
        <w:tc>
          <w:tcPr>
            <w:tcW w:w="460" w:type="dxa"/>
            <w:vAlign w:val="bottom"/>
          </w:tcPr>
          <w:p>
            <w:pPr>
              <w:jc w:val="right"/>
              <w:ind w:right="99"/>
              <w:spacing w:after="0"/>
              <w:rPr>
                <w:sz w:val="20"/>
                <w:szCs w:val="20"/>
                <w:color w:val="auto"/>
              </w:rPr>
            </w:pPr>
            <w:r>
              <w:rPr>
                <w:rFonts w:ascii="Arial" w:cs="Arial" w:eastAsia="Arial" w:hAnsi="Arial"/>
                <w:sz w:val="16"/>
                <w:szCs w:val="16"/>
                <w:color w:val="auto"/>
                <w:w w:val="97"/>
              </w:rPr>
              <w:t>N/A</w:t>
            </w:r>
          </w:p>
        </w:tc>
        <w:tc>
          <w:tcPr>
            <w:tcW w:w="1220" w:type="dxa"/>
            <w:vAlign w:val="bottom"/>
            <w:gridSpan w:val="2"/>
          </w:tcPr>
          <w:p>
            <w:pPr>
              <w:jc w:val="right"/>
              <w:ind w:right="121"/>
              <w:spacing w:after="0"/>
              <w:rPr>
                <w:sz w:val="20"/>
                <w:szCs w:val="20"/>
                <w:color w:val="auto"/>
              </w:rPr>
            </w:pPr>
            <w:r>
              <w:rPr>
                <w:rFonts w:ascii="Arial" w:cs="Arial" w:eastAsia="Arial" w:hAnsi="Arial"/>
                <w:sz w:val="16"/>
                <w:szCs w:val="16"/>
                <w:color w:val="auto"/>
              </w:rPr>
              <w:t>$2,297,021</w:t>
            </w:r>
          </w:p>
        </w:tc>
      </w:tr>
      <w:tr>
        <w:trPr>
          <w:trHeight w:val="284"/>
        </w:trPr>
        <w:tc>
          <w:tcPr>
            <w:tcW w:w="4840" w:type="dxa"/>
            <w:vAlign w:val="bottom"/>
          </w:tcPr>
          <w:p>
            <w:pPr>
              <w:ind w:left="440"/>
              <w:spacing w:after="0"/>
              <w:rPr>
                <w:sz w:val="20"/>
                <w:szCs w:val="20"/>
                <w:color w:val="auto"/>
              </w:rPr>
            </w:pPr>
            <w:r>
              <w:rPr>
                <w:rFonts w:ascii="Arial" w:cs="Arial" w:eastAsia="Arial" w:hAnsi="Arial"/>
                <w:sz w:val="16"/>
                <w:szCs w:val="16"/>
                <w:color w:val="auto"/>
              </w:rPr>
              <w:t>Termination for Cause</w:t>
            </w:r>
          </w:p>
        </w:tc>
        <w:tc>
          <w:tcPr>
            <w:tcW w:w="280" w:type="dxa"/>
            <w:vAlign w:val="bottom"/>
          </w:tcPr>
          <w:p>
            <w:pPr>
              <w:ind w:left="200"/>
              <w:spacing w:after="0"/>
              <w:rPr>
                <w:sz w:val="20"/>
                <w:szCs w:val="20"/>
                <w:color w:val="auto"/>
              </w:rPr>
            </w:pPr>
            <w:r>
              <w:rPr>
                <w:rFonts w:ascii="Arial" w:cs="Arial" w:eastAsia="Arial" w:hAnsi="Arial"/>
                <w:sz w:val="15"/>
                <w:szCs w:val="15"/>
                <w:color w:val="auto"/>
                <w:w w:val="71"/>
              </w:rPr>
              <w:t>$</w:t>
            </w:r>
          </w:p>
        </w:tc>
        <w:tc>
          <w:tcPr>
            <w:tcW w:w="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225,000</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7,160</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4"/>
                <w:szCs w:val="24"/>
                <w:color w:val="auto"/>
              </w:rPr>
            </w:pPr>
          </w:p>
        </w:tc>
        <w:tc>
          <w:tcPr>
            <w:tcW w:w="460" w:type="dxa"/>
            <w:vAlign w:val="bottom"/>
          </w:tcPr>
          <w:p>
            <w:pPr>
              <w:jc w:val="right"/>
              <w:ind w:right="99"/>
              <w:spacing w:after="0"/>
              <w:rPr>
                <w:sz w:val="20"/>
                <w:szCs w:val="20"/>
                <w:color w:val="auto"/>
              </w:rPr>
            </w:pPr>
            <w:r>
              <w:rPr>
                <w:rFonts w:ascii="Arial" w:cs="Arial" w:eastAsia="Arial" w:hAnsi="Arial"/>
                <w:sz w:val="16"/>
                <w:szCs w:val="16"/>
                <w:color w:val="auto"/>
                <w:w w:val="97"/>
              </w:rPr>
              <w:t>N/A</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21"/>
              <w:spacing w:after="0"/>
              <w:rPr>
                <w:sz w:val="20"/>
                <w:szCs w:val="20"/>
                <w:color w:val="auto"/>
              </w:rPr>
            </w:pPr>
            <w:r>
              <w:rPr>
                <w:rFonts w:ascii="Arial" w:cs="Arial" w:eastAsia="Arial" w:hAnsi="Arial"/>
                <w:sz w:val="16"/>
                <w:szCs w:val="16"/>
                <w:color w:val="auto"/>
              </w:rPr>
              <w:t>232,160</w:t>
            </w:r>
          </w:p>
        </w:tc>
      </w:tr>
      <w:tr>
        <w:trPr>
          <w:trHeight w:val="436"/>
        </w:trPr>
        <w:tc>
          <w:tcPr>
            <w:tcW w:w="4840" w:type="dxa"/>
            <w:vAlign w:val="bottom"/>
          </w:tcPr>
          <w:p>
            <w:pPr>
              <w:ind w:left="440"/>
              <w:spacing w:after="0"/>
              <w:rPr>
                <w:sz w:val="20"/>
                <w:szCs w:val="20"/>
                <w:color w:val="auto"/>
              </w:rPr>
            </w:pPr>
            <w:r>
              <w:rPr>
                <w:rFonts w:ascii="Arial" w:cs="Arial" w:eastAsia="Arial" w:hAnsi="Arial"/>
                <w:sz w:val="16"/>
                <w:szCs w:val="16"/>
                <w:color w:val="auto"/>
              </w:rPr>
              <w:t>CIC</w:t>
            </w:r>
            <w:r>
              <w:rPr>
                <w:rFonts w:ascii="Arial" w:cs="Arial" w:eastAsia="Arial" w:hAnsi="Arial"/>
                <w:sz w:val="27"/>
                <w:szCs w:val="27"/>
                <w:color w:val="auto"/>
                <w:vertAlign w:val="superscript"/>
              </w:rPr>
              <w:t>(5)</w:t>
            </w:r>
          </w:p>
        </w:tc>
        <w:tc>
          <w:tcPr>
            <w:tcW w:w="280" w:type="dxa"/>
            <w:vAlign w:val="bottom"/>
          </w:tcPr>
          <w:p>
            <w:pPr>
              <w:ind w:left="200"/>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w w:val="98"/>
              </w:rPr>
              <w:t>1,743,750</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28,642</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1,354,155</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90,375</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21"/>
              <w:spacing w:after="0"/>
              <w:rPr>
                <w:sz w:val="20"/>
                <w:szCs w:val="20"/>
                <w:color w:val="auto"/>
              </w:rPr>
            </w:pPr>
            <w:r>
              <w:rPr>
                <w:rFonts w:ascii="Arial" w:cs="Arial" w:eastAsia="Arial" w:hAnsi="Arial"/>
                <w:sz w:val="16"/>
                <w:szCs w:val="16"/>
                <w:color w:val="auto"/>
              </w:rPr>
              <w:t>$3,216,922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1905</wp:posOffset>
            </wp:positionV>
            <wp:extent cx="69469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36" w:lineRule="exact"/>
        <w:rPr>
          <w:sz w:val="20"/>
          <w:szCs w:val="20"/>
          <w:color w:val="auto"/>
        </w:rPr>
      </w:pPr>
    </w:p>
    <w:p>
      <w:pPr>
        <w:jc w:val="both"/>
        <w:ind w:left="640" w:right="20" w:hanging="436"/>
        <w:spacing w:after="0" w:line="234"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 disability, payments are for 1 year in an amount equal to the difference between then current salary and the amount of any payments received under any disability policy we maintained plus a tax gross-up on non-tax exempt payments. The estimated tax gross-ups included in these amounts are $564,525 for Mr. Wood, $143,384 for Mr. Guglielmone and $102,976 for Ms. Becker. For termination without cause (“TWOC”), payments are 1.5 times the highest annual base salary and annual bonus paid during the prior 3-year period for Mr. Wood and 1.0 times that amount for Mr. Guglielmone and Ms. Becker. For termination for cause, the payments equal 1 month of base salary for each year of employment greater than 5 years, capped at a total of 6 months. For change in control (“CIC”), the payments equal 3.0 times the highest annual base salary and annual bonus paid during the prior 3-year period for Mr. Wood and 2.0 times that amount for Mr. Guglielmone and Ms. Becker.</w:t>
      </w:r>
    </w:p>
    <w:p>
      <w:pPr>
        <w:spacing w:after="0" w:line="6" w:lineRule="exact"/>
        <w:rPr>
          <w:rFonts w:ascii="Arial" w:cs="Arial" w:eastAsia="Arial" w:hAnsi="Arial"/>
          <w:sz w:val="18"/>
          <w:szCs w:val="18"/>
          <w:color w:val="auto"/>
        </w:rPr>
      </w:pPr>
    </w:p>
    <w:p>
      <w:pPr>
        <w:jc w:val="both"/>
        <w:ind w:left="640" w:right="20" w:hanging="436"/>
        <w:spacing w:after="0" w:line="234"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Amounts in this column represent our estimate of the COBRA equivalent to provide the same benefits as being provided to each NEO at December 31, 2018 for a period of: (a) 1 year in the event of disability for each of our NEOs; (b) 6 months for Mr. Wood and Ms. Becker on a termination with cause; (c) 9 months for Mr. Wood and Ms. Becker and 12 months for Mr. Guglielmone on a TWOC; and (d) 3 years for Mr. Wood and 2 years for Mr. Guglielmone and Ms. Becker on a CIC. These estimates were determined by us with input from our health insurance broker and health coverage insurer to confirm that our estimate was consistent with the market cost of providing a stand-alone health insurance program with similar coverage. Because our health insurance program includes a self-insured retention, we use the COBRA equivalent as a reasonable estimate of the potential costs for these benefits. For Mr. Wood, this column also includes the following estimated costs (calculated in accordance with Generally Accepted Accounting Principles) pursuant to the Health Continuation Coverage Agreement with Mr. Wood: $1,688,000 in the event of death; $2,169,000 in the event of disability; and $2,212,000 in the event of termination without cause and change in control.</w:t>
      </w:r>
    </w:p>
    <w:p>
      <w:pPr>
        <w:spacing w:after="0" w:line="7" w:lineRule="exact"/>
        <w:rPr>
          <w:rFonts w:ascii="Arial" w:cs="Arial" w:eastAsia="Arial" w:hAnsi="Arial"/>
          <w:sz w:val="18"/>
          <w:szCs w:val="18"/>
          <w:color w:val="auto"/>
        </w:rPr>
      </w:pPr>
    </w:p>
    <w:p>
      <w:pPr>
        <w:jc w:val="both"/>
        <w:ind w:left="640" w:right="20" w:hanging="436"/>
        <w:spacing w:after="0" w:line="234"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unvested Shares and options held by our NEOs will vest in the event of death, disability, TWOC or CIC. Amounts in this column were calculated by multiplying the number of unvested Shares and options that vest on the occurrence of the specified event as of December 31, 2018 by the value for each Share and option determined in accordance with the FASB ASC Topic 718.</w:t>
      </w:r>
    </w:p>
    <w:p>
      <w:pPr>
        <w:spacing w:after="0" w:line="2" w:lineRule="exact"/>
        <w:rPr>
          <w:rFonts w:ascii="Arial" w:cs="Arial" w:eastAsia="Arial" w:hAnsi="Arial"/>
          <w:sz w:val="18"/>
          <w:szCs w:val="18"/>
          <w:color w:val="auto"/>
        </w:rPr>
      </w:pPr>
    </w:p>
    <w:p>
      <w:pPr>
        <w:jc w:val="both"/>
        <w:ind w:left="640" w:right="20" w:hanging="436"/>
        <w:spacing w:after="0" w:line="239"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Amounts in this column are estimated costs for the following: (a) a full-time administrative assistant and outplacement assistance for a period of 6 months in the event of a TWOC for each of our NEOs and for a period of 12 months for Mr. Wood and 9 months for Mr. Guglielmone and Ms. Becker in the event of a CIC; and (b) use of a company vehicle for three years for Mr. Wood in the event of a CIC should he choose to use that benefit.</w:t>
      </w:r>
    </w:p>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240" w:top="459" w:right="4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640" w:right="20" w:hanging="436"/>
        <w:spacing w:after="0" w:line="238"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Under our 2010 Performance Incentive Plan (“2010 Plan”), a CIC is deemed to have occurred when a person acquires a 20% interest in us, or our current Trustees, or those subsequently approved by our current Trustees, constitute less than 2/3 of our Board. Upon a CIC, each NEO is entitled to receive payments and benefits so long as he or she (a) is terminated from employment by the Trust other than for cause or leaves for good reason within 2 years after the change of control or (b) as to Mr. Wood and Ms. Becker only, he or she voluntarily leaves employment within the 30 day window following the 1-year anniversary of the CIC.</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COMPENSATION COMMITTEE INTERLOCKS AND INSIDER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8" w:lineRule="exact"/>
        <w:rPr>
          <w:sz w:val="20"/>
          <w:szCs w:val="20"/>
          <w:color w:val="auto"/>
        </w:rPr>
      </w:pPr>
    </w:p>
    <w:p>
      <w:pPr>
        <w:jc w:val="both"/>
        <w:ind w:left="200" w:right="20"/>
        <w:spacing w:after="0"/>
        <w:rPr>
          <w:sz w:val="20"/>
          <w:szCs w:val="20"/>
          <w:color w:val="auto"/>
        </w:rPr>
      </w:pPr>
      <w:r>
        <w:rPr>
          <w:rFonts w:ascii="Arial" w:cs="Arial" w:eastAsia="Arial" w:hAnsi="Arial"/>
          <w:sz w:val="18"/>
          <w:szCs w:val="18"/>
          <w:color w:val="auto"/>
        </w:rPr>
        <w:t>The Compensation Committee consists of Mr. Faeder, Ms. Holland, Ms. Steinel and Mr. Vassalluzzo. There are no Compensation Committee interlocks and no member of the Compensation Committee serves, or has in the past served, as an employee or officer of the Trust.</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CEO 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45" w:lineRule="exact"/>
        <w:rPr>
          <w:sz w:val="20"/>
          <w:szCs w:val="20"/>
          <w:color w:val="auto"/>
        </w:rPr>
      </w:pPr>
    </w:p>
    <w:p>
      <w:pPr>
        <w:jc w:val="both"/>
        <w:ind w:left="200" w:right="20"/>
        <w:spacing w:after="0" w:line="236" w:lineRule="auto"/>
        <w:rPr>
          <w:sz w:val="20"/>
          <w:szCs w:val="20"/>
          <w:color w:val="auto"/>
        </w:rPr>
      </w:pPr>
      <w:r>
        <w:rPr>
          <w:rFonts w:ascii="Arial" w:cs="Arial" w:eastAsia="Arial" w:hAnsi="Arial"/>
          <w:sz w:val="18"/>
          <w:szCs w:val="18"/>
          <w:color w:val="auto"/>
        </w:rPr>
        <w:t>Our compensation and benefit programs are substantially similar throughout the company and are designed to reward all employees who contribute to our success with a total compensation package that is competitive in the marketplace for each employee’s position and performance. We are required to calculate and disclose the compensation of our median paid employee as well as the ratio of the total compensation of our median paid employee to the compensation paid to our CEO annually. Although not required to do so, we re-assessed the determination of our median employee as of December 31, 2018. We made that determination using the same approach as was used in 2017 which was based on our total employee population as of December 31, 2018, excluding our CEO, which included 304 full-time and part-time employees ranging from executive vice presidents to landscapers and maintenance technicians. For the determination, we used annual base pay plus annual bonus at target levels plus overtime actually paid, the combination of which we believe most closely approximates the total annual direct compensation of our employees. For purposes of the calculation, base pay was annualized for the 25 employees who started with us in 2018. No other adjustments were made. This determination resulted in identifying the same median employee as we used in 2017.</w:t>
      </w:r>
    </w:p>
    <w:p>
      <w:pPr>
        <w:spacing w:after="0" w:line="206" w:lineRule="exact"/>
        <w:rPr>
          <w:sz w:val="20"/>
          <w:szCs w:val="20"/>
          <w:color w:val="auto"/>
        </w:rPr>
      </w:pPr>
    </w:p>
    <w:p>
      <w:pPr>
        <w:jc w:val="both"/>
        <w:ind w:left="200" w:right="20"/>
        <w:spacing w:after="0" w:line="239" w:lineRule="auto"/>
        <w:rPr>
          <w:sz w:val="20"/>
          <w:szCs w:val="20"/>
          <w:color w:val="auto"/>
        </w:rPr>
      </w:pPr>
      <w:r>
        <w:rPr>
          <w:rFonts w:ascii="Arial" w:cs="Arial" w:eastAsia="Arial" w:hAnsi="Arial"/>
          <w:sz w:val="18"/>
          <w:szCs w:val="18"/>
          <w:color w:val="auto"/>
        </w:rPr>
        <w:t>The actual total annual compensation of our Chief Executive Officer and median paid employee for 2018 was calculated in accordance with the requirements of the Summary Compensation Table included in this proxy statement. Based on this methodology, we have determined that the total annual compensation paid to our Chief Executive Officer in 2018 was $7,464,182 and the total annual compensation paid to our median paid employee in 2018 was $108,562 resulting in a ratio of 69:1.</w:t>
      </w:r>
    </w:p>
    <w:p>
      <w:pPr>
        <w:spacing w:after="0" w:line="161" w:lineRule="exact"/>
        <w:rPr>
          <w:sz w:val="20"/>
          <w:szCs w:val="20"/>
          <w:color w:val="auto"/>
        </w:rPr>
      </w:pPr>
    </w:p>
    <w:p>
      <w:pPr>
        <w:jc w:val="both"/>
        <w:ind w:left="200" w:right="20"/>
        <w:spacing w:after="0" w:line="238" w:lineRule="auto"/>
        <w:rPr>
          <w:sz w:val="20"/>
          <w:szCs w:val="20"/>
          <w:color w:val="auto"/>
        </w:rPr>
      </w:pPr>
      <w:r>
        <w:rPr>
          <w:rFonts w:ascii="Arial" w:cs="Arial" w:eastAsia="Arial" w:hAnsi="Arial"/>
          <w:sz w:val="18"/>
          <w:szCs w:val="18"/>
          <w:color w:val="auto"/>
        </w:rPr>
        <w:t>We calculated our pay ratio in accordance with SEC rules; however, those rules allow companies discretion in methodologies used to identify the median paid employee and the compensation used to determine the median paid employee. As a result, this ratio is unique to our company. Other companies may make their determinations differently so that the ratio may not be comparable across companies. We believe our ratio is a reasonable estimate. Our ratio is very heavily influenced by what employees/services we choose to provide through employees as opposed to through third parties who are not taken into account in the calculation of the pay ratio.</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8" w:lineRule="exact"/>
        <w:rPr>
          <w:sz w:val="20"/>
          <w:szCs w:val="20"/>
          <w:color w:val="auto"/>
        </w:rPr>
      </w:pPr>
    </w:p>
    <w:p>
      <w:pPr>
        <w:jc w:val="both"/>
        <w:ind w:left="200" w:right="20"/>
        <w:spacing w:after="0" w:line="246" w:lineRule="auto"/>
        <w:rPr>
          <w:sz w:val="20"/>
          <w:szCs w:val="20"/>
          <w:color w:val="auto"/>
        </w:rPr>
      </w:pPr>
      <w:r>
        <w:rPr>
          <w:rFonts w:ascii="Arial" w:cs="Arial" w:eastAsia="Arial" w:hAnsi="Arial"/>
          <w:sz w:val="18"/>
          <w:szCs w:val="18"/>
          <w:color w:val="auto"/>
        </w:rPr>
        <w:t>The following table provides information as of December 31, 2018 regarding our 2010 Plan, the only equity compensation plan we have in place, which was approved by our shareholders.</w:t>
      </w:r>
    </w:p>
    <w:p>
      <w:pPr>
        <w:spacing w:after="0" w:line="225"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4280" w:type="dxa"/>
            <w:vAlign w:val="bottom"/>
            <w:shd w:val="clear" w:color="auto" w:fill="1F2A44"/>
          </w:tcPr>
          <w:p>
            <w:pPr>
              <w:spacing w:after="0"/>
              <w:rPr>
                <w:sz w:val="18"/>
                <w:szCs w:val="18"/>
                <w:color w:val="auto"/>
              </w:rPr>
            </w:pPr>
          </w:p>
        </w:tc>
        <w:tc>
          <w:tcPr>
            <w:tcW w:w="2040" w:type="dxa"/>
            <w:vAlign w:val="bottom"/>
            <w:shd w:val="clear" w:color="auto" w:fill="1F2A44"/>
          </w:tcPr>
          <w:p>
            <w:pPr>
              <w:jc w:val="center"/>
              <w:spacing w:after="0"/>
              <w:rPr>
                <w:sz w:val="20"/>
                <w:szCs w:val="20"/>
                <w:color w:val="auto"/>
              </w:rPr>
            </w:pPr>
            <w:r>
              <w:rPr>
                <w:rFonts w:ascii="Arial" w:cs="Arial" w:eastAsia="Arial" w:hAnsi="Arial"/>
                <w:sz w:val="14"/>
                <w:szCs w:val="14"/>
                <w:b w:val="1"/>
                <w:bCs w:val="1"/>
                <w:color w:val="FFFFFF"/>
              </w:rPr>
              <w:t>Number of securities to</w:t>
            </w:r>
          </w:p>
        </w:tc>
        <w:tc>
          <w:tcPr>
            <w:tcW w:w="2420" w:type="dxa"/>
            <w:vAlign w:val="bottom"/>
            <w:shd w:val="clear" w:color="auto" w:fill="1F2A44"/>
          </w:tcPr>
          <w:p>
            <w:pPr>
              <w:spacing w:after="0"/>
              <w:rPr>
                <w:sz w:val="18"/>
                <w:szCs w:val="18"/>
                <w:color w:val="auto"/>
              </w:rPr>
            </w:pPr>
          </w:p>
        </w:tc>
        <w:tc>
          <w:tcPr>
            <w:tcW w:w="2280" w:type="dxa"/>
            <w:vAlign w:val="bottom"/>
            <w:shd w:val="clear" w:color="auto" w:fill="1F2A44"/>
          </w:tcPr>
          <w:p>
            <w:pPr>
              <w:jc w:val="center"/>
              <w:ind w:right="25"/>
              <w:spacing w:after="0"/>
              <w:rPr>
                <w:sz w:val="20"/>
                <w:szCs w:val="20"/>
                <w:color w:val="auto"/>
              </w:rPr>
            </w:pPr>
            <w:r>
              <w:rPr>
                <w:rFonts w:ascii="Arial" w:cs="Arial" w:eastAsia="Arial" w:hAnsi="Arial"/>
                <w:sz w:val="14"/>
                <w:szCs w:val="14"/>
                <w:b w:val="1"/>
                <w:bCs w:val="1"/>
                <w:color w:val="FFFFFF"/>
              </w:rPr>
              <w:t>Number of securities</w:t>
            </w:r>
          </w:p>
        </w:tc>
      </w:tr>
      <w:tr>
        <w:trPr>
          <w:trHeight w:val="162"/>
        </w:trPr>
        <w:tc>
          <w:tcPr>
            <w:tcW w:w="4280" w:type="dxa"/>
            <w:vAlign w:val="bottom"/>
            <w:shd w:val="clear" w:color="auto" w:fill="1F2A44"/>
          </w:tcPr>
          <w:p>
            <w:pPr>
              <w:spacing w:after="0"/>
              <w:rPr>
                <w:sz w:val="14"/>
                <w:szCs w:val="14"/>
                <w:color w:val="auto"/>
              </w:rPr>
            </w:pPr>
          </w:p>
        </w:tc>
        <w:tc>
          <w:tcPr>
            <w:tcW w:w="2040" w:type="dxa"/>
            <w:vAlign w:val="bottom"/>
            <w:shd w:val="clear" w:color="auto" w:fill="1F2A44"/>
          </w:tcPr>
          <w:p>
            <w:pPr>
              <w:jc w:val="center"/>
              <w:spacing w:after="0"/>
              <w:rPr>
                <w:sz w:val="20"/>
                <w:szCs w:val="20"/>
                <w:color w:val="auto"/>
              </w:rPr>
            </w:pPr>
            <w:r>
              <w:rPr>
                <w:rFonts w:ascii="Arial" w:cs="Arial" w:eastAsia="Arial" w:hAnsi="Arial"/>
                <w:sz w:val="14"/>
                <w:szCs w:val="14"/>
                <w:b w:val="1"/>
                <w:bCs w:val="1"/>
                <w:color w:val="FFFFFF"/>
              </w:rPr>
              <w:t>be issued upon exercise</w:t>
            </w:r>
          </w:p>
        </w:tc>
        <w:tc>
          <w:tcPr>
            <w:tcW w:w="2420" w:type="dxa"/>
            <w:vAlign w:val="bottom"/>
            <w:shd w:val="clear" w:color="auto" w:fill="1F2A44"/>
          </w:tcPr>
          <w:p>
            <w:pPr>
              <w:spacing w:after="0"/>
              <w:rPr>
                <w:sz w:val="14"/>
                <w:szCs w:val="14"/>
                <w:color w:val="auto"/>
              </w:rPr>
            </w:pPr>
          </w:p>
        </w:tc>
        <w:tc>
          <w:tcPr>
            <w:tcW w:w="2280" w:type="dxa"/>
            <w:vAlign w:val="bottom"/>
            <w:shd w:val="clear" w:color="auto" w:fill="1F2A44"/>
          </w:tcPr>
          <w:p>
            <w:pPr>
              <w:jc w:val="center"/>
              <w:ind w:right="65"/>
              <w:spacing w:after="0"/>
              <w:rPr>
                <w:sz w:val="20"/>
                <w:szCs w:val="20"/>
                <w:color w:val="auto"/>
              </w:rPr>
            </w:pPr>
            <w:r>
              <w:rPr>
                <w:rFonts w:ascii="Arial" w:cs="Arial" w:eastAsia="Arial" w:hAnsi="Arial"/>
                <w:sz w:val="14"/>
                <w:szCs w:val="14"/>
                <w:b w:val="1"/>
                <w:bCs w:val="1"/>
                <w:color w:val="FFFFFF"/>
              </w:rPr>
              <w:t>remaining available for</w:t>
            </w:r>
          </w:p>
        </w:tc>
      </w:tr>
      <w:tr>
        <w:trPr>
          <w:trHeight w:val="162"/>
        </w:trPr>
        <w:tc>
          <w:tcPr>
            <w:tcW w:w="4280" w:type="dxa"/>
            <w:vAlign w:val="bottom"/>
            <w:shd w:val="clear" w:color="auto" w:fill="1F2A44"/>
          </w:tcPr>
          <w:p>
            <w:pPr>
              <w:spacing w:after="0"/>
              <w:rPr>
                <w:sz w:val="14"/>
                <w:szCs w:val="14"/>
                <w:color w:val="auto"/>
              </w:rPr>
            </w:pPr>
          </w:p>
        </w:tc>
        <w:tc>
          <w:tcPr>
            <w:tcW w:w="2040" w:type="dxa"/>
            <w:vAlign w:val="bottom"/>
            <w:shd w:val="clear" w:color="auto" w:fill="1F2A44"/>
          </w:tcPr>
          <w:p>
            <w:pPr>
              <w:jc w:val="center"/>
              <w:spacing w:after="0"/>
              <w:rPr>
                <w:sz w:val="20"/>
                <w:szCs w:val="20"/>
                <w:color w:val="auto"/>
              </w:rPr>
            </w:pPr>
            <w:r>
              <w:rPr>
                <w:rFonts w:ascii="Arial" w:cs="Arial" w:eastAsia="Arial" w:hAnsi="Arial"/>
                <w:sz w:val="14"/>
                <w:szCs w:val="14"/>
                <w:b w:val="1"/>
                <w:bCs w:val="1"/>
                <w:color w:val="FFFFFF"/>
              </w:rPr>
              <w:t>of outstanding options,</w:t>
            </w:r>
          </w:p>
        </w:tc>
        <w:tc>
          <w:tcPr>
            <w:tcW w:w="2420" w:type="dxa"/>
            <w:vAlign w:val="bottom"/>
            <w:shd w:val="clear" w:color="auto" w:fill="1F2A44"/>
          </w:tcPr>
          <w:p>
            <w:pPr>
              <w:jc w:val="center"/>
              <w:ind w:right="23"/>
              <w:spacing w:after="0"/>
              <w:rPr>
                <w:sz w:val="20"/>
                <w:szCs w:val="20"/>
                <w:color w:val="auto"/>
              </w:rPr>
            </w:pPr>
            <w:r>
              <w:rPr>
                <w:rFonts w:ascii="Arial" w:cs="Arial" w:eastAsia="Arial" w:hAnsi="Arial"/>
                <w:sz w:val="14"/>
                <w:szCs w:val="14"/>
                <w:b w:val="1"/>
                <w:bCs w:val="1"/>
                <w:color w:val="FFFFFF"/>
              </w:rPr>
              <w:t>Weighted average exercise</w:t>
            </w:r>
          </w:p>
        </w:tc>
        <w:tc>
          <w:tcPr>
            <w:tcW w:w="2280" w:type="dxa"/>
            <w:vAlign w:val="bottom"/>
            <w:shd w:val="clear" w:color="auto" w:fill="1F2A44"/>
          </w:tcPr>
          <w:p>
            <w:pPr>
              <w:jc w:val="center"/>
              <w:ind w:right="25"/>
              <w:spacing w:after="0"/>
              <w:rPr>
                <w:sz w:val="20"/>
                <w:szCs w:val="20"/>
                <w:color w:val="auto"/>
              </w:rPr>
            </w:pPr>
            <w:r>
              <w:rPr>
                <w:rFonts w:ascii="Arial" w:cs="Arial" w:eastAsia="Arial" w:hAnsi="Arial"/>
                <w:sz w:val="14"/>
                <w:szCs w:val="14"/>
                <w:b w:val="1"/>
                <w:bCs w:val="1"/>
                <w:color w:val="FFFFFF"/>
              </w:rPr>
              <w:t>future issuance</w:t>
            </w:r>
          </w:p>
        </w:tc>
      </w:tr>
      <w:tr>
        <w:trPr>
          <w:trHeight w:val="162"/>
        </w:trPr>
        <w:tc>
          <w:tcPr>
            <w:tcW w:w="4280" w:type="dxa"/>
            <w:vAlign w:val="bottom"/>
            <w:shd w:val="clear" w:color="auto" w:fill="1F2A44"/>
          </w:tcPr>
          <w:p>
            <w:pPr>
              <w:spacing w:after="0"/>
              <w:rPr>
                <w:sz w:val="14"/>
                <w:szCs w:val="14"/>
                <w:color w:val="auto"/>
              </w:rPr>
            </w:pPr>
          </w:p>
        </w:tc>
        <w:tc>
          <w:tcPr>
            <w:tcW w:w="2040" w:type="dxa"/>
            <w:vAlign w:val="bottom"/>
            <w:shd w:val="clear" w:color="auto" w:fill="1F2A44"/>
          </w:tcPr>
          <w:p>
            <w:pPr>
              <w:jc w:val="center"/>
              <w:spacing w:after="0"/>
              <w:rPr>
                <w:sz w:val="20"/>
                <w:szCs w:val="20"/>
                <w:color w:val="auto"/>
              </w:rPr>
            </w:pPr>
            <w:r>
              <w:rPr>
                <w:rFonts w:ascii="Arial" w:cs="Arial" w:eastAsia="Arial" w:hAnsi="Arial"/>
                <w:sz w:val="14"/>
                <w:szCs w:val="14"/>
                <w:b w:val="1"/>
                <w:bCs w:val="1"/>
                <w:color w:val="FFFFFF"/>
              </w:rPr>
              <w:t>warrants and rights</w:t>
            </w:r>
          </w:p>
        </w:tc>
        <w:tc>
          <w:tcPr>
            <w:tcW w:w="2420" w:type="dxa"/>
            <w:vAlign w:val="bottom"/>
            <w:shd w:val="clear" w:color="auto" w:fill="1F2A44"/>
          </w:tcPr>
          <w:p>
            <w:pPr>
              <w:jc w:val="center"/>
              <w:ind w:right="23"/>
              <w:spacing w:after="0"/>
              <w:rPr>
                <w:sz w:val="20"/>
                <w:szCs w:val="20"/>
                <w:color w:val="auto"/>
              </w:rPr>
            </w:pPr>
            <w:r>
              <w:rPr>
                <w:rFonts w:ascii="Arial" w:cs="Arial" w:eastAsia="Arial" w:hAnsi="Arial"/>
                <w:sz w:val="14"/>
                <w:szCs w:val="14"/>
                <w:b w:val="1"/>
                <w:bCs w:val="1"/>
                <w:color w:val="FFFFFF"/>
              </w:rPr>
              <w:t>price of outstanding options,</w:t>
            </w:r>
          </w:p>
        </w:tc>
        <w:tc>
          <w:tcPr>
            <w:tcW w:w="2280" w:type="dxa"/>
            <w:vAlign w:val="bottom"/>
            <w:shd w:val="clear" w:color="auto" w:fill="1F2A44"/>
          </w:tcPr>
          <w:p>
            <w:pPr>
              <w:jc w:val="center"/>
              <w:ind w:right="25"/>
              <w:spacing w:after="0"/>
              <w:rPr>
                <w:sz w:val="20"/>
                <w:szCs w:val="20"/>
                <w:color w:val="auto"/>
              </w:rPr>
            </w:pPr>
            <w:r>
              <w:rPr>
                <w:rFonts w:ascii="Arial" w:cs="Arial" w:eastAsia="Arial" w:hAnsi="Arial"/>
                <w:sz w:val="14"/>
                <w:szCs w:val="14"/>
                <w:b w:val="1"/>
                <w:bCs w:val="1"/>
                <w:color w:val="FFFFFF"/>
              </w:rPr>
              <w:t>(excluding securities</w:t>
            </w:r>
          </w:p>
        </w:tc>
      </w:tr>
      <w:tr>
        <w:trPr>
          <w:trHeight w:val="202"/>
        </w:trPr>
        <w:tc>
          <w:tcPr>
            <w:tcW w:w="4280" w:type="dxa"/>
            <w:vAlign w:val="bottom"/>
            <w:shd w:val="clear" w:color="auto" w:fill="1F2A44"/>
          </w:tcPr>
          <w:p>
            <w:pPr>
              <w:ind w:left="60"/>
              <w:spacing w:after="0"/>
              <w:rPr>
                <w:sz w:val="20"/>
                <w:szCs w:val="20"/>
                <w:color w:val="auto"/>
              </w:rPr>
            </w:pPr>
            <w:r>
              <w:rPr>
                <w:rFonts w:ascii="Arial" w:cs="Arial" w:eastAsia="Arial" w:hAnsi="Arial"/>
                <w:sz w:val="14"/>
                <w:szCs w:val="14"/>
                <w:b w:val="1"/>
                <w:bCs w:val="1"/>
                <w:color w:val="FFFFFF"/>
              </w:rPr>
              <w:t>Plan Category</w:t>
            </w:r>
          </w:p>
        </w:tc>
        <w:tc>
          <w:tcPr>
            <w:tcW w:w="2040" w:type="dxa"/>
            <w:vAlign w:val="bottom"/>
            <w:shd w:val="clear" w:color="auto" w:fill="1F2A44"/>
          </w:tcPr>
          <w:p>
            <w:pPr>
              <w:jc w:val="center"/>
              <w:spacing w:after="0"/>
              <w:rPr>
                <w:sz w:val="20"/>
                <w:szCs w:val="20"/>
                <w:color w:val="auto"/>
              </w:rPr>
            </w:pPr>
            <w:r>
              <w:rPr>
                <w:rFonts w:ascii="Arial" w:cs="Arial" w:eastAsia="Arial" w:hAnsi="Arial"/>
                <w:sz w:val="14"/>
                <w:szCs w:val="14"/>
                <w:b w:val="1"/>
                <w:bCs w:val="1"/>
                <w:color w:val="FFFFFF"/>
              </w:rPr>
              <w:t>(Column A)</w:t>
            </w:r>
          </w:p>
        </w:tc>
        <w:tc>
          <w:tcPr>
            <w:tcW w:w="2420" w:type="dxa"/>
            <w:vAlign w:val="bottom"/>
            <w:shd w:val="clear" w:color="auto" w:fill="1F2A44"/>
          </w:tcPr>
          <w:p>
            <w:pPr>
              <w:jc w:val="center"/>
              <w:ind w:right="23"/>
              <w:spacing w:after="0"/>
              <w:rPr>
                <w:sz w:val="20"/>
                <w:szCs w:val="20"/>
                <w:color w:val="auto"/>
              </w:rPr>
            </w:pPr>
            <w:r>
              <w:rPr>
                <w:rFonts w:ascii="Arial" w:cs="Arial" w:eastAsia="Arial" w:hAnsi="Arial"/>
                <w:sz w:val="14"/>
                <w:szCs w:val="14"/>
                <w:b w:val="1"/>
                <w:bCs w:val="1"/>
                <w:color w:val="FFFFFF"/>
              </w:rPr>
              <w:t>warrants and rights</w:t>
            </w:r>
          </w:p>
        </w:tc>
        <w:tc>
          <w:tcPr>
            <w:tcW w:w="2280" w:type="dxa"/>
            <w:vAlign w:val="bottom"/>
            <w:shd w:val="clear" w:color="auto" w:fill="1F2A44"/>
          </w:tcPr>
          <w:p>
            <w:pPr>
              <w:jc w:val="center"/>
              <w:ind w:right="25"/>
              <w:spacing w:after="0"/>
              <w:rPr>
                <w:sz w:val="20"/>
                <w:szCs w:val="20"/>
                <w:color w:val="auto"/>
              </w:rPr>
            </w:pPr>
            <w:r>
              <w:rPr>
                <w:rFonts w:ascii="Arial" w:cs="Arial" w:eastAsia="Arial" w:hAnsi="Arial"/>
                <w:sz w:val="14"/>
                <w:szCs w:val="14"/>
                <w:b w:val="1"/>
                <w:bCs w:val="1"/>
                <w:color w:val="FFFFFF"/>
              </w:rPr>
              <w:t>reflected in Column A)</w:t>
            </w:r>
          </w:p>
        </w:tc>
      </w:tr>
      <w:tr>
        <w:trPr>
          <w:trHeight w:val="264"/>
        </w:trPr>
        <w:tc>
          <w:tcPr>
            <w:tcW w:w="4280" w:type="dxa"/>
            <w:vAlign w:val="bottom"/>
          </w:tcPr>
          <w:p>
            <w:pPr>
              <w:ind w:left="40"/>
              <w:spacing w:after="0"/>
              <w:rPr>
                <w:sz w:val="20"/>
                <w:szCs w:val="20"/>
                <w:color w:val="auto"/>
              </w:rPr>
            </w:pPr>
            <w:r>
              <w:rPr>
                <w:rFonts w:ascii="Arial" w:cs="Arial" w:eastAsia="Arial" w:hAnsi="Arial"/>
                <w:sz w:val="16"/>
                <w:szCs w:val="16"/>
                <w:color w:val="auto"/>
              </w:rPr>
              <w:t>Equity compensation plans approved by security holders</w:t>
            </w:r>
          </w:p>
        </w:tc>
        <w:tc>
          <w:tcPr>
            <w:tcW w:w="2040" w:type="dxa"/>
            <w:vAlign w:val="bottom"/>
          </w:tcPr>
          <w:p>
            <w:pPr>
              <w:jc w:val="right"/>
              <w:ind w:right="725"/>
              <w:spacing w:after="0"/>
              <w:rPr>
                <w:sz w:val="20"/>
                <w:szCs w:val="20"/>
                <w:color w:val="auto"/>
              </w:rPr>
            </w:pPr>
            <w:r>
              <w:rPr>
                <w:rFonts w:ascii="Arial" w:cs="Arial" w:eastAsia="Arial" w:hAnsi="Arial"/>
                <w:sz w:val="16"/>
                <w:szCs w:val="16"/>
                <w:color w:val="auto"/>
              </w:rPr>
              <w:t>682</w:t>
            </w:r>
          </w:p>
        </w:tc>
        <w:tc>
          <w:tcPr>
            <w:tcW w:w="2420" w:type="dxa"/>
            <w:vAlign w:val="bottom"/>
          </w:tcPr>
          <w:p>
            <w:pPr>
              <w:jc w:val="right"/>
              <w:ind w:right="883"/>
              <w:spacing w:after="0"/>
              <w:rPr>
                <w:sz w:val="20"/>
                <w:szCs w:val="20"/>
                <w:color w:val="auto"/>
              </w:rPr>
            </w:pPr>
            <w:r>
              <w:rPr>
                <w:rFonts w:ascii="Arial" w:cs="Arial" w:eastAsia="Arial" w:hAnsi="Arial"/>
                <w:sz w:val="16"/>
                <w:szCs w:val="16"/>
                <w:color w:val="auto"/>
              </w:rPr>
              <w:t>$152.34</w:t>
            </w:r>
          </w:p>
        </w:tc>
        <w:tc>
          <w:tcPr>
            <w:tcW w:w="2280" w:type="dxa"/>
            <w:vAlign w:val="bottom"/>
          </w:tcPr>
          <w:p>
            <w:pPr>
              <w:jc w:val="right"/>
              <w:ind w:right="645"/>
              <w:spacing w:after="0"/>
              <w:rPr>
                <w:sz w:val="20"/>
                <w:szCs w:val="20"/>
                <w:color w:val="auto"/>
              </w:rPr>
            </w:pPr>
            <w:r>
              <w:rPr>
                <w:rFonts w:ascii="Arial" w:cs="Arial" w:eastAsia="Arial" w:hAnsi="Arial"/>
                <w:sz w:val="16"/>
                <w:szCs w:val="16"/>
                <w:color w:val="auto"/>
              </w:rPr>
              <w:t>1,501,105</w:t>
            </w:r>
          </w:p>
        </w:tc>
      </w:tr>
      <w:tr>
        <w:trPr>
          <w:trHeight w:val="251"/>
        </w:trPr>
        <w:tc>
          <w:tcPr>
            <w:tcW w:w="4280" w:type="dxa"/>
            <w:vAlign w:val="bottom"/>
          </w:tcPr>
          <w:p>
            <w:pPr>
              <w:ind w:left="40"/>
              <w:spacing w:after="0"/>
              <w:rPr>
                <w:sz w:val="20"/>
                <w:szCs w:val="20"/>
                <w:color w:val="auto"/>
              </w:rPr>
            </w:pPr>
            <w:r>
              <w:rPr>
                <w:rFonts w:ascii="Arial" w:cs="Arial" w:eastAsia="Arial" w:hAnsi="Arial"/>
                <w:sz w:val="16"/>
                <w:szCs w:val="16"/>
                <w:color w:val="auto"/>
              </w:rPr>
              <w:t>Equity compensation plans not approved by security</w:t>
            </w:r>
          </w:p>
        </w:tc>
        <w:tc>
          <w:tcPr>
            <w:tcW w:w="204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2280" w:type="dxa"/>
            <w:vAlign w:val="bottom"/>
          </w:tcPr>
          <w:p>
            <w:pPr>
              <w:spacing w:after="0"/>
              <w:rPr>
                <w:sz w:val="21"/>
                <w:szCs w:val="21"/>
                <w:color w:val="auto"/>
              </w:rPr>
            </w:pPr>
          </w:p>
        </w:tc>
      </w:tr>
      <w:tr>
        <w:trPr>
          <w:trHeight w:val="187"/>
        </w:trPr>
        <w:tc>
          <w:tcPr>
            <w:tcW w:w="4280" w:type="dxa"/>
            <w:vAlign w:val="bottom"/>
            <w:tcBorders>
              <w:bottom w:val="single" w:sz="8" w:color="auto"/>
            </w:tcBorders>
          </w:tcPr>
          <w:p>
            <w:pPr>
              <w:jc w:val="right"/>
              <w:ind w:right="3461"/>
              <w:spacing w:after="0"/>
              <w:rPr>
                <w:sz w:val="20"/>
                <w:szCs w:val="20"/>
                <w:color w:val="auto"/>
              </w:rPr>
            </w:pPr>
            <w:r>
              <w:rPr>
                <w:rFonts w:ascii="Arial" w:cs="Arial" w:eastAsia="Arial" w:hAnsi="Arial"/>
                <w:sz w:val="16"/>
                <w:szCs w:val="16"/>
                <w:color w:val="auto"/>
              </w:rPr>
              <w:t>holders</w:t>
            </w:r>
          </w:p>
        </w:tc>
        <w:tc>
          <w:tcPr>
            <w:tcW w:w="2040" w:type="dxa"/>
            <w:vAlign w:val="bottom"/>
            <w:tcBorders>
              <w:bottom w:val="single" w:sz="8" w:color="auto"/>
            </w:tcBorders>
          </w:tcPr>
          <w:p>
            <w:pPr>
              <w:jc w:val="right"/>
              <w:ind w:right="725"/>
              <w:spacing w:after="0"/>
              <w:rPr>
                <w:sz w:val="20"/>
                <w:szCs w:val="20"/>
                <w:color w:val="auto"/>
              </w:rPr>
            </w:pPr>
            <w:r>
              <w:rPr>
                <w:rFonts w:ascii="Arial" w:cs="Arial" w:eastAsia="Arial" w:hAnsi="Arial"/>
                <w:sz w:val="16"/>
                <w:szCs w:val="16"/>
                <w:color w:val="auto"/>
              </w:rPr>
              <w:t>—</w:t>
            </w:r>
          </w:p>
        </w:tc>
        <w:tc>
          <w:tcPr>
            <w:tcW w:w="2420" w:type="dxa"/>
            <w:vAlign w:val="bottom"/>
            <w:tcBorders>
              <w:bottom w:val="single" w:sz="8" w:color="auto"/>
            </w:tcBorders>
          </w:tcPr>
          <w:p>
            <w:pPr>
              <w:jc w:val="right"/>
              <w:ind w:right="883"/>
              <w:spacing w:after="0"/>
              <w:rPr>
                <w:sz w:val="20"/>
                <w:szCs w:val="20"/>
                <w:color w:val="auto"/>
              </w:rPr>
            </w:pPr>
            <w:r>
              <w:rPr>
                <w:rFonts w:ascii="Arial" w:cs="Arial" w:eastAsia="Arial" w:hAnsi="Arial"/>
                <w:sz w:val="16"/>
                <w:szCs w:val="16"/>
                <w:color w:val="auto"/>
              </w:rPr>
              <w:t>—</w:t>
            </w:r>
          </w:p>
        </w:tc>
        <w:tc>
          <w:tcPr>
            <w:tcW w:w="2280" w:type="dxa"/>
            <w:vAlign w:val="bottom"/>
            <w:tcBorders>
              <w:bottom w:val="single" w:sz="8" w:color="auto"/>
            </w:tcBorders>
          </w:tcPr>
          <w:p>
            <w:pPr>
              <w:jc w:val="right"/>
              <w:ind w:right="645"/>
              <w:spacing w:after="0"/>
              <w:rPr>
                <w:sz w:val="20"/>
                <w:szCs w:val="20"/>
                <w:color w:val="auto"/>
              </w:rPr>
            </w:pPr>
            <w:r>
              <w:rPr>
                <w:rFonts w:ascii="Arial" w:cs="Arial" w:eastAsia="Arial" w:hAnsi="Arial"/>
                <w:sz w:val="16"/>
                <w:szCs w:val="16"/>
                <w:color w:val="auto"/>
              </w:rPr>
              <w:t>—</w:t>
            </w:r>
          </w:p>
        </w:tc>
      </w:tr>
      <w:tr>
        <w:trPr>
          <w:trHeight w:val="244"/>
        </w:trPr>
        <w:tc>
          <w:tcPr>
            <w:tcW w:w="4280" w:type="dxa"/>
            <w:vAlign w:val="bottom"/>
          </w:tcPr>
          <w:p>
            <w:pPr>
              <w:jc w:val="right"/>
              <w:ind w:right="3461"/>
              <w:spacing w:after="0"/>
              <w:rPr>
                <w:sz w:val="20"/>
                <w:szCs w:val="20"/>
                <w:color w:val="auto"/>
              </w:rPr>
            </w:pPr>
            <w:r>
              <w:rPr>
                <w:rFonts w:ascii="Arial" w:cs="Arial" w:eastAsia="Arial" w:hAnsi="Arial"/>
                <w:sz w:val="16"/>
                <w:szCs w:val="16"/>
                <w:color w:val="auto"/>
              </w:rPr>
              <w:t>Total</w:t>
            </w:r>
          </w:p>
        </w:tc>
        <w:tc>
          <w:tcPr>
            <w:tcW w:w="2040" w:type="dxa"/>
            <w:vAlign w:val="bottom"/>
          </w:tcPr>
          <w:p>
            <w:pPr>
              <w:jc w:val="right"/>
              <w:ind w:right="725"/>
              <w:spacing w:after="0"/>
              <w:rPr>
                <w:sz w:val="20"/>
                <w:szCs w:val="20"/>
                <w:color w:val="auto"/>
              </w:rPr>
            </w:pPr>
            <w:r>
              <w:rPr>
                <w:rFonts w:ascii="Arial" w:cs="Arial" w:eastAsia="Arial" w:hAnsi="Arial"/>
                <w:sz w:val="16"/>
                <w:szCs w:val="16"/>
                <w:color w:val="auto"/>
              </w:rPr>
              <w:t>682</w:t>
            </w:r>
          </w:p>
        </w:tc>
        <w:tc>
          <w:tcPr>
            <w:tcW w:w="2420" w:type="dxa"/>
            <w:vAlign w:val="bottom"/>
          </w:tcPr>
          <w:p>
            <w:pPr>
              <w:jc w:val="right"/>
              <w:ind w:right="883"/>
              <w:spacing w:after="0"/>
              <w:rPr>
                <w:sz w:val="20"/>
                <w:szCs w:val="20"/>
                <w:color w:val="auto"/>
              </w:rPr>
            </w:pPr>
            <w:r>
              <w:rPr>
                <w:rFonts w:ascii="Arial" w:cs="Arial" w:eastAsia="Arial" w:hAnsi="Arial"/>
                <w:sz w:val="16"/>
                <w:szCs w:val="16"/>
                <w:color w:val="auto"/>
              </w:rPr>
              <w:t>$152.34</w:t>
            </w:r>
          </w:p>
        </w:tc>
        <w:tc>
          <w:tcPr>
            <w:tcW w:w="2280" w:type="dxa"/>
            <w:vAlign w:val="bottom"/>
          </w:tcPr>
          <w:p>
            <w:pPr>
              <w:jc w:val="right"/>
              <w:ind w:right="645"/>
              <w:spacing w:after="0"/>
              <w:rPr>
                <w:sz w:val="20"/>
                <w:szCs w:val="20"/>
                <w:color w:val="auto"/>
              </w:rPr>
            </w:pPr>
            <w:r>
              <w:rPr>
                <w:rFonts w:ascii="Arial" w:cs="Arial" w:eastAsia="Arial" w:hAnsi="Arial"/>
                <w:sz w:val="16"/>
                <w:szCs w:val="16"/>
                <w:color w:val="auto"/>
              </w:rPr>
              <w:t>1,501,105</w:t>
            </w:r>
          </w:p>
        </w:tc>
      </w:tr>
    </w:tbl>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240" w:top="459" w:right="4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4" w:lineRule="exact"/>
        <w:rPr>
          <w:sz w:val="20"/>
          <w:szCs w:val="20"/>
          <w:color w:val="auto"/>
        </w:rPr>
      </w:pPr>
    </w:p>
    <w:p>
      <w:pPr>
        <w:ind w:left="280"/>
        <w:spacing w:after="0"/>
        <w:rPr>
          <w:sz w:val="20"/>
          <w:szCs w:val="20"/>
          <w:color w:val="auto"/>
        </w:rPr>
      </w:pPr>
      <w:r>
        <w:rPr>
          <w:rFonts w:ascii="Arial" w:cs="Arial" w:eastAsia="Arial" w:hAnsi="Arial"/>
          <w:sz w:val="29"/>
          <w:szCs w:val="29"/>
          <w:b w:val="1"/>
          <w:bCs w:val="1"/>
          <w:color w:val="FFFFFF"/>
        </w:rPr>
        <w:t>AUDIT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-185420</wp:posOffset>
            </wp:positionV>
            <wp:extent cx="6997700" cy="2146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7700" cy="214630"/>
                    </a:xfrm>
                    <a:prstGeom prst="rect">
                      <a:avLst/>
                    </a:prstGeom>
                    <a:noFill/>
                  </pic:spPr>
                </pic:pic>
              </a:graphicData>
            </a:graphic>
          </wp:anchor>
        </w:drawing>
      </w:r>
    </w:p>
    <w:p>
      <w:pPr>
        <w:spacing w:after="0" w:line="208" w:lineRule="exact"/>
        <w:rPr>
          <w:sz w:val="20"/>
          <w:szCs w:val="20"/>
          <w:color w:val="auto"/>
        </w:rPr>
      </w:pPr>
    </w:p>
    <w:p>
      <w:pPr>
        <w:ind w:left="200" w:right="540"/>
        <w:spacing w:after="0" w:line="261" w:lineRule="auto"/>
        <w:rPr>
          <w:sz w:val="20"/>
          <w:szCs w:val="20"/>
          <w:color w:val="auto"/>
        </w:rPr>
      </w:pPr>
      <w:r>
        <w:rPr>
          <w:rFonts w:ascii="Arial" w:cs="Arial" w:eastAsia="Arial" w:hAnsi="Arial"/>
          <w:sz w:val="22"/>
          <w:szCs w:val="22"/>
          <w:b w:val="1"/>
          <w:bCs w:val="1"/>
          <w:color w:val="auto"/>
        </w:rPr>
        <w:t>PROPOSAL 3 – NON-BINDING RATIFICATION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13970</wp:posOffset>
            </wp:positionV>
            <wp:extent cx="6997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4" w:lineRule="exact"/>
        <w:rPr>
          <w:sz w:val="20"/>
          <w:szCs w:val="20"/>
          <w:color w:val="auto"/>
        </w:rPr>
      </w:pPr>
    </w:p>
    <w:p>
      <w:pPr>
        <w:jc w:val="both"/>
        <w:ind w:left="200"/>
        <w:spacing w:after="0" w:line="237" w:lineRule="auto"/>
        <w:rPr>
          <w:sz w:val="20"/>
          <w:szCs w:val="20"/>
          <w:color w:val="auto"/>
        </w:rPr>
      </w:pPr>
      <w:r>
        <w:rPr>
          <w:rFonts w:ascii="Arial" w:cs="Arial" w:eastAsia="Arial" w:hAnsi="Arial"/>
          <w:sz w:val="18"/>
          <w:szCs w:val="18"/>
          <w:color w:val="auto"/>
        </w:rPr>
        <w:t>Shareholders are being asked to ratify in a non-binding vote the selection of Grant Thornton, LLP (“GT”) as our independent registered public accounting firm for the fiscal year ending December 31, 2019. Although shareholder ratification of GT is not required by our governance documents, the Board is submitting the selection of GT to shareholders to solicit shareholder views on our selection of GT as our independent registered public accounting firm. GT has served in this role since 2002 and the Board believes it is in the best interests of the Trust and our shareholders for GT to continue in this role. If the selection of GT is not ratified, the Audit Committee may (but will not be required to) reconsider whether to retain GT. Even if the selection of GT is ratified, the Audit Committee may change the appointment of GT at any time if it determines such a change would be in the best interests of the Trust and our shareholders.</w:t>
      </w:r>
    </w:p>
    <w:p>
      <w:pPr>
        <w:spacing w:after="0" w:line="163" w:lineRule="exact"/>
        <w:rPr>
          <w:sz w:val="20"/>
          <w:szCs w:val="20"/>
          <w:color w:val="auto"/>
        </w:rPr>
      </w:pPr>
    </w:p>
    <w:p>
      <w:pPr>
        <w:jc w:val="both"/>
        <w:ind w:left="200"/>
        <w:spacing w:after="0" w:line="246" w:lineRule="auto"/>
        <w:rPr>
          <w:sz w:val="20"/>
          <w:szCs w:val="20"/>
          <w:color w:val="auto"/>
        </w:rPr>
      </w:pPr>
      <w:r>
        <w:rPr>
          <w:rFonts w:ascii="Arial" w:cs="Arial" w:eastAsia="Arial" w:hAnsi="Arial"/>
          <w:sz w:val="18"/>
          <w:szCs w:val="18"/>
          <w:color w:val="auto"/>
        </w:rPr>
        <w:t>A representative of GT will be present at the Annual Meeting and will have the opportunity to answer appropriate questions from shareholders.</w:t>
      </w:r>
    </w:p>
    <w:p>
      <w:pPr>
        <w:spacing w:after="0" w:line="156" w:lineRule="exact"/>
        <w:rPr>
          <w:sz w:val="20"/>
          <w:szCs w:val="20"/>
          <w:color w:val="auto"/>
        </w:rPr>
      </w:pPr>
    </w:p>
    <w:p>
      <w:pPr>
        <w:jc w:val="both"/>
        <w:ind w:left="200"/>
        <w:spacing w:after="0" w:line="246" w:lineRule="auto"/>
        <w:rPr>
          <w:sz w:val="20"/>
          <w:szCs w:val="20"/>
          <w:color w:val="auto"/>
        </w:rPr>
      </w:pPr>
      <w:r>
        <w:rPr>
          <w:rFonts w:ascii="Arial" w:cs="Arial" w:eastAsia="Arial" w:hAnsi="Arial"/>
          <w:sz w:val="18"/>
          <w:szCs w:val="18"/>
          <w:color w:val="auto"/>
        </w:rPr>
        <w:t>The affirmative vote of a majority of votes cast at the Annual Meeting, in person or by proxy, is required to approve this proposal. An “abstention” or “broker non-vote” will have no effect on the outcome of the vote for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142875</wp:posOffset>
            </wp:positionV>
            <wp:extent cx="6997700" cy="3771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7700" cy="377190"/>
                    </a:xfrm>
                    <a:prstGeom prst="rect">
                      <a:avLst/>
                    </a:prstGeom>
                    <a:noFill/>
                  </pic:spPr>
                </pic:pic>
              </a:graphicData>
            </a:graphic>
          </wp:anchor>
        </w:drawing>
      </w:r>
    </w:p>
    <w:p>
      <w:pPr>
        <w:spacing w:after="0" w:line="290" w:lineRule="exact"/>
        <w:rPr>
          <w:sz w:val="20"/>
          <w:szCs w:val="20"/>
          <w:color w:val="auto"/>
        </w:rPr>
      </w:pPr>
    </w:p>
    <w:p>
      <w:pPr>
        <w:ind w:left="960" w:right="1260"/>
        <w:spacing w:after="0" w:line="271" w:lineRule="auto"/>
        <w:rPr>
          <w:sz w:val="20"/>
          <w:szCs w:val="20"/>
          <w:color w:val="auto"/>
        </w:rPr>
      </w:pPr>
      <w:r>
        <w:rPr>
          <w:rFonts w:ascii="Arial" w:cs="Arial" w:eastAsia="Arial" w:hAnsi="Arial"/>
          <w:sz w:val="18"/>
          <w:szCs w:val="18"/>
          <w:b w:val="1"/>
          <w:bCs w:val="1"/>
          <w:color w:val="auto"/>
        </w:rPr>
        <w:t>The Board recommends that you vote “FOR” the non-binding ratification of the appointment of GT as our independent registered public accounting firm for 2019.</w:t>
      </w:r>
    </w:p>
    <w:p>
      <w:pPr>
        <w:spacing w:after="0" w:line="18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24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40" w:lineRule="exact"/>
        <w:rPr>
          <w:sz w:val="20"/>
          <w:szCs w:val="20"/>
          <w:color w:val="auto"/>
        </w:rPr>
      </w:pPr>
    </w:p>
    <w:p>
      <w:pPr>
        <w:jc w:val="both"/>
        <w:ind w:left="200"/>
        <w:spacing w:after="0" w:line="251" w:lineRule="auto"/>
        <w:rPr>
          <w:sz w:val="20"/>
          <w:szCs w:val="20"/>
          <w:color w:val="auto"/>
        </w:rPr>
      </w:pPr>
      <w:r>
        <w:rPr>
          <w:rFonts w:ascii="Arial" w:cs="Arial" w:eastAsia="Arial" w:hAnsi="Arial"/>
          <w:sz w:val="18"/>
          <w:szCs w:val="18"/>
          <w:i w:val="1"/>
          <w:iCs w:val="1"/>
          <w:color w:val="auto"/>
        </w:rPr>
        <w:t>The following Report of the Audit Committee does not constitute soliciting material and should not be deemed filed or incorporated by reference into any other Trust filing under the Securities Act of 1933 or the Exchange Act, except to the extent the Trust specifically incorporates this Report by reference therein.</w:t>
      </w:r>
    </w:p>
    <w:p>
      <w:pPr>
        <w:spacing w:after="0" w:line="152" w:lineRule="exact"/>
        <w:rPr>
          <w:sz w:val="20"/>
          <w:szCs w:val="20"/>
          <w:color w:val="auto"/>
        </w:rPr>
      </w:pPr>
    </w:p>
    <w:p>
      <w:pPr>
        <w:jc w:val="both"/>
        <w:ind w:left="200"/>
        <w:spacing w:after="0" w:line="238" w:lineRule="auto"/>
        <w:rPr>
          <w:sz w:val="20"/>
          <w:szCs w:val="20"/>
          <w:color w:val="auto"/>
        </w:rPr>
      </w:pPr>
      <w:r>
        <w:rPr>
          <w:rFonts w:ascii="Arial" w:cs="Arial" w:eastAsia="Arial" w:hAnsi="Arial"/>
          <w:sz w:val="18"/>
          <w:szCs w:val="18"/>
          <w:color w:val="auto"/>
        </w:rPr>
        <w:t xml:space="preserve">The Audit Committee is made up entirely of trustees who meet all independence requirements under the SEC and NYSE and have the requisite financial competence to serve on the Audit Committee. The Audit Committee meets at least quarterly and operates pursuant to a written charter that is reviewed at least every three years. That charter can be accessed under the Investors section of our website at </w:t>
      </w:r>
      <w:r>
        <w:rPr>
          <w:rFonts w:ascii="Arial" w:cs="Arial" w:eastAsia="Arial" w:hAnsi="Arial"/>
          <w:sz w:val="18"/>
          <w:szCs w:val="18"/>
          <w:u w:val="single" w:color="auto"/>
          <w:color w:val="auto"/>
        </w:rPr>
        <w:t>www.federalrealty.com</w:t>
      </w:r>
      <w:r>
        <w:rPr>
          <w:rFonts w:ascii="Arial" w:cs="Arial" w:eastAsia="Arial" w:hAnsi="Arial"/>
          <w:sz w:val="18"/>
          <w:szCs w:val="18"/>
          <w:color w:val="auto"/>
        </w:rPr>
        <w:t>. In 2018, the Audit Committee met four times and each meeting included an executive session with the Trust’s independent registered public accounting firm and no members of management present.</w:t>
      </w:r>
    </w:p>
    <w:p>
      <w:pPr>
        <w:spacing w:after="0" w:line="162" w:lineRule="exact"/>
        <w:rPr>
          <w:sz w:val="20"/>
          <w:szCs w:val="20"/>
          <w:color w:val="auto"/>
        </w:rPr>
      </w:pPr>
    </w:p>
    <w:p>
      <w:pPr>
        <w:jc w:val="both"/>
        <w:ind w:left="200"/>
        <w:spacing w:after="0" w:line="236" w:lineRule="auto"/>
        <w:rPr>
          <w:sz w:val="20"/>
          <w:szCs w:val="20"/>
          <w:color w:val="auto"/>
        </w:rPr>
      </w:pPr>
      <w:r>
        <w:rPr>
          <w:rFonts w:ascii="Arial" w:cs="Arial" w:eastAsia="Arial" w:hAnsi="Arial"/>
          <w:sz w:val="18"/>
          <w:szCs w:val="18"/>
          <w:color w:val="auto"/>
        </w:rPr>
        <w:t>The Audit Committee is directly responsible for the appointment, retention and oversight of GT, the independent registered public accounting firm retained to audit the Trust’s financial statements, and also oversees management, including its internal audit firm, in their performance of its financial functions. Specifically, management is responsible for the financial reporting process, including the system of internal controls, for the preparation of consolidated financial statements in accordance with generally accepted accounting principles in the United States (“GAAP”) and for reporting on internal control over financial reporting. Management uses Pricewaterhouse Coopers, LLC (“PwC”) to provide its internal audit function, including oversight of the ongoing testing of the effectiveness of our internal controls. GT is responsible for auditing the consolidated financial statements of the Trust and expressing an opinion on the financial statements and the effectiveness of internal control over financial reporting.</w:t>
      </w:r>
    </w:p>
    <w:p>
      <w:pPr>
        <w:spacing w:after="0" w:line="20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During 2018, as part of its oversight function, the Audit Committee:</w:t>
      </w:r>
    </w:p>
    <w:p>
      <w:pPr>
        <w:spacing w:after="0" w:line="212" w:lineRule="exact"/>
        <w:rPr>
          <w:sz w:val="20"/>
          <w:szCs w:val="20"/>
          <w:color w:val="auto"/>
        </w:rPr>
      </w:pPr>
    </w:p>
    <w:p>
      <w:pPr>
        <w:ind w:left="860" w:hanging="332"/>
        <w:spacing w:after="0" w:line="234" w:lineRule="auto"/>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Reviewed and discussed with management and GT, individually and collectively, all annual and quarterly financial statements and operating results prior to their issuance;</w:t>
      </w:r>
    </w:p>
    <w:p>
      <w:pPr>
        <w:spacing w:after="0" w:line="1" w:lineRule="exact"/>
        <w:rPr>
          <w:rFonts w:ascii="Arial" w:cs="Arial" w:eastAsia="Arial" w:hAnsi="Arial"/>
          <w:sz w:val="18"/>
          <w:szCs w:val="18"/>
          <w:color w:val="auto"/>
        </w:rPr>
      </w:pPr>
    </w:p>
    <w:p>
      <w:pPr>
        <w:ind w:left="860" w:hanging="332"/>
        <w:spacing w:after="0" w:line="234" w:lineRule="auto"/>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Discussed with GT matters required to be discussed pursuant to applicable audit standards, including the reasonableness of judgments and the clarity and completeness of financial disclosures;</w:t>
      </w:r>
    </w:p>
    <w:p>
      <w:pPr>
        <w:spacing w:after="0" w:line="1" w:lineRule="exact"/>
        <w:rPr>
          <w:rFonts w:ascii="Arial" w:cs="Arial" w:eastAsia="Arial" w:hAnsi="Arial"/>
          <w:sz w:val="18"/>
          <w:szCs w:val="18"/>
          <w:color w:val="auto"/>
        </w:rPr>
      </w:pPr>
    </w:p>
    <w:p>
      <w:pPr>
        <w:ind w:left="860" w:hanging="332"/>
        <w:spacing w:after="0" w:line="234" w:lineRule="auto"/>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Reviewed and discussed with GT and PwC, individually and collectively, the ongoing assessment and testing of the Trust’s systems of internal controls and procedures;</w:t>
      </w:r>
    </w:p>
    <w:p>
      <w:pPr>
        <w:spacing w:after="0" w:line="1" w:lineRule="exact"/>
        <w:rPr>
          <w:rFonts w:ascii="Arial" w:cs="Arial" w:eastAsia="Arial" w:hAnsi="Arial"/>
          <w:sz w:val="18"/>
          <w:szCs w:val="18"/>
          <w:color w:val="auto"/>
        </w:rPr>
      </w:pPr>
    </w:p>
    <w:p>
      <w:pPr>
        <w:ind w:left="860" w:hanging="332"/>
        <w:spacing w:after="0" w:line="234" w:lineRule="auto"/>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Discussed with GT matters relating to GT’s independence from the Trust and received written confirmation from GT that GT is not aware of any relationships that, in their professional judgment may impair their independence; and</w:t>
      </w:r>
    </w:p>
    <w:p>
      <w:pPr>
        <w:spacing w:after="0" w:line="1" w:lineRule="exact"/>
        <w:rPr>
          <w:rFonts w:ascii="Arial" w:cs="Arial" w:eastAsia="Arial" w:hAnsi="Arial"/>
          <w:sz w:val="18"/>
          <w:szCs w:val="18"/>
          <w:color w:val="auto"/>
        </w:rPr>
      </w:pPr>
    </w:p>
    <w:p>
      <w:pPr>
        <w:ind w:left="860" w:hanging="332"/>
        <w:spacing w:after="0" w:line="246" w:lineRule="auto"/>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Monitored the non-audit services provided by GT to ensure that performance of such services did not adversely impact GT’s independence.</w:t>
      </w:r>
    </w:p>
    <w:p>
      <w:pPr>
        <w:spacing w:after="0" w:line="170"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Based on the Audit Committee’s reviews and discussions with GT, PwC and management, the Audit Committee recommended to the Board of Trustees that the Board approve the inclusion of our audited financial statements in our Annual Report on Form 10-K for the fiscal year ended December 31, 2018 for filing with the SEC.</w:t>
      </w:r>
    </w:p>
    <w:p>
      <w:pPr>
        <w:spacing w:after="0" w:line="3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Submitted by the Audit Committee:</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Gail P. Steinel, Chairperson</w:t>
      </w:r>
    </w:p>
    <w:p>
      <w:pPr>
        <w:ind w:left="200"/>
        <w:spacing w:after="0" w:line="234" w:lineRule="auto"/>
        <w:rPr>
          <w:sz w:val="20"/>
          <w:szCs w:val="20"/>
          <w:color w:val="auto"/>
        </w:rPr>
      </w:pPr>
      <w:r>
        <w:rPr>
          <w:rFonts w:ascii="Arial" w:cs="Arial" w:eastAsia="Arial" w:hAnsi="Arial"/>
          <w:sz w:val="18"/>
          <w:szCs w:val="18"/>
          <w:color w:val="auto"/>
        </w:rPr>
        <w:t>Jon E. Bortz</w:t>
      </w:r>
    </w:p>
    <w:p>
      <w:pPr>
        <w:ind w:left="200"/>
        <w:spacing w:after="0" w:line="235" w:lineRule="auto"/>
        <w:rPr>
          <w:sz w:val="20"/>
          <w:szCs w:val="20"/>
          <w:color w:val="auto"/>
        </w:rPr>
      </w:pPr>
      <w:r>
        <w:rPr>
          <w:rFonts w:ascii="Arial" w:cs="Arial" w:eastAsia="Arial" w:hAnsi="Arial"/>
          <w:sz w:val="18"/>
          <w:szCs w:val="18"/>
          <w:color w:val="auto"/>
        </w:rPr>
        <w:t>David W. Faeder</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Warren M. Thompson</w:t>
      </w:r>
    </w:p>
    <w:p>
      <w:pPr>
        <w:spacing w:after="0" w:line="14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24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INDEPENDENT AUDITOR’S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sets forth the fees for services rendered by GT for the years ended December 31, 2018 and 2017:</w:t>
      </w:r>
    </w:p>
    <w:p>
      <w:pPr>
        <w:spacing w:after="0" w:line="193" w:lineRule="exact"/>
        <w:rPr>
          <w:sz w:val="20"/>
          <w:szCs w:val="20"/>
          <w:color w:val="auto"/>
        </w:rPr>
      </w:pPr>
    </w:p>
    <w:tbl>
      <w:tblPr>
        <w:tblLayout w:type="fixed"/>
        <w:tblInd w:w="220" w:type="dxa"/>
        <w:tblCellMar>
          <w:top w:w="0" w:type="dxa"/>
          <w:left w:w="0" w:type="dxa"/>
          <w:bottom w:w="0" w:type="dxa"/>
          <w:right w:w="0" w:type="dxa"/>
        </w:tblCellMar>
      </w:tblPr>
      <w:tr>
        <w:trPr>
          <w:trHeight w:val="270"/>
        </w:trPr>
        <w:tc>
          <w:tcPr>
            <w:tcW w:w="8940" w:type="dxa"/>
            <w:vAlign w:val="bottom"/>
            <w:tcBorders>
              <w:top w:val="single" w:sz="8" w:color="auto"/>
              <w:bottom w:val="single" w:sz="8" w:color="auto"/>
            </w:tcBorders>
            <w:shd w:val="clear" w:color="auto" w:fill="FEC221"/>
          </w:tcPr>
          <w:p>
            <w:pPr>
              <w:spacing w:after="0"/>
              <w:rPr>
                <w:sz w:val="23"/>
                <w:szCs w:val="23"/>
                <w:color w:val="auto"/>
              </w:rPr>
            </w:pPr>
          </w:p>
        </w:tc>
        <w:tc>
          <w:tcPr>
            <w:tcW w:w="180" w:type="dxa"/>
            <w:vAlign w:val="bottom"/>
            <w:tcBorders>
              <w:top w:val="single" w:sz="8" w:color="auto"/>
              <w:bottom w:val="single" w:sz="8" w:color="auto"/>
            </w:tcBorders>
            <w:shd w:val="clear" w:color="auto" w:fill="FEC221"/>
          </w:tcPr>
          <w:p>
            <w:pPr>
              <w:spacing w:after="0"/>
              <w:rPr>
                <w:sz w:val="23"/>
                <w:szCs w:val="23"/>
                <w:color w:val="auto"/>
              </w:rPr>
            </w:pPr>
          </w:p>
        </w:tc>
        <w:tc>
          <w:tcPr>
            <w:tcW w:w="840" w:type="dxa"/>
            <w:vAlign w:val="bottom"/>
            <w:tcBorders>
              <w:top w:val="single" w:sz="8" w:color="auto"/>
              <w:bottom w:val="single" w:sz="8" w:color="auto"/>
            </w:tcBorders>
            <w:shd w:val="clear" w:color="auto" w:fill="FEC221"/>
          </w:tcPr>
          <w:p>
            <w:pPr>
              <w:jc w:val="right"/>
              <w:ind w:right="280"/>
              <w:spacing w:after="0"/>
              <w:rPr>
                <w:sz w:val="20"/>
                <w:szCs w:val="20"/>
                <w:color w:val="auto"/>
              </w:rPr>
            </w:pPr>
            <w:r>
              <w:rPr>
                <w:rFonts w:ascii="Arial" w:cs="Arial" w:eastAsia="Arial" w:hAnsi="Arial"/>
                <w:sz w:val="14"/>
                <w:szCs w:val="14"/>
                <w:b w:val="1"/>
                <w:bCs w:val="1"/>
                <w:color w:val="1F2A44"/>
              </w:rPr>
              <w:t>2018</w:t>
            </w:r>
          </w:p>
        </w:tc>
        <w:tc>
          <w:tcPr>
            <w:tcW w:w="200" w:type="dxa"/>
            <w:vAlign w:val="bottom"/>
            <w:tcBorders>
              <w:top w:val="single" w:sz="8" w:color="auto"/>
              <w:bottom w:val="single" w:sz="8" w:color="auto"/>
            </w:tcBorders>
            <w:shd w:val="clear" w:color="auto" w:fill="FEC221"/>
          </w:tcPr>
          <w:p>
            <w:pPr>
              <w:spacing w:after="0"/>
              <w:rPr>
                <w:sz w:val="23"/>
                <w:szCs w:val="23"/>
                <w:color w:val="auto"/>
              </w:rPr>
            </w:pPr>
          </w:p>
        </w:tc>
        <w:tc>
          <w:tcPr>
            <w:tcW w:w="860" w:type="dxa"/>
            <w:vAlign w:val="bottom"/>
            <w:tcBorders>
              <w:top w:val="single" w:sz="8" w:color="auto"/>
              <w:bottom w:val="single" w:sz="8" w:color="auto"/>
            </w:tcBorders>
            <w:shd w:val="clear" w:color="auto" w:fill="FEC221"/>
          </w:tcPr>
          <w:p>
            <w:pPr>
              <w:jc w:val="right"/>
              <w:ind w:right="300"/>
              <w:spacing w:after="0"/>
              <w:rPr>
                <w:sz w:val="20"/>
                <w:szCs w:val="20"/>
                <w:color w:val="auto"/>
              </w:rPr>
            </w:pPr>
            <w:r>
              <w:rPr>
                <w:rFonts w:ascii="Arial" w:cs="Arial" w:eastAsia="Arial" w:hAnsi="Arial"/>
                <w:sz w:val="14"/>
                <w:szCs w:val="14"/>
                <w:b w:val="1"/>
                <w:bCs w:val="1"/>
                <w:color w:val="1F2A44"/>
              </w:rPr>
              <w:t>2017</w:t>
            </w:r>
          </w:p>
        </w:tc>
      </w:tr>
      <w:tr>
        <w:trPr>
          <w:trHeight w:val="61"/>
        </w:trPr>
        <w:tc>
          <w:tcPr>
            <w:tcW w:w="8940" w:type="dxa"/>
            <w:vAlign w:val="bottom"/>
            <w:shd w:val="clear" w:color="auto" w:fill="FEC221"/>
          </w:tcPr>
          <w:p>
            <w:pPr>
              <w:spacing w:after="0"/>
              <w:rPr>
                <w:sz w:val="5"/>
                <w:szCs w:val="5"/>
                <w:color w:val="auto"/>
              </w:rPr>
            </w:pPr>
          </w:p>
        </w:tc>
        <w:tc>
          <w:tcPr>
            <w:tcW w:w="180" w:type="dxa"/>
            <w:vAlign w:val="bottom"/>
            <w:shd w:val="clear" w:color="auto" w:fill="FEC221"/>
          </w:tcPr>
          <w:p>
            <w:pPr>
              <w:spacing w:after="0"/>
              <w:rPr>
                <w:sz w:val="5"/>
                <w:szCs w:val="5"/>
                <w:color w:val="auto"/>
              </w:rPr>
            </w:pPr>
          </w:p>
        </w:tc>
        <w:tc>
          <w:tcPr>
            <w:tcW w:w="840" w:type="dxa"/>
            <w:vAlign w:val="bottom"/>
            <w:shd w:val="clear" w:color="auto" w:fill="FEC221"/>
          </w:tcPr>
          <w:p>
            <w:pPr>
              <w:spacing w:after="0"/>
              <w:rPr>
                <w:sz w:val="5"/>
                <w:szCs w:val="5"/>
                <w:color w:val="auto"/>
              </w:rPr>
            </w:pPr>
          </w:p>
        </w:tc>
        <w:tc>
          <w:tcPr>
            <w:tcW w:w="200" w:type="dxa"/>
            <w:vAlign w:val="bottom"/>
            <w:shd w:val="clear" w:color="auto" w:fill="FEC221"/>
          </w:tcPr>
          <w:p>
            <w:pPr>
              <w:spacing w:after="0"/>
              <w:rPr>
                <w:sz w:val="5"/>
                <w:szCs w:val="5"/>
                <w:color w:val="auto"/>
              </w:rPr>
            </w:pPr>
          </w:p>
        </w:tc>
        <w:tc>
          <w:tcPr>
            <w:tcW w:w="860" w:type="dxa"/>
            <w:vAlign w:val="bottom"/>
            <w:shd w:val="clear" w:color="auto" w:fill="FEC221"/>
          </w:tcPr>
          <w:p>
            <w:pPr>
              <w:spacing w:after="0"/>
              <w:rPr>
                <w:sz w:val="5"/>
                <w:szCs w:val="5"/>
                <w:color w:val="auto"/>
              </w:rPr>
            </w:pPr>
          </w:p>
        </w:tc>
      </w:tr>
      <w:tr>
        <w:trPr>
          <w:trHeight w:val="267"/>
        </w:trPr>
        <w:tc>
          <w:tcPr>
            <w:tcW w:w="8940" w:type="dxa"/>
            <w:vAlign w:val="bottom"/>
          </w:tcPr>
          <w:p>
            <w:pPr>
              <w:ind w:left="80"/>
              <w:spacing w:after="0" w:line="267" w:lineRule="exact"/>
              <w:rPr>
                <w:sz w:val="20"/>
                <w:szCs w:val="20"/>
                <w:color w:val="auto"/>
              </w:rPr>
            </w:pPr>
            <w:r>
              <w:rPr>
                <w:rFonts w:ascii="Arial" w:cs="Arial" w:eastAsia="Arial" w:hAnsi="Arial"/>
                <w:sz w:val="16"/>
                <w:szCs w:val="16"/>
                <w:color w:val="auto"/>
              </w:rPr>
              <w:t>Audit Fees</w:t>
            </w:r>
            <w:r>
              <w:rPr>
                <w:rFonts w:ascii="Arial" w:cs="Arial" w:eastAsia="Arial" w:hAnsi="Arial"/>
                <w:sz w:val="27"/>
                <w:szCs w:val="27"/>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740,426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906,750</w:t>
            </w:r>
          </w:p>
        </w:tc>
      </w:tr>
      <w:tr>
        <w:trPr>
          <w:trHeight w:val="243"/>
        </w:trPr>
        <w:tc>
          <w:tcPr>
            <w:tcW w:w="8940" w:type="dxa"/>
            <w:vAlign w:val="bottom"/>
          </w:tcPr>
          <w:p>
            <w:pPr>
              <w:ind w:left="80"/>
              <w:spacing w:after="0" w:line="242" w:lineRule="exact"/>
              <w:rPr>
                <w:sz w:val="20"/>
                <w:szCs w:val="20"/>
                <w:color w:val="auto"/>
              </w:rPr>
            </w:pPr>
            <w:r>
              <w:rPr>
                <w:rFonts w:ascii="Arial" w:cs="Arial" w:eastAsia="Arial" w:hAnsi="Arial"/>
                <w:sz w:val="16"/>
                <w:szCs w:val="16"/>
                <w:color w:val="auto"/>
              </w:rPr>
              <w:t>Audit-Related Fees</w:t>
            </w:r>
            <w:r>
              <w:rPr>
                <w:rFonts w:ascii="Arial" w:cs="Arial" w:eastAsia="Arial" w:hAnsi="Arial"/>
                <w:sz w:val="27"/>
                <w:szCs w:val="27"/>
                <w:color w:val="auto"/>
                <w:vertAlign w:val="superscript"/>
              </w:rPr>
              <w:t>(2)</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134,925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133,875</w:t>
            </w:r>
          </w:p>
        </w:tc>
      </w:tr>
      <w:tr>
        <w:trPr>
          <w:trHeight w:val="248"/>
        </w:trPr>
        <w:tc>
          <w:tcPr>
            <w:tcW w:w="8940" w:type="dxa"/>
            <w:vAlign w:val="bottom"/>
          </w:tcPr>
          <w:p>
            <w:pPr>
              <w:ind w:left="80"/>
              <w:spacing w:after="0" w:line="248" w:lineRule="exact"/>
              <w:rPr>
                <w:sz w:val="20"/>
                <w:szCs w:val="20"/>
                <w:color w:val="auto"/>
              </w:rPr>
            </w:pPr>
            <w:r>
              <w:rPr>
                <w:rFonts w:ascii="Arial" w:cs="Arial" w:eastAsia="Arial" w:hAnsi="Arial"/>
                <w:sz w:val="16"/>
                <w:szCs w:val="16"/>
                <w:color w:val="auto"/>
              </w:rPr>
              <w:t>Tax Fees</w:t>
            </w:r>
            <w:r>
              <w:rPr>
                <w:rFonts w:ascii="Arial" w:cs="Arial" w:eastAsia="Arial" w:hAnsi="Arial"/>
                <w:sz w:val="27"/>
                <w:szCs w:val="27"/>
                <w:color w:val="auto"/>
                <w:vertAlign w:val="superscript"/>
              </w:rPr>
              <w:t>(3)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246,660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239,980</w:t>
            </w:r>
          </w:p>
        </w:tc>
      </w:tr>
      <w:tr>
        <w:trPr>
          <w:trHeight w:val="208"/>
        </w:trPr>
        <w:tc>
          <w:tcPr>
            <w:tcW w:w="89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All Other Fees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r>
      <w:tr>
        <w:trPr>
          <w:trHeight w:val="237"/>
        </w:trPr>
        <w:tc>
          <w:tcPr>
            <w:tcW w:w="8940" w:type="dxa"/>
            <w:vAlign w:val="bottom"/>
          </w:tcPr>
          <w:p>
            <w:pPr>
              <w:ind w:left="80"/>
              <w:spacing w:after="0"/>
              <w:rPr>
                <w:sz w:val="20"/>
                <w:szCs w:val="20"/>
                <w:color w:val="auto"/>
              </w:rPr>
            </w:pPr>
            <w:r>
              <w:rPr>
                <w:rFonts w:ascii="Arial" w:cs="Arial" w:eastAsia="Arial" w:hAnsi="Arial"/>
                <w:sz w:val="16"/>
                <w:szCs w:val="16"/>
                <w:b w:val="1"/>
                <w:bCs w:val="1"/>
                <w:color w:val="auto"/>
              </w:rPr>
              <w:t>Total Fees</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1,122,011</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b w:val="1"/>
                <w:bCs w:val="1"/>
                <w:color w:val="auto"/>
              </w:rPr>
              <w:t>1,280,605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115570</wp:posOffset>
            </wp:positionV>
            <wp:extent cx="69469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1" w:lineRule="exact"/>
        <w:rPr>
          <w:sz w:val="20"/>
          <w:szCs w:val="20"/>
          <w:color w:val="auto"/>
        </w:rPr>
      </w:pPr>
    </w:p>
    <w:p>
      <w:pPr>
        <w:jc w:val="both"/>
        <w:ind w:left="640" w:right="20" w:hanging="436"/>
        <w:spacing w:after="0" w:line="234"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Audit fees include all fees and expenses for services in connection with: (a) the audit of our financial statements included in our annual reports on Form 10-K; (b) Sarbanes-Oxley Section 404 relating to our annual audit; (c) the review of the financial statements included in our quarterly reports on Form 10-Q; and (d) consents and comfort letters issued in connection with debt offerings and common share offerings.</w:t>
      </w:r>
    </w:p>
    <w:p>
      <w:pPr>
        <w:spacing w:after="0" w:line="3" w:lineRule="exact"/>
        <w:rPr>
          <w:rFonts w:ascii="Arial" w:cs="Arial" w:eastAsia="Arial" w:hAnsi="Arial"/>
          <w:sz w:val="18"/>
          <w:szCs w:val="18"/>
          <w:color w:val="auto"/>
        </w:rPr>
      </w:pPr>
    </w:p>
    <w:p>
      <w:pPr>
        <w:ind w:left="640" w:right="20" w:hanging="436"/>
        <w:spacing w:after="0" w:line="234"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Audit-related fees primarily include the audit of our employee benefit plan, which are paid by the plan and not the Trust, and certain property level audits.</w:t>
      </w:r>
    </w:p>
    <w:p>
      <w:pPr>
        <w:spacing w:after="0" w:line="1" w:lineRule="exact"/>
        <w:rPr>
          <w:rFonts w:ascii="Arial" w:cs="Arial" w:eastAsia="Arial" w:hAnsi="Arial"/>
          <w:sz w:val="18"/>
          <w:szCs w:val="18"/>
          <w:color w:val="auto"/>
        </w:rPr>
      </w:pPr>
    </w:p>
    <w:p>
      <w:pPr>
        <w:ind w:left="640" w:right="20" w:hanging="436"/>
        <w:spacing w:after="0" w:line="246"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$239,285 and $233,400 of the amounts shown for 2018 and 2017, respectively, relate solely to tax compliance and preparation, including the preparation of original and amended tax returns and refund claims and tax payment planning.</w:t>
      </w:r>
    </w:p>
    <w:p>
      <w:pPr>
        <w:spacing w:after="0" w:line="165" w:lineRule="exact"/>
        <w:rPr>
          <w:sz w:val="20"/>
          <w:szCs w:val="20"/>
          <w:color w:val="auto"/>
        </w:rPr>
      </w:pPr>
    </w:p>
    <w:p>
      <w:pPr>
        <w:ind w:left="200" w:right="760"/>
        <w:spacing w:after="0" w:line="261" w:lineRule="auto"/>
        <w:rPr>
          <w:sz w:val="20"/>
          <w:szCs w:val="20"/>
          <w:color w:val="auto"/>
        </w:rPr>
      </w:pPr>
      <w:r>
        <w:rPr>
          <w:rFonts w:ascii="Arial" w:cs="Arial" w:eastAsia="Arial" w:hAnsi="Arial"/>
          <w:sz w:val="22"/>
          <w:szCs w:val="22"/>
          <w:b w:val="1"/>
          <w:bCs w:val="1"/>
          <w:color w:val="auto"/>
        </w:rPr>
        <w:t>PROCEDURES FOR AUDIT COMMITTEE PRE-APPROVAL OF AUDIT AND PERMISSIBLE NON-AUDIT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13970</wp:posOffset>
            </wp:positionV>
            <wp:extent cx="6997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4" w:lineRule="exact"/>
        <w:rPr>
          <w:sz w:val="20"/>
          <w:szCs w:val="20"/>
          <w:color w:val="auto"/>
        </w:rPr>
      </w:pPr>
    </w:p>
    <w:p>
      <w:pPr>
        <w:jc w:val="both"/>
        <w:ind w:left="200" w:right="20"/>
        <w:spacing w:after="0" w:line="238" w:lineRule="auto"/>
        <w:rPr>
          <w:sz w:val="20"/>
          <w:szCs w:val="20"/>
          <w:color w:val="auto"/>
        </w:rPr>
      </w:pPr>
      <w:r>
        <w:rPr>
          <w:rFonts w:ascii="Arial" w:cs="Arial" w:eastAsia="Arial" w:hAnsi="Arial"/>
          <w:sz w:val="18"/>
          <w:szCs w:val="18"/>
          <w:color w:val="auto"/>
        </w:rPr>
        <w:t>As required by its charter, the Audit Committee is responsible for reviewing and approving in advance all audit and permissible non-audit services to be provided by GT to the Trust. The Audit Committee approves such services only after concluding that the provision of these services would not affect the independence of GT. The Audit Committee approved all audit services provided by GT in 2018 and has pre-approved GT providing the following permissible non-audit services in 2019 up to specified maximum amounts that are consistent with prior years:</w:t>
      </w:r>
    </w:p>
    <w:p>
      <w:pPr>
        <w:spacing w:after="0" w:line="203" w:lineRule="exact"/>
        <w:rPr>
          <w:sz w:val="20"/>
          <w:szCs w:val="20"/>
          <w:color w:val="auto"/>
        </w:rPr>
      </w:pPr>
    </w:p>
    <w:p>
      <w:pPr>
        <w:ind w:left="860" w:hanging="332"/>
        <w:spacing w:after="0"/>
        <w:tabs>
          <w:tab w:leader="none" w:pos="8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Issuance of comfort letters and consent for capital markets transactions</w:t>
      </w:r>
    </w:p>
    <w:p>
      <w:pPr>
        <w:spacing w:after="0" w:line="9" w:lineRule="exact"/>
        <w:rPr>
          <w:rFonts w:ascii="Arial" w:cs="Arial" w:eastAsia="Arial" w:hAnsi="Arial"/>
          <w:sz w:val="18"/>
          <w:szCs w:val="18"/>
          <w:color w:val="auto"/>
        </w:rPr>
      </w:pPr>
    </w:p>
    <w:p>
      <w:pPr>
        <w:ind w:left="860" w:right="20" w:hanging="332"/>
        <w:spacing w:after="0" w:line="234" w:lineRule="auto"/>
        <w:tabs>
          <w:tab w:leader="none" w:pos="8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Tax planning and other consultation for purposes of structuring investment or financing opportunities as well as consultation associated with financial reporting matters</w:t>
      </w:r>
    </w:p>
    <w:p>
      <w:pPr>
        <w:spacing w:after="0" w:line="1" w:lineRule="exact"/>
        <w:rPr>
          <w:rFonts w:ascii="Arial" w:cs="Arial" w:eastAsia="Arial" w:hAnsi="Arial"/>
          <w:sz w:val="18"/>
          <w:szCs w:val="18"/>
          <w:color w:val="auto"/>
        </w:rPr>
      </w:pPr>
    </w:p>
    <w:p>
      <w:pPr>
        <w:ind w:left="860" w:hanging="332"/>
        <w:spacing w:after="0"/>
        <w:tabs>
          <w:tab w:leader="none" w:pos="8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Limited review of the Trust’s letter to the State of California Department of Environmental Quality</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240" w:top="459" w:right="4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3517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97700" cy="351790"/>
                    </a:xfrm>
                    <a:prstGeom prst="rect">
                      <a:avLst/>
                    </a:prstGeom>
                    <a:noFill/>
                  </pic:spPr>
                </pic:pic>
              </a:graphicData>
            </a:graphic>
          </wp:anchor>
        </w:drawing>
      </w:r>
    </w:p>
    <w:p>
      <w:pPr>
        <w:spacing w:after="0" w:line="385" w:lineRule="exact"/>
        <w:rPr>
          <w:sz w:val="20"/>
          <w:szCs w:val="20"/>
          <w:color w:val="auto"/>
        </w:rPr>
      </w:pPr>
    </w:p>
    <w:p>
      <w:pPr>
        <w:ind w:left="280"/>
        <w:spacing w:after="0"/>
        <w:rPr>
          <w:sz w:val="20"/>
          <w:szCs w:val="20"/>
          <w:color w:val="auto"/>
        </w:rPr>
      </w:pPr>
      <w:r>
        <w:rPr>
          <w:rFonts w:ascii="Arial" w:cs="Arial" w:eastAsia="Arial" w:hAnsi="Arial"/>
          <w:sz w:val="29"/>
          <w:szCs w:val="29"/>
          <w:b w:val="1"/>
          <w:bCs w:val="1"/>
          <w:color w:val="FFFFFF"/>
        </w:rPr>
        <w:t>OWNERSHIP INFORMATION</w:t>
      </w:r>
    </w:p>
    <w:p>
      <w:pPr>
        <w:spacing w:after="0" w:line="32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OWNERSHIP OF PRINCIPAL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Based upon our records and the information reported in filings with the SEC, the following were beneficial owners of more than 5% of our</w:t>
      </w:r>
    </w:p>
    <w:p>
      <w:pPr>
        <w:ind w:left="200"/>
        <w:spacing w:after="0"/>
        <w:rPr>
          <w:sz w:val="20"/>
          <w:szCs w:val="20"/>
          <w:color w:val="auto"/>
        </w:rPr>
      </w:pPr>
      <w:r>
        <w:rPr>
          <w:rFonts w:ascii="Arial" w:cs="Arial" w:eastAsia="Arial" w:hAnsi="Arial"/>
          <w:sz w:val="18"/>
          <w:szCs w:val="18"/>
          <w:color w:val="auto"/>
        </w:rPr>
        <w:t>Shares as of March 14, 2019:</w:t>
      </w:r>
    </w:p>
    <w:p>
      <w:pPr>
        <w:spacing w:after="0" w:line="240" w:lineRule="exact"/>
        <w:rPr>
          <w:sz w:val="20"/>
          <w:szCs w:val="20"/>
          <w:color w:val="auto"/>
        </w:rPr>
      </w:pPr>
    </w:p>
    <w:tbl>
      <w:tblPr>
        <w:tblLayout w:type="fixed"/>
        <w:tblInd w:w="220" w:type="dxa"/>
        <w:tblCellMar>
          <w:top w:w="0" w:type="dxa"/>
          <w:left w:w="0" w:type="dxa"/>
          <w:bottom w:w="0" w:type="dxa"/>
          <w:right w:w="0" w:type="dxa"/>
        </w:tblCellMar>
      </w:tblPr>
      <w:tr>
        <w:trPr>
          <w:trHeight w:val="226"/>
        </w:trPr>
        <w:tc>
          <w:tcPr>
            <w:tcW w:w="6020" w:type="dxa"/>
            <w:vAlign w:val="bottom"/>
            <w:shd w:val="clear" w:color="auto" w:fill="1F2A44"/>
          </w:tcPr>
          <w:p>
            <w:pPr>
              <w:ind w:left="60"/>
              <w:spacing w:after="0"/>
              <w:rPr>
                <w:sz w:val="20"/>
                <w:szCs w:val="20"/>
                <w:color w:val="auto"/>
              </w:rPr>
            </w:pPr>
            <w:r>
              <w:rPr>
                <w:rFonts w:ascii="Arial" w:cs="Arial" w:eastAsia="Arial" w:hAnsi="Arial"/>
                <w:sz w:val="14"/>
                <w:szCs w:val="14"/>
                <w:b w:val="1"/>
                <w:bCs w:val="1"/>
                <w:color w:val="FFFFFF"/>
              </w:rPr>
              <w:t>Name and Address</w:t>
            </w:r>
          </w:p>
        </w:tc>
        <w:tc>
          <w:tcPr>
            <w:tcW w:w="3020" w:type="dxa"/>
            <w:vAlign w:val="bottom"/>
            <w:shd w:val="clear" w:color="auto" w:fill="1F2A44"/>
          </w:tcPr>
          <w:p>
            <w:pPr>
              <w:jc w:val="center"/>
              <w:ind w:left="662"/>
              <w:spacing w:after="0"/>
              <w:rPr>
                <w:sz w:val="20"/>
                <w:szCs w:val="20"/>
                <w:color w:val="auto"/>
              </w:rPr>
            </w:pPr>
            <w:r>
              <w:rPr>
                <w:rFonts w:ascii="Arial" w:cs="Arial" w:eastAsia="Arial" w:hAnsi="Arial"/>
                <w:sz w:val="14"/>
                <w:szCs w:val="14"/>
                <w:b w:val="1"/>
                <w:bCs w:val="1"/>
                <w:color w:val="FFFFFF"/>
              </w:rPr>
              <w:t>Amount and Nature</w:t>
            </w:r>
          </w:p>
        </w:tc>
        <w:tc>
          <w:tcPr>
            <w:tcW w:w="1980" w:type="dxa"/>
            <w:vAlign w:val="bottom"/>
            <w:shd w:val="clear" w:color="auto" w:fill="1F2A44"/>
          </w:tcPr>
          <w:p>
            <w:pPr>
              <w:jc w:val="center"/>
              <w:ind w:left="142"/>
              <w:spacing w:after="0"/>
              <w:rPr>
                <w:sz w:val="20"/>
                <w:szCs w:val="20"/>
                <w:color w:val="auto"/>
              </w:rPr>
            </w:pPr>
            <w:r>
              <w:rPr>
                <w:rFonts w:ascii="Arial" w:cs="Arial" w:eastAsia="Arial" w:hAnsi="Arial"/>
                <w:sz w:val="14"/>
                <w:szCs w:val="14"/>
                <w:b w:val="1"/>
                <w:bCs w:val="1"/>
                <w:color w:val="FFFFFF"/>
              </w:rPr>
              <w:t>Percentage of Our</w:t>
            </w:r>
          </w:p>
        </w:tc>
      </w:tr>
      <w:tr>
        <w:trPr>
          <w:trHeight w:val="192"/>
        </w:trPr>
        <w:tc>
          <w:tcPr>
            <w:tcW w:w="6020" w:type="dxa"/>
            <w:vAlign w:val="bottom"/>
            <w:shd w:val="clear" w:color="auto" w:fill="1F2A44"/>
          </w:tcPr>
          <w:p>
            <w:pPr>
              <w:ind w:left="60"/>
              <w:spacing w:after="0"/>
              <w:rPr>
                <w:sz w:val="20"/>
                <w:szCs w:val="20"/>
                <w:color w:val="auto"/>
              </w:rPr>
            </w:pPr>
            <w:r>
              <w:rPr>
                <w:rFonts w:ascii="Arial" w:cs="Arial" w:eastAsia="Arial" w:hAnsi="Arial"/>
                <w:sz w:val="14"/>
                <w:szCs w:val="14"/>
                <w:b w:val="1"/>
                <w:bCs w:val="1"/>
                <w:color w:val="FFFFFF"/>
              </w:rPr>
              <w:t>of Beneficial Owner</w:t>
            </w:r>
          </w:p>
        </w:tc>
        <w:tc>
          <w:tcPr>
            <w:tcW w:w="3020" w:type="dxa"/>
            <w:vAlign w:val="bottom"/>
            <w:shd w:val="clear" w:color="auto" w:fill="1F2A44"/>
          </w:tcPr>
          <w:p>
            <w:pPr>
              <w:jc w:val="center"/>
              <w:ind w:left="662"/>
              <w:spacing w:after="0"/>
              <w:rPr>
                <w:sz w:val="20"/>
                <w:szCs w:val="20"/>
                <w:color w:val="auto"/>
              </w:rPr>
            </w:pPr>
            <w:r>
              <w:rPr>
                <w:rFonts w:ascii="Arial" w:cs="Arial" w:eastAsia="Arial" w:hAnsi="Arial"/>
                <w:sz w:val="14"/>
                <w:szCs w:val="14"/>
                <w:b w:val="1"/>
                <w:bCs w:val="1"/>
                <w:color w:val="FFFFFF"/>
              </w:rPr>
              <w:t>of Beneficial Ownership</w:t>
            </w:r>
          </w:p>
        </w:tc>
        <w:tc>
          <w:tcPr>
            <w:tcW w:w="1980" w:type="dxa"/>
            <w:vAlign w:val="bottom"/>
            <w:shd w:val="clear" w:color="auto" w:fill="1F2A44"/>
          </w:tcPr>
          <w:p>
            <w:pPr>
              <w:jc w:val="center"/>
              <w:ind w:left="142"/>
              <w:spacing w:after="0" w:line="192" w:lineRule="exact"/>
              <w:rPr>
                <w:sz w:val="20"/>
                <w:szCs w:val="20"/>
                <w:color w:val="auto"/>
              </w:rPr>
            </w:pPr>
            <w:r>
              <w:rPr>
                <w:rFonts w:ascii="Arial" w:cs="Arial" w:eastAsia="Arial" w:hAnsi="Arial"/>
                <w:sz w:val="13"/>
                <w:szCs w:val="13"/>
                <w:b w:val="1"/>
                <w:bCs w:val="1"/>
                <w:color w:val="FFFFFF"/>
              </w:rPr>
              <w:t>Outstanding Shares</w:t>
            </w:r>
            <w:r>
              <w:rPr>
                <w:rFonts w:ascii="Arial" w:cs="Arial" w:eastAsia="Arial" w:hAnsi="Arial"/>
                <w:sz w:val="22"/>
                <w:szCs w:val="22"/>
                <w:b w:val="1"/>
                <w:bCs w:val="1"/>
                <w:color w:val="FFFFFF"/>
                <w:vertAlign w:val="superscript"/>
              </w:rPr>
              <w:t>(1)</w:t>
            </w:r>
          </w:p>
        </w:tc>
      </w:tr>
      <w:tr>
        <w:trPr>
          <w:trHeight w:val="81"/>
        </w:trPr>
        <w:tc>
          <w:tcPr>
            <w:tcW w:w="6020" w:type="dxa"/>
            <w:vAlign w:val="bottom"/>
            <w:shd w:val="clear" w:color="auto" w:fill="1F2A44"/>
          </w:tcPr>
          <w:p>
            <w:pPr>
              <w:spacing w:after="0"/>
              <w:rPr>
                <w:sz w:val="7"/>
                <w:szCs w:val="7"/>
                <w:color w:val="auto"/>
              </w:rPr>
            </w:pPr>
          </w:p>
        </w:tc>
        <w:tc>
          <w:tcPr>
            <w:tcW w:w="3020" w:type="dxa"/>
            <w:vAlign w:val="bottom"/>
            <w:shd w:val="clear" w:color="auto" w:fill="1F2A44"/>
          </w:tcPr>
          <w:p>
            <w:pPr>
              <w:spacing w:after="0"/>
              <w:rPr>
                <w:sz w:val="7"/>
                <w:szCs w:val="7"/>
                <w:color w:val="auto"/>
              </w:rPr>
            </w:pPr>
          </w:p>
        </w:tc>
        <w:tc>
          <w:tcPr>
            <w:tcW w:w="1980" w:type="dxa"/>
            <w:vAlign w:val="bottom"/>
            <w:shd w:val="clear" w:color="auto" w:fill="1F2A44"/>
          </w:tcPr>
          <w:p>
            <w:pPr>
              <w:spacing w:after="0"/>
              <w:rPr>
                <w:sz w:val="7"/>
                <w:szCs w:val="7"/>
                <w:color w:val="auto"/>
              </w:rPr>
            </w:pPr>
          </w:p>
        </w:tc>
      </w:tr>
      <w:tr>
        <w:trPr>
          <w:trHeight w:val="272"/>
        </w:trPr>
        <w:tc>
          <w:tcPr>
            <w:tcW w:w="6020" w:type="dxa"/>
            <w:vAlign w:val="bottom"/>
          </w:tcPr>
          <w:p>
            <w:pPr>
              <w:ind w:left="80"/>
              <w:spacing w:after="0" w:line="272" w:lineRule="exact"/>
              <w:rPr>
                <w:sz w:val="20"/>
                <w:szCs w:val="20"/>
                <w:color w:val="auto"/>
              </w:rPr>
            </w:pPr>
            <w:r>
              <w:rPr>
                <w:rFonts w:ascii="Arial" w:cs="Arial" w:eastAsia="Arial" w:hAnsi="Arial"/>
                <w:sz w:val="16"/>
                <w:szCs w:val="16"/>
                <w:color w:val="auto"/>
              </w:rPr>
              <w:t>The Vanguard Group, Inc.</w:t>
            </w:r>
            <w:r>
              <w:rPr>
                <w:rFonts w:ascii="Arial" w:cs="Arial" w:eastAsia="Arial" w:hAnsi="Arial"/>
                <w:sz w:val="27"/>
                <w:szCs w:val="27"/>
                <w:color w:val="auto"/>
                <w:vertAlign w:val="superscript"/>
              </w:rPr>
              <w:t>(2)</w:t>
            </w:r>
          </w:p>
        </w:tc>
        <w:tc>
          <w:tcPr>
            <w:tcW w:w="3020" w:type="dxa"/>
            <w:vAlign w:val="bottom"/>
          </w:tcPr>
          <w:p>
            <w:pPr>
              <w:jc w:val="center"/>
              <w:ind w:left="662"/>
              <w:spacing w:after="0"/>
              <w:rPr>
                <w:sz w:val="20"/>
                <w:szCs w:val="20"/>
                <w:color w:val="auto"/>
              </w:rPr>
            </w:pPr>
            <w:r>
              <w:rPr>
                <w:rFonts w:ascii="Arial" w:cs="Arial" w:eastAsia="Arial" w:hAnsi="Arial"/>
                <w:sz w:val="16"/>
                <w:szCs w:val="16"/>
                <w:color w:val="auto"/>
                <w:w w:val="99"/>
              </w:rPr>
              <w:t>11,416,211</w:t>
            </w:r>
          </w:p>
        </w:tc>
        <w:tc>
          <w:tcPr>
            <w:tcW w:w="1980" w:type="dxa"/>
            <w:vAlign w:val="bottom"/>
          </w:tcPr>
          <w:p>
            <w:pPr>
              <w:jc w:val="center"/>
              <w:ind w:left="242"/>
              <w:spacing w:after="0"/>
              <w:rPr>
                <w:sz w:val="20"/>
                <w:szCs w:val="20"/>
                <w:color w:val="auto"/>
              </w:rPr>
            </w:pPr>
            <w:r>
              <w:rPr>
                <w:rFonts w:ascii="Arial" w:cs="Arial" w:eastAsia="Arial" w:hAnsi="Arial"/>
                <w:sz w:val="16"/>
                <w:szCs w:val="16"/>
                <w:color w:val="auto"/>
              </w:rPr>
              <w:t>15.3%</w:t>
            </w:r>
          </w:p>
        </w:tc>
      </w:tr>
      <w:tr>
        <w:trPr>
          <w:trHeight w:val="189"/>
        </w:trPr>
        <w:tc>
          <w:tcPr>
            <w:tcW w:w="6020" w:type="dxa"/>
            <w:vAlign w:val="bottom"/>
          </w:tcPr>
          <w:p>
            <w:pPr>
              <w:ind w:left="80"/>
              <w:spacing w:after="0"/>
              <w:rPr>
                <w:sz w:val="20"/>
                <w:szCs w:val="20"/>
                <w:color w:val="auto"/>
              </w:rPr>
            </w:pPr>
            <w:r>
              <w:rPr>
                <w:rFonts w:ascii="Arial" w:cs="Arial" w:eastAsia="Arial" w:hAnsi="Arial"/>
                <w:sz w:val="16"/>
                <w:szCs w:val="16"/>
                <w:color w:val="auto"/>
              </w:rPr>
              <w:t>100 Vanguard Blvd.</w:t>
            </w:r>
          </w:p>
        </w:tc>
        <w:tc>
          <w:tcPr>
            <w:tcW w:w="3020" w:type="dxa"/>
            <w:vAlign w:val="bottom"/>
          </w:tcPr>
          <w:p>
            <w:pPr>
              <w:spacing w:after="0"/>
              <w:rPr>
                <w:sz w:val="16"/>
                <w:szCs w:val="16"/>
                <w:color w:val="auto"/>
              </w:rPr>
            </w:pPr>
          </w:p>
        </w:tc>
        <w:tc>
          <w:tcPr>
            <w:tcW w:w="1980" w:type="dxa"/>
            <w:vAlign w:val="bottom"/>
          </w:tcPr>
          <w:p>
            <w:pPr>
              <w:spacing w:after="0"/>
              <w:rPr>
                <w:sz w:val="16"/>
                <w:szCs w:val="16"/>
                <w:color w:val="auto"/>
              </w:rPr>
            </w:pPr>
          </w:p>
        </w:tc>
      </w:tr>
      <w:tr>
        <w:trPr>
          <w:trHeight w:val="195"/>
        </w:trPr>
        <w:tc>
          <w:tcPr>
            <w:tcW w:w="6020" w:type="dxa"/>
            <w:vAlign w:val="bottom"/>
          </w:tcPr>
          <w:p>
            <w:pPr>
              <w:ind w:left="80"/>
              <w:spacing w:after="0"/>
              <w:rPr>
                <w:sz w:val="20"/>
                <w:szCs w:val="20"/>
                <w:color w:val="auto"/>
              </w:rPr>
            </w:pPr>
            <w:r>
              <w:rPr>
                <w:rFonts w:ascii="Arial" w:cs="Arial" w:eastAsia="Arial" w:hAnsi="Arial"/>
                <w:sz w:val="16"/>
                <w:szCs w:val="16"/>
                <w:color w:val="auto"/>
              </w:rPr>
              <w:t>Malvern, PA 19355</w:t>
            </w:r>
          </w:p>
        </w:tc>
        <w:tc>
          <w:tcPr>
            <w:tcW w:w="3020" w:type="dxa"/>
            <w:vAlign w:val="bottom"/>
          </w:tcPr>
          <w:p>
            <w:pPr>
              <w:spacing w:after="0"/>
              <w:rPr>
                <w:sz w:val="16"/>
                <w:szCs w:val="16"/>
                <w:color w:val="auto"/>
              </w:rPr>
            </w:pPr>
          </w:p>
        </w:tc>
        <w:tc>
          <w:tcPr>
            <w:tcW w:w="1980" w:type="dxa"/>
            <w:vAlign w:val="bottom"/>
          </w:tcPr>
          <w:p>
            <w:pPr>
              <w:spacing w:after="0"/>
              <w:rPr>
                <w:sz w:val="16"/>
                <w:szCs w:val="16"/>
                <w:color w:val="auto"/>
              </w:rPr>
            </w:pPr>
          </w:p>
        </w:tc>
      </w:tr>
      <w:tr>
        <w:trPr>
          <w:trHeight w:val="60"/>
        </w:trPr>
        <w:tc>
          <w:tcPr>
            <w:tcW w:w="6020" w:type="dxa"/>
            <w:vAlign w:val="bottom"/>
          </w:tcPr>
          <w:p>
            <w:pPr>
              <w:spacing w:after="0"/>
              <w:rPr>
                <w:sz w:val="5"/>
                <w:szCs w:val="5"/>
                <w:color w:val="auto"/>
              </w:rPr>
            </w:pPr>
          </w:p>
        </w:tc>
        <w:tc>
          <w:tcPr>
            <w:tcW w:w="3020" w:type="dxa"/>
            <w:vAlign w:val="bottom"/>
          </w:tcPr>
          <w:p>
            <w:pPr>
              <w:spacing w:after="0"/>
              <w:rPr>
                <w:sz w:val="5"/>
                <w:szCs w:val="5"/>
                <w:color w:val="auto"/>
              </w:rPr>
            </w:pPr>
          </w:p>
        </w:tc>
        <w:tc>
          <w:tcPr>
            <w:tcW w:w="1980" w:type="dxa"/>
            <w:vAlign w:val="bottom"/>
          </w:tcPr>
          <w:p>
            <w:pPr>
              <w:spacing w:after="0"/>
              <w:rPr>
                <w:sz w:val="5"/>
                <w:szCs w:val="5"/>
                <w:color w:val="auto"/>
              </w:rPr>
            </w:pPr>
          </w:p>
        </w:tc>
      </w:tr>
      <w:tr>
        <w:trPr>
          <w:trHeight w:val="267"/>
        </w:trPr>
        <w:tc>
          <w:tcPr>
            <w:tcW w:w="6020" w:type="dxa"/>
            <w:vAlign w:val="bottom"/>
            <w:shd w:val="clear" w:color="auto" w:fill="D2D4D9"/>
          </w:tcPr>
          <w:p>
            <w:pPr>
              <w:ind w:left="80"/>
              <w:spacing w:after="0" w:line="267" w:lineRule="exact"/>
              <w:rPr>
                <w:sz w:val="20"/>
                <w:szCs w:val="20"/>
                <w:color w:val="auto"/>
              </w:rPr>
            </w:pPr>
            <w:r>
              <w:rPr>
                <w:rFonts w:ascii="Arial" w:cs="Arial" w:eastAsia="Arial" w:hAnsi="Arial"/>
                <w:sz w:val="16"/>
                <w:szCs w:val="16"/>
                <w:color w:val="auto"/>
              </w:rPr>
              <w:t>BlackRock, Inc.</w:t>
            </w:r>
            <w:r>
              <w:rPr>
                <w:rFonts w:ascii="Arial" w:cs="Arial" w:eastAsia="Arial" w:hAnsi="Arial"/>
                <w:sz w:val="27"/>
                <w:szCs w:val="27"/>
                <w:color w:val="auto"/>
                <w:vertAlign w:val="superscript"/>
              </w:rPr>
              <w:t>(3)</w:t>
            </w:r>
          </w:p>
        </w:tc>
        <w:tc>
          <w:tcPr>
            <w:tcW w:w="3020" w:type="dxa"/>
            <w:vAlign w:val="bottom"/>
            <w:shd w:val="clear" w:color="auto" w:fill="D2D4D9"/>
          </w:tcPr>
          <w:p>
            <w:pPr>
              <w:jc w:val="center"/>
              <w:ind w:left="662"/>
              <w:spacing w:after="0"/>
              <w:rPr>
                <w:sz w:val="20"/>
                <w:szCs w:val="20"/>
                <w:color w:val="auto"/>
              </w:rPr>
            </w:pPr>
            <w:r>
              <w:rPr>
                <w:rFonts w:ascii="Arial" w:cs="Arial" w:eastAsia="Arial" w:hAnsi="Arial"/>
                <w:sz w:val="16"/>
                <w:szCs w:val="16"/>
                <w:color w:val="auto"/>
              </w:rPr>
              <w:t>8,092,781</w:t>
            </w:r>
          </w:p>
        </w:tc>
        <w:tc>
          <w:tcPr>
            <w:tcW w:w="1980" w:type="dxa"/>
            <w:vAlign w:val="bottom"/>
            <w:shd w:val="clear" w:color="auto" w:fill="D2D4D9"/>
          </w:tcPr>
          <w:p>
            <w:pPr>
              <w:jc w:val="center"/>
              <w:ind w:left="242"/>
              <w:spacing w:after="0"/>
              <w:rPr>
                <w:sz w:val="20"/>
                <w:szCs w:val="20"/>
                <w:color w:val="auto"/>
              </w:rPr>
            </w:pPr>
            <w:r>
              <w:rPr>
                <w:rFonts w:ascii="Arial" w:cs="Arial" w:eastAsia="Arial" w:hAnsi="Arial"/>
                <w:sz w:val="16"/>
                <w:szCs w:val="16"/>
                <w:color w:val="auto"/>
              </w:rPr>
              <w:t>10.8%</w:t>
            </w:r>
          </w:p>
        </w:tc>
      </w:tr>
      <w:tr>
        <w:trPr>
          <w:trHeight w:val="194"/>
        </w:trPr>
        <w:tc>
          <w:tcPr>
            <w:tcW w:w="6020" w:type="dxa"/>
            <w:vAlign w:val="bottom"/>
            <w:shd w:val="clear" w:color="auto" w:fill="D2D4D9"/>
          </w:tcPr>
          <w:p>
            <w:pPr>
              <w:ind w:left="80"/>
              <w:spacing w:after="0" w:line="194" w:lineRule="exact"/>
              <w:rPr>
                <w:sz w:val="20"/>
                <w:szCs w:val="20"/>
                <w:color w:val="auto"/>
              </w:rPr>
            </w:pPr>
            <w:r>
              <w:rPr>
                <w:rFonts w:ascii="Arial" w:cs="Arial" w:eastAsia="Arial" w:hAnsi="Arial"/>
                <w:sz w:val="14"/>
                <w:szCs w:val="14"/>
                <w:color w:val="auto"/>
              </w:rPr>
              <w:t>55 East 52</w:t>
            </w:r>
            <w:r>
              <w:rPr>
                <w:rFonts w:ascii="Arial" w:cs="Arial" w:eastAsia="Arial" w:hAnsi="Arial"/>
                <w:sz w:val="22"/>
                <w:szCs w:val="22"/>
                <w:color w:val="auto"/>
                <w:vertAlign w:val="superscript"/>
              </w:rPr>
              <w:t>nd</w:t>
            </w:r>
            <w:r>
              <w:rPr>
                <w:rFonts w:ascii="Arial" w:cs="Arial" w:eastAsia="Arial" w:hAnsi="Arial"/>
                <w:sz w:val="14"/>
                <w:szCs w:val="14"/>
                <w:color w:val="auto"/>
              </w:rPr>
              <w:t xml:space="preserve"> Street</w:t>
            </w:r>
          </w:p>
        </w:tc>
        <w:tc>
          <w:tcPr>
            <w:tcW w:w="3020" w:type="dxa"/>
            <w:vAlign w:val="bottom"/>
            <w:shd w:val="clear" w:color="auto" w:fill="D2D4D9"/>
          </w:tcPr>
          <w:p>
            <w:pPr>
              <w:spacing w:after="0"/>
              <w:rPr>
                <w:sz w:val="16"/>
                <w:szCs w:val="16"/>
                <w:color w:val="auto"/>
              </w:rPr>
            </w:pPr>
          </w:p>
        </w:tc>
        <w:tc>
          <w:tcPr>
            <w:tcW w:w="1980" w:type="dxa"/>
            <w:vAlign w:val="bottom"/>
            <w:shd w:val="clear" w:color="auto" w:fill="D2D4D9"/>
          </w:tcPr>
          <w:p>
            <w:pPr>
              <w:spacing w:after="0"/>
              <w:rPr>
                <w:sz w:val="16"/>
                <w:szCs w:val="16"/>
                <w:color w:val="auto"/>
              </w:rPr>
            </w:pPr>
          </w:p>
        </w:tc>
      </w:tr>
      <w:tr>
        <w:trPr>
          <w:trHeight w:val="195"/>
        </w:trPr>
        <w:tc>
          <w:tcPr>
            <w:tcW w:w="6020" w:type="dxa"/>
            <w:vAlign w:val="bottom"/>
            <w:shd w:val="clear" w:color="auto" w:fill="D2D4D9"/>
          </w:tcPr>
          <w:p>
            <w:pPr>
              <w:ind w:left="80"/>
              <w:spacing w:after="0"/>
              <w:rPr>
                <w:sz w:val="20"/>
                <w:szCs w:val="20"/>
                <w:color w:val="auto"/>
              </w:rPr>
            </w:pPr>
            <w:r>
              <w:rPr>
                <w:rFonts w:ascii="Arial" w:cs="Arial" w:eastAsia="Arial" w:hAnsi="Arial"/>
                <w:sz w:val="16"/>
                <w:szCs w:val="16"/>
                <w:color w:val="auto"/>
              </w:rPr>
              <w:t>New York, NY 10055</w:t>
            </w:r>
          </w:p>
        </w:tc>
        <w:tc>
          <w:tcPr>
            <w:tcW w:w="3020" w:type="dxa"/>
            <w:vAlign w:val="bottom"/>
            <w:shd w:val="clear" w:color="auto" w:fill="D2D4D9"/>
          </w:tcPr>
          <w:p>
            <w:pPr>
              <w:spacing w:after="0"/>
              <w:rPr>
                <w:sz w:val="16"/>
                <w:szCs w:val="16"/>
                <w:color w:val="auto"/>
              </w:rPr>
            </w:pPr>
          </w:p>
        </w:tc>
        <w:tc>
          <w:tcPr>
            <w:tcW w:w="1980" w:type="dxa"/>
            <w:vAlign w:val="bottom"/>
            <w:shd w:val="clear" w:color="auto" w:fill="D2D4D9"/>
          </w:tcPr>
          <w:p>
            <w:pPr>
              <w:spacing w:after="0"/>
              <w:rPr>
                <w:sz w:val="16"/>
                <w:szCs w:val="16"/>
                <w:color w:val="auto"/>
              </w:rPr>
            </w:pPr>
          </w:p>
        </w:tc>
      </w:tr>
      <w:tr>
        <w:trPr>
          <w:trHeight w:val="60"/>
        </w:trPr>
        <w:tc>
          <w:tcPr>
            <w:tcW w:w="6020" w:type="dxa"/>
            <w:vAlign w:val="bottom"/>
            <w:shd w:val="clear" w:color="auto" w:fill="D2D4D9"/>
          </w:tcPr>
          <w:p>
            <w:pPr>
              <w:spacing w:after="0"/>
              <w:rPr>
                <w:sz w:val="5"/>
                <w:szCs w:val="5"/>
                <w:color w:val="auto"/>
              </w:rPr>
            </w:pPr>
          </w:p>
        </w:tc>
        <w:tc>
          <w:tcPr>
            <w:tcW w:w="3020" w:type="dxa"/>
            <w:vAlign w:val="bottom"/>
            <w:shd w:val="clear" w:color="auto" w:fill="D2D4D9"/>
          </w:tcPr>
          <w:p>
            <w:pPr>
              <w:spacing w:after="0"/>
              <w:rPr>
                <w:sz w:val="5"/>
                <w:szCs w:val="5"/>
                <w:color w:val="auto"/>
              </w:rPr>
            </w:pPr>
          </w:p>
        </w:tc>
        <w:tc>
          <w:tcPr>
            <w:tcW w:w="1980" w:type="dxa"/>
            <w:vAlign w:val="bottom"/>
            <w:shd w:val="clear" w:color="auto" w:fill="D2D4D9"/>
          </w:tcPr>
          <w:p>
            <w:pPr>
              <w:spacing w:after="0"/>
              <w:rPr>
                <w:sz w:val="5"/>
                <w:szCs w:val="5"/>
                <w:color w:val="auto"/>
              </w:rPr>
            </w:pPr>
          </w:p>
        </w:tc>
      </w:tr>
      <w:tr>
        <w:trPr>
          <w:trHeight w:val="272"/>
        </w:trPr>
        <w:tc>
          <w:tcPr>
            <w:tcW w:w="6020" w:type="dxa"/>
            <w:vAlign w:val="bottom"/>
          </w:tcPr>
          <w:p>
            <w:pPr>
              <w:ind w:left="80"/>
              <w:spacing w:after="0" w:line="272" w:lineRule="exact"/>
              <w:rPr>
                <w:sz w:val="20"/>
                <w:szCs w:val="20"/>
                <w:color w:val="auto"/>
              </w:rPr>
            </w:pPr>
            <w:r>
              <w:rPr>
                <w:rFonts w:ascii="Arial" w:cs="Arial" w:eastAsia="Arial" w:hAnsi="Arial"/>
                <w:sz w:val="16"/>
                <w:szCs w:val="16"/>
                <w:color w:val="auto"/>
              </w:rPr>
              <w:t>State Street Corporation</w:t>
            </w:r>
            <w:r>
              <w:rPr>
                <w:rFonts w:ascii="Arial" w:cs="Arial" w:eastAsia="Arial" w:hAnsi="Arial"/>
                <w:sz w:val="27"/>
                <w:szCs w:val="27"/>
                <w:color w:val="auto"/>
                <w:vertAlign w:val="superscript"/>
              </w:rPr>
              <w:t>(4)</w:t>
            </w:r>
          </w:p>
        </w:tc>
        <w:tc>
          <w:tcPr>
            <w:tcW w:w="3020" w:type="dxa"/>
            <w:vAlign w:val="bottom"/>
          </w:tcPr>
          <w:p>
            <w:pPr>
              <w:jc w:val="center"/>
              <w:ind w:left="662"/>
              <w:spacing w:after="0"/>
              <w:rPr>
                <w:sz w:val="20"/>
                <w:szCs w:val="20"/>
                <w:color w:val="auto"/>
              </w:rPr>
            </w:pPr>
            <w:r>
              <w:rPr>
                <w:rFonts w:ascii="Arial" w:cs="Arial" w:eastAsia="Arial" w:hAnsi="Arial"/>
                <w:sz w:val="16"/>
                <w:szCs w:val="16"/>
                <w:color w:val="auto"/>
              </w:rPr>
              <w:t>6,314,157</w:t>
            </w:r>
          </w:p>
        </w:tc>
        <w:tc>
          <w:tcPr>
            <w:tcW w:w="1980" w:type="dxa"/>
            <w:vAlign w:val="bottom"/>
          </w:tcPr>
          <w:p>
            <w:pPr>
              <w:jc w:val="center"/>
              <w:ind w:left="222"/>
              <w:spacing w:after="0"/>
              <w:rPr>
                <w:sz w:val="20"/>
                <w:szCs w:val="20"/>
                <w:color w:val="auto"/>
              </w:rPr>
            </w:pPr>
            <w:r>
              <w:rPr>
                <w:rFonts w:ascii="Arial" w:cs="Arial" w:eastAsia="Arial" w:hAnsi="Arial"/>
                <w:sz w:val="16"/>
                <w:szCs w:val="16"/>
                <w:color w:val="auto"/>
                <w:w w:val="98"/>
              </w:rPr>
              <w:t>8.5%</w:t>
            </w:r>
          </w:p>
        </w:tc>
      </w:tr>
      <w:tr>
        <w:trPr>
          <w:trHeight w:val="189"/>
        </w:trPr>
        <w:tc>
          <w:tcPr>
            <w:tcW w:w="6020" w:type="dxa"/>
            <w:vAlign w:val="bottom"/>
          </w:tcPr>
          <w:p>
            <w:pPr>
              <w:ind w:left="80"/>
              <w:spacing w:after="0"/>
              <w:rPr>
                <w:sz w:val="20"/>
                <w:szCs w:val="20"/>
                <w:color w:val="auto"/>
              </w:rPr>
            </w:pPr>
            <w:r>
              <w:rPr>
                <w:rFonts w:ascii="Arial" w:cs="Arial" w:eastAsia="Arial" w:hAnsi="Arial"/>
                <w:sz w:val="16"/>
                <w:szCs w:val="16"/>
                <w:color w:val="auto"/>
              </w:rPr>
              <w:t>State Street Financial Center, One Lincoln Street</w:t>
            </w:r>
          </w:p>
        </w:tc>
        <w:tc>
          <w:tcPr>
            <w:tcW w:w="3020" w:type="dxa"/>
            <w:vAlign w:val="bottom"/>
          </w:tcPr>
          <w:p>
            <w:pPr>
              <w:spacing w:after="0"/>
              <w:rPr>
                <w:sz w:val="16"/>
                <w:szCs w:val="16"/>
                <w:color w:val="auto"/>
              </w:rPr>
            </w:pPr>
          </w:p>
        </w:tc>
        <w:tc>
          <w:tcPr>
            <w:tcW w:w="1980" w:type="dxa"/>
            <w:vAlign w:val="bottom"/>
          </w:tcPr>
          <w:p>
            <w:pPr>
              <w:spacing w:after="0"/>
              <w:rPr>
                <w:sz w:val="16"/>
                <w:szCs w:val="16"/>
                <w:color w:val="auto"/>
              </w:rPr>
            </w:pPr>
          </w:p>
        </w:tc>
      </w:tr>
      <w:tr>
        <w:trPr>
          <w:trHeight w:val="195"/>
        </w:trPr>
        <w:tc>
          <w:tcPr>
            <w:tcW w:w="6020" w:type="dxa"/>
            <w:vAlign w:val="bottom"/>
          </w:tcPr>
          <w:p>
            <w:pPr>
              <w:ind w:left="80"/>
              <w:spacing w:after="0"/>
              <w:rPr>
                <w:sz w:val="20"/>
                <w:szCs w:val="20"/>
                <w:color w:val="auto"/>
              </w:rPr>
            </w:pPr>
            <w:r>
              <w:rPr>
                <w:rFonts w:ascii="Arial" w:cs="Arial" w:eastAsia="Arial" w:hAnsi="Arial"/>
                <w:sz w:val="16"/>
                <w:szCs w:val="16"/>
                <w:color w:val="auto"/>
              </w:rPr>
              <w:t>Boston, MA 02111</w:t>
            </w:r>
          </w:p>
        </w:tc>
        <w:tc>
          <w:tcPr>
            <w:tcW w:w="3020" w:type="dxa"/>
            <w:vAlign w:val="bottom"/>
          </w:tcPr>
          <w:p>
            <w:pPr>
              <w:spacing w:after="0"/>
              <w:rPr>
                <w:sz w:val="16"/>
                <w:szCs w:val="16"/>
                <w:color w:val="auto"/>
              </w:rPr>
            </w:pPr>
          </w:p>
        </w:tc>
        <w:tc>
          <w:tcPr>
            <w:tcW w:w="1980" w:type="dxa"/>
            <w:vAlign w:val="bottom"/>
          </w:tcPr>
          <w:p>
            <w:pPr>
              <w:spacing w:after="0"/>
              <w:rPr>
                <w:sz w:val="16"/>
                <w:szCs w:val="16"/>
                <w:color w:val="auto"/>
              </w:rPr>
            </w:pPr>
          </w:p>
        </w:tc>
      </w:tr>
      <w:tr>
        <w:trPr>
          <w:trHeight w:val="60"/>
        </w:trPr>
        <w:tc>
          <w:tcPr>
            <w:tcW w:w="6020" w:type="dxa"/>
            <w:vAlign w:val="bottom"/>
          </w:tcPr>
          <w:p>
            <w:pPr>
              <w:spacing w:after="0"/>
              <w:rPr>
                <w:sz w:val="5"/>
                <w:szCs w:val="5"/>
                <w:color w:val="auto"/>
              </w:rPr>
            </w:pPr>
          </w:p>
        </w:tc>
        <w:tc>
          <w:tcPr>
            <w:tcW w:w="3020" w:type="dxa"/>
            <w:vAlign w:val="bottom"/>
          </w:tcPr>
          <w:p>
            <w:pPr>
              <w:spacing w:after="0"/>
              <w:rPr>
                <w:sz w:val="5"/>
                <w:szCs w:val="5"/>
                <w:color w:val="auto"/>
              </w:rPr>
            </w:pPr>
          </w:p>
        </w:tc>
        <w:tc>
          <w:tcPr>
            <w:tcW w:w="1980" w:type="dxa"/>
            <w:vAlign w:val="bottom"/>
          </w:tcPr>
          <w:p>
            <w:pPr>
              <w:spacing w:after="0"/>
              <w:rPr>
                <w:sz w:val="5"/>
                <w:szCs w:val="5"/>
                <w:color w:val="auto"/>
              </w:rPr>
            </w:pPr>
          </w:p>
        </w:tc>
      </w:tr>
      <w:tr>
        <w:trPr>
          <w:trHeight w:val="272"/>
        </w:trPr>
        <w:tc>
          <w:tcPr>
            <w:tcW w:w="6020" w:type="dxa"/>
            <w:vAlign w:val="bottom"/>
            <w:shd w:val="clear" w:color="auto" w:fill="D2D4D9"/>
          </w:tcPr>
          <w:p>
            <w:pPr>
              <w:ind w:left="80"/>
              <w:spacing w:after="0" w:line="272" w:lineRule="exact"/>
              <w:rPr>
                <w:sz w:val="20"/>
                <w:szCs w:val="20"/>
                <w:color w:val="auto"/>
              </w:rPr>
            </w:pPr>
            <w:r>
              <w:rPr>
                <w:rFonts w:ascii="Arial" w:cs="Arial" w:eastAsia="Arial" w:hAnsi="Arial"/>
                <w:sz w:val="16"/>
                <w:szCs w:val="16"/>
                <w:color w:val="auto"/>
              </w:rPr>
              <w:t>JPMorgan Chase &amp; Co.</w:t>
            </w:r>
            <w:r>
              <w:rPr>
                <w:rFonts w:ascii="Arial" w:cs="Arial" w:eastAsia="Arial" w:hAnsi="Arial"/>
                <w:sz w:val="27"/>
                <w:szCs w:val="27"/>
                <w:color w:val="auto"/>
                <w:vertAlign w:val="superscript"/>
              </w:rPr>
              <w:t>(5)</w:t>
            </w:r>
          </w:p>
        </w:tc>
        <w:tc>
          <w:tcPr>
            <w:tcW w:w="3020" w:type="dxa"/>
            <w:vAlign w:val="bottom"/>
            <w:shd w:val="clear" w:color="auto" w:fill="D2D4D9"/>
          </w:tcPr>
          <w:p>
            <w:pPr>
              <w:jc w:val="center"/>
              <w:ind w:left="662"/>
              <w:spacing w:after="0"/>
              <w:rPr>
                <w:sz w:val="20"/>
                <w:szCs w:val="20"/>
                <w:color w:val="auto"/>
              </w:rPr>
            </w:pPr>
            <w:r>
              <w:rPr>
                <w:rFonts w:ascii="Arial" w:cs="Arial" w:eastAsia="Arial" w:hAnsi="Arial"/>
                <w:sz w:val="16"/>
                <w:szCs w:val="16"/>
                <w:color w:val="auto"/>
              </w:rPr>
              <w:t>5,057,986</w:t>
            </w:r>
          </w:p>
        </w:tc>
        <w:tc>
          <w:tcPr>
            <w:tcW w:w="1980" w:type="dxa"/>
            <w:vAlign w:val="bottom"/>
            <w:shd w:val="clear" w:color="auto" w:fill="D2D4D9"/>
          </w:tcPr>
          <w:p>
            <w:pPr>
              <w:jc w:val="center"/>
              <w:ind w:left="222"/>
              <w:spacing w:after="0"/>
              <w:rPr>
                <w:sz w:val="20"/>
                <w:szCs w:val="20"/>
                <w:color w:val="auto"/>
              </w:rPr>
            </w:pPr>
            <w:r>
              <w:rPr>
                <w:rFonts w:ascii="Arial" w:cs="Arial" w:eastAsia="Arial" w:hAnsi="Arial"/>
                <w:sz w:val="16"/>
                <w:szCs w:val="16"/>
                <w:color w:val="auto"/>
                <w:w w:val="98"/>
              </w:rPr>
              <w:t>6.8%</w:t>
            </w:r>
          </w:p>
        </w:tc>
      </w:tr>
      <w:tr>
        <w:trPr>
          <w:trHeight w:val="189"/>
        </w:trPr>
        <w:tc>
          <w:tcPr>
            <w:tcW w:w="6020" w:type="dxa"/>
            <w:vAlign w:val="bottom"/>
            <w:shd w:val="clear" w:color="auto" w:fill="D2D4D9"/>
          </w:tcPr>
          <w:p>
            <w:pPr>
              <w:ind w:left="80"/>
              <w:spacing w:after="0"/>
              <w:rPr>
                <w:sz w:val="20"/>
                <w:szCs w:val="20"/>
                <w:color w:val="auto"/>
              </w:rPr>
            </w:pPr>
            <w:r>
              <w:rPr>
                <w:rFonts w:ascii="Arial" w:cs="Arial" w:eastAsia="Arial" w:hAnsi="Arial"/>
                <w:sz w:val="16"/>
                <w:szCs w:val="16"/>
                <w:color w:val="auto"/>
              </w:rPr>
              <w:t>270 Park Avenue</w:t>
            </w:r>
          </w:p>
        </w:tc>
        <w:tc>
          <w:tcPr>
            <w:tcW w:w="3020" w:type="dxa"/>
            <w:vAlign w:val="bottom"/>
            <w:shd w:val="clear" w:color="auto" w:fill="D2D4D9"/>
          </w:tcPr>
          <w:p>
            <w:pPr>
              <w:spacing w:after="0"/>
              <w:rPr>
                <w:sz w:val="16"/>
                <w:szCs w:val="16"/>
                <w:color w:val="auto"/>
              </w:rPr>
            </w:pPr>
          </w:p>
        </w:tc>
        <w:tc>
          <w:tcPr>
            <w:tcW w:w="1980" w:type="dxa"/>
            <w:vAlign w:val="bottom"/>
            <w:shd w:val="clear" w:color="auto" w:fill="D2D4D9"/>
          </w:tcPr>
          <w:p>
            <w:pPr>
              <w:spacing w:after="0"/>
              <w:rPr>
                <w:sz w:val="16"/>
                <w:szCs w:val="16"/>
                <w:color w:val="auto"/>
              </w:rPr>
            </w:pPr>
          </w:p>
        </w:tc>
      </w:tr>
      <w:tr>
        <w:trPr>
          <w:trHeight w:val="195"/>
        </w:trPr>
        <w:tc>
          <w:tcPr>
            <w:tcW w:w="6020" w:type="dxa"/>
            <w:vAlign w:val="bottom"/>
            <w:shd w:val="clear" w:color="auto" w:fill="D2D4D9"/>
          </w:tcPr>
          <w:p>
            <w:pPr>
              <w:ind w:left="80"/>
              <w:spacing w:after="0"/>
              <w:rPr>
                <w:sz w:val="20"/>
                <w:szCs w:val="20"/>
                <w:color w:val="auto"/>
              </w:rPr>
            </w:pPr>
            <w:r>
              <w:rPr>
                <w:rFonts w:ascii="Arial" w:cs="Arial" w:eastAsia="Arial" w:hAnsi="Arial"/>
                <w:sz w:val="16"/>
                <w:szCs w:val="16"/>
                <w:color w:val="auto"/>
              </w:rPr>
              <w:t>New York, NY 10017</w:t>
            </w:r>
          </w:p>
        </w:tc>
        <w:tc>
          <w:tcPr>
            <w:tcW w:w="3020" w:type="dxa"/>
            <w:vAlign w:val="bottom"/>
            <w:shd w:val="clear" w:color="auto" w:fill="D2D4D9"/>
          </w:tcPr>
          <w:p>
            <w:pPr>
              <w:spacing w:after="0"/>
              <w:rPr>
                <w:sz w:val="16"/>
                <w:szCs w:val="16"/>
                <w:color w:val="auto"/>
              </w:rPr>
            </w:pPr>
          </w:p>
        </w:tc>
        <w:tc>
          <w:tcPr>
            <w:tcW w:w="1980" w:type="dxa"/>
            <w:vAlign w:val="bottom"/>
            <w:shd w:val="clear" w:color="auto" w:fill="D2D4D9"/>
          </w:tcPr>
          <w:p>
            <w:pPr>
              <w:spacing w:after="0"/>
              <w:rPr>
                <w:sz w:val="16"/>
                <w:szCs w:val="16"/>
                <w:color w:val="auto"/>
              </w:rPr>
            </w:pPr>
          </w:p>
        </w:tc>
      </w:tr>
      <w:tr>
        <w:trPr>
          <w:trHeight w:val="60"/>
        </w:trPr>
        <w:tc>
          <w:tcPr>
            <w:tcW w:w="6020" w:type="dxa"/>
            <w:vAlign w:val="bottom"/>
            <w:shd w:val="clear" w:color="auto" w:fill="D2D4D9"/>
          </w:tcPr>
          <w:p>
            <w:pPr>
              <w:spacing w:after="0"/>
              <w:rPr>
                <w:sz w:val="5"/>
                <w:szCs w:val="5"/>
                <w:color w:val="auto"/>
              </w:rPr>
            </w:pPr>
          </w:p>
        </w:tc>
        <w:tc>
          <w:tcPr>
            <w:tcW w:w="3020" w:type="dxa"/>
            <w:vAlign w:val="bottom"/>
            <w:shd w:val="clear" w:color="auto" w:fill="D2D4D9"/>
          </w:tcPr>
          <w:p>
            <w:pPr>
              <w:spacing w:after="0"/>
              <w:rPr>
                <w:sz w:val="5"/>
                <w:szCs w:val="5"/>
                <w:color w:val="auto"/>
              </w:rPr>
            </w:pPr>
          </w:p>
        </w:tc>
        <w:tc>
          <w:tcPr>
            <w:tcW w:w="1980" w:type="dxa"/>
            <w:vAlign w:val="bottom"/>
            <w:shd w:val="clear" w:color="auto" w:fill="D2D4D9"/>
          </w:tcPr>
          <w:p>
            <w:pPr>
              <w:spacing w:after="0"/>
              <w:rPr>
                <w:sz w:val="5"/>
                <w:szCs w:val="5"/>
                <w:color w:val="auto"/>
              </w:rPr>
            </w:pPr>
          </w:p>
        </w:tc>
      </w:tr>
      <w:tr>
        <w:trPr>
          <w:trHeight w:val="272"/>
        </w:trPr>
        <w:tc>
          <w:tcPr>
            <w:tcW w:w="6020" w:type="dxa"/>
            <w:vAlign w:val="bottom"/>
          </w:tcPr>
          <w:p>
            <w:pPr>
              <w:ind w:left="80"/>
              <w:spacing w:after="0" w:line="272" w:lineRule="exact"/>
              <w:rPr>
                <w:sz w:val="20"/>
                <w:szCs w:val="20"/>
                <w:color w:val="auto"/>
              </w:rPr>
            </w:pPr>
            <w:r>
              <w:rPr>
                <w:rFonts w:ascii="Arial" w:cs="Arial" w:eastAsia="Arial" w:hAnsi="Arial"/>
                <w:sz w:val="16"/>
                <w:szCs w:val="16"/>
                <w:color w:val="auto"/>
              </w:rPr>
              <w:t>Norges Bank (The Central Bank of Norway)</w:t>
            </w:r>
            <w:r>
              <w:rPr>
                <w:rFonts w:ascii="Arial" w:cs="Arial" w:eastAsia="Arial" w:hAnsi="Arial"/>
                <w:sz w:val="27"/>
                <w:szCs w:val="27"/>
                <w:color w:val="auto"/>
                <w:vertAlign w:val="superscript"/>
              </w:rPr>
              <w:t>(6)</w:t>
            </w:r>
          </w:p>
        </w:tc>
        <w:tc>
          <w:tcPr>
            <w:tcW w:w="3020" w:type="dxa"/>
            <w:vAlign w:val="bottom"/>
          </w:tcPr>
          <w:p>
            <w:pPr>
              <w:jc w:val="center"/>
              <w:ind w:left="662"/>
              <w:spacing w:after="0"/>
              <w:rPr>
                <w:sz w:val="20"/>
                <w:szCs w:val="20"/>
                <w:color w:val="auto"/>
              </w:rPr>
            </w:pPr>
            <w:r>
              <w:rPr>
                <w:rFonts w:ascii="Arial" w:cs="Arial" w:eastAsia="Arial" w:hAnsi="Arial"/>
                <w:sz w:val="16"/>
                <w:szCs w:val="16"/>
                <w:color w:val="auto"/>
              </w:rPr>
              <w:t>4,492,470</w:t>
            </w:r>
          </w:p>
        </w:tc>
        <w:tc>
          <w:tcPr>
            <w:tcW w:w="1980" w:type="dxa"/>
            <w:vAlign w:val="bottom"/>
          </w:tcPr>
          <w:p>
            <w:pPr>
              <w:jc w:val="center"/>
              <w:ind w:left="222"/>
              <w:spacing w:after="0"/>
              <w:rPr>
                <w:sz w:val="20"/>
                <w:szCs w:val="20"/>
                <w:color w:val="auto"/>
              </w:rPr>
            </w:pPr>
            <w:r>
              <w:rPr>
                <w:rFonts w:ascii="Arial" w:cs="Arial" w:eastAsia="Arial" w:hAnsi="Arial"/>
                <w:sz w:val="16"/>
                <w:szCs w:val="16"/>
                <w:color w:val="auto"/>
                <w:w w:val="98"/>
              </w:rPr>
              <w:t>6.0%</w:t>
            </w:r>
          </w:p>
        </w:tc>
      </w:tr>
      <w:tr>
        <w:trPr>
          <w:trHeight w:val="189"/>
        </w:trPr>
        <w:tc>
          <w:tcPr>
            <w:tcW w:w="6020" w:type="dxa"/>
            <w:vAlign w:val="bottom"/>
          </w:tcPr>
          <w:p>
            <w:pPr>
              <w:ind w:left="80"/>
              <w:spacing w:after="0"/>
              <w:rPr>
                <w:sz w:val="20"/>
                <w:szCs w:val="20"/>
                <w:color w:val="auto"/>
              </w:rPr>
            </w:pPr>
            <w:r>
              <w:rPr>
                <w:rFonts w:ascii="Arial" w:cs="Arial" w:eastAsia="Arial" w:hAnsi="Arial"/>
                <w:sz w:val="16"/>
                <w:szCs w:val="16"/>
                <w:color w:val="auto"/>
              </w:rPr>
              <w:t>Bankplassen 2, PO Box 1179 Sentrum</w:t>
            </w:r>
          </w:p>
        </w:tc>
        <w:tc>
          <w:tcPr>
            <w:tcW w:w="3020" w:type="dxa"/>
            <w:vAlign w:val="bottom"/>
          </w:tcPr>
          <w:p>
            <w:pPr>
              <w:spacing w:after="0"/>
              <w:rPr>
                <w:sz w:val="16"/>
                <w:szCs w:val="16"/>
                <w:color w:val="auto"/>
              </w:rPr>
            </w:pPr>
          </w:p>
        </w:tc>
        <w:tc>
          <w:tcPr>
            <w:tcW w:w="1980" w:type="dxa"/>
            <w:vAlign w:val="bottom"/>
          </w:tcPr>
          <w:p>
            <w:pPr>
              <w:spacing w:after="0"/>
              <w:rPr>
                <w:sz w:val="16"/>
                <w:szCs w:val="16"/>
                <w:color w:val="auto"/>
              </w:rPr>
            </w:pPr>
          </w:p>
        </w:tc>
      </w:tr>
      <w:tr>
        <w:trPr>
          <w:trHeight w:val="195"/>
        </w:trPr>
        <w:tc>
          <w:tcPr>
            <w:tcW w:w="6020" w:type="dxa"/>
            <w:vAlign w:val="bottom"/>
          </w:tcPr>
          <w:p>
            <w:pPr>
              <w:ind w:left="80"/>
              <w:spacing w:after="0"/>
              <w:rPr>
                <w:sz w:val="20"/>
                <w:szCs w:val="20"/>
                <w:color w:val="auto"/>
              </w:rPr>
            </w:pPr>
            <w:r>
              <w:rPr>
                <w:rFonts w:ascii="Arial" w:cs="Arial" w:eastAsia="Arial" w:hAnsi="Arial"/>
                <w:sz w:val="16"/>
                <w:szCs w:val="16"/>
                <w:color w:val="auto"/>
              </w:rPr>
              <w:t>NO 0107 Oslo Norway</w:t>
            </w:r>
          </w:p>
        </w:tc>
        <w:tc>
          <w:tcPr>
            <w:tcW w:w="3020" w:type="dxa"/>
            <w:vAlign w:val="bottom"/>
          </w:tcPr>
          <w:p>
            <w:pPr>
              <w:spacing w:after="0"/>
              <w:rPr>
                <w:sz w:val="16"/>
                <w:szCs w:val="16"/>
                <w:color w:val="auto"/>
              </w:rPr>
            </w:pPr>
          </w:p>
        </w:tc>
        <w:tc>
          <w:tcPr>
            <w:tcW w:w="198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123825</wp:posOffset>
            </wp:positionV>
            <wp:extent cx="69469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15" w:lineRule="exact"/>
        <w:rPr>
          <w:sz w:val="20"/>
          <w:szCs w:val="20"/>
          <w:color w:val="auto"/>
        </w:rPr>
      </w:pPr>
    </w:p>
    <w:p>
      <w:pPr>
        <w:ind w:left="640" w:right="20" w:hanging="436"/>
        <w:spacing w:after="0" w:line="234"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percentage of outstanding Shares is calculated by taking the number of Shares stated in the Schedule 13G or 13G/A, as applicable, filed with the SEC divided by 74,607,212, the total number of Shares outstanding on March 14, 2019.</w:t>
      </w:r>
    </w:p>
    <w:p>
      <w:pPr>
        <w:spacing w:after="0" w:line="1" w:lineRule="exact"/>
        <w:rPr>
          <w:rFonts w:ascii="Arial" w:cs="Arial" w:eastAsia="Arial" w:hAnsi="Arial"/>
          <w:sz w:val="18"/>
          <w:szCs w:val="18"/>
          <w:color w:val="auto"/>
        </w:rPr>
      </w:pPr>
    </w:p>
    <w:p>
      <w:pPr>
        <w:jc w:val="both"/>
        <w:ind w:left="640" w:right="20" w:hanging="436"/>
        <w:spacing w:after="0" w:line="234"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Information based on a Schedule 13G/A filed with the SEC on February 11, 2019 by The Vanguard Group which states The Vanguard Group, an investment advisor, has sole voting power over 150,613 Shares, shared voting power over 106,064 Shares, sole dispositive power over 11,227,368 Shares and shared dispositive power over 188,843 Shares.</w:t>
      </w:r>
    </w:p>
    <w:p>
      <w:pPr>
        <w:spacing w:after="0" w:line="2" w:lineRule="exact"/>
        <w:rPr>
          <w:rFonts w:ascii="Arial" w:cs="Arial" w:eastAsia="Arial" w:hAnsi="Arial"/>
          <w:sz w:val="18"/>
          <w:szCs w:val="18"/>
          <w:color w:val="auto"/>
        </w:rPr>
      </w:pPr>
    </w:p>
    <w:p>
      <w:pPr>
        <w:ind w:left="640" w:right="20" w:hanging="436"/>
        <w:spacing w:after="0" w:line="234"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Information based on a Schedule 13G/A filed with the SEC on January 31, 2019 by BlackRock, Inc., which states BlackRock, Inc., a parent holding company, has sole voting power over 7,370,597 Shares and sole dispositive power over 8,092,781 Shares.</w:t>
      </w:r>
    </w:p>
    <w:p>
      <w:pPr>
        <w:spacing w:after="0" w:line="1" w:lineRule="exact"/>
        <w:rPr>
          <w:rFonts w:ascii="Arial" w:cs="Arial" w:eastAsia="Arial" w:hAnsi="Arial"/>
          <w:sz w:val="18"/>
          <w:szCs w:val="18"/>
          <w:color w:val="auto"/>
        </w:rPr>
      </w:pPr>
    </w:p>
    <w:p>
      <w:pPr>
        <w:jc w:val="both"/>
        <w:ind w:left="640" w:right="20" w:hanging="436"/>
        <w:spacing w:after="0" w:line="234"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Information based on a Schedule 13G filed with the SEC on February 14, 2019 by State Street Corporation, which states that State Street Corporation, a parent holding company, has shared voting power over 5,910,617 Shares and shared dispositive power over 6,313,373 Shares.</w:t>
      </w:r>
    </w:p>
    <w:p>
      <w:pPr>
        <w:spacing w:after="0" w:line="2" w:lineRule="exact"/>
        <w:rPr>
          <w:rFonts w:ascii="Arial" w:cs="Arial" w:eastAsia="Arial" w:hAnsi="Arial"/>
          <w:sz w:val="18"/>
          <w:szCs w:val="18"/>
          <w:color w:val="auto"/>
        </w:rPr>
      </w:pPr>
    </w:p>
    <w:p>
      <w:pPr>
        <w:jc w:val="both"/>
        <w:ind w:left="640" w:right="20" w:hanging="436"/>
        <w:spacing w:after="0" w:line="234"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Information based on a Schedule 13G/A filed with the SEC on January 24, 2019 by JPMorgan Chase &amp; Co. which states that JPMorgan Chase &amp; Co., a parent holding company, has sole voting power over 4,675,756 Shares, sole dispositive power over 5,055,973 Shares, shared voting power over 4,996 Shares and shared dispositive power over 1,951 Shares.</w:t>
      </w:r>
    </w:p>
    <w:p>
      <w:pPr>
        <w:spacing w:after="0" w:line="2" w:lineRule="exact"/>
        <w:rPr>
          <w:rFonts w:ascii="Arial" w:cs="Arial" w:eastAsia="Arial" w:hAnsi="Arial"/>
          <w:sz w:val="18"/>
          <w:szCs w:val="18"/>
          <w:color w:val="auto"/>
        </w:rPr>
      </w:pPr>
    </w:p>
    <w:p>
      <w:pPr>
        <w:jc w:val="both"/>
        <w:ind w:left="640" w:right="20" w:hanging="43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Information based on a Schedule 13G/A filed with the SEC on January 24, 2019 by Norges Bank (The Central Bank of Norway) which states that Norges Bank (The Central Bank of Norway) has sole voting power and sole dispositive power over 4,492,470 Shares.</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240" w:top="459" w:right="4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OWNERSHIP OF TRUSTEES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8" w:lineRule="exact"/>
        <w:rPr>
          <w:sz w:val="20"/>
          <w:szCs w:val="20"/>
          <w:color w:val="auto"/>
        </w:rPr>
      </w:pPr>
    </w:p>
    <w:p>
      <w:pPr>
        <w:jc w:val="both"/>
        <w:ind w:left="200" w:right="20"/>
        <w:spacing w:after="0"/>
        <w:rPr>
          <w:sz w:val="20"/>
          <w:szCs w:val="20"/>
          <w:color w:val="auto"/>
        </w:rPr>
      </w:pPr>
      <w:r>
        <w:rPr>
          <w:rFonts w:ascii="Arial" w:cs="Arial" w:eastAsia="Arial" w:hAnsi="Arial"/>
          <w:sz w:val="18"/>
          <w:szCs w:val="18"/>
          <w:color w:val="auto"/>
        </w:rPr>
        <w:t>The table below reflects beneficial ownership of our Trustees and NEOs as of March 14, 2019 determined in accordance with Rule 13d-3 of the Securities Exchange Act of 1934, as amended (the “Exchange Act”). Unless noted in the footnotes following the table, each Trustee and NEO has sole voting and investment power as to all Shares listed.</w:t>
      </w:r>
    </w:p>
    <w:p>
      <w:pPr>
        <w:spacing w:after="0" w:line="231"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6020" w:type="dxa"/>
            <w:vAlign w:val="bottom"/>
            <w:shd w:val="clear" w:color="auto" w:fill="1F2A44"/>
          </w:tcPr>
          <w:p>
            <w:pPr>
              <w:spacing w:after="0"/>
              <w:rPr>
                <w:sz w:val="19"/>
                <w:szCs w:val="19"/>
                <w:color w:val="auto"/>
              </w:rPr>
            </w:pPr>
          </w:p>
        </w:tc>
        <w:tc>
          <w:tcPr>
            <w:tcW w:w="1200" w:type="dxa"/>
            <w:vAlign w:val="bottom"/>
            <w:shd w:val="clear" w:color="auto" w:fill="1F2A44"/>
          </w:tcPr>
          <w:p>
            <w:pPr>
              <w:spacing w:after="0"/>
              <w:rPr>
                <w:sz w:val="19"/>
                <w:szCs w:val="19"/>
                <w:color w:val="auto"/>
              </w:rPr>
            </w:pPr>
          </w:p>
        </w:tc>
        <w:tc>
          <w:tcPr>
            <w:tcW w:w="1180" w:type="dxa"/>
            <w:vAlign w:val="bottom"/>
            <w:shd w:val="clear" w:color="auto" w:fill="1F2A44"/>
          </w:tcPr>
          <w:p>
            <w:pPr>
              <w:spacing w:after="0"/>
              <w:rPr>
                <w:sz w:val="19"/>
                <w:szCs w:val="19"/>
                <w:color w:val="auto"/>
              </w:rPr>
            </w:pPr>
          </w:p>
        </w:tc>
        <w:tc>
          <w:tcPr>
            <w:tcW w:w="1340" w:type="dxa"/>
            <w:vAlign w:val="bottom"/>
            <w:shd w:val="clear" w:color="auto" w:fill="1F2A44"/>
          </w:tcPr>
          <w:p>
            <w:pPr>
              <w:spacing w:after="0"/>
              <w:rPr>
                <w:sz w:val="19"/>
                <w:szCs w:val="19"/>
                <w:color w:val="auto"/>
              </w:rPr>
            </w:pPr>
          </w:p>
        </w:tc>
        <w:tc>
          <w:tcPr>
            <w:tcW w:w="1280" w:type="dxa"/>
            <w:vAlign w:val="bottom"/>
            <w:shd w:val="clear" w:color="auto" w:fill="1F2A44"/>
          </w:tcPr>
          <w:p>
            <w:pPr>
              <w:jc w:val="center"/>
              <w:ind w:left="42"/>
              <w:spacing w:after="0"/>
              <w:rPr>
                <w:sz w:val="20"/>
                <w:szCs w:val="20"/>
                <w:color w:val="auto"/>
              </w:rPr>
            </w:pPr>
            <w:r>
              <w:rPr>
                <w:rFonts w:ascii="Arial" w:cs="Arial" w:eastAsia="Arial" w:hAnsi="Arial"/>
                <w:sz w:val="14"/>
                <w:szCs w:val="14"/>
                <w:b w:val="1"/>
                <w:bCs w:val="1"/>
                <w:color w:val="FFFFFF"/>
              </w:rPr>
              <w:t>Percentage of</w:t>
            </w:r>
          </w:p>
        </w:tc>
      </w:tr>
      <w:tr>
        <w:trPr>
          <w:trHeight w:val="162"/>
        </w:trPr>
        <w:tc>
          <w:tcPr>
            <w:tcW w:w="6020" w:type="dxa"/>
            <w:vAlign w:val="bottom"/>
            <w:shd w:val="clear" w:color="auto" w:fill="1F2A44"/>
          </w:tcPr>
          <w:p>
            <w:pPr>
              <w:spacing w:after="0"/>
              <w:rPr>
                <w:sz w:val="14"/>
                <w:szCs w:val="14"/>
                <w:color w:val="auto"/>
              </w:rPr>
            </w:pPr>
          </w:p>
        </w:tc>
        <w:tc>
          <w:tcPr>
            <w:tcW w:w="1200" w:type="dxa"/>
            <w:vAlign w:val="bottom"/>
            <w:shd w:val="clear" w:color="auto" w:fill="1F2A44"/>
          </w:tcPr>
          <w:p>
            <w:pPr>
              <w:spacing w:after="0"/>
              <w:rPr>
                <w:sz w:val="14"/>
                <w:szCs w:val="14"/>
                <w:color w:val="auto"/>
              </w:rPr>
            </w:pPr>
          </w:p>
        </w:tc>
        <w:tc>
          <w:tcPr>
            <w:tcW w:w="1180" w:type="dxa"/>
            <w:vAlign w:val="bottom"/>
            <w:shd w:val="clear" w:color="auto" w:fill="1F2A44"/>
          </w:tcPr>
          <w:p>
            <w:pPr>
              <w:jc w:val="center"/>
              <w:spacing w:after="0"/>
              <w:rPr>
                <w:sz w:val="20"/>
                <w:szCs w:val="20"/>
                <w:color w:val="auto"/>
              </w:rPr>
            </w:pPr>
            <w:r>
              <w:rPr>
                <w:rFonts w:ascii="Arial" w:cs="Arial" w:eastAsia="Arial" w:hAnsi="Arial"/>
                <w:sz w:val="14"/>
                <w:szCs w:val="14"/>
                <w:b w:val="1"/>
                <w:bCs w:val="1"/>
                <w:color w:val="FFFFFF"/>
              </w:rPr>
              <w:t>Unvested</w:t>
            </w:r>
          </w:p>
        </w:tc>
        <w:tc>
          <w:tcPr>
            <w:tcW w:w="1340" w:type="dxa"/>
            <w:vAlign w:val="bottom"/>
            <w:shd w:val="clear" w:color="auto" w:fill="1F2A44"/>
          </w:tcPr>
          <w:p>
            <w:pPr>
              <w:jc w:val="center"/>
              <w:ind w:right="1"/>
              <w:spacing w:after="0"/>
              <w:rPr>
                <w:sz w:val="20"/>
                <w:szCs w:val="20"/>
                <w:color w:val="auto"/>
              </w:rPr>
            </w:pPr>
            <w:r>
              <w:rPr>
                <w:rFonts w:ascii="Arial" w:cs="Arial" w:eastAsia="Arial" w:hAnsi="Arial"/>
                <w:sz w:val="14"/>
                <w:szCs w:val="14"/>
                <w:b w:val="1"/>
                <w:bCs w:val="1"/>
                <w:color w:val="FFFFFF"/>
              </w:rPr>
              <w:t>Total Shares</w:t>
            </w:r>
          </w:p>
        </w:tc>
        <w:tc>
          <w:tcPr>
            <w:tcW w:w="1280" w:type="dxa"/>
            <w:vAlign w:val="bottom"/>
            <w:shd w:val="clear" w:color="auto" w:fill="1F2A44"/>
          </w:tcPr>
          <w:p>
            <w:pPr>
              <w:jc w:val="center"/>
              <w:ind w:left="42"/>
              <w:spacing w:after="0"/>
              <w:rPr>
                <w:sz w:val="20"/>
                <w:szCs w:val="20"/>
                <w:color w:val="auto"/>
              </w:rPr>
            </w:pPr>
            <w:r>
              <w:rPr>
                <w:rFonts w:ascii="Arial" w:cs="Arial" w:eastAsia="Arial" w:hAnsi="Arial"/>
                <w:sz w:val="14"/>
                <w:szCs w:val="14"/>
                <w:b w:val="1"/>
                <w:bCs w:val="1"/>
                <w:color w:val="FFFFFF"/>
              </w:rPr>
              <w:t>Outstanding</w:t>
            </w:r>
          </w:p>
        </w:tc>
      </w:tr>
      <w:tr>
        <w:trPr>
          <w:trHeight w:val="159"/>
        </w:trPr>
        <w:tc>
          <w:tcPr>
            <w:tcW w:w="6020" w:type="dxa"/>
            <w:vAlign w:val="bottom"/>
            <w:shd w:val="clear" w:color="auto" w:fill="1F2A44"/>
          </w:tcPr>
          <w:p>
            <w:pPr>
              <w:spacing w:after="0"/>
              <w:rPr>
                <w:sz w:val="13"/>
                <w:szCs w:val="13"/>
                <w:color w:val="auto"/>
              </w:rPr>
            </w:pPr>
          </w:p>
        </w:tc>
        <w:tc>
          <w:tcPr>
            <w:tcW w:w="1200" w:type="dxa"/>
            <w:vAlign w:val="bottom"/>
            <w:shd w:val="clear" w:color="auto" w:fill="1F2A44"/>
          </w:tcPr>
          <w:p>
            <w:pPr>
              <w:spacing w:after="0"/>
              <w:rPr>
                <w:sz w:val="13"/>
                <w:szCs w:val="13"/>
                <w:color w:val="auto"/>
              </w:rPr>
            </w:pPr>
          </w:p>
        </w:tc>
        <w:tc>
          <w:tcPr>
            <w:tcW w:w="1180" w:type="dxa"/>
            <w:vAlign w:val="bottom"/>
            <w:shd w:val="clear" w:color="auto" w:fill="1F2A44"/>
          </w:tcPr>
          <w:p>
            <w:pPr>
              <w:jc w:val="center"/>
              <w:spacing w:after="0" w:line="159" w:lineRule="exact"/>
              <w:rPr>
                <w:sz w:val="20"/>
                <w:szCs w:val="20"/>
                <w:color w:val="auto"/>
              </w:rPr>
            </w:pPr>
            <w:r>
              <w:rPr>
                <w:rFonts w:ascii="Arial" w:cs="Arial" w:eastAsia="Arial" w:hAnsi="Arial"/>
                <w:sz w:val="14"/>
                <w:szCs w:val="14"/>
                <w:b w:val="1"/>
                <w:bCs w:val="1"/>
                <w:color w:val="FFFFFF"/>
              </w:rPr>
              <w:t>Restricted</w:t>
            </w:r>
          </w:p>
        </w:tc>
        <w:tc>
          <w:tcPr>
            <w:tcW w:w="1340" w:type="dxa"/>
            <w:vAlign w:val="bottom"/>
            <w:shd w:val="clear" w:color="auto" w:fill="1F2A44"/>
          </w:tcPr>
          <w:p>
            <w:pPr>
              <w:jc w:val="center"/>
              <w:spacing w:after="0" w:line="159" w:lineRule="exact"/>
              <w:rPr>
                <w:sz w:val="20"/>
                <w:szCs w:val="20"/>
                <w:color w:val="auto"/>
              </w:rPr>
            </w:pPr>
            <w:r>
              <w:rPr>
                <w:rFonts w:ascii="Arial" w:cs="Arial" w:eastAsia="Arial" w:hAnsi="Arial"/>
                <w:sz w:val="14"/>
                <w:szCs w:val="14"/>
                <w:b w:val="1"/>
                <w:bCs w:val="1"/>
                <w:color w:val="FFFFFF"/>
              </w:rPr>
              <w:t>Beneficially</w:t>
            </w:r>
          </w:p>
        </w:tc>
        <w:tc>
          <w:tcPr>
            <w:tcW w:w="1280" w:type="dxa"/>
            <w:vAlign w:val="bottom"/>
            <w:shd w:val="clear" w:color="auto" w:fill="1F2A44"/>
          </w:tcPr>
          <w:p>
            <w:pPr>
              <w:jc w:val="center"/>
              <w:ind w:left="42"/>
              <w:spacing w:after="0" w:line="159" w:lineRule="exact"/>
              <w:rPr>
                <w:sz w:val="20"/>
                <w:szCs w:val="20"/>
                <w:color w:val="auto"/>
              </w:rPr>
            </w:pPr>
            <w:r>
              <w:rPr>
                <w:rFonts w:ascii="Arial" w:cs="Arial" w:eastAsia="Arial" w:hAnsi="Arial"/>
                <w:sz w:val="14"/>
                <w:szCs w:val="14"/>
                <w:b w:val="1"/>
                <w:bCs w:val="1"/>
                <w:color w:val="FFFFFF"/>
              </w:rPr>
              <w:t>Shares</w:t>
            </w:r>
          </w:p>
        </w:tc>
      </w:tr>
      <w:tr>
        <w:trPr>
          <w:trHeight w:val="192"/>
        </w:trPr>
        <w:tc>
          <w:tcPr>
            <w:tcW w:w="6020" w:type="dxa"/>
            <w:vAlign w:val="bottom"/>
            <w:shd w:val="clear" w:color="auto" w:fill="1F2A44"/>
          </w:tcPr>
          <w:p>
            <w:pPr>
              <w:ind w:left="60"/>
              <w:spacing w:after="0" w:line="192" w:lineRule="exact"/>
              <w:rPr>
                <w:sz w:val="20"/>
                <w:szCs w:val="20"/>
                <w:color w:val="auto"/>
              </w:rPr>
            </w:pPr>
            <w:r>
              <w:rPr>
                <w:rFonts w:ascii="Arial" w:cs="Arial" w:eastAsia="Arial" w:hAnsi="Arial"/>
                <w:sz w:val="13"/>
                <w:szCs w:val="13"/>
                <w:b w:val="1"/>
                <w:bCs w:val="1"/>
                <w:color w:val="FFFFFF"/>
              </w:rPr>
              <w:t>Name and Address of Beneficial Owner</w:t>
            </w:r>
            <w:r>
              <w:rPr>
                <w:rFonts w:ascii="Arial" w:cs="Arial" w:eastAsia="Arial" w:hAnsi="Arial"/>
                <w:sz w:val="22"/>
                <w:szCs w:val="22"/>
                <w:b w:val="1"/>
                <w:bCs w:val="1"/>
                <w:color w:val="FFFFFF"/>
                <w:vertAlign w:val="superscript"/>
              </w:rPr>
              <w:t>(1)</w:t>
            </w:r>
          </w:p>
        </w:tc>
        <w:tc>
          <w:tcPr>
            <w:tcW w:w="1200" w:type="dxa"/>
            <w:vAlign w:val="bottom"/>
            <w:shd w:val="clear" w:color="auto" w:fill="1F2A44"/>
          </w:tcPr>
          <w:p>
            <w:pPr>
              <w:jc w:val="right"/>
              <w:ind w:right="180"/>
              <w:spacing w:after="0"/>
              <w:rPr>
                <w:sz w:val="20"/>
                <w:szCs w:val="20"/>
                <w:color w:val="auto"/>
              </w:rPr>
            </w:pPr>
            <w:r>
              <w:rPr>
                <w:rFonts w:ascii="Arial" w:cs="Arial" w:eastAsia="Arial" w:hAnsi="Arial"/>
                <w:sz w:val="14"/>
                <w:szCs w:val="14"/>
                <w:b w:val="1"/>
                <w:bCs w:val="1"/>
                <w:color w:val="FFFFFF"/>
              </w:rPr>
              <w:t>Common</w:t>
            </w:r>
          </w:p>
        </w:tc>
        <w:tc>
          <w:tcPr>
            <w:tcW w:w="1180" w:type="dxa"/>
            <w:vAlign w:val="bottom"/>
            <w:shd w:val="clear" w:color="auto" w:fill="1F2A44"/>
          </w:tcPr>
          <w:p>
            <w:pPr>
              <w:jc w:val="center"/>
              <w:spacing w:after="0"/>
              <w:rPr>
                <w:sz w:val="20"/>
                <w:szCs w:val="20"/>
                <w:color w:val="auto"/>
              </w:rPr>
            </w:pPr>
            <w:r>
              <w:rPr>
                <w:rFonts w:ascii="Arial" w:cs="Arial" w:eastAsia="Arial" w:hAnsi="Arial"/>
                <w:sz w:val="14"/>
                <w:szCs w:val="14"/>
                <w:b w:val="1"/>
                <w:bCs w:val="1"/>
                <w:color w:val="FFFFFF"/>
              </w:rPr>
              <w:t>Shares</w:t>
            </w:r>
          </w:p>
        </w:tc>
        <w:tc>
          <w:tcPr>
            <w:tcW w:w="1340" w:type="dxa"/>
            <w:vAlign w:val="bottom"/>
            <w:shd w:val="clear" w:color="auto" w:fill="1F2A44"/>
          </w:tcPr>
          <w:p>
            <w:pPr>
              <w:jc w:val="center"/>
              <w:spacing w:after="0"/>
              <w:rPr>
                <w:sz w:val="20"/>
                <w:szCs w:val="20"/>
                <w:color w:val="auto"/>
              </w:rPr>
            </w:pPr>
            <w:r>
              <w:rPr>
                <w:rFonts w:ascii="Arial" w:cs="Arial" w:eastAsia="Arial" w:hAnsi="Arial"/>
                <w:sz w:val="14"/>
                <w:szCs w:val="14"/>
                <w:b w:val="1"/>
                <w:bCs w:val="1"/>
                <w:color w:val="FFFFFF"/>
              </w:rPr>
              <w:t>Owned</w:t>
            </w:r>
          </w:p>
        </w:tc>
        <w:tc>
          <w:tcPr>
            <w:tcW w:w="1280" w:type="dxa"/>
            <w:vAlign w:val="bottom"/>
            <w:shd w:val="clear" w:color="auto" w:fill="1F2A44"/>
          </w:tcPr>
          <w:p>
            <w:pPr>
              <w:jc w:val="center"/>
              <w:ind w:left="42"/>
              <w:spacing w:after="0" w:line="192" w:lineRule="exact"/>
              <w:rPr>
                <w:sz w:val="20"/>
                <w:szCs w:val="20"/>
                <w:color w:val="auto"/>
              </w:rPr>
            </w:pPr>
            <w:r>
              <w:rPr>
                <w:rFonts w:ascii="Arial" w:cs="Arial" w:eastAsia="Arial" w:hAnsi="Arial"/>
                <w:sz w:val="13"/>
                <w:szCs w:val="13"/>
                <w:b w:val="1"/>
                <w:bCs w:val="1"/>
                <w:color w:val="FFFFFF"/>
              </w:rPr>
              <w:t>Owned</w:t>
            </w:r>
            <w:r>
              <w:rPr>
                <w:rFonts w:ascii="Arial" w:cs="Arial" w:eastAsia="Arial" w:hAnsi="Arial"/>
                <w:sz w:val="22"/>
                <w:szCs w:val="22"/>
                <w:b w:val="1"/>
                <w:bCs w:val="1"/>
                <w:color w:val="FFFFFF"/>
                <w:vertAlign w:val="superscript"/>
              </w:rPr>
              <w:t>(2)</w:t>
            </w:r>
          </w:p>
        </w:tc>
      </w:tr>
      <w:tr>
        <w:trPr>
          <w:trHeight w:val="81"/>
        </w:trPr>
        <w:tc>
          <w:tcPr>
            <w:tcW w:w="6020" w:type="dxa"/>
            <w:vAlign w:val="bottom"/>
            <w:shd w:val="clear" w:color="auto" w:fill="1F2A44"/>
          </w:tcPr>
          <w:p>
            <w:pPr>
              <w:spacing w:after="0"/>
              <w:rPr>
                <w:sz w:val="7"/>
                <w:szCs w:val="7"/>
                <w:color w:val="auto"/>
              </w:rPr>
            </w:pPr>
          </w:p>
        </w:tc>
        <w:tc>
          <w:tcPr>
            <w:tcW w:w="1200" w:type="dxa"/>
            <w:vAlign w:val="bottom"/>
            <w:shd w:val="clear" w:color="auto" w:fill="1F2A44"/>
          </w:tcPr>
          <w:p>
            <w:pPr>
              <w:spacing w:after="0"/>
              <w:rPr>
                <w:sz w:val="7"/>
                <w:szCs w:val="7"/>
                <w:color w:val="auto"/>
              </w:rPr>
            </w:pPr>
          </w:p>
        </w:tc>
        <w:tc>
          <w:tcPr>
            <w:tcW w:w="1180" w:type="dxa"/>
            <w:vAlign w:val="bottom"/>
            <w:shd w:val="clear" w:color="auto" w:fill="1F2A44"/>
          </w:tcPr>
          <w:p>
            <w:pPr>
              <w:spacing w:after="0"/>
              <w:rPr>
                <w:sz w:val="7"/>
                <w:szCs w:val="7"/>
                <w:color w:val="auto"/>
              </w:rPr>
            </w:pPr>
          </w:p>
        </w:tc>
        <w:tc>
          <w:tcPr>
            <w:tcW w:w="1340" w:type="dxa"/>
            <w:vAlign w:val="bottom"/>
            <w:shd w:val="clear" w:color="auto" w:fill="1F2A44"/>
          </w:tcPr>
          <w:p>
            <w:pPr>
              <w:spacing w:after="0"/>
              <w:rPr>
                <w:sz w:val="7"/>
                <w:szCs w:val="7"/>
                <w:color w:val="auto"/>
              </w:rPr>
            </w:pPr>
          </w:p>
        </w:tc>
        <w:tc>
          <w:tcPr>
            <w:tcW w:w="1280" w:type="dxa"/>
            <w:vAlign w:val="bottom"/>
            <w:shd w:val="clear" w:color="auto" w:fill="1F2A44"/>
          </w:tcPr>
          <w:p>
            <w:pPr>
              <w:spacing w:after="0"/>
              <w:rPr>
                <w:sz w:val="7"/>
                <w:szCs w:val="7"/>
                <w:color w:val="auto"/>
              </w:rPr>
            </w:pPr>
          </w:p>
        </w:tc>
      </w:tr>
      <w:tr>
        <w:trPr>
          <w:trHeight w:val="278"/>
        </w:trPr>
        <w:tc>
          <w:tcPr>
            <w:tcW w:w="6020" w:type="dxa"/>
            <w:vAlign w:val="bottom"/>
          </w:tcPr>
          <w:p>
            <w:pPr>
              <w:ind w:left="80"/>
              <w:spacing w:after="0"/>
              <w:rPr>
                <w:sz w:val="20"/>
                <w:szCs w:val="20"/>
                <w:color w:val="auto"/>
              </w:rPr>
            </w:pPr>
            <w:r>
              <w:rPr>
                <w:rFonts w:ascii="Arial" w:cs="Arial" w:eastAsia="Arial" w:hAnsi="Arial"/>
                <w:sz w:val="16"/>
                <w:szCs w:val="16"/>
                <w:color w:val="auto"/>
              </w:rPr>
              <w:t>Dawn M. Becker</w:t>
            </w:r>
          </w:p>
        </w:tc>
        <w:tc>
          <w:tcPr>
            <w:tcW w:w="1200" w:type="dxa"/>
            <w:vAlign w:val="bottom"/>
          </w:tcPr>
          <w:p>
            <w:pPr>
              <w:jc w:val="right"/>
              <w:ind w:right="140"/>
              <w:spacing w:after="0"/>
              <w:rPr>
                <w:sz w:val="20"/>
                <w:szCs w:val="20"/>
                <w:color w:val="auto"/>
              </w:rPr>
            </w:pPr>
            <w:r>
              <w:rPr>
                <w:rFonts w:ascii="Arial" w:cs="Arial" w:eastAsia="Arial" w:hAnsi="Arial"/>
                <w:sz w:val="16"/>
                <w:szCs w:val="16"/>
                <w:color w:val="auto"/>
              </w:rPr>
              <w:t>119,054</w:t>
            </w:r>
          </w:p>
        </w:tc>
        <w:tc>
          <w:tcPr>
            <w:tcW w:w="1180" w:type="dxa"/>
            <w:vAlign w:val="bottom"/>
          </w:tcPr>
          <w:p>
            <w:pPr>
              <w:jc w:val="right"/>
              <w:ind w:right="141"/>
              <w:spacing w:after="0"/>
              <w:rPr>
                <w:sz w:val="20"/>
                <w:szCs w:val="20"/>
                <w:color w:val="auto"/>
              </w:rPr>
            </w:pPr>
            <w:r>
              <w:rPr>
                <w:rFonts w:ascii="Arial" w:cs="Arial" w:eastAsia="Arial" w:hAnsi="Arial"/>
                <w:sz w:val="16"/>
                <w:szCs w:val="16"/>
                <w:color w:val="auto"/>
              </w:rPr>
              <w:t>11,118</w:t>
            </w:r>
          </w:p>
        </w:tc>
        <w:tc>
          <w:tcPr>
            <w:tcW w:w="1340" w:type="dxa"/>
            <w:vAlign w:val="bottom"/>
          </w:tcPr>
          <w:p>
            <w:pPr>
              <w:jc w:val="right"/>
              <w:ind w:right="161"/>
              <w:spacing w:after="0"/>
              <w:rPr>
                <w:sz w:val="20"/>
                <w:szCs w:val="20"/>
                <w:color w:val="auto"/>
              </w:rPr>
            </w:pPr>
            <w:r>
              <w:rPr>
                <w:rFonts w:ascii="Arial" w:cs="Arial" w:eastAsia="Arial" w:hAnsi="Arial"/>
                <w:sz w:val="16"/>
                <w:szCs w:val="16"/>
                <w:color w:val="auto"/>
              </w:rPr>
              <w:t>130,172</w:t>
            </w:r>
          </w:p>
        </w:tc>
        <w:tc>
          <w:tcPr>
            <w:tcW w:w="1280" w:type="dxa"/>
            <w:vAlign w:val="bottom"/>
          </w:tcPr>
          <w:p>
            <w:pPr>
              <w:jc w:val="center"/>
              <w:ind w:left="62"/>
              <w:spacing w:after="0"/>
              <w:rPr>
                <w:sz w:val="20"/>
                <w:szCs w:val="20"/>
                <w:color w:val="auto"/>
              </w:rPr>
            </w:pPr>
            <w:r>
              <w:rPr>
                <w:rFonts w:ascii="Arial" w:cs="Arial" w:eastAsia="Arial" w:hAnsi="Arial"/>
                <w:sz w:val="16"/>
                <w:szCs w:val="16"/>
                <w:color w:val="auto"/>
                <w:w w:val="95"/>
              </w:rPr>
              <w:t>*</w:t>
            </w:r>
          </w:p>
        </w:tc>
      </w:tr>
      <w:tr>
        <w:trPr>
          <w:trHeight w:val="60"/>
        </w:trPr>
        <w:tc>
          <w:tcPr>
            <w:tcW w:w="6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280" w:type="dxa"/>
            <w:vAlign w:val="bottom"/>
          </w:tcPr>
          <w:p>
            <w:pPr>
              <w:spacing w:after="0"/>
              <w:rPr>
                <w:sz w:val="5"/>
                <w:szCs w:val="5"/>
                <w:color w:val="auto"/>
              </w:rPr>
            </w:pPr>
          </w:p>
        </w:tc>
      </w:tr>
      <w:tr>
        <w:trPr>
          <w:trHeight w:val="318"/>
        </w:trPr>
        <w:tc>
          <w:tcPr>
            <w:tcW w:w="6020" w:type="dxa"/>
            <w:vAlign w:val="bottom"/>
            <w:tcBorders>
              <w:bottom w:val="single" w:sz="8" w:color="D2D4D9"/>
            </w:tcBorders>
            <w:shd w:val="clear" w:color="auto" w:fill="D2D4D9"/>
          </w:tcPr>
          <w:p>
            <w:pPr>
              <w:ind w:left="80"/>
              <w:spacing w:after="0" w:line="284" w:lineRule="exact"/>
              <w:rPr>
                <w:sz w:val="20"/>
                <w:szCs w:val="20"/>
                <w:color w:val="auto"/>
              </w:rPr>
            </w:pPr>
            <w:r>
              <w:rPr>
                <w:rFonts w:ascii="Arial" w:cs="Arial" w:eastAsia="Arial" w:hAnsi="Arial"/>
                <w:sz w:val="16"/>
                <w:szCs w:val="16"/>
                <w:color w:val="auto"/>
              </w:rPr>
              <w:t>Jon E. Bortz</w:t>
            </w:r>
            <w:r>
              <w:rPr>
                <w:rFonts w:ascii="Arial" w:cs="Arial" w:eastAsia="Arial" w:hAnsi="Arial"/>
                <w:sz w:val="27"/>
                <w:szCs w:val="27"/>
                <w:color w:val="auto"/>
                <w:vertAlign w:val="superscript"/>
              </w:rPr>
              <w:t>(3)</w:t>
            </w:r>
          </w:p>
        </w:tc>
        <w:tc>
          <w:tcPr>
            <w:tcW w:w="1200" w:type="dxa"/>
            <w:vAlign w:val="bottom"/>
            <w:tcBorders>
              <w:bottom w:val="single" w:sz="8" w:color="D2D4D9"/>
            </w:tcBorders>
            <w:shd w:val="clear" w:color="auto" w:fill="D2D4D9"/>
          </w:tcPr>
          <w:p>
            <w:pPr>
              <w:jc w:val="right"/>
              <w:ind w:right="140"/>
              <w:spacing w:after="0"/>
              <w:rPr>
                <w:sz w:val="20"/>
                <w:szCs w:val="20"/>
                <w:color w:val="auto"/>
              </w:rPr>
            </w:pPr>
            <w:r>
              <w:rPr>
                <w:rFonts w:ascii="Arial" w:cs="Arial" w:eastAsia="Arial" w:hAnsi="Arial"/>
                <w:sz w:val="16"/>
                <w:szCs w:val="16"/>
                <w:color w:val="auto"/>
              </w:rPr>
              <w:t>10,625</w:t>
            </w:r>
          </w:p>
        </w:tc>
        <w:tc>
          <w:tcPr>
            <w:tcW w:w="1180" w:type="dxa"/>
            <w:vAlign w:val="bottom"/>
            <w:tcBorders>
              <w:bottom w:val="single" w:sz="8" w:color="D2D4D9"/>
            </w:tcBorders>
            <w:shd w:val="clear" w:color="auto" w:fill="D2D4D9"/>
          </w:tcPr>
          <w:p>
            <w:pPr>
              <w:jc w:val="right"/>
              <w:ind w:right="141"/>
              <w:spacing w:after="0"/>
              <w:rPr>
                <w:sz w:val="20"/>
                <w:szCs w:val="20"/>
                <w:color w:val="auto"/>
              </w:rPr>
            </w:pPr>
            <w:r>
              <w:rPr>
                <w:rFonts w:ascii="Arial" w:cs="Arial" w:eastAsia="Arial" w:hAnsi="Arial"/>
                <w:sz w:val="16"/>
                <w:szCs w:val="16"/>
                <w:color w:val="auto"/>
              </w:rPr>
              <w:t>0</w:t>
            </w:r>
          </w:p>
        </w:tc>
        <w:tc>
          <w:tcPr>
            <w:tcW w:w="1340" w:type="dxa"/>
            <w:vAlign w:val="bottom"/>
            <w:tcBorders>
              <w:bottom w:val="single" w:sz="8" w:color="D2D4D9"/>
            </w:tcBorders>
            <w:shd w:val="clear" w:color="auto" w:fill="D2D4D9"/>
          </w:tcPr>
          <w:p>
            <w:pPr>
              <w:jc w:val="right"/>
              <w:ind w:right="161"/>
              <w:spacing w:after="0"/>
              <w:rPr>
                <w:sz w:val="20"/>
                <w:szCs w:val="20"/>
                <w:color w:val="auto"/>
              </w:rPr>
            </w:pPr>
            <w:r>
              <w:rPr>
                <w:rFonts w:ascii="Arial" w:cs="Arial" w:eastAsia="Arial" w:hAnsi="Arial"/>
                <w:sz w:val="16"/>
                <w:szCs w:val="16"/>
                <w:color w:val="auto"/>
              </w:rPr>
              <w:t>10,625</w:t>
            </w:r>
          </w:p>
        </w:tc>
        <w:tc>
          <w:tcPr>
            <w:tcW w:w="1280" w:type="dxa"/>
            <w:vAlign w:val="bottom"/>
            <w:tcBorders>
              <w:bottom w:val="single" w:sz="8" w:color="D2D4D9"/>
            </w:tcBorders>
            <w:shd w:val="clear" w:color="auto" w:fill="D2D4D9"/>
          </w:tcPr>
          <w:p>
            <w:pPr>
              <w:jc w:val="center"/>
              <w:ind w:left="62"/>
              <w:spacing w:after="0"/>
              <w:rPr>
                <w:sz w:val="20"/>
                <w:szCs w:val="20"/>
                <w:color w:val="auto"/>
              </w:rPr>
            </w:pPr>
            <w:r>
              <w:rPr>
                <w:rFonts w:ascii="Arial" w:cs="Arial" w:eastAsia="Arial" w:hAnsi="Arial"/>
                <w:sz w:val="16"/>
                <w:szCs w:val="16"/>
                <w:color w:val="auto"/>
                <w:w w:val="95"/>
              </w:rPr>
              <w:t>*</w:t>
            </w:r>
          </w:p>
        </w:tc>
      </w:tr>
      <w:tr>
        <w:trPr>
          <w:trHeight w:val="278"/>
        </w:trPr>
        <w:tc>
          <w:tcPr>
            <w:tcW w:w="6020" w:type="dxa"/>
            <w:vAlign w:val="bottom"/>
          </w:tcPr>
          <w:p>
            <w:pPr>
              <w:ind w:left="80"/>
              <w:spacing w:after="0"/>
              <w:rPr>
                <w:sz w:val="20"/>
                <w:szCs w:val="20"/>
                <w:color w:val="auto"/>
              </w:rPr>
            </w:pPr>
            <w:r>
              <w:rPr>
                <w:rFonts w:ascii="Arial" w:cs="Arial" w:eastAsia="Arial" w:hAnsi="Arial"/>
                <w:sz w:val="16"/>
                <w:szCs w:val="16"/>
                <w:color w:val="auto"/>
              </w:rPr>
              <w:t>David W. Faeder</w:t>
            </w:r>
          </w:p>
        </w:tc>
        <w:tc>
          <w:tcPr>
            <w:tcW w:w="1200" w:type="dxa"/>
            <w:vAlign w:val="bottom"/>
          </w:tcPr>
          <w:p>
            <w:pPr>
              <w:jc w:val="right"/>
              <w:ind w:right="140"/>
              <w:spacing w:after="0"/>
              <w:rPr>
                <w:sz w:val="20"/>
                <w:szCs w:val="20"/>
                <w:color w:val="auto"/>
              </w:rPr>
            </w:pPr>
            <w:r>
              <w:rPr>
                <w:rFonts w:ascii="Arial" w:cs="Arial" w:eastAsia="Arial" w:hAnsi="Arial"/>
                <w:sz w:val="16"/>
                <w:szCs w:val="16"/>
                <w:color w:val="auto"/>
              </w:rPr>
              <w:t>10,282</w:t>
            </w:r>
          </w:p>
        </w:tc>
        <w:tc>
          <w:tcPr>
            <w:tcW w:w="1180" w:type="dxa"/>
            <w:vAlign w:val="bottom"/>
          </w:tcPr>
          <w:p>
            <w:pPr>
              <w:jc w:val="right"/>
              <w:ind w:right="141"/>
              <w:spacing w:after="0"/>
              <w:rPr>
                <w:sz w:val="20"/>
                <w:szCs w:val="20"/>
                <w:color w:val="auto"/>
              </w:rPr>
            </w:pPr>
            <w:r>
              <w:rPr>
                <w:rFonts w:ascii="Arial" w:cs="Arial" w:eastAsia="Arial" w:hAnsi="Arial"/>
                <w:sz w:val="16"/>
                <w:szCs w:val="16"/>
                <w:color w:val="auto"/>
              </w:rPr>
              <w:t>0</w:t>
            </w:r>
          </w:p>
        </w:tc>
        <w:tc>
          <w:tcPr>
            <w:tcW w:w="1340" w:type="dxa"/>
            <w:vAlign w:val="bottom"/>
          </w:tcPr>
          <w:p>
            <w:pPr>
              <w:jc w:val="right"/>
              <w:ind w:right="161"/>
              <w:spacing w:after="0"/>
              <w:rPr>
                <w:sz w:val="20"/>
                <w:szCs w:val="20"/>
                <w:color w:val="auto"/>
              </w:rPr>
            </w:pPr>
            <w:r>
              <w:rPr>
                <w:rFonts w:ascii="Arial" w:cs="Arial" w:eastAsia="Arial" w:hAnsi="Arial"/>
                <w:sz w:val="16"/>
                <w:szCs w:val="16"/>
                <w:color w:val="auto"/>
              </w:rPr>
              <w:t>10,282</w:t>
            </w:r>
          </w:p>
        </w:tc>
        <w:tc>
          <w:tcPr>
            <w:tcW w:w="1280" w:type="dxa"/>
            <w:vAlign w:val="bottom"/>
          </w:tcPr>
          <w:p>
            <w:pPr>
              <w:jc w:val="center"/>
              <w:ind w:left="62"/>
              <w:spacing w:after="0"/>
              <w:rPr>
                <w:sz w:val="20"/>
                <w:szCs w:val="20"/>
                <w:color w:val="auto"/>
              </w:rPr>
            </w:pPr>
            <w:r>
              <w:rPr>
                <w:rFonts w:ascii="Arial" w:cs="Arial" w:eastAsia="Arial" w:hAnsi="Arial"/>
                <w:sz w:val="16"/>
                <w:szCs w:val="16"/>
                <w:color w:val="auto"/>
                <w:w w:val="95"/>
              </w:rPr>
              <w:t>*</w:t>
            </w:r>
          </w:p>
        </w:tc>
      </w:tr>
      <w:tr>
        <w:trPr>
          <w:trHeight w:val="60"/>
        </w:trPr>
        <w:tc>
          <w:tcPr>
            <w:tcW w:w="6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280" w:type="dxa"/>
            <w:vAlign w:val="bottom"/>
          </w:tcPr>
          <w:p>
            <w:pPr>
              <w:spacing w:after="0"/>
              <w:rPr>
                <w:sz w:val="5"/>
                <w:szCs w:val="5"/>
                <w:color w:val="auto"/>
              </w:rPr>
            </w:pPr>
          </w:p>
        </w:tc>
      </w:tr>
      <w:tr>
        <w:trPr>
          <w:trHeight w:val="278"/>
        </w:trPr>
        <w:tc>
          <w:tcPr>
            <w:tcW w:w="6020" w:type="dxa"/>
            <w:vAlign w:val="bottom"/>
            <w:shd w:val="clear" w:color="auto" w:fill="D2D4D9"/>
          </w:tcPr>
          <w:p>
            <w:pPr>
              <w:ind w:left="80"/>
              <w:spacing w:after="0"/>
              <w:rPr>
                <w:sz w:val="20"/>
                <w:szCs w:val="20"/>
                <w:color w:val="auto"/>
              </w:rPr>
            </w:pPr>
            <w:r>
              <w:rPr>
                <w:rFonts w:ascii="Arial" w:cs="Arial" w:eastAsia="Arial" w:hAnsi="Arial"/>
                <w:sz w:val="16"/>
                <w:szCs w:val="16"/>
                <w:color w:val="auto"/>
              </w:rPr>
              <w:t>Daniel Guglielmone</w:t>
            </w:r>
          </w:p>
        </w:tc>
        <w:tc>
          <w:tcPr>
            <w:tcW w:w="1200" w:type="dxa"/>
            <w:vAlign w:val="bottom"/>
            <w:shd w:val="clear" w:color="auto" w:fill="D2D4D9"/>
          </w:tcPr>
          <w:p>
            <w:pPr>
              <w:jc w:val="right"/>
              <w:ind w:right="140"/>
              <w:spacing w:after="0"/>
              <w:rPr>
                <w:sz w:val="20"/>
                <w:szCs w:val="20"/>
                <w:color w:val="auto"/>
              </w:rPr>
            </w:pPr>
            <w:r>
              <w:rPr>
                <w:rFonts w:ascii="Arial" w:cs="Arial" w:eastAsia="Arial" w:hAnsi="Arial"/>
                <w:sz w:val="16"/>
                <w:szCs w:val="16"/>
                <w:color w:val="auto"/>
              </w:rPr>
              <w:t>7,207</w:t>
            </w:r>
          </w:p>
        </w:tc>
        <w:tc>
          <w:tcPr>
            <w:tcW w:w="1180" w:type="dxa"/>
            <w:vAlign w:val="bottom"/>
            <w:shd w:val="clear" w:color="auto" w:fill="D2D4D9"/>
          </w:tcPr>
          <w:p>
            <w:pPr>
              <w:jc w:val="right"/>
              <w:ind w:right="141"/>
              <w:spacing w:after="0"/>
              <w:rPr>
                <w:sz w:val="20"/>
                <w:szCs w:val="20"/>
                <w:color w:val="auto"/>
              </w:rPr>
            </w:pPr>
            <w:r>
              <w:rPr>
                <w:rFonts w:ascii="Arial" w:cs="Arial" w:eastAsia="Arial" w:hAnsi="Arial"/>
                <w:sz w:val="16"/>
                <w:szCs w:val="16"/>
                <w:color w:val="auto"/>
              </w:rPr>
              <w:t>19,088</w:t>
            </w:r>
          </w:p>
        </w:tc>
        <w:tc>
          <w:tcPr>
            <w:tcW w:w="1340" w:type="dxa"/>
            <w:vAlign w:val="bottom"/>
            <w:shd w:val="clear" w:color="auto" w:fill="D2D4D9"/>
          </w:tcPr>
          <w:p>
            <w:pPr>
              <w:jc w:val="right"/>
              <w:ind w:right="161"/>
              <w:spacing w:after="0"/>
              <w:rPr>
                <w:sz w:val="20"/>
                <w:szCs w:val="20"/>
                <w:color w:val="auto"/>
              </w:rPr>
            </w:pPr>
            <w:r>
              <w:rPr>
                <w:rFonts w:ascii="Arial" w:cs="Arial" w:eastAsia="Arial" w:hAnsi="Arial"/>
                <w:sz w:val="16"/>
                <w:szCs w:val="16"/>
                <w:color w:val="auto"/>
              </w:rPr>
              <w:t>26,295</w:t>
            </w:r>
          </w:p>
        </w:tc>
        <w:tc>
          <w:tcPr>
            <w:tcW w:w="1280" w:type="dxa"/>
            <w:vAlign w:val="bottom"/>
            <w:shd w:val="clear" w:color="auto" w:fill="D2D4D9"/>
          </w:tcPr>
          <w:p>
            <w:pPr>
              <w:jc w:val="center"/>
              <w:ind w:left="62"/>
              <w:spacing w:after="0"/>
              <w:rPr>
                <w:sz w:val="20"/>
                <w:szCs w:val="20"/>
                <w:color w:val="auto"/>
              </w:rPr>
            </w:pPr>
            <w:r>
              <w:rPr>
                <w:rFonts w:ascii="Arial" w:cs="Arial" w:eastAsia="Arial" w:hAnsi="Arial"/>
                <w:sz w:val="16"/>
                <w:szCs w:val="16"/>
                <w:color w:val="auto"/>
                <w:w w:val="95"/>
              </w:rPr>
              <w:t>*</w:t>
            </w:r>
          </w:p>
        </w:tc>
      </w:tr>
      <w:tr>
        <w:trPr>
          <w:trHeight w:val="60"/>
        </w:trPr>
        <w:tc>
          <w:tcPr>
            <w:tcW w:w="6020" w:type="dxa"/>
            <w:vAlign w:val="bottom"/>
            <w:shd w:val="clear" w:color="auto" w:fill="D2D4D9"/>
          </w:tcPr>
          <w:p>
            <w:pPr>
              <w:spacing w:after="0"/>
              <w:rPr>
                <w:sz w:val="5"/>
                <w:szCs w:val="5"/>
                <w:color w:val="auto"/>
              </w:rPr>
            </w:pPr>
          </w:p>
        </w:tc>
        <w:tc>
          <w:tcPr>
            <w:tcW w:w="1200" w:type="dxa"/>
            <w:vAlign w:val="bottom"/>
            <w:shd w:val="clear" w:color="auto" w:fill="D2D4D9"/>
          </w:tcPr>
          <w:p>
            <w:pPr>
              <w:spacing w:after="0"/>
              <w:rPr>
                <w:sz w:val="5"/>
                <w:szCs w:val="5"/>
                <w:color w:val="auto"/>
              </w:rPr>
            </w:pPr>
          </w:p>
        </w:tc>
        <w:tc>
          <w:tcPr>
            <w:tcW w:w="1180" w:type="dxa"/>
            <w:vAlign w:val="bottom"/>
            <w:shd w:val="clear" w:color="auto" w:fill="D2D4D9"/>
          </w:tcPr>
          <w:p>
            <w:pPr>
              <w:spacing w:after="0"/>
              <w:rPr>
                <w:sz w:val="5"/>
                <w:szCs w:val="5"/>
                <w:color w:val="auto"/>
              </w:rPr>
            </w:pPr>
          </w:p>
        </w:tc>
        <w:tc>
          <w:tcPr>
            <w:tcW w:w="1340" w:type="dxa"/>
            <w:vAlign w:val="bottom"/>
            <w:shd w:val="clear" w:color="auto" w:fill="D2D4D9"/>
          </w:tcPr>
          <w:p>
            <w:pPr>
              <w:spacing w:after="0"/>
              <w:rPr>
                <w:sz w:val="5"/>
                <w:szCs w:val="5"/>
                <w:color w:val="auto"/>
              </w:rPr>
            </w:pPr>
          </w:p>
        </w:tc>
        <w:tc>
          <w:tcPr>
            <w:tcW w:w="1280" w:type="dxa"/>
            <w:vAlign w:val="bottom"/>
            <w:shd w:val="clear" w:color="auto" w:fill="D2D4D9"/>
          </w:tcPr>
          <w:p>
            <w:pPr>
              <w:spacing w:after="0"/>
              <w:rPr>
                <w:sz w:val="5"/>
                <w:szCs w:val="5"/>
                <w:color w:val="auto"/>
              </w:rPr>
            </w:pPr>
          </w:p>
        </w:tc>
      </w:tr>
      <w:tr>
        <w:trPr>
          <w:trHeight w:val="278"/>
        </w:trPr>
        <w:tc>
          <w:tcPr>
            <w:tcW w:w="6020" w:type="dxa"/>
            <w:vAlign w:val="bottom"/>
          </w:tcPr>
          <w:p>
            <w:pPr>
              <w:ind w:left="80"/>
              <w:spacing w:after="0"/>
              <w:rPr>
                <w:sz w:val="20"/>
                <w:szCs w:val="20"/>
                <w:color w:val="auto"/>
              </w:rPr>
            </w:pPr>
            <w:r>
              <w:rPr>
                <w:rFonts w:ascii="Arial" w:cs="Arial" w:eastAsia="Arial" w:hAnsi="Arial"/>
                <w:sz w:val="16"/>
                <w:szCs w:val="16"/>
                <w:color w:val="auto"/>
              </w:rPr>
              <w:t>Elizabeth I. Holland</w:t>
            </w:r>
          </w:p>
        </w:tc>
        <w:tc>
          <w:tcPr>
            <w:tcW w:w="1200" w:type="dxa"/>
            <w:vAlign w:val="bottom"/>
          </w:tcPr>
          <w:p>
            <w:pPr>
              <w:jc w:val="right"/>
              <w:ind w:right="140"/>
              <w:spacing w:after="0"/>
              <w:rPr>
                <w:sz w:val="20"/>
                <w:szCs w:val="20"/>
                <w:color w:val="auto"/>
              </w:rPr>
            </w:pPr>
            <w:r>
              <w:rPr>
                <w:rFonts w:ascii="Arial" w:cs="Arial" w:eastAsia="Arial" w:hAnsi="Arial"/>
                <w:sz w:val="16"/>
                <w:szCs w:val="16"/>
                <w:color w:val="auto"/>
              </w:rPr>
              <w:t>1,788</w:t>
            </w:r>
          </w:p>
        </w:tc>
        <w:tc>
          <w:tcPr>
            <w:tcW w:w="1180" w:type="dxa"/>
            <w:vAlign w:val="bottom"/>
          </w:tcPr>
          <w:p>
            <w:pPr>
              <w:jc w:val="right"/>
              <w:ind w:right="141"/>
              <w:spacing w:after="0"/>
              <w:rPr>
                <w:sz w:val="20"/>
                <w:szCs w:val="20"/>
                <w:color w:val="auto"/>
              </w:rPr>
            </w:pPr>
            <w:r>
              <w:rPr>
                <w:rFonts w:ascii="Arial" w:cs="Arial" w:eastAsia="Arial" w:hAnsi="Arial"/>
                <w:sz w:val="16"/>
                <w:szCs w:val="16"/>
                <w:color w:val="auto"/>
              </w:rPr>
              <w:t>0</w:t>
            </w:r>
          </w:p>
        </w:tc>
        <w:tc>
          <w:tcPr>
            <w:tcW w:w="1340" w:type="dxa"/>
            <w:vAlign w:val="bottom"/>
          </w:tcPr>
          <w:p>
            <w:pPr>
              <w:jc w:val="right"/>
              <w:ind w:right="161"/>
              <w:spacing w:after="0"/>
              <w:rPr>
                <w:sz w:val="20"/>
                <w:szCs w:val="20"/>
                <w:color w:val="auto"/>
              </w:rPr>
            </w:pPr>
            <w:r>
              <w:rPr>
                <w:rFonts w:ascii="Arial" w:cs="Arial" w:eastAsia="Arial" w:hAnsi="Arial"/>
                <w:sz w:val="16"/>
                <w:szCs w:val="16"/>
                <w:color w:val="auto"/>
              </w:rPr>
              <w:t>1,788</w:t>
            </w:r>
          </w:p>
        </w:tc>
        <w:tc>
          <w:tcPr>
            <w:tcW w:w="1280" w:type="dxa"/>
            <w:vAlign w:val="bottom"/>
          </w:tcPr>
          <w:p>
            <w:pPr>
              <w:jc w:val="center"/>
              <w:ind w:left="62"/>
              <w:spacing w:after="0"/>
              <w:rPr>
                <w:sz w:val="20"/>
                <w:szCs w:val="20"/>
                <w:color w:val="auto"/>
              </w:rPr>
            </w:pPr>
            <w:r>
              <w:rPr>
                <w:rFonts w:ascii="Arial" w:cs="Arial" w:eastAsia="Arial" w:hAnsi="Arial"/>
                <w:sz w:val="16"/>
                <w:szCs w:val="16"/>
                <w:color w:val="auto"/>
                <w:w w:val="95"/>
              </w:rPr>
              <w:t>*</w:t>
            </w:r>
          </w:p>
        </w:tc>
      </w:tr>
      <w:tr>
        <w:trPr>
          <w:trHeight w:val="60"/>
        </w:trPr>
        <w:tc>
          <w:tcPr>
            <w:tcW w:w="6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280" w:type="dxa"/>
            <w:vAlign w:val="bottom"/>
          </w:tcPr>
          <w:p>
            <w:pPr>
              <w:spacing w:after="0"/>
              <w:rPr>
                <w:sz w:val="5"/>
                <w:szCs w:val="5"/>
                <w:color w:val="auto"/>
              </w:rPr>
            </w:pPr>
          </w:p>
        </w:tc>
      </w:tr>
      <w:tr>
        <w:trPr>
          <w:trHeight w:val="318"/>
        </w:trPr>
        <w:tc>
          <w:tcPr>
            <w:tcW w:w="6020" w:type="dxa"/>
            <w:vAlign w:val="bottom"/>
            <w:tcBorders>
              <w:bottom w:val="single" w:sz="8" w:color="D2D4D9"/>
            </w:tcBorders>
            <w:shd w:val="clear" w:color="auto" w:fill="D2D4D9"/>
          </w:tcPr>
          <w:p>
            <w:pPr>
              <w:ind w:left="80"/>
              <w:spacing w:after="0" w:line="284" w:lineRule="exact"/>
              <w:rPr>
                <w:sz w:val="20"/>
                <w:szCs w:val="20"/>
                <w:color w:val="auto"/>
              </w:rPr>
            </w:pPr>
            <w:r>
              <w:rPr>
                <w:rFonts w:ascii="Arial" w:cs="Arial" w:eastAsia="Arial" w:hAnsi="Arial"/>
                <w:sz w:val="16"/>
                <w:szCs w:val="16"/>
                <w:color w:val="auto"/>
              </w:rPr>
              <w:t>Mark S. Ordan</w:t>
            </w:r>
            <w:r>
              <w:rPr>
                <w:rFonts w:ascii="Arial" w:cs="Arial" w:eastAsia="Arial" w:hAnsi="Arial"/>
                <w:sz w:val="27"/>
                <w:szCs w:val="27"/>
                <w:color w:val="auto"/>
                <w:vertAlign w:val="superscript"/>
              </w:rPr>
              <w:t>(4)</w:t>
            </w:r>
          </w:p>
        </w:tc>
        <w:tc>
          <w:tcPr>
            <w:tcW w:w="1200" w:type="dxa"/>
            <w:vAlign w:val="bottom"/>
            <w:tcBorders>
              <w:bottom w:val="single" w:sz="8" w:color="D2D4D9"/>
            </w:tcBorders>
            <w:shd w:val="clear" w:color="auto" w:fill="D2D4D9"/>
          </w:tcPr>
          <w:p>
            <w:pPr>
              <w:jc w:val="right"/>
              <w:ind w:right="140"/>
              <w:spacing w:after="0"/>
              <w:rPr>
                <w:sz w:val="20"/>
                <w:szCs w:val="20"/>
                <w:color w:val="auto"/>
              </w:rPr>
            </w:pPr>
            <w:r>
              <w:rPr>
                <w:rFonts w:ascii="Arial" w:cs="Arial" w:eastAsia="Arial" w:hAnsi="Arial"/>
                <w:sz w:val="16"/>
                <w:szCs w:val="16"/>
                <w:color w:val="auto"/>
              </w:rPr>
              <w:t>0</w:t>
            </w:r>
          </w:p>
        </w:tc>
        <w:tc>
          <w:tcPr>
            <w:tcW w:w="1180" w:type="dxa"/>
            <w:vAlign w:val="bottom"/>
            <w:tcBorders>
              <w:bottom w:val="single" w:sz="8" w:color="D2D4D9"/>
            </w:tcBorders>
            <w:shd w:val="clear" w:color="auto" w:fill="D2D4D9"/>
          </w:tcPr>
          <w:p>
            <w:pPr>
              <w:jc w:val="right"/>
              <w:ind w:right="141"/>
              <w:spacing w:after="0"/>
              <w:rPr>
                <w:sz w:val="20"/>
                <w:szCs w:val="20"/>
                <w:color w:val="auto"/>
              </w:rPr>
            </w:pPr>
            <w:r>
              <w:rPr>
                <w:rFonts w:ascii="Arial" w:cs="Arial" w:eastAsia="Arial" w:hAnsi="Arial"/>
                <w:sz w:val="16"/>
                <w:szCs w:val="16"/>
                <w:color w:val="auto"/>
              </w:rPr>
              <w:t>0</w:t>
            </w:r>
          </w:p>
        </w:tc>
        <w:tc>
          <w:tcPr>
            <w:tcW w:w="1340" w:type="dxa"/>
            <w:vAlign w:val="bottom"/>
            <w:tcBorders>
              <w:bottom w:val="single" w:sz="8" w:color="D2D4D9"/>
            </w:tcBorders>
            <w:shd w:val="clear" w:color="auto" w:fill="D2D4D9"/>
          </w:tcPr>
          <w:p>
            <w:pPr>
              <w:jc w:val="right"/>
              <w:ind w:right="161"/>
              <w:spacing w:after="0"/>
              <w:rPr>
                <w:sz w:val="20"/>
                <w:szCs w:val="20"/>
                <w:color w:val="auto"/>
              </w:rPr>
            </w:pPr>
            <w:r>
              <w:rPr>
                <w:rFonts w:ascii="Arial" w:cs="Arial" w:eastAsia="Arial" w:hAnsi="Arial"/>
                <w:sz w:val="16"/>
                <w:szCs w:val="16"/>
                <w:color w:val="auto"/>
              </w:rPr>
              <w:t>0</w:t>
            </w:r>
          </w:p>
        </w:tc>
        <w:tc>
          <w:tcPr>
            <w:tcW w:w="1280" w:type="dxa"/>
            <w:vAlign w:val="bottom"/>
            <w:tcBorders>
              <w:bottom w:val="single" w:sz="8" w:color="D2D4D9"/>
            </w:tcBorders>
            <w:shd w:val="clear" w:color="auto" w:fill="D2D4D9"/>
          </w:tcPr>
          <w:p>
            <w:pPr>
              <w:jc w:val="center"/>
              <w:ind w:left="62"/>
              <w:spacing w:after="0"/>
              <w:rPr>
                <w:sz w:val="20"/>
                <w:szCs w:val="20"/>
                <w:color w:val="auto"/>
              </w:rPr>
            </w:pPr>
            <w:r>
              <w:rPr>
                <w:rFonts w:ascii="Arial" w:cs="Arial" w:eastAsia="Arial" w:hAnsi="Arial"/>
                <w:sz w:val="16"/>
                <w:szCs w:val="16"/>
                <w:color w:val="auto"/>
                <w:w w:val="95"/>
              </w:rPr>
              <w:t>*</w:t>
            </w:r>
          </w:p>
        </w:tc>
      </w:tr>
      <w:tr>
        <w:trPr>
          <w:trHeight w:val="278"/>
        </w:trPr>
        <w:tc>
          <w:tcPr>
            <w:tcW w:w="6020" w:type="dxa"/>
            <w:vAlign w:val="bottom"/>
          </w:tcPr>
          <w:p>
            <w:pPr>
              <w:ind w:left="80"/>
              <w:spacing w:after="0"/>
              <w:rPr>
                <w:sz w:val="20"/>
                <w:szCs w:val="20"/>
                <w:color w:val="auto"/>
              </w:rPr>
            </w:pPr>
            <w:r>
              <w:rPr>
                <w:rFonts w:ascii="Arial" w:cs="Arial" w:eastAsia="Arial" w:hAnsi="Arial"/>
                <w:sz w:val="16"/>
                <w:szCs w:val="16"/>
                <w:color w:val="auto"/>
              </w:rPr>
              <w:t>Gail P. Steinel</w:t>
            </w:r>
          </w:p>
        </w:tc>
        <w:tc>
          <w:tcPr>
            <w:tcW w:w="1200" w:type="dxa"/>
            <w:vAlign w:val="bottom"/>
          </w:tcPr>
          <w:p>
            <w:pPr>
              <w:jc w:val="right"/>
              <w:ind w:right="140"/>
              <w:spacing w:after="0"/>
              <w:rPr>
                <w:sz w:val="20"/>
                <w:szCs w:val="20"/>
                <w:color w:val="auto"/>
              </w:rPr>
            </w:pPr>
            <w:r>
              <w:rPr>
                <w:rFonts w:ascii="Arial" w:cs="Arial" w:eastAsia="Arial" w:hAnsi="Arial"/>
                <w:sz w:val="16"/>
                <w:szCs w:val="16"/>
                <w:color w:val="auto"/>
              </w:rPr>
              <w:t>10,078</w:t>
            </w:r>
          </w:p>
        </w:tc>
        <w:tc>
          <w:tcPr>
            <w:tcW w:w="1180" w:type="dxa"/>
            <w:vAlign w:val="bottom"/>
          </w:tcPr>
          <w:p>
            <w:pPr>
              <w:jc w:val="right"/>
              <w:ind w:right="141"/>
              <w:spacing w:after="0"/>
              <w:rPr>
                <w:sz w:val="20"/>
                <w:szCs w:val="20"/>
                <w:color w:val="auto"/>
              </w:rPr>
            </w:pPr>
            <w:r>
              <w:rPr>
                <w:rFonts w:ascii="Arial" w:cs="Arial" w:eastAsia="Arial" w:hAnsi="Arial"/>
                <w:sz w:val="16"/>
                <w:szCs w:val="16"/>
                <w:color w:val="auto"/>
              </w:rPr>
              <w:t>0</w:t>
            </w:r>
          </w:p>
        </w:tc>
        <w:tc>
          <w:tcPr>
            <w:tcW w:w="1340" w:type="dxa"/>
            <w:vAlign w:val="bottom"/>
          </w:tcPr>
          <w:p>
            <w:pPr>
              <w:jc w:val="right"/>
              <w:ind w:right="161"/>
              <w:spacing w:after="0"/>
              <w:rPr>
                <w:sz w:val="20"/>
                <w:szCs w:val="20"/>
                <w:color w:val="auto"/>
              </w:rPr>
            </w:pPr>
            <w:r>
              <w:rPr>
                <w:rFonts w:ascii="Arial" w:cs="Arial" w:eastAsia="Arial" w:hAnsi="Arial"/>
                <w:sz w:val="16"/>
                <w:szCs w:val="16"/>
                <w:color w:val="auto"/>
              </w:rPr>
              <w:t>10,078</w:t>
            </w:r>
          </w:p>
        </w:tc>
        <w:tc>
          <w:tcPr>
            <w:tcW w:w="1280" w:type="dxa"/>
            <w:vAlign w:val="bottom"/>
          </w:tcPr>
          <w:p>
            <w:pPr>
              <w:jc w:val="center"/>
              <w:ind w:left="62"/>
              <w:spacing w:after="0"/>
              <w:rPr>
                <w:sz w:val="20"/>
                <w:szCs w:val="20"/>
                <w:color w:val="auto"/>
              </w:rPr>
            </w:pPr>
            <w:r>
              <w:rPr>
                <w:rFonts w:ascii="Arial" w:cs="Arial" w:eastAsia="Arial" w:hAnsi="Arial"/>
                <w:sz w:val="16"/>
                <w:szCs w:val="16"/>
                <w:color w:val="auto"/>
                <w:w w:val="95"/>
              </w:rPr>
              <w:t>*</w:t>
            </w:r>
          </w:p>
        </w:tc>
      </w:tr>
      <w:tr>
        <w:trPr>
          <w:trHeight w:val="60"/>
        </w:trPr>
        <w:tc>
          <w:tcPr>
            <w:tcW w:w="6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280" w:type="dxa"/>
            <w:vAlign w:val="bottom"/>
          </w:tcPr>
          <w:p>
            <w:pPr>
              <w:spacing w:after="0"/>
              <w:rPr>
                <w:sz w:val="5"/>
                <w:szCs w:val="5"/>
                <w:color w:val="auto"/>
              </w:rPr>
            </w:pPr>
          </w:p>
        </w:tc>
      </w:tr>
      <w:tr>
        <w:trPr>
          <w:trHeight w:val="278"/>
        </w:trPr>
        <w:tc>
          <w:tcPr>
            <w:tcW w:w="6020" w:type="dxa"/>
            <w:vAlign w:val="bottom"/>
            <w:shd w:val="clear" w:color="auto" w:fill="D2D4D9"/>
          </w:tcPr>
          <w:p>
            <w:pPr>
              <w:ind w:left="80"/>
              <w:spacing w:after="0"/>
              <w:rPr>
                <w:sz w:val="20"/>
                <w:szCs w:val="20"/>
                <w:color w:val="auto"/>
              </w:rPr>
            </w:pPr>
            <w:r>
              <w:rPr>
                <w:rFonts w:ascii="Arial" w:cs="Arial" w:eastAsia="Arial" w:hAnsi="Arial"/>
                <w:sz w:val="16"/>
                <w:szCs w:val="16"/>
                <w:color w:val="auto"/>
              </w:rPr>
              <w:t>Warren M. Thompson</w:t>
            </w:r>
          </w:p>
        </w:tc>
        <w:tc>
          <w:tcPr>
            <w:tcW w:w="1200" w:type="dxa"/>
            <w:vAlign w:val="bottom"/>
            <w:shd w:val="clear" w:color="auto" w:fill="D2D4D9"/>
          </w:tcPr>
          <w:p>
            <w:pPr>
              <w:jc w:val="right"/>
              <w:ind w:right="140"/>
              <w:spacing w:after="0"/>
              <w:rPr>
                <w:sz w:val="20"/>
                <w:szCs w:val="20"/>
                <w:color w:val="auto"/>
              </w:rPr>
            </w:pPr>
            <w:r>
              <w:rPr>
                <w:rFonts w:ascii="Arial" w:cs="Arial" w:eastAsia="Arial" w:hAnsi="Arial"/>
                <w:sz w:val="16"/>
                <w:szCs w:val="16"/>
                <w:color w:val="auto"/>
              </w:rPr>
              <w:t>10,157</w:t>
            </w:r>
          </w:p>
        </w:tc>
        <w:tc>
          <w:tcPr>
            <w:tcW w:w="1180" w:type="dxa"/>
            <w:vAlign w:val="bottom"/>
            <w:shd w:val="clear" w:color="auto" w:fill="D2D4D9"/>
          </w:tcPr>
          <w:p>
            <w:pPr>
              <w:jc w:val="right"/>
              <w:ind w:right="141"/>
              <w:spacing w:after="0"/>
              <w:rPr>
                <w:sz w:val="20"/>
                <w:szCs w:val="20"/>
                <w:color w:val="auto"/>
              </w:rPr>
            </w:pPr>
            <w:r>
              <w:rPr>
                <w:rFonts w:ascii="Arial" w:cs="Arial" w:eastAsia="Arial" w:hAnsi="Arial"/>
                <w:sz w:val="16"/>
                <w:szCs w:val="16"/>
                <w:color w:val="auto"/>
              </w:rPr>
              <w:t>0</w:t>
            </w:r>
          </w:p>
        </w:tc>
        <w:tc>
          <w:tcPr>
            <w:tcW w:w="1340" w:type="dxa"/>
            <w:vAlign w:val="bottom"/>
            <w:shd w:val="clear" w:color="auto" w:fill="D2D4D9"/>
          </w:tcPr>
          <w:p>
            <w:pPr>
              <w:jc w:val="right"/>
              <w:ind w:right="161"/>
              <w:spacing w:after="0"/>
              <w:rPr>
                <w:sz w:val="20"/>
                <w:szCs w:val="20"/>
                <w:color w:val="auto"/>
              </w:rPr>
            </w:pPr>
            <w:r>
              <w:rPr>
                <w:rFonts w:ascii="Arial" w:cs="Arial" w:eastAsia="Arial" w:hAnsi="Arial"/>
                <w:sz w:val="16"/>
                <w:szCs w:val="16"/>
                <w:color w:val="auto"/>
              </w:rPr>
              <w:t>10,157</w:t>
            </w:r>
          </w:p>
        </w:tc>
        <w:tc>
          <w:tcPr>
            <w:tcW w:w="1280" w:type="dxa"/>
            <w:vAlign w:val="bottom"/>
            <w:shd w:val="clear" w:color="auto" w:fill="D2D4D9"/>
          </w:tcPr>
          <w:p>
            <w:pPr>
              <w:jc w:val="center"/>
              <w:ind w:left="62"/>
              <w:spacing w:after="0"/>
              <w:rPr>
                <w:sz w:val="20"/>
                <w:szCs w:val="20"/>
                <w:color w:val="auto"/>
              </w:rPr>
            </w:pPr>
            <w:r>
              <w:rPr>
                <w:rFonts w:ascii="Arial" w:cs="Arial" w:eastAsia="Arial" w:hAnsi="Arial"/>
                <w:sz w:val="16"/>
                <w:szCs w:val="16"/>
                <w:color w:val="auto"/>
                <w:w w:val="95"/>
              </w:rPr>
              <w:t>*</w:t>
            </w:r>
          </w:p>
        </w:tc>
      </w:tr>
      <w:tr>
        <w:trPr>
          <w:trHeight w:val="60"/>
        </w:trPr>
        <w:tc>
          <w:tcPr>
            <w:tcW w:w="6020" w:type="dxa"/>
            <w:vAlign w:val="bottom"/>
            <w:shd w:val="clear" w:color="auto" w:fill="D2D4D9"/>
          </w:tcPr>
          <w:p>
            <w:pPr>
              <w:spacing w:after="0"/>
              <w:rPr>
                <w:sz w:val="5"/>
                <w:szCs w:val="5"/>
                <w:color w:val="auto"/>
              </w:rPr>
            </w:pPr>
          </w:p>
        </w:tc>
        <w:tc>
          <w:tcPr>
            <w:tcW w:w="1200" w:type="dxa"/>
            <w:vAlign w:val="bottom"/>
            <w:shd w:val="clear" w:color="auto" w:fill="D2D4D9"/>
          </w:tcPr>
          <w:p>
            <w:pPr>
              <w:spacing w:after="0"/>
              <w:rPr>
                <w:sz w:val="5"/>
                <w:szCs w:val="5"/>
                <w:color w:val="auto"/>
              </w:rPr>
            </w:pPr>
          </w:p>
        </w:tc>
        <w:tc>
          <w:tcPr>
            <w:tcW w:w="1180" w:type="dxa"/>
            <w:vAlign w:val="bottom"/>
            <w:shd w:val="clear" w:color="auto" w:fill="D2D4D9"/>
          </w:tcPr>
          <w:p>
            <w:pPr>
              <w:spacing w:after="0"/>
              <w:rPr>
                <w:sz w:val="5"/>
                <w:szCs w:val="5"/>
                <w:color w:val="auto"/>
              </w:rPr>
            </w:pPr>
          </w:p>
        </w:tc>
        <w:tc>
          <w:tcPr>
            <w:tcW w:w="1340" w:type="dxa"/>
            <w:vAlign w:val="bottom"/>
            <w:shd w:val="clear" w:color="auto" w:fill="D2D4D9"/>
          </w:tcPr>
          <w:p>
            <w:pPr>
              <w:spacing w:after="0"/>
              <w:rPr>
                <w:sz w:val="5"/>
                <w:szCs w:val="5"/>
                <w:color w:val="auto"/>
              </w:rPr>
            </w:pPr>
          </w:p>
        </w:tc>
        <w:tc>
          <w:tcPr>
            <w:tcW w:w="1280" w:type="dxa"/>
            <w:vAlign w:val="bottom"/>
            <w:shd w:val="clear" w:color="auto" w:fill="D2D4D9"/>
          </w:tcPr>
          <w:p>
            <w:pPr>
              <w:spacing w:after="0"/>
              <w:rPr>
                <w:sz w:val="5"/>
                <w:szCs w:val="5"/>
                <w:color w:val="auto"/>
              </w:rPr>
            </w:pPr>
          </w:p>
        </w:tc>
      </w:tr>
      <w:tr>
        <w:trPr>
          <w:trHeight w:val="278"/>
        </w:trPr>
        <w:tc>
          <w:tcPr>
            <w:tcW w:w="6020" w:type="dxa"/>
            <w:vAlign w:val="bottom"/>
          </w:tcPr>
          <w:p>
            <w:pPr>
              <w:ind w:left="80"/>
              <w:spacing w:after="0"/>
              <w:rPr>
                <w:sz w:val="20"/>
                <w:szCs w:val="20"/>
                <w:color w:val="auto"/>
              </w:rPr>
            </w:pPr>
            <w:r>
              <w:rPr>
                <w:rFonts w:ascii="Arial" w:cs="Arial" w:eastAsia="Arial" w:hAnsi="Arial"/>
                <w:sz w:val="16"/>
                <w:szCs w:val="16"/>
                <w:color w:val="auto"/>
              </w:rPr>
              <w:t>Joseph S. Vassalluzzo</w:t>
            </w:r>
          </w:p>
        </w:tc>
        <w:tc>
          <w:tcPr>
            <w:tcW w:w="1200" w:type="dxa"/>
            <w:vAlign w:val="bottom"/>
          </w:tcPr>
          <w:p>
            <w:pPr>
              <w:jc w:val="right"/>
              <w:ind w:right="140"/>
              <w:spacing w:after="0"/>
              <w:rPr>
                <w:sz w:val="20"/>
                <w:szCs w:val="20"/>
                <w:color w:val="auto"/>
              </w:rPr>
            </w:pPr>
            <w:r>
              <w:rPr>
                <w:rFonts w:ascii="Arial" w:cs="Arial" w:eastAsia="Arial" w:hAnsi="Arial"/>
                <w:sz w:val="16"/>
                <w:szCs w:val="16"/>
                <w:color w:val="auto"/>
              </w:rPr>
              <w:t>22,545</w:t>
            </w:r>
          </w:p>
        </w:tc>
        <w:tc>
          <w:tcPr>
            <w:tcW w:w="1180" w:type="dxa"/>
            <w:vAlign w:val="bottom"/>
          </w:tcPr>
          <w:p>
            <w:pPr>
              <w:jc w:val="right"/>
              <w:ind w:right="141"/>
              <w:spacing w:after="0"/>
              <w:rPr>
                <w:sz w:val="20"/>
                <w:szCs w:val="20"/>
                <w:color w:val="auto"/>
              </w:rPr>
            </w:pPr>
            <w:r>
              <w:rPr>
                <w:rFonts w:ascii="Arial" w:cs="Arial" w:eastAsia="Arial" w:hAnsi="Arial"/>
                <w:sz w:val="16"/>
                <w:szCs w:val="16"/>
                <w:color w:val="auto"/>
              </w:rPr>
              <w:t>0</w:t>
            </w:r>
          </w:p>
        </w:tc>
        <w:tc>
          <w:tcPr>
            <w:tcW w:w="1340" w:type="dxa"/>
            <w:vAlign w:val="bottom"/>
          </w:tcPr>
          <w:p>
            <w:pPr>
              <w:jc w:val="right"/>
              <w:ind w:right="161"/>
              <w:spacing w:after="0"/>
              <w:rPr>
                <w:sz w:val="20"/>
                <w:szCs w:val="20"/>
                <w:color w:val="auto"/>
              </w:rPr>
            </w:pPr>
            <w:r>
              <w:rPr>
                <w:rFonts w:ascii="Arial" w:cs="Arial" w:eastAsia="Arial" w:hAnsi="Arial"/>
                <w:sz w:val="16"/>
                <w:szCs w:val="16"/>
                <w:color w:val="auto"/>
              </w:rPr>
              <w:t>22,545</w:t>
            </w:r>
          </w:p>
        </w:tc>
        <w:tc>
          <w:tcPr>
            <w:tcW w:w="1280" w:type="dxa"/>
            <w:vAlign w:val="bottom"/>
          </w:tcPr>
          <w:p>
            <w:pPr>
              <w:jc w:val="center"/>
              <w:ind w:left="62"/>
              <w:spacing w:after="0"/>
              <w:rPr>
                <w:sz w:val="20"/>
                <w:szCs w:val="20"/>
                <w:color w:val="auto"/>
              </w:rPr>
            </w:pPr>
            <w:r>
              <w:rPr>
                <w:rFonts w:ascii="Arial" w:cs="Arial" w:eastAsia="Arial" w:hAnsi="Arial"/>
                <w:sz w:val="16"/>
                <w:szCs w:val="16"/>
                <w:color w:val="auto"/>
                <w:w w:val="95"/>
              </w:rPr>
              <w:t>*</w:t>
            </w:r>
          </w:p>
        </w:tc>
      </w:tr>
      <w:tr>
        <w:trPr>
          <w:trHeight w:val="60"/>
        </w:trPr>
        <w:tc>
          <w:tcPr>
            <w:tcW w:w="6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280" w:type="dxa"/>
            <w:vAlign w:val="bottom"/>
          </w:tcPr>
          <w:p>
            <w:pPr>
              <w:spacing w:after="0"/>
              <w:rPr>
                <w:sz w:val="5"/>
                <w:szCs w:val="5"/>
                <w:color w:val="auto"/>
              </w:rPr>
            </w:pPr>
          </w:p>
        </w:tc>
      </w:tr>
      <w:tr>
        <w:trPr>
          <w:trHeight w:val="318"/>
        </w:trPr>
        <w:tc>
          <w:tcPr>
            <w:tcW w:w="6020" w:type="dxa"/>
            <w:vAlign w:val="bottom"/>
            <w:tcBorders>
              <w:bottom w:val="single" w:sz="8" w:color="D2D4D9"/>
            </w:tcBorders>
            <w:shd w:val="clear" w:color="auto" w:fill="D2D4D9"/>
          </w:tcPr>
          <w:p>
            <w:pPr>
              <w:ind w:left="80"/>
              <w:spacing w:after="0" w:line="284" w:lineRule="exact"/>
              <w:rPr>
                <w:sz w:val="20"/>
                <w:szCs w:val="20"/>
                <w:color w:val="auto"/>
              </w:rPr>
            </w:pPr>
            <w:r>
              <w:rPr>
                <w:rFonts w:ascii="Arial" w:cs="Arial" w:eastAsia="Arial" w:hAnsi="Arial"/>
                <w:sz w:val="16"/>
                <w:szCs w:val="16"/>
                <w:color w:val="auto"/>
              </w:rPr>
              <w:t>Donald C. Wood</w:t>
            </w:r>
            <w:r>
              <w:rPr>
                <w:rFonts w:ascii="Arial" w:cs="Arial" w:eastAsia="Arial" w:hAnsi="Arial"/>
                <w:sz w:val="27"/>
                <w:szCs w:val="27"/>
                <w:color w:val="auto"/>
                <w:vertAlign w:val="superscript"/>
              </w:rPr>
              <w:t>(5)</w:t>
            </w:r>
          </w:p>
        </w:tc>
        <w:tc>
          <w:tcPr>
            <w:tcW w:w="1200" w:type="dxa"/>
            <w:vAlign w:val="bottom"/>
            <w:tcBorders>
              <w:bottom w:val="single" w:sz="8" w:color="D2D4D9"/>
            </w:tcBorders>
            <w:shd w:val="clear" w:color="auto" w:fill="D2D4D9"/>
          </w:tcPr>
          <w:p>
            <w:pPr>
              <w:jc w:val="right"/>
              <w:ind w:right="140"/>
              <w:spacing w:after="0"/>
              <w:rPr>
                <w:sz w:val="20"/>
                <w:szCs w:val="20"/>
                <w:color w:val="auto"/>
              </w:rPr>
            </w:pPr>
            <w:r>
              <w:rPr>
                <w:rFonts w:ascii="Arial" w:cs="Arial" w:eastAsia="Arial" w:hAnsi="Arial"/>
                <w:sz w:val="16"/>
                <w:szCs w:val="16"/>
                <w:color w:val="auto"/>
              </w:rPr>
              <w:t>312,164</w:t>
            </w:r>
          </w:p>
        </w:tc>
        <w:tc>
          <w:tcPr>
            <w:tcW w:w="1180" w:type="dxa"/>
            <w:vAlign w:val="bottom"/>
            <w:tcBorders>
              <w:bottom w:val="single" w:sz="8" w:color="D2D4D9"/>
            </w:tcBorders>
            <w:shd w:val="clear" w:color="auto" w:fill="D2D4D9"/>
          </w:tcPr>
          <w:p>
            <w:pPr>
              <w:jc w:val="right"/>
              <w:ind w:right="141"/>
              <w:spacing w:after="0"/>
              <w:rPr>
                <w:sz w:val="20"/>
                <w:szCs w:val="20"/>
                <w:color w:val="auto"/>
              </w:rPr>
            </w:pPr>
            <w:r>
              <w:rPr>
                <w:rFonts w:ascii="Arial" w:cs="Arial" w:eastAsia="Arial" w:hAnsi="Arial"/>
                <w:sz w:val="16"/>
                <w:szCs w:val="16"/>
                <w:color w:val="auto"/>
              </w:rPr>
              <w:t>88,664</w:t>
            </w:r>
          </w:p>
        </w:tc>
        <w:tc>
          <w:tcPr>
            <w:tcW w:w="1340" w:type="dxa"/>
            <w:vAlign w:val="bottom"/>
            <w:tcBorders>
              <w:bottom w:val="single" w:sz="8" w:color="D2D4D9"/>
            </w:tcBorders>
            <w:shd w:val="clear" w:color="auto" w:fill="D2D4D9"/>
          </w:tcPr>
          <w:p>
            <w:pPr>
              <w:jc w:val="right"/>
              <w:ind w:right="161"/>
              <w:spacing w:after="0"/>
              <w:rPr>
                <w:sz w:val="20"/>
                <w:szCs w:val="20"/>
                <w:color w:val="auto"/>
              </w:rPr>
            </w:pPr>
            <w:r>
              <w:rPr>
                <w:rFonts w:ascii="Arial" w:cs="Arial" w:eastAsia="Arial" w:hAnsi="Arial"/>
                <w:sz w:val="16"/>
                <w:szCs w:val="16"/>
                <w:color w:val="auto"/>
              </w:rPr>
              <w:t>400,828</w:t>
            </w:r>
          </w:p>
        </w:tc>
        <w:tc>
          <w:tcPr>
            <w:tcW w:w="1280" w:type="dxa"/>
            <w:vAlign w:val="bottom"/>
            <w:tcBorders>
              <w:bottom w:val="single" w:sz="8" w:color="D2D4D9"/>
            </w:tcBorders>
            <w:shd w:val="clear" w:color="auto" w:fill="D2D4D9"/>
          </w:tcPr>
          <w:p>
            <w:pPr>
              <w:jc w:val="center"/>
              <w:ind w:left="62"/>
              <w:spacing w:after="0"/>
              <w:rPr>
                <w:sz w:val="20"/>
                <w:szCs w:val="20"/>
                <w:color w:val="auto"/>
              </w:rPr>
            </w:pPr>
            <w:r>
              <w:rPr>
                <w:rFonts w:ascii="Arial" w:cs="Arial" w:eastAsia="Arial" w:hAnsi="Arial"/>
                <w:sz w:val="16"/>
                <w:szCs w:val="16"/>
                <w:color w:val="auto"/>
                <w:w w:val="95"/>
              </w:rPr>
              <w:t>*</w:t>
            </w:r>
          </w:p>
        </w:tc>
      </w:tr>
      <w:tr>
        <w:trPr>
          <w:trHeight w:val="278"/>
        </w:trPr>
        <w:tc>
          <w:tcPr>
            <w:tcW w:w="6020" w:type="dxa"/>
            <w:vAlign w:val="bottom"/>
          </w:tcPr>
          <w:p>
            <w:pPr>
              <w:ind w:left="80"/>
              <w:spacing w:after="0"/>
              <w:rPr>
                <w:sz w:val="20"/>
                <w:szCs w:val="20"/>
                <w:color w:val="auto"/>
              </w:rPr>
            </w:pPr>
            <w:r>
              <w:rPr>
                <w:rFonts w:ascii="Arial" w:cs="Arial" w:eastAsia="Arial" w:hAnsi="Arial"/>
                <w:sz w:val="16"/>
                <w:szCs w:val="16"/>
                <w:color w:val="auto"/>
              </w:rPr>
              <w:t>Trustees, trustee nominees and executive officers as a group (10 individuals)</w:t>
            </w:r>
          </w:p>
        </w:tc>
        <w:tc>
          <w:tcPr>
            <w:tcW w:w="1200" w:type="dxa"/>
            <w:vAlign w:val="bottom"/>
          </w:tcPr>
          <w:p>
            <w:pPr>
              <w:jc w:val="right"/>
              <w:ind w:right="140"/>
              <w:spacing w:after="0"/>
              <w:rPr>
                <w:sz w:val="20"/>
                <w:szCs w:val="20"/>
                <w:color w:val="auto"/>
              </w:rPr>
            </w:pPr>
            <w:r>
              <w:rPr>
                <w:rFonts w:ascii="Arial" w:cs="Arial" w:eastAsia="Arial" w:hAnsi="Arial"/>
                <w:sz w:val="16"/>
                <w:szCs w:val="16"/>
                <w:color w:val="auto"/>
              </w:rPr>
              <w:t>503,900</w:t>
            </w:r>
          </w:p>
        </w:tc>
        <w:tc>
          <w:tcPr>
            <w:tcW w:w="1180" w:type="dxa"/>
            <w:vAlign w:val="bottom"/>
          </w:tcPr>
          <w:p>
            <w:pPr>
              <w:jc w:val="right"/>
              <w:ind w:right="141"/>
              <w:spacing w:after="0"/>
              <w:rPr>
                <w:sz w:val="20"/>
                <w:szCs w:val="20"/>
                <w:color w:val="auto"/>
              </w:rPr>
            </w:pPr>
            <w:r>
              <w:rPr>
                <w:rFonts w:ascii="Arial" w:cs="Arial" w:eastAsia="Arial" w:hAnsi="Arial"/>
                <w:sz w:val="16"/>
                <w:szCs w:val="16"/>
                <w:color w:val="auto"/>
              </w:rPr>
              <w:t>118,870</w:t>
            </w:r>
          </w:p>
        </w:tc>
        <w:tc>
          <w:tcPr>
            <w:tcW w:w="1340" w:type="dxa"/>
            <w:vAlign w:val="bottom"/>
          </w:tcPr>
          <w:p>
            <w:pPr>
              <w:jc w:val="right"/>
              <w:ind w:right="161"/>
              <w:spacing w:after="0"/>
              <w:rPr>
                <w:sz w:val="20"/>
                <w:szCs w:val="20"/>
                <w:color w:val="auto"/>
              </w:rPr>
            </w:pPr>
            <w:r>
              <w:rPr>
                <w:rFonts w:ascii="Arial" w:cs="Arial" w:eastAsia="Arial" w:hAnsi="Arial"/>
                <w:sz w:val="16"/>
                <w:szCs w:val="16"/>
                <w:color w:val="auto"/>
              </w:rPr>
              <w:t>622,770</w:t>
            </w:r>
          </w:p>
        </w:tc>
        <w:tc>
          <w:tcPr>
            <w:tcW w:w="1280" w:type="dxa"/>
            <w:vAlign w:val="bottom"/>
          </w:tcPr>
          <w:p>
            <w:pPr>
              <w:jc w:val="center"/>
              <w:ind w:left="62"/>
              <w:spacing w:after="0"/>
              <w:rPr>
                <w:sz w:val="20"/>
                <w:szCs w:val="20"/>
                <w:color w:val="auto"/>
              </w:rPr>
            </w:pPr>
            <w:r>
              <w:rPr>
                <w:rFonts w:ascii="Arial" w:cs="Arial" w:eastAsia="Arial" w:hAnsi="Arial"/>
                <w:sz w:val="16"/>
                <w:szCs w:val="16"/>
                <w:color w:val="auto"/>
                <w:w w:val="95"/>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123825</wp:posOffset>
            </wp:positionV>
            <wp:extent cx="69469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10" w:lineRule="exact"/>
        <w:rPr>
          <w:sz w:val="20"/>
          <w:szCs w:val="20"/>
          <w:color w:val="auto"/>
        </w:rPr>
      </w:pPr>
    </w:p>
    <w:p>
      <w:pPr>
        <w:ind w:left="520" w:hanging="316"/>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Less than 1%</w:t>
      </w:r>
    </w:p>
    <w:p>
      <w:pPr>
        <w:ind w:left="640" w:hanging="436"/>
        <w:spacing w:after="0" w:line="234" w:lineRule="auto"/>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address of each beneficial owner is 1626 East Jefferson Street, Rockville, MD 20852.</w:t>
      </w:r>
    </w:p>
    <w:p>
      <w:pPr>
        <w:ind w:left="640" w:right="20" w:hanging="436"/>
        <w:spacing w:after="0" w:line="234" w:lineRule="auto"/>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percentage of outstanding Shares owned is calculated by taking the number of Shares reflected in the column titled “Total Shares Beneficially Owned” divided by 74,607,212, the total number of Shares outstanding on March 14, 2019.</w:t>
      </w:r>
    </w:p>
    <w:p>
      <w:pPr>
        <w:spacing w:after="0" w:line="1" w:lineRule="exact"/>
        <w:rPr>
          <w:rFonts w:ascii="Arial" w:cs="Arial" w:eastAsia="Arial" w:hAnsi="Arial"/>
          <w:sz w:val="18"/>
          <w:szCs w:val="18"/>
          <w:color w:val="auto"/>
        </w:rPr>
      </w:pPr>
    </w:p>
    <w:p>
      <w:pPr>
        <w:ind w:left="640" w:hanging="436"/>
        <w:spacing w:after="0" w:line="234" w:lineRule="auto"/>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Voting and investment power is shared with Mr. Bortz’ wife.</w:t>
      </w:r>
    </w:p>
    <w:p>
      <w:pPr>
        <w:ind w:left="640" w:hanging="436"/>
        <w:spacing w:after="0" w:line="234" w:lineRule="auto"/>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Mr. Ordan first joined the Board on February 1, 2019.</w:t>
      </w:r>
    </w:p>
    <w:p>
      <w:pPr>
        <w:ind w:left="640" w:hanging="43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53,879 Shares owned by Mr. Wood’s wife.</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SECTION 16(a) BENEFICIAL OWNERSHIP REPORTING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8" w:lineRule="exact"/>
        <w:rPr>
          <w:sz w:val="20"/>
          <w:szCs w:val="20"/>
          <w:color w:val="auto"/>
        </w:rPr>
      </w:pPr>
    </w:p>
    <w:p>
      <w:pPr>
        <w:jc w:val="both"/>
        <w:ind w:left="200" w:right="20"/>
        <w:spacing w:after="0" w:line="239" w:lineRule="auto"/>
        <w:rPr>
          <w:sz w:val="20"/>
          <w:szCs w:val="20"/>
          <w:color w:val="auto"/>
        </w:rPr>
      </w:pPr>
      <w:r>
        <w:rPr>
          <w:rFonts w:ascii="Arial" w:cs="Arial" w:eastAsia="Arial" w:hAnsi="Arial"/>
          <w:sz w:val="18"/>
          <w:szCs w:val="18"/>
          <w:color w:val="auto"/>
        </w:rPr>
        <w:t>Our Trustees, executive officers and any persons who beneficially own more than 10% of our Shares are required by Section 16(a) of the Exchange Act to file reports of initial ownership and changes of ownership of our Shares with the SEC and with the NYSE. To our best knowledge, based solely on review of copies of such reports furnished to us and written representations that no other reports were required, the required filings of all such Trustees and executive officers were filed timely during 2018.</w:t>
      </w:r>
    </w:p>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240" w:top="459" w:right="4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3517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97700" cy="351790"/>
                    </a:xfrm>
                    <a:prstGeom prst="rect">
                      <a:avLst/>
                    </a:prstGeom>
                    <a:noFill/>
                  </pic:spPr>
                </pic:pic>
              </a:graphicData>
            </a:graphic>
          </wp:anchor>
        </w:drawing>
      </w:r>
    </w:p>
    <w:p>
      <w:pPr>
        <w:spacing w:after="0" w:line="385" w:lineRule="exact"/>
        <w:rPr>
          <w:sz w:val="20"/>
          <w:szCs w:val="20"/>
          <w:color w:val="auto"/>
        </w:rPr>
      </w:pPr>
    </w:p>
    <w:p>
      <w:pPr>
        <w:ind w:left="280"/>
        <w:spacing w:after="0"/>
        <w:rPr>
          <w:sz w:val="20"/>
          <w:szCs w:val="20"/>
          <w:color w:val="auto"/>
        </w:rPr>
      </w:pPr>
      <w:r>
        <w:rPr>
          <w:rFonts w:ascii="Arial" w:cs="Arial" w:eastAsia="Arial" w:hAnsi="Arial"/>
          <w:sz w:val="29"/>
          <w:szCs w:val="29"/>
          <w:b w:val="1"/>
          <w:bCs w:val="1"/>
          <w:color w:val="FFFFFF"/>
        </w:rPr>
        <w:t>GENERAL INFORMATION</w:t>
      </w:r>
    </w:p>
    <w:p>
      <w:pPr>
        <w:spacing w:after="0" w:line="32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Annual Meeting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8" w:lineRule="exact"/>
        <w:rPr>
          <w:sz w:val="20"/>
          <w:szCs w:val="20"/>
          <w:color w:val="auto"/>
        </w:rPr>
      </w:pPr>
    </w:p>
    <w:p>
      <w:pPr>
        <w:jc w:val="both"/>
        <w:ind w:left="200"/>
        <w:spacing w:after="0" w:line="238" w:lineRule="auto"/>
        <w:rPr>
          <w:sz w:val="20"/>
          <w:szCs w:val="20"/>
          <w:color w:val="auto"/>
        </w:rPr>
      </w:pPr>
      <w:r>
        <w:rPr>
          <w:rFonts w:ascii="Arial" w:cs="Arial" w:eastAsia="Arial" w:hAnsi="Arial"/>
          <w:sz w:val="18"/>
          <w:szCs w:val="18"/>
          <w:color w:val="auto"/>
        </w:rPr>
        <w:t>You are receiving these materials because you owned our Shares as of March 14, 2019, the record date established by our Board of Trustees for our Annual Meeting. Everyone who owned our Shares as of this date, whether directly as a registered shareholder or indirectly through a broker or other nominee, is entitled to vote at the Annual Meeting. We had 74,607,212 Shares outstanding on March 14, 2019. A majority of the Shares entitled to vote at the Annual Meeting must be present in person or by proxy for us to proceed with the Annual Meeting.</w:t>
      </w:r>
    </w:p>
    <w:p>
      <w:pPr>
        <w:spacing w:after="0" w:line="162" w:lineRule="exact"/>
        <w:rPr>
          <w:sz w:val="20"/>
          <w:szCs w:val="20"/>
          <w:color w:val="auto"/>
        </w:rPr>
      </w:pPr>
    </w:p>
    <w:p>
      <w:pPr>
        <w:jc w:val="both"/>
        <w:ind w:left="200"/>
        <w:spacing w:after="0" w:line="246" w:lineRule="auto"/>
        <w:rPr>
          <w:sz w:val="20"/>
          <w:szCs w:val="20"/>
          <w:color w:val="auto"/>
        </w:rPr>
      </w:pPr>
      <w:r>
        <w:rPr>
          <w:rFonts w:ascii="Arial" w:cs="Arial" w:eastAsia="Arial" w:hAnsi="Arial"/>
          <w:sz w:val="18"/>
          <w:szCs w:val="18"/>
          <w:color w:val="auto"/>
        </w:rPr>
        <w:t>If you own your Shares directly with our transfer agent, American Stock Transfer and Trust, LLC, you are a registered shareholder and can vote either in person at the Annual Meeting or by proxy without attending the Annual Meeting through one of the following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202565</wp:posOffset>
            </wp:positionV>
            <wp:extent cx="531495" cy="5746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31495" cy="574675"/>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151130</wp:posOffset>
            </wp:positionV>
            <wp:extent cx="643255" cy="6261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43255" cy="626110"/>
                    </a:xfrm>
                    <a:prstGeom prst="rect">
                      <a:avLst/>
                    </a:prstGeom>
                    <a:noFill/>
                  </pic:spPr>
                </pic:pic>
              </a:graphicData>
            </a:graphic>
          </wp:anchor>
        </w:drawing>
        <w:drawing>
          <wp:anchor simplePos="0" relativeHeight="251657728" behindDoc="1" locked="0" layoutInCell="0" allowOverlap="1">
            <wp:simplePos x="0" y="0"/>
            <wp:positionH relativeFrom="column">
              <wp:posOffset>5734050</wp:posOffset>
            </wp:positionH>
            <wp:positionV relativeFrom="paragraph">
              <wp:posOffset>142875</wp:posOffset>
            </wp:positionV>
            <wp:extent cx="480060" cy="6343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80060" cy="63436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left="200"/>
        <w:spacing w:after="0" w:line="247" w:lineRule="auto"/>
        <w:rPr>
          <w:sz w:val="20"/>
          <w:szCs w:val="20"/>
          <w:color w:val="auto"/>
        </w:rPr>
      </w:pPr>
      <w:r>
        <w:rPr>
          <w:rFonts w:ascii="Arial" w:cs="Arial" w:eastAsia="Arial" w:hAnsi="Arial"/>
          <w:sz w:val="14"/>
          <w:szCs w:val="14"/>
          <w:color w:val="auto"/>
        </w:rPr>
        <w:t xml:space="preserve">Visit </w:t>
      </w:r>
      <w:r>
        <w:rPr>
          <w:rFonts w:ascii="Arial" w:cs="Arial" w:eastAsia="Arial" w:hAnsi="Arial"/>
          <w:sz w:val="14"/>
          <w:szCs w:val="14"/>
          <w:u w:val="single" w:color="auto"/>
          <w:color w:val="auto"/>
        </w:rPr>
        <w:t>www.voteproxy.com</w:t>
      </w:r>
      <w:r>
        <w:rPr>
          <w:rFonts w:ascii="Arial" w:cs="Arial" w:eastAsia="Arial" w:hAnsi="Arial"/>
          <w:sz w:val="14"/>
          <w:szCs w:val="14"/>
          <w:color w:val="auto"/>
        </w:rPr>
        <w:t>. You will need the control number on your Notice of Internet Availability, proxy card or voting instruction form. Votes must be submitted by 11:59 pm EDT on April 30, 2019 to be counted for the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45" w:lineRule="auto"/>
        <w:rPr>
          <w:sz w:val="20"/>
          <w:szCs w:val="20"/>
          <w:color w:val="auto"/>
        </w:rPr>
      </w:pPr>
      <w:r>
        <w:rPr>
          <w:rFonts w:ascii="Arial" w:cs="Arial" w:eastAsia="Arial" w:hAnsi="Arial"/>
          <w:sz w:val="14"/>
          <w:szCs w:val="14"/>
          <w:color w:val="auto"/>
        </w:rPr>
        <w:t>Call 1-800-Proxies (1-800-776-9437). You will need the control number on your Notice of Internet Availability, proxy card or voting instruction form. Votes must be submitted by 11:59 pm EDT on April 30, 2019 to be counted for the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You can vote my marking, signing and dating your proxy card.</w:t>
      </w:r>
    </w:p>
    <w:p>
      <w:pPr>
        <w:spacing w:after="0" w:line="634" w:lineRule="exact"/>
        <w:rPr>
          <w:sz w:val="20"/>
          <w:szCs w:val="20"/>
          <w:color w:val="auto"/>
        </w:rPr>
      </w:pPr>
    </w:p>
    <w:p>
      <w:pPr>
        <w:sectPr>
          <w:pgSz w:w="11900" w:h="16838" w:orient="portrait"/>
          <w:cols w:equalWidth="0" w:num="3">
            <w:col w:w="4060" w:space="120"/>
            <w:col w:w="3300" w:space="120"/>
            <w:col w:w="3620"/>
          </w:cols>
          <w:pgMar w:left="240" w:top="459" w:right="439" w:bottom="1440" w:gutter="0" w:footer="0" w:header="0"/>
          <w:type w:val="continuous"/>
        </w:sectPr>
      </w:pPr>
    </w:p>
    <w:p>
      <w:pPr>
        <w:jc w:val="both"/>
        <w:ind w:left="200"/>
        <w:spacing w:after="0" w:line="236" w:lineRule="auto"/>
        <w:rPr>
          <w:sz w:val="20"/>
          <w:szCs w:val="20"/>
          <w:color w:val="auto"/>
        </w:rPr>
      </w:pPr>
      <w:r>
        <w:rPr>
          <w:rFonts w:ascii="Arial" w:cs="Arial" w:eastAsia="Arial" w:hAnsi="Arial"/>
          <w:sz w:val="18"/>
          <w:szCs w:val="18"/>
          <w:color w:val="auto"/>
        </w:rPr>
        <w:t>For those of you holding your Shares indirectly in an account at a bank, brokerage firm, broker-dealer or nominee, you are a beneficial owner of Shares held in “street name”. You will receive all proxy materials directly from your bank, brokerage firm, broker-dealer or nominee and you must either direct them as to how to vote your Shares or obtain from them a proxy to vote at the Annual Meeting. Please refer to the notice of internet availability of proxy materials or the voter instruction form used by your bank, brokerage firm, broker-dealer or nominee for specific instructions on methods of voting. If you fail to give your bank, brokerage firm, broker-dealer or nominee specific instructions on how to vote your Shares with respect to Items 1 and 2, your vote will NOT be counted for those matters. It is important for every shareholder’s vote to be counted on these matters so we encourage you to provide your bank, brokerage firm, broker-dealer or nominee with voting instructions. If you fail to give your bank, brokerage firm, broker-dealer or nominee specific instructions on how to vote your Shares on Item 3, your bank, brokerage firm, broker-dealer or nominee will generally be able to vote on Item 3 as he, she or it determines.</w:t>
      </w:r>
    </w:p>
    <w:p>
      <w:pPr>
        <w:spacing w:after="0" w:line="180"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If you do not vote your Shares, your Shares will not be counted and we may not be able to hold the Annual Meeting. We encourage you to vote by proxy using one of the methods described above even if you plan to attend the Annual Meeting in person so that we will know as soon as possible whether enough votes will be present.</w:t>
      </w:r>
    </w:p>
    <w:p>
      <w:pPr>
        <w:spacing w:after="0" w:line="162" w:lineRule="exact"/>
        <w:rPr>
          <w:sz w:val="20"/>
          <w:szCs w:val="20"/>
          <w:color w:val="auto"/>
        </w:rPr>
      </w:pPr>
    </w:p>
    <w:p>
      <w:pPr>
        <w:jc w:val="both"/>
        <w:ind w:left="200"/>
        <w:spacing w:after="0" w:line="238" w:lineRule="auto"/>
        <w:rPr>
          <w:sz w:val="20"/>
          <w:szCs w:val="20"/>
          <w:color w:val="auto"/>
        </w:rPr>
      </w:pPr>
      <w:r>
        <w:rPr>
          <w:rFonts w:ascii="Arial" w:cs="Arial" w:eastAsia="Arial" w:hAnsi="Arial"/>
          <w:sz w:val="18"/>
          <w:szCs w:val="18"/>
          <w:color w:val="auto"/>
        </w:rPr>
        <w:t xml:space="preserve">Shareholders can access this Proxy Statement, our Annual Report and our other filings with the SEC on the Investors page of our website at </w:t>
      </w:r>
      <w:r>
        <w:rPr>
          <w:rFonts w:ascii="Arial" w:cs="Arial" w:eastAsia="Arial" w:hAnsi="Arial"/>
          <w:sz w:val="18"/>
          <w:szCs w:val="18"/>
          <w:u w:val="single" w:color="auto"/>
          <w:color w:val="auto"/>
        </w:rPr>
        <w:t>www.federalrealty.com</w:t>
      </w:r>
      <w:r>
        <w:rPr>
          <w:rFonts w:ascii="Arial" w:cs="Arial" w:eastAsia="Arial" w:hAnsi="Arial"/>
          <w:sz w:val="18"/>
          <w:szCs w:val="18"/>
          <w:color w:val="auto"/>
        </w:rPr>
        <w:t>. A copy of our Annual Report, including the financial statements and financial statement schedules (“Form 10-K”) is being provided to shareholders along with this Proxy Statement. The Form 10-K includes certain exhibits, which we will provide to you only upon request addressed to Investor Relations at 1626 East Jefferson Street, Rockville, Maryland 20852. The request must be accompanied by payment of a fee to cover our reasonable expenses for copying and mailing the Form 10-K.</w:t>
      </w:r>
    </w:p>
    <w:p>
      <w:pPr>
        <w:spacing w:after="0" w:line="162" w:lineRule="exact"/>
        <w:rPr>
          <w:sz w:val="20"/>
          <w:szCs w:val="20"/>
          <w:color w:val="auto"/>
        </w:rPr>
      </w:pPr>
    </w:p>
    <w:p>
      <w:pPr>
        <w:jc w:val="both"/>
        <w:ind w:left="200"/>
        <w:spacing w:after="0" w:line="239" w:lineRule="auto"/>
        <w:rPr>
          <w:sz w:val="20"/>
          <w:szCs w:val="20"/>
          <w:color w:val="auto"/>
        </w:rPr>
      </w:pPr>
      <w:r>
        <w:rPr>
          <w:rFonts w:ascii="Arial" w:cs="Arial" w:eastAsia="Arial" w:hAnsi="Arial"/>
          <w:sz w:val="18"/>
          <w:szCs w:val="18"/>
          <w:color w:val="auto"/>
        </w:rPr>
        <w:t>In the future, if you wish to receive paper copies of our proxy materials, without charge, and are a registered shareholder, you may do so by written request addressed to American Stock Transfer and Trust, LLC. For those of you holding Shares indirectly in “street name”, you must write your bank, brokerage firm, broker-dealer or nominee, to obtain paper copies. Any election you make on how to receive your proxy materials will remain in effect for all future annual meetings until you revoke it.</w:t>
      </w:r>
    </w:p>
    <w:p>
      <w:pPr>
        <w:spacing w:after="0" w:line="175"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The SEC’s rules permit us to deliver a single Notice or single set of Annual Meeting materials to one address shared by two or more of our shareholders unless we have received contrary instructions from shareholders. This procedure, referred to as “householding”, reduces the volume of duplicate information shareholders receive and can result in significant savings on</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240" w:top="459" w:right="439"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spacing w:after="0" w:line="237" w:lineRule="auto"/>
        <w:rPr>
          <w:sz w:val="20"/>
          <w:szCs w:val="20"/>
          <w:color w:val="auto"/>
        </w:rPr>
      </w:pPr>
      <w:r>
        <w:rPr>
          <w:rFonts w:ascii="Arial" w:cs="Arial" w:eastAsia="Arial" w:hAnsi="Arial"/>
          <w:sz w:val="18"/>
          <w:szCs w:val="18"/>
          <w:color w:val="auto"/>
        </w:rPr>
        <w:t>mailing and printing costs. To take advantage of this opportunity, only one Notice, Proxy Statement and Annual Report is being delivered to multiple shareholders who share a single address, unless any shareholder residing at that address gave contrary instructions. If any shareholder sharing an address with another shareholder wants to receive a separate copy of this Proxy Statement and the Annual Report or wishes to receive a separate proxy statement and annual report in the future, or receives multiple copies of the proxy statement and Annual Report and wishes to receive a single copy, the shareholder should provide such instructions by calling our Investor Relations Department at (800) 937-5449, by writing to Investor Relations at 1626 East Jefferson Street, Rockville, Maryland 20852, or by sending an e-mail to Investor Relations at IR@federalrealty.com.</w:t>
      </w:r>
    </w:p>
    <w:p>
      <w:pPr>
        <w:spacing w:after="0" w:line="203" w:lineRule="exact"/>
        <w:rPr>
          <w:sz w:val="20"/>
          <w:szCs w:val="20"/>
          <w:color w:val="auto"/>
        </w:rPr>
      </w:pPr>
    </w:p>
    <w:p>
      <w:pPr>
        <w:jc w:val="both"/>
        <w:ind w:left="200"/>
        <w:spacing w:after="0" w:line="246" w:lineRule="auto"/>
        <w:rPr>
          <w:sz w:val="20"/>
          <w:szCs w:val="20"/>
          <w:color w:val="auto"/>
        </w:rPr>
      </w:pPr>
      <w:r>
        <w:rPr>
          <w:rFonts w:ascii="Arial" w:cs="Arial" w:eastAsia="Arial" w:hAnsi="Arial"/>
          <w:sz w:val="18"/>
          <w:szCs w:val="18"/>
          <w:color w:val="auto"/>
        </w:rPr>
        <w:t>Questions regarding the Notice or voting should be directed to our Investor Relations Department at (800) 937-5449 or by email at IR@federalrealty.com.</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SOLICITATION OF PROXIES, SHAREHOLDER PROPOSALS AND 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8" w:lineRule="exact"/>
        <w:rPr>
          <w:sz w:val="20"/>
          <w:szCs w:val="20"/>
          <w:color w:val="auto"/>
        </w:rPr>
      </w:pPr>
    </w:p>
    <w:p>
      <w:pPr>
        <w:jc w:val="both"/>
        <w:ind w:left="200"/>
        <w:spacing w:after="0" w:line="237" w:lineRule="auto"/>
        <w:rPr>
          <w:sz w:val="20"/>
          <w:szCs w:val="20"/>
          <w:color w:val="auto"/>
        </w:rPr>
      </w:pPr>
      <w:r>
        <w:rPr>
          <w:rFonts w:ascii="Arial" w:cs="Arial" w:eastAsia="Arial" w:hAnsi="Arial"/>
          <w:sz w:val="18"/>
          <w:szCs w:val="18"/>
          <w:color w:val="auto"/>
        </w:rPr>
        <w:t>The Board of Trustees is soliciting your proxy to vote on matters that will be presented at our Annual Meeting and the cost of this solicitation of proxies will be borne by us. We may solicit proxies through the mail, Internet, in person and by telephone or facsimile, and may request brokerage houses and other custodians, nominees and fiduciaries to forward soliciting materials to the beneficial owners of Shares and reimburse them for their reasonable expenses. We may also hire a proxy solicitation firm at a standard industry compensation rate. The Trustees know of no other business to be presented at the Annual Meeting. If other matters properly come before the meeting, the persons named as proxies will vote on them in their discretion.</w:t>
      </w:r>
    </w:p>
    <w:p>
      <w:pPr>
        <w:spacing w:after="0" w:line="165"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Proposals of shareholders intended to be presented at the 2020 Annual Meeting of Shareholders, including nominations for persons for election to the Board of Trustees, must be received by us no later than November 23, 2019 to be considered for inclusion in our proxy statement and form of proxy relating to such meeting.</w:t>
      </w:r>
    </w:p>
    <w:p>
      <w:pPr>
        <w:spacing w:after="0" w:line="162" w:lineRule="exact"/>
        <w:rPr>
          <w:sz w:val="20"/>
          <w:szCs w:val="20"/>
          <w:color w:val="auto"/>
        </w:rPr>
      </w:pPr>
    </w:p>
    <w:p>
      <w:pPr>
        <w:jc w:val="both"/>
        <w:ind w:left="200"/>
        <w:spacing w:after="0" w:line="239" w:lineRule="auto"/>
        <w:rPr>
          <w:sz w:val="20"/>
          <w:szCs w:val="20"/>
          <w:color w:val="auto"/>
        </w:rPr>
      </w:pPr>
      <w:r>
        <w:rPr>
          <w:rFonts w:ascii="Arial" w:cs="Arial" w:eastAsia="Arial" w:hAnsi="Arial"/>
          <w:sz w:val="18"/>
          <w:szCs w:val="18"/>
          <w:color w:val="auto"/>
        </w:rPr>
        <w:t>You are urged to vote either by telephone (1-800-PROXIES or 1-800-776-9437) or on the Internet (</w:t>
      </w:r>
      <w:r>
        <w:rPr>
          <w:rFonts w:ascii="Arial" w:cs="Arial" w:eastAsia="Arial" w:hAnsi="Arial"/>
          <w:sz w:val="18"/>
          <w:szCs w:val="18"/>
          <w:u w:val="single" w:color="auto"/>
          <w:color w:val="auto"/>
        </w:rPr>
        <w:t>www.voteproxy.com</w:t>
      </w:r>
      <w:r>
        <w:rPr>
          <w:rFonts w:ascii="Arial" w:cs="Arial" w:eastAsia="Arial" w:hAnsi="Arial"/>
          <w:sz w:val="18"/>
          <w:szCs w:val="18"/>
          <w:color w:val="auto"/>
        </w:rPr>
        <w:t>) by following the instructions on your Notice. For those of you who have elected email delivery, please follow the instructions for voting provided in the email. If you elect to receive your proxy materials by mail, please make sure to complete, sign, date and return your proxy card promptly to make certain your Shares will be voted at the Annual Meeting.</w:t>
      </w:r>
    </w:p>
    <w:p>
      <w:pPr>
        <w:spacing w:after="0" w:line="22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For the Trustees,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-1905</wp:posOffset>
            </wp:positionV>
            <wp:extent cx="2212340" cy="6515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21234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Dawn M. Becker</w:t>
      </w:r>
    </w:p>
    <w:p>
      <w:pPr>
        <w:ind w:left="6820"/>
        <w:spacing w:after="0" w:line="234" w:lineRule="auto"/>
        <w:rPr>
          <w:sz w:val="20"/>
          <w:szCs w:val="20"/>
          <w:color w:val="auto"/>
        </w:rPr>
      </w:pPr>
      <w:r>
        <w:rPr>
          <w:rFonts w:ascii="Arial" w:cs="Arial" w:eastAsia="Arial" w:hAnsi="Arial"/>
          <w:sz w:val="18"/>
          <w:szCs w:val="18"/>
          <w:i w:val="1"/>
          <w:iCs w:val="1"/>
          <w:color w:val="auto"/>
        </w:rPr>
        <w:t>Executive Vice President – General</w:t>
      </w:r>
    </w:p>
    <w:p>
      <w:pPr>
        <w:spacing w:after="0" w:line="1" w:lineRule="exact"/>
        <w:rPr>
          <w:sz w:val="20"/>
          <w:szCs w:val="20"/>
          <w:color w:val="auto"/>
        </w:rPr>
      </w:pPr>
    </w:p>
    <w:p>
      <w:pPr>
        <w:ind w:left="6820"/>
        <w:spacing w:after="0"/>
        <w:rPr>
          <w:sz w:val="20"/>
          <w:szCs w:val="20"/>
          <w:color w:val="auto"/>
        </w:rPr>
      </w:pPr>
      <w:r>
        <w:rPr>
          <w:rFonts w:ascii="Arial" w:cs="Arial" w:eastAsia="Arial" w:hAnsi="Arial"/>
          <w:sz w:val="18"/>
          <w:szCs w:val="18"/>
          <w:i w:val="1"/>
          <w:iCs w:val="1"/>
          <w:color w:val="auto"/>
        </w:rPr>
        <w:t>Counsel and Secretary</w:t>
      </w:r>
    </w:p>
    <w:p>
      <w:pPr>
        <w:spacing w:after="0" w:line="19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YOUR PROXY IS IMPORTANT REGARDLESS OF THE NUMBER OF SHARES YOU OWN.</w:t>
      </w:r>
    </w:p>
    <w:p>
      <w:pPr>
        <w:spacing w:after="0" w:line="1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PLEASE SUBMIT IT TODAY.</w:t>
      </w:r>
    </w:p>
    <w:p>
      <w:pPr>
        <w:spacing w:after="0" w:line="14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24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3517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997700" cy="351790"/>
                    </a:xfrm>
                    <a:prstGeom prst="rect">
                      <a:avLst/>
                    </a:prstGeom>
                    <a:noFill/>
                  </pic:spPr>
                </pic:pic>
              </a:graphicData>
            </a:graphic>
          </wp:anchor>
        </w:drawing>
      </w:r>
    </w:p>
    <w:p>
      <w:pPr>
        <w:spacing w:after="0" w:line="385" w:lineRule="exact"/>
        <w:rPr>
          <w:sz w:val="20"/>
          <w:szCs w:val="20"/>
          <w:color w:val="auto"/>
        </w:rPr>
      </w:pPr>
    </w:p>
    <w:p>
      <w:pPr>
        <w:ind w:left="280"/>
        <w:spacing w:after="0"/>
        <w:rPr>
          <w:sz w:val="20"/>
          <w:szCs w:val="20"/>
          <w:color w:val="auto"/>
        </w:rPr>
      </w:pPr>
      <w:r>
        <w:rPr>
          <w:rFonts w:ascii="Arial" w:cs="Arial" w:eastAsia="Arial" w:hAnsi="Arial"/>
          <w:sz w:val="29"/>
          <w:szCs w:val="29"/>
          <w:b w:val="1"/>
          <w:bCs w:val="1"/>
          <w:color w:val="FFFFFF"/>
        </w:rPr>
        <w:t>APPENDIX A – FUNDS FROM OPERATIONS</w:t>
      </w:r>
    </w:p>
    <w:p>
      <w:pPr>
        <w:spacing w:after="0" w:line="327" w:lineRule="exact"/>
        <w:rPr>
          <w:sz w:val="20"/>
          <w:szCs w:val="20"/>
          <w:color w:val="auto"/>
        </w:rPr>
      </w:pPr>
    </w:p>
    <w:p>
      <w:pPr>
        <w:jc w:val="both"/>
        <w:ind w:left="200" w:right="20"/>
        <w:spacing w:after="0" w:line="236" w:lineRule="auto"/>
        <w:rPr>
          <w:sz w:val="20"/>
          <w:szCs w:val="20"/>
          <w:color w:val="auto"/>
        </w:rPr>
      </w:pPr>
      <w:r>
        <w:rPr>
          <w:rFonts w:ascii="Arial" w:cs="Arial" w:eastAsia="Arial" w:hAnsi="Arial"/>
          <w:sz w:val="18"/>
          <w:szCs w:val="18"/>
          <w:color w:val="auto"/>
        </w:rPr>
        <w:t>The National Association of Real Estate Investment Trusts (“NAREIT”) defines FFO as follows: net income, computed in accordance with U.S. GAAP, plus real estate related depreciation and amortization and excluding extraordinary items and gains and losses on the sale of real estate, and impairment write-downs of depreciable real estate. We compute FFO in accordance with the NAREIT definition, and we have historically reported our FFO available for common shareholders in addition to our net income and net cash provided by operating activities. 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w:t>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reconciliation of net income to FFO available for common shareholders is as follows:</w:t>
      </w: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175"/>
        </w:trPr>
        <w:tc>
          <w:tcPr>
            <w:tcW w:w="9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1F2A44"/>
              </w:rPr>
              <w:t>2018</w:t>
            </w:r>
          </w:p>
        </w:tc>
        <w:tc>
          <w:tcPr>
            <w:tcW w:w="140" w:type="dxa"/>
            <w:vAlign w:val="bottom"/>
          </w:tcPr>
          <w:p>
            <w:pPr>
              <w:spacing w:after="0"/>
              <w:rPr>
                <w:sz w:val="15"/>
                <w:szCs w:val="15"/>
                <w:color w:val="auto"/>
              </w:rPr>
            </w:pPr>
          </w:p>
        </w:tc>
      </w:tr>
      <w:tr>
        <w:trPr>
          <w:trHeight w:val="216"/>
        </w:trPr>
        <w:tc>
          <w:tcPr>
            <w:tcW w:w="9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6"/>
                <w:szCs w:val="16"/>
                <w:b w:val="1"/>
                <w:bCs w:val="1"/>
                <w:color w:val="1F2A44"/>
                <w:w w:val="99"/>
              </w:rPr>
              <w:t>(In thousands)</w:t>
            </w:r>
          </w:p>
        </w:tc>
        <w:tc>
          <w:tcPr>
            <w:tcW w:w="140" w:type="dxa"/>
            <w:vAlign w:val="bottom"/>
          </w:tcPr>
          <w:p>
            <w:pPr>
              <w:spacing w:after="0"/>
              <w:rPr>
                <w:sz w:val="18"/>
                <w:szCs w:val="18"/>
                <w:color w:val="auto"/>
              </w:rPr>
            </w:pPr>
          </w:p>
        </w:tc>
      </w:tr>
      <w:tr>
        <w:trPr>
          <w:trHeight w:val="271"/>
        </w:trPr>
        <w:tc>
          <w:tcPr>
            <w:tcW w:w="9140" w:type="dxa"/>
            <w:vAlign w:val="bottom"/>
            <w:tcBorders>
              <w:bottom w:val="single" w:sz="8" w:color="D2D4D9"/>
            </w:tcBorders>
            <w:shd w:val="clear" w:color="auto" w:fill="D2D4D9"/>
          </w:tcPr>
          <w:p>
            <w:pPr>
              <w:ind w:left="60"/>
              <w:spacing w:after="0"/>
              <w:rPr>
                <w:sz w:val="20"/>
                <w:szCs w:val="20"/>
                <w:color w:val="auto"/>
              </w:rPr>
            </w:pPr>
            <w:r>
              <w:rPr>
                <w:rFonts w:ascii="Arial" w:cs="Arial" w:eastAsia="Arial" w:hAnsi="Arial"/>
                <w:sz w:val="18"/>
                <w:szCs w:val="18"/>
                <w:color w:val="auto"/>
              </w:rPr>
              <w:t>Net income</w:t>
            </w:r>
          </w:p>
        </w:tc>
        <w:tc>
          <w:tcPr>
            <w:tcW w:w="880" w:type="dxa"/>
            <w:vAlign w:val="bottom"/>
            <w:tcBorders>
              <w:bottom w:val="single" w:sz="8" w:color="D2D4D9"/>
            </w:tcBorders>
            <w:gridSpan w:val="2"/>
            <w:shd w:val="clear" w:color="auto" w:fill="D2D4D9"/>
          </w:tcPr>
          <w:p>
            <w:pPr>
              <w:ind w:left="6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D2D4D9"/>
            </w:tcBorders>
            <w:shd w:val="clear" w:color="auto" w:fill="D2D4D9"/>
          </w:tcPr>
          <w:p>
            <w:pPr>
              <w:jc w:val="right"/>
              <w:spacing w:after="0"/>
              <w:rPr>
                <w:sz w:val="20"/>
                <w:szCs w:val="20"/>
                <w:color w:val="auto"/>
              </w:rPr>
            </w:pPr>
            <w:r>
              <w:rPr>
                <w:rFonts w:ascii="Arial" w:cs="Arial" w:eastAsia="Arial" w:hAnsi="Arial"/>
                <w:sz w:val="18"/>
                <w:szCs w:val="18"/>
                <w:color w:val="auto"/>
              </w:rPr>
              <w:t>249,026</w:t>
            </w:r>
          </w:p>
        </w:tc>
        <w:tc>
          <w:tcPr>
            <w:tcW w:w="140" w:type="dxa"/>
            <w:vAlign w:val="bottom"/>
            <w:tcBorders>
              <w:bottom w:val="single" w:sz="8" w:color="D2D4D9"/>
            </w:tcBorders>
            <w:shd w:val="clear" w:color="auto" w:fill="D2D4D9"/>
          </w:tcPr>
          <w:p>
            <w:pPr>
              <w:spacing w:after="0"/>
              <w:rPr>
                <w:sz w:val="23"/>
                <w:szCs w:val="23"/>
                <w:color w:val="auto"/>
              </w:rPr>
            </w:pPr>
          </w:p>
        </w:tc>
      </w:tr>
      <w:tr>
        <w:trPr>
          <w:trHeight w:val="230"/>
        </w:trPr>
        <w:tc>
          <w:tcPr>
            <w:tcW w:w="9140" w:type="dxa"/>
            <w:vAlign w:val="bottom"/>
          </w:tcPr>
          <w:p>
            <w:pPr>
              <w:ind w:left="60"/>
              <w:spacing w:after="0"/>
              <w:rPr>
                <w:sz w:val="20"/>
                <w:szCs w:val="20"/>
                <w:color w:val="auto"/>
              </w:rPr>
            </w:pPr>
            <w:r>
              <w:rPr>
                <w:rFonts w:ascii="Arial" w:cs="Arial" w:eastAsia="Arial" w:hAnsi="Arial"/>
                <w:sz w:val="18"/>
                <w:szCs w:val="18"/>
                <w:color w:val="auto"/>
              </w:rPr>
              <w:t>Net income attributable to noncontrolling interests</w:t>
            </w: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(7,119)</w:t>
            </w:r>
          </w:p>
        </w:tc>
      </w:tr>
      <w:tr>
        <w:trPr>
          <w:trHeight w:val="54"/>
        </w:trPr>
        <w:tc>
          <w:tcPr>
            <w:tcW w:w="9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64"/>
        </w:trPr>
        <w:tc>
          <w:tcPr>
            <w:tcW w:w="9140" w:type="dxa"/>
            <w:vAlign w:val="bottom"/>
            <w:tcBorders>
              <w:bottom w:val="single" w:sz="8" w:color="D2D4D9"/>
            </w:tcBorders>
            <w:shd w:val="clear" w:color="auto" w:fill="D2D4D9"/>
          </w:tcPr>
          <w:p>
            <w:pPr>
              <w:ind w:left="60"/>
              <w:spacing w:after="0"/>
              <w:rPr>
                <w:sz w:val="20"/>
                <w:szCs w:val="20"/>
                <w:color w:val="auto"/>
              </w:rPr>
            </w:pPr>
            <w:r>
              <w:rPr>
                <w:rFonts w:ascii="Arial" w:cs="Arial" w:eastAsia="Arial" w:hAnsi="Arial"/>
                <w:sz w:val="18"/>
                <w:szCs w:val="18"/>
                <w:color w:val="auto"/>
              </w:rPr>
              <w:t>Gain on sale of real estate and change in control of interests, net</w:t>
            </w:r>
          </w:p>
        </w:tc>
        <w:tc>
          <w:tcPr>
            <w:tcW w:w="620" w:type="dxa"/>
            <w:vAlign w:val="bottom"/>
            <w:tcBorders>
              <w:bottom w:val="single" w:sz="8" w:color="D2D4D9"/>
            </w:tcBorders>
            <w:shd w:val="clear" w:color="auto" w:fill="D2D4D9"/>
          </w:tcPr>
          <w:p>
            <w:pPr>
              <w:spacing w:after="0"/>
              <w:rPr>
                <w:sz w:val="22"/>
                <w:szCs w:val="22"/>
                <w:color w:val="auto"/>
              </w:rPr>
            </w:pPr>
          </w:p>
        </w:tc>
        <w:tc>
          <w:tcPr>
            <w:tcW w:w="260" w:type="dxa"/>
            <w:vAlign w:val="bottom"/>
            <w:tcBorders>
              <w:bottom w:val="single" w:sz="8" w:color="D2D4D9"/>
            </w:tcBorders>
            <w:shd w:val="clear" w:color="auto" w:fill="D2D4D9"/>
          </w:tcPr>
          <w:p>
            <w:pPr>
              <w:spacing w:after="0"/>
              <w:rPr>
                <w:sz w:val="22"/>
                <w:szCs w:val="22"/>
                <w:color w:val="auto"/>
              </w:rPr>
            </w:pPr>
          </w:p>
        </w:tc>
        <w:tc>
          <w:tcPr>
            <w:tcW w:w="1000" w:type="dxa"/>
            <w:vAlign w:val="bottom"/>
            <w:tcBorders>
              <w:bottom w:val="single" w:sz="8" w:color="D2D4D9"/>
            </w:tcBorders>
            <w:gridSpan w:val="2"/>
            <w:shd w:val="clear" w:color="auto" w:fill="D2D4D9"/>
          </w:tcPr>
          <w:p>
            <w:pPr>
              <w:jc w:val="right"/>
              <w:ind w:right="80"/>
              <w:spacing w:after="0"/>
              <w:rPr>
                <w:sz w:val="20"/>
                <w:szCs w:val="20"/>
                <w:color w:val="auto"/>
              </w:rPr>
            </w:pPr>
            <w:r>
              <w:rPr>
                <w:rFonts w:ascii="Arial" w:cs="Arial" w:eastAsia="Arial" w:hAnsi="Arial"/>
                <w:sz w:val="18"/>
                <w:szCs w:val="18"/>
                <w:color w:val="auto"/>
              </w:rPr>
              <w:t>(11,915)</w:t>
            </w:r>
          </w:p>
        </w:tc>
      </w:tr>
      <w:tr>
        <w:trPr>
          <w:trHeight w:val="230"/>
        </w:trPr>
        <w:tc>
          <w:tcPr>
            <w:tcW w:w="9140" w:type="dxa"/>
            <w:vAlign w:val="bottom"/>
          </w:tcPr>
          <w:p>
            <w:pPr>
              <w:ind w:left="60"/>
              <w:spacing w:after="0"/>
              <w:rPr>
                <w:sz w:val="20"/>
                <w:szCs w:val="20"/>
                <w:color w:val="auto"/>
              </w:rPr>
            </w:pPr>
            <w:r>
              <w:rPr>
                <w:rFonts w:ascii="Arial" w:cs="Arial" w:eastAsia="Arial" w:hAnsi="Arial"/>
                <w:sz w:val="18"/>
                <w:szCs w:val="18"/>
                <w:color w:val="auto"/>
              </w:rPr>
              <w:t>Depreciation and amortization of real estate assets</w:t>
            </w: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213,098</w:t>
            </w:r>
          </w:p>
        </w:tc>
        <w:tc>
          <w:tcPr>
            <w:tcW w:w="140" w:type="dxa"/>
            <w:vAlign w:val="bottom"/>
          </w:tcPr>
          <w:p>
            <w:pPr>
              <w:spacing w:after="0"/>
              <w:rPr>
                <w:sz w:val="19"/>
                <w:szCs w:val="19"/>
                <w:color w:val="auto"/>
              </w:rPr>
            </w:pPr>
          </w:p>
        </w:tc>
      </w:tr>
      <w:tr>
        <w:trPr>
          <w:trHeight w:val="54"/>
        </w:trPr>
        <w:tc>
          <w:tcPr>
            <w:tcW w:w="9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89"/>
        </w:trPr>
        <w:tc>
          <w:tcPr>
            <w:tcW w:w="9140" w:type="dxa"/>
            <w:vAlign w:val="bottom"/>
            <w:tcBorders>
              <w:bottom w:val="single" w:sz="8" w:color="D2D4D9"/>
            </w:tcBorders>
            <w:shd w:val="clear" w:color="auto" w:fill="D2D4D9"/>
          </w:tcPr>
          <w:p>
            <w:pPr>
              <w:ind w:left="60"/>
              <w:spacing w:after="0"/>
              <w:rPr>
                <w:sz w:val="20"/>
                <w:szCs w:val="20"/>
                <w:color w:val="auto"/>
              </w:rPr>
            </w:pPr>
            <w:r>
              <w:rPr>
                <w:rFonts w:ascii="Arial" w:cs="Arial" w:eastAsia="Arial" w:hAnsi="Arial"/>
                <w:sz w:val="18"/>
                <w:szCs w:val="18"/>
                <w:color w:val="auto"/>
              </w:rPr>
              <w:t>Amortization of initial direct costs of leases</w:t>
            </w:r>
          </w:p>
        </w:tc>
        <w:tc>
          <w:tcPr>
            <w:tcW w:w="620" w:type="dxa"/>
            <w:vAlign w:val="bottom"/>
            <w:tcBorders>
              <w:bottom w:val="single" w:sz="8" w:color="D2D4D9"/>
            </w:tcBorders>
            <w:shd w:val="clear" w:color="auto" w:fill="D2D4D9"/>
          </w:tcPr>
          <w:p>
            <w:pPr>
              <w:spacing w:after="0"/>
              <w:rPr>
                <w:sz w:val="24"/>
                <w:szCs w:val="24"/>
                <w:color w:val="auto"/>
              </w:rPr>
            </w:pPr>
          </w:p>
        </w:tc>
        <w:tc>
          <w:tcPr>
            <w:tcW w:w="260" w:type="dxa"/>
            <w:vAlign w:val="bottom"/>
            <w:tcBorders>
              <w:bottom w:val="single" w:sz="8" w:color="D2D4D9"/>
            </w:tcBorders>
            <w:shd w:val="clear" w:color="auto" w:fill="D2D4D9"/>
          </w:tcPr>
          <w:p>
            <w:pPr>
              <w:spacing w:after="0"/>
              <w:rPr>
                <w:sz w:val="24"/>
                <w:szCs w:val="24"/>
                <w:color w:val="auto"/>
              </w:rPr>
            </w:pPr>
          </w:p>
        </w:tc>
        <w:tc>
          <w:tcPr>
            <w:tcW w:w="860" w:type="dxa"/>
            <w:vAlign w:val="bottom"/>
            <w:tcBorders>
              <w:bottom w:val="single" w:sz="8" w:color="D2D4D9"/>
            </w:tcBorders>
            <w:shd w:val="clear" w:color="auto" w:fill="D2D4D9"/>
          </w:tcPr>
          <w:p>
            <w:pPr>
              <w:jc w:val="right"/>
              <w:spacing w:after="0"/>
              <w:rPr>
                <w:sz w:val="20"/>
                <w:szCs w:val="20"/>
                <w:color w:val="auto"/>
              </w:rPr>
            </w:pPr>
            <w:r>
              <w:rPr>
                <w:rFonts w:ascii="Arial" w:cs="Arial" w:eastAsia="Arial" w:hAnsi="Arial"/>
                <w:sz w:val="18"/>
                <w:szCs w:val="18"/>
                <w:color w:val="auto"/>
              </w:rPr>
              <w:t>24,603</w:t>
            </w:r>
          </w:p>
        </w:tc>
        <w:tc>
          <w:tcPr>
            <w:tcW w:w="140" w:type="dxa"/>
            <w:vAlign w:val="bottom"/>
            <w:tcBorders>
              <w:bottom w:val="single" w:sz="8" w:color="D2D4D9"/>
            </w:tcBorders>
            <w:shd w:val="clear" w:color="auto" w:fill="D2D4D9"/>
          </w:tcPr>
          <w:p>
            <w:pPr>
              <w:spacing w:after="0"/>
              <w:rPr>
                <w:sz w:val="24"/>
                <w:szCs w:val="24"/>
                <w:color w:val="auto"/>
              </w:rPr>
            </w:pPr>
          </w:p>
        </w:tc>
      </w:tr>
      <w:tr>
        <w:trPr>
          <w:trHeight w:val="223"/>
        </w:trPr>
        <w:tc>
          <w:tcPr>
            <w:tcW w:w="91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Funds from operations</w:t>
            </w:r>
          </w:p>
        </w:tc>
        <w:tc>
          <w:tcPr>
            <w:tcW w:w="6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467,693</w:t>
            </w:r>
          </w:p>
        </w:tc>
        <w:tc>
          <w:tcPr>
            <w:tcW w:w="140" w:type="dxa"/>
            <w:vAlign w:val="bottom"/>
            <w:tcBorders>
              <w:top w:val="single" w:sz="8" w:color="auto"/>
            </w:tcBorders>
          </w:tcPr>
          <w:p>
            <w:pPr>
              <w:spacing w:after="0"/>
              <w:rPr>
                <w:sz w:val="19"/>
                <w:szCs w:val="19"/>
                <w:color w:val="auto"/>
              </w:rPr>
            </w:pPr>
          </w:p>
        </w:tc>
      </w:tr>
      <w:tr>
        <w:trPr>
          <w:trHeight w:val="54"/>
        </w:trPr>
        <w:tc>
          <w:tcPr>
            <w:tcW w:w="9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64"/>
        </w:trPr>
        <w:tc>
          <w:tcPr>
            <w:tcW w:w="9140" w:type="dxa"/>
            <w:vAlign w:val="bottom"/>
            <w:tcBorders>
              <w:bottom w:val="single" w:sz="8" w:color="D2D4D9"/>
            </w:tcBorders>
            <w:shd w:val="clear" w:color="auto" w:fill="D2D4D9"/>
          </w:tcPr>
          <w:p>
            <w:pPr>
              <w:ind w:left="60"/>
              <w:spacing w:after="0"/>
              <w:rPr>
                <w:sz w:val="20"/>
                <w:szCs w:val="20"/>
                <w:color w:val="auto"/>
              </w:rPr>
            </w:pPr>
            <w:r>
              <w:rPr>
                <w:rFonts w:ascii="Arial" w:cs="Arial" w:eastAsia="Arial" w:hAnsi="Arial"/>
                <w:sz w:val="18"/>
                <w:szCs w:val="18"/>
                <w:color w:val="auto"/>
              </w:rPr>
              <w:t>Dividends on preferred shares</w:t>
            </w:r>
          </w:p>
        </w:tc>
        <w:tc>
          <w:tcPr>
            <w:tcW w:w="620" w:type="dxa"/>
            <w:vAlign w:val="bottom"/>
            <w:tcBorders>
              <w:bottom w:val="single" w:sz="8" w:color="D2D4D9"/>
            </w:tcBorders>
            <w:shd w:val="clear" w:color="auto" w:fill="D2D4D9"/>
          </w:tcPr>
          <w:p>
            <w:pPr>
              <w:spacing w:after="0"/>
              <w:rPr>
                <w:sz w:val="22"/>
                <w:szCs w:val="22"/>
                <w:color w:val="auto"/>
              </w:rPr>
            </w:pPr>
          </w:p>
        </w:tc>
        <w:tc>
          <w:tcPr>
            <w:tcW w:w="260" w:type="dxa"/>
            <w:vAlign w:val="bottom"/>
            <w:tcBorders>
              <w:bottom w:val="single" w:sz="8" w:color="D2D4D9"/>
            </w:tcBorders>
            <w:shd w:val="clear" w:color="auto" w:fill="D2D4D9"/>
          </w:tcPr>
          <w:p>
            <w:pPr>
              <w:spacing w:after="0"/>
              <w:rPr>
                <w:sz w:val="22"/>
                <w:szCs w:val="22"/>
                <w:color w:val="auto"/>
              </w:rPr>
            </w:pPr>
          </w:p>
        </w:tc>
        <w:tc>
          <w:tcPr>
            <w:tcW w:w="1000" w:type="dxa"/>
            <w:vAlign w:val="bottom"/>
            <w:tcBorders>
              <w:bottom w:val="single" w:sz="8" w:color="D2D4D9"/>
            </w:tcBorders>
            <w:gridSpan w:val="2"/>
            <w:shd w:val="clear" w:color="auto" w:fill="D2D4D9"/>
          </w:tcPr>
          <w:p>
            <w:pPr>
              <w:jc w:val="right"/>
              <w:ind w:right="80"/>
              <w:spacing w:after="0"/>
              <w:rPr>
                <w:sz w:val="20"/>
                <w:szCs w:val="20"/>
                <w:color w:val="auto"/>
              </w:rPr>
            </w:pPr>
            <w:r>
              <w:rPr>
                <w:rFonts w:ascii="Arial" w:cs="Arial" w:eastAsia="Arial" w:hAnsi="Arial"/>
                <w:sz w:val="18"/>
                <w:szCs w:val="18"/>
                <w:color w:val="auto"/>
              </w:rPr>
              <w:t>(7,500)</w:t>
            </w:r>
          </w:p>
        </w:tc>
      </w:tr>
      <w:tr>
        <w:trPr>
          <w:trHeight w:val="230"/>
        </w:trPr>
        <w:tc>
          <w:tcPr>
            <w:tcW w:w="9140" w:type="dxa"/>
            <w:vAlign w:val="bottom"/>
          </w:tcPr>
          <w:p>
            <w:pPr>
              <w:ind w:left="60"/>
              <w:spacing w:after="0"/>
              <w:rPr>
                <w:sz w:val="20"/>
                <w:szCs w:val="20"/>
                <w:color w:val="auto"/>
              </w:rPr>
            </w:pPr>
            <w:r>
              <w:rPr>
                <w:rFonts w:ascii="Arial" w:cs="Arial" w:eastAsia="Arial" w:hAnsi="Arial"/>
                <w:sz w:val="18"/>
                <w:szCs w:val="18"/>
                <w:color w:val="auto"/>
              </w:rPr>
              <w:t>Income attributable to operating partnership units</w:t>
            </w: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3,053</w:t>
            </w:r>
          </w:p>
        </w:tc>
        <w:tc>
          <w:tcPr>
            <w:tcW w:w="140" w:type="dxa"/>
            <w:vAlign w:val="bottom"/>
          </w:tcPr>
          <w:p>
            <w:pPr>
              <w:spacing w:after="0"/>
              <w:rPr>
                <w:sz w:val="19"/>
                <w:szCs w:val="19"/>
                <w:color w:val="auto"/>
              </w:rPr>
            </w:pPr>
          </w:p>
        </w:tc>
      </w:tr>
      <w:tr>
        <w:trPr>
          <w:trHeight w:val="54"/>
        </w:trPr>
        <w:tc>
          <w:tcPr>
            <w:tcW w:w="9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89"/>
        </w:trPr>
        <w:tc>
          <w:tcPr>
            <w:tcW w:w="9140" w:type="dxa"/>
            <w:vAlign w:val="bottom"/>
            <w:tcBorders>
              <w:bottom w:val="single" w:sz="8" w:color="D2D4D9"/>
            </w:tcBorders>
            <w:shd w:val="clear" w:color="auto" w:fill="D2D4D9"/>
          </w:tcPr>
          <w:p>
            <w:pPr>
              <w:ind w:left="60"/>
              <w:spacing w:after="0"/>
              <w:rPr>
                <w:sz w:val="20"/>
                <w:szCs w:val="20"/>
                <w:color w:val="auto"/>
              </w:rPr>
            </w:pPr>
            <w:r>
              <w:rPr>
                <w:rFonts w:ascii="Arial" w:cs="Arial" w:eastAsia="Arial" w:hAnsi="Arial"/>
                <w:sz w:val="18"/>
                <w:szCs w:val="18"/>
                <w:color w:val="auto"/>
              </w:rPr>
              <w:t>Income attributable to unvested shares</w:t>
            </w:r>
          </w:p>
        </w:tc>
        <w:tc>
          <w:tcPr>
            <w:tcW w:w="620" w:type="dxa"/>
            <w:vAlign w:val="bottom"/>
            <w:tcBorders>
              <w:bottom w:val="single" w:sz="8" w:color="D2D4D9"/>
            </w:tcBorders>
            <w:shd w:val="clear" w:color="auto" w:fill="D2D4D9"/>
          </w:tcPr>
          <w:p>
            <w:pPr>
              <w:spacing w:after="0"/>
              <w:rPr>
                <w:sz w:val="24"/>
                <w:szCs w:val="24"/>
                <w:color w:val="auto"/>
              </w:rPr>
            </w:pPr>
          </w:p>
        </w:tc>
        <w:tc>
          <w:tcPr>
            <w:tcW w:w="260" w:type="dxa"/>
            <w:vAlign w:val="bottom"/>
            <w:tcBorders>
              <w:bottom w:val="single" w:sz="8" w:color="D2D4D9"/>
            </w:tcBorders>
            <w:shd w:val="clear" w:color="auto" w:fill="D2D4D9"/>
          </w:tcPr>
          <w:p>
            <w:pPr>
              <w:spacing w:after="0"/>
              <w:rPr>
                <w:sz w:val="24"/>
                <w:szCs w:val="24"/>
                <w:color w:val="auto"/>
              </w:rPr>
            </w:pPr>
          </w:p>
        </w:tc>
        <w:tc>
          <w:tcPr>
            <w:tcW w:w="1000" w:type="dxa"/>
            <w:vAlign w:val="bottom"/>
            <w:tcBorders>
              <w:bottom w:val="single" w:sz="8" w:color="D2D4D9"/>
            </w:tcBorders>
            <w:gridSpan w:val="2"/>
            <w:shd w:val="clear" w:color="auto" w:fill="D2D4D9"/>
          </w:tcPr>
          <w:p>
            <w:pPr>
              <w:jc w:val="right"/>
              <w:ind w:right="80"/>
              <w:spacing w:after="0"/>
              <w:rPr>
                <w:sz w:val="20"/>
                <w:szCs w:val="20"/>
                <w:color w:val="auto"/>
              </w:rPr>
            </w:pPr>
            <w:r>
              <w:rPr>
                <w:rFonts w:ascii="Arial" w:cs="Arial" w:eastAsia="Arial" w:hAnsi="Arial"/>
                <w:sz w:val="18"/>
                <w:szCs w:val="18"/>
                <w:color w:val="auto"/>
              </w:rPr>
              <w:t>(1,469)</w:t>
            </w:r>
          </w:p>
        </w:tc>
      </w:tr>
      <w:tr>
        <w:trPr>
          <w:trHeight w:val="223"/>
        </w:trPr>
        <w:tc>
          <w:tcPr>
            <w:tcW w:w="91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Funds from operations available for common shareholders</w:t>
            </w:r>
          </w:p>
        </w:tc>
        <w:tc>
          <w:tcPr>
            <w:tcW w:w="880" w:type="dxa"/>
            <w:vAlign w:val="bottom"/>
            <w:tcBorders>
              <w:top w:val="single" w:sz="8" w:color="auto"/>
            </w:tcBorders>
            <w:gridSpan w:val="2"/>
          </w:tcPr>
          <w:p>
            <w:pPr>
              <w:ind w:left="6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461,777</w:t>
            </w:r>
          </w:p>
        </w:tc>
        <w:tc>
          <w:tcPr>
            <w:tcW w:w="140" w:type="dxa"/>
            <w:vAlign w:val="bottom"/>
            <w:tcBorders>
              <w:top w:val="single" w:sz="8" w:color="auto"/>
            </w:tcBorders>
          </w:tcPr>
          <w:p>
            <w:pPr>
              <w:spacing w:after="0"/>
              <w:rPr>
                <w:sz w:val="19"/>
                <w:szCs w:val="19"/>
                <w:color w:val="auto"/>
              </w:rPr>
            </w:pPr>
          </w:p>
        </w:tc>
      </w:tr>
      <w:tr>
        <w:trPr>
          <w:trHeight w:val="54"/>
        </w:trPr>
        <w:tc>
          <w:tcPr>
            <w:tcW w:w="91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57"/>
        </w:trPr>
        <w:tc>
          <w:tcPr>
            <w:tcW w:w="9140" w:type="dxa"/>
            <w:vAlign w:val="bottom"/>
            <w:tcBorders>
              <w:bottom w:val="single" w:sz="8" w:color="D2D4D9"/>
            </w:tcBorders>
            <w:shd w:val="clear" w:color="auto" w:fill="D2D4D9"/>
          </w:tcPr>
          <w:p>
            <w:pPr>
              <w:ind w:left="60"/>
              <w:spacing w:after="0"/>
              <w:rPr>
                <w:sz w:val="20"/>
                <w:szCs w:val="20"/>
                <w:color w:val="auto"/>
              </w:rPr>
            </w:pPr>
            <w:r>
              <w:rPr>
                <w:rFonts w:ascii="Arial" w:cs="Arial" w:eastAsia="Arial" w:hAnsi="Arial"/>
                <w:sz w:val="18"/>
                <w:szCs w:val="18"/>
                <w:color w:val="auto"/>
              </w:rPr>
              <w:t>Weighted average number of common shares, diluted</w:t>
            </w:r>
            <w:r>
              <w:rPr>
                <w:rFonts w:ascii="Arial" w:cs="Arial" w:eastAsia="Arial" w:hAnsi="Arial"/>
                <w:sz w:val="15"/>
                <w:szCs w:val="15"/>
                <w:color w:val="auto"/>
              </w:rPr>
              <w:t>(1)</w:t>
            </w:r>
          </w:p>
        </w:tc>
        <w:tc>
          <w:tcPr>
            <w:tcW w:w="880" w:type="dxa"/>
            <w:vAlign w:val="bottom"/>
            <w:tcBorders>
              <w:bottom w:val="single" w:sz="8" w:color="D2D4D9"/>
            </w:tcBorders>
            <w:gridSpan w:val="2"/>
            <w:shd w:val="clear" w:color="auto" w:fill="D2D4D9"/>
          </w:tcPr>
          <w:p>
            <w:pPr>
              <w:ind w:left="6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D2D4D9"/>
            </w:tcBorders>
            <w:shd w:val="clear" w:color="auto" w:fill="D2D4D9"/>
          </w:tcPr>
          <w:p>
            <w:pPr>
              <w:jc w:val="right"/>
              <w:spacing w:after="0"/>
              <w:rPr>
                <w:sz w:val="20"/>
                <w:szCs w:val="20"/>
                <w:color w:val="auto"/>
              </w:rPr>
            </w:pPr>
            <w:r>
              <w:rPr>
                <w:rFonts w:ascii="Arial" w:cs="Arial" w:eastAsia="Arial" w:hAnsi="Arial"/>
                <w:sz w:val="18"/>
                <w:szCs w:val="18"/>
                <w:color w:val="auto"/>
              </w:rPr>
              <w:t>74,153</w:t>
            </w:r>
          </w:p>
        </w:tc>
        <w:tc>
          <w:tcPr>
            <w:tcW w:w="140" w:type="dxa"/>
            <w:vAlign w:val="bottom"/>
            <w:tcBorders>
              <w:bottom w:val="single" w:sz="8" w:color="D2D4D9"/>
            </w:tcBorders>
            <w:shd w:val="clear" w:color="auto" w:fill="D2D4D9"/>
          </w:tcPr>
          <w:p>
            <w:pPr>
              <w:spacing w:after="0"/>
              <w:rPr>
                <w:sz w:val="22"/>
                <w:szCs w:val="22"/>
                <w:color w:val="auto"/>
              </w:rPr>
            </w:pPr>
          </w:p>
        </w:tc>
      </w:tr>
      <w:tr>
        <w:trPr>
          <w:trHeight w:val="230"/>
        </w:trPr>
        <w:tc>
          <w:tcPr>
            <w:tcW w:w="91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Funds from operations available for common shareholders, per diluted share</w:t>
            </w:r>
          </w:p>
        </w:tc>
        <w:tc>
          <w:tcPr>
            <w:tcW w:w="880" w:type="dxa"/>
            <w:vAlign w:val="bottom"/>
            <w:tcBorders>
              <w:bottom w:val="single" w:sz="8" w:color="auto"/>
            </w:tcBorders>
            <w:gridSpan w:val="2"/>
          </w:tcPr>
          <w:p>
            <w:pPr>
              <w:ind w:left="6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w:t>
            </w:r>
          </w:p>
        </w:tc>
        <w:tc>
          <w:tcPr>
            <w:tcW w:w="14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8" w:lineRule="exact"/>
        <w:rPr>
          <w:sz w:val="20"/>
          <w:szCs w:val="20"/>
          <w:color w:val="auto"/>
        </w:rPr>
      </w:pPr>
    </w:p>
    <w:p>
      <w:pPr>
        <w:jc w:val="both"/>
        <w:ind w:left="640" w:right="20" w:hanging="43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weighted average common shares used to compute FFO per diluted common share includes operating partnership units that were excluded from the computation of diluted EPS. Conversion of these operating partnership units is dilutive in the computation of FFO per diluted common share but is anti-dilutive for the computation of diluted EPS for the period presented.</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240" w:top="459" w:right="4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9040"/>
        <w:spacing w:after="0" w:line="251" w:lineRule="exact"/>
        <w:tabs>
          <w:tab w:leader="none" w:pos="1102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25"/>
          <w:szCs w:val="2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59"/>
        <w:spacing w:after="0"/>
        <w:rPr>
          <w:sz w:val="20"/>
          <w:szCs w:val="20"/>
          <w:color w:val="auto"/>
        </w:rPr>
      </w:pPr>
      <w:r>
        <w:rPr>
          <w:rFonts w:ascii="Arial" w:cs="Arial" w:eastAsia="Arial" w:hAnsi="Arial"/>
          <w:sz w:val="25"/>
          <w:szCs w:val="25"/>
          <w:b w:val="1"/>
          <w:bCs w:val="1"/>
          <w:color w:val="auto"/>
        </w:rPr>
        <w:t>FEDERAL REALTY INVESTMENT TRUST</w:t>
      </w:r>
    </w:p>
    <w:p>
      <w:pPr>
        <w:spacing w:after="0" w:line="86" w:lineRule="exact"/>
        <w:rPr>
          <w:sz w:val="20"/>
          <w:szCs w:val="20"/>
          <w:color w:val="auto"/>
        </w:rPr>
      </w:pPr>
    </w:p>
    <w:p>
      <w:pPr>
        <w:ind w:left="2080"/>
        <w:spacing w:after="0"/>
        <w:rPr>
          <w:sz w:val="20"/>
          <w:szCs w:val="20"/>
          <w:color w:val="auto"/>
        </w:rPr>
      </w:pPr>
      <w:r>
        <w:rPr>
          <w:rFonts w:ascii="Arial" w:cs="Arial" w:eastAsia="Arial" w:hAnsi="Arial"/>
          <w:sz w:val="22"/>
          <w:szCs w:val="22"/>
          <w:b w:val="1"/>
          <w:bCs w:val="1"/>
          <w:color w:val="auto"/>
        </w:rPr>
        <w:t>THIS PROXY IS SOLICITED ON BEHALF OF THE BOARD OF TRUSTEES</w:t>
      </w:r>
    </w:p>
    <w:p>
      <w:pPr>
        <w:spacing w:after="0" w:line="226" w:lineRule="exact"/>
        <w:rPr>
          <w:sz w:val="20"/>
          <w:szCs w:val="20"/>
          <w:color w:val="auto"/>
        </w:rPr>
      </w:pPr>
    </w:p>
    <w:p>
      <w:pPr>
        <w:ind w:left="560" w:right="260" w:firstLine="432"/>
        <w:spacing w:after="0" w:line="277" w:lineRule="auto"/>
        <w:rPr>
          <w:sz w:val="20"/>
          <w:szCs w:val="20"/>
          <w:color w:val="auto"/>
        </w:rPr>
      </w:pPr>
      <w:r>
        <w:rPr>
          <w:rFonts w:ascii="Arial" w:cs="Arial" w:eastAsia="Arial" w:hAnsi="Arial"/>
          <w:sz w:val="19"/>
          <w:szCs w:val="19"/>
          <w:color w:val="auto"/>
        </w:rPr>
        <w:t>The undersigned, a shareholder of Federal Realty Investment Trust (the “Trust”), hereby constitutes and appoints DAWN M. BECKER and DANIEL GUGLIELMONE, or either of them, as the true and lawful attorneys and proxies of the undersigned, with full power of substitution in each of them, for and in the name of the undersigned, to vote and otherwise act at the Annual Meeting of Shareholders of the Trust to be held at AMP by Strathmore, 11810 Grand Park Avenue, North Bethesda, Maryland on Wednesday, May 1, 2019 at 10:00 a.m., or at any postponement or adjournment thereof, with respect to all of the Common Shares of Beneficial Interest of the Trust which the undersigned would be entitled to vote, with all the powers the undersigned would possess if personally present, on the following matters.</w:t>
      </w:r>
    </w:p>
    <w:p>
      <w:pPr>
        <w:spacing w:after="0" w:line="153" w:lineRule="exact"/>
        <w:rPr>
          <w:sz w:val="20"/>
          <w:szCs w:val="20"/>
          <w:color w:val="auto"/>
        </w:rPr>
      </w:pPr>
    </w:p>
    <w:p>
      <w:pPr>
        <w:ind w:left="1000"/>
        <w:spacing w:after="0"/>
        <w:rPr>
          <w:sz w:val="20"/>
          <w:szCs w:val="20"/>
          <w:color w:val="auto"/>
        </w:rPr>
      </w:pPr>
      <w:r>
        <w:rPr>
          <w:rFonts w:ascii="Arial" w:cs="Arial" w:eastAsia="Arial" w:hAnsi="Arial"/>
          <w:sz w:val="21"/>
          <w:szCs w:val="21"/>
          <w:color w:val="auto"/>
        </w:rPr>
        <w:t>The undersigned hereby ratifies and confirms all that the aforesaid attorneys and proxies may do hereunder.</w:t>
      </w:r>
    </w:p>
    <w:p>
      <w:pPr>
        <w:spacing w:after="0" w:line="218" w:lineRule="exact"/>
        <w:rPr>
          <w:sz w:val="20"/>
          <w:szCs w:val="20"/>
          <w:color w:val="auto"/>
        </w:rPr>
      </w:pPr>
    </w:p>
    <w:p>
      <w:pPr>
        <w:ind w:left="560" w:right="500" w:firstLine="432"/>
        <w:spacing w:after="0" w:line="274" w:lineRule="auto"/>
        <w:rPr>
          <w:sz w:val="20"/>
          <w:szCs w:val="20"/>
          <w:color w:val="auto"/>
        </w:rPr>
      </w:pPr>
      <w:r>
        <w:rPr>
          <w:rFonts w:ascii="Arial" w:cs="Arial" w:eastAsia="Arial" w:hAnsi="Arial"/>
          <w:sz w:val="21"/>
          <w:szCs w:val="21"/>
          <w:color w:val="auto"/>
        </w:rPr>
        <w:t>The undersigned hereby acknowledges receipt of the Notice of Annual Meeting and of the accompanying Proxy Statement and revokes any proxy previously given with respect to the Annual Meeting.</w:t>
      </w:r>
    </w:p>
    <w:p>
      <w:pPr>
        <w:spacing w:after="0" w:line="145" w:lineRule="exact"/>
        <w:rPr>
          <w:sz w:val="20"/>
          <w:szCs w:val="20"/>
          <w:color w:val="auto"/>
        </w:rPr>
      </w:pPr>
    </w:p>
    <w:p>
      <w:pPr>
        <w:jc w:val="center"/>
        <w:ind w:right="-359"/>
        <w:spacing w:after="0"/>
        <w:rPr>
          <w:sz w:val="20"/>
          <w:szCs w:val="20"/>
          <w:color w:val="auto"/>
        </w:rPr>
      </w:pPr>
      <w:r>
        <w:rPr>
          <w:rFonts w:ascii="Arial" w:cs="Arial" w:eastAsia="Arial" w:hAnsi="Arial"/>
          <w:sz w:val="22"/>
          <w:szCs w:val="22"/>
          <w:b w:val="1"/>
          <w:bCs w:val="1"/>
          <w:color w:val="auto"/>
        </w:rPr>
        <w:t>(Continued and to be signed on the reverse side)</w:t>
      </w:r>
    </w:p>
    <w:p>
      <w:pPr>
        <w:spacing w:after="0" w:line="169" w:lineRule="exact"/>
        <w:rPr>
          <w:sz w:val="20"/>
          <w:szCs w:val="20"/>
          <w:color w:val="auto"/>
        </w:rPr>
      </w:pPr>
    </w:p>
    <w:p>
      <w:pPr>
        <w:ind w:left="200"/>
        <w:spacing w:after="0" w:line="288" w:lineRule="exact"/>
        <w:tabs>
          <w:tab w:leader="none" w:pos="540" w:val="left"/>
          <w:tab w:leader="none" w:pos="10120" w:val="left"/>
          <w:tab w:leader="none" w:pos="11020" w:val="left"/>
        </w:tabs>
        <w:rPr>
          <w:sz w:val="20"/>
          <w:szCs w:val="20"/>
          <w:color w:val="auto"/>
        </w:rPr>
      </w:pPr>
      <w:r>
        <w:rPr>
          <w:rFonts w:ascii="MS PGothic" w:cs="MS PGothic" w:eastAsia="MS PGothic" w:hAnsi="MS PGothic"/>
          <w:sz w:val="25"/>
          <w:szCs w:val="25"/>
          <w:color w:val="auto"/>
        </w:rPr>
        <w:t>∎</w:t>
      </w:r>
      <w:r>
        <w:rPr>
          <w:rFonts w:ascii="Arial" w:cs="Arial" w:eastAsia="Arial" w:hAnsi="Arial"/>
          <w:sz w:val="18"/>
          <w:szCs w:val="18"/>
          <w:color w:val="auto"/>
        </w:rPr>
        <w:tab/>
        <w:t>1.1</w:t>
      </w:r>
      <w:r>
        <w:rPr>
          <w:sz w:val="20"/>
          <w:szCs w:val="20"/>
          <w:color w:val="auto"/>
        </w:rPr>
        <w:tab/>
      </w:r>
      <w:r>
        <w:rPr>
          <w:rFonts w:ascii="Arial" w:cs="Arial" w:eastAsia="Arial" w:hAnsi="Arial"/>
          <w:sz w:val="18"/>
          <w:szCs w:val="18"/>
          <w:color w:val="auto"/>
        </w:rPr>
        <w:t>14475</w:t>
      </w:r>
      <w:r>
        <w:rPr>
          <w:sz w:val="20"/>
          <w:szCs w:val="20"/>
          <w:color w:val="auto"/>
        </w:rPr>
        <w:tab/>
      </w:r>
      <w:r>
        <w:rPr>
          <w:rFonts w:ascii="MS PGothic" w:cs="MS PGothic" w:eastAsia="MS PGothic" w:hAnsi="MS PGothic"/>
          <w:sz w:val="25"/>
          <w:szCs w:val="25"/>
          <w:color w:val="auto"/>
        </w:rPr>
        <w:t>∎</w:t>
      </w:r>
    </w:p>
    <w:p>
      <w:pPr>
        <w:sectPr>
          <w:pgSz w:w="11900" w:h="16838" w:orient="portrait"/>
          <w:cols w:equalWidth="0" w:num="1">
            <w:col w:w="11200"/>
          </w:cols>
          <w:pgMar w:left="24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ANNUAL MEETING OF SHAREHOLDERS OF</w:t>
      </w:r>
    </w:p>
    <w:p>
      <w:pPr>
        <w:spacing w:after="0" w:line="190" w:lineRule="exact"/>
        <w:rPr>
          <w:sz w:val="20"/>
          <w:szCs w:val="20"/>
          <w:color w:val="auto"/>
        </w:rPr>
      </w:pPr>
    </w:p>
    <w:p>
      <w:pPr>
        <w:jc w:val="center"/>
        <w:ind w:right="-179"/>
        <w:spacing w:after="0"/>
        <w:rPr>
          <w:sz w:val="20"/>
          <w:szCs w:val="20"/>
          <w:color w:val="auto"/>
        </w:rPr>
      </w:pPr>
      <w:r>
        <w:rPr>
          <w:rFonts w:ascii="Arial" w:cs="Arial" w:eastAsia="Arial" w:hAnsi="Arial"/>
          <w:sz w:val="43"/>
          <w:szCs w:val="43"/>
          <w:b w:val="1"/>
          <w:bCs w:val="1"/>
          <w:color w:val="auto"/>
        </w:rPr>
        <w:t>FEDERAL REALTY INVESTMENT TRUST</w:t>
      </w:r>
    </w:p>
    <w:p>
      <w:pPr>
        <w:spacing w:after="0" w:line="237"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May 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u w:val="single" w:color="auto"/>
          <w:color w:val="auto"/>
        </w:rPr>
        <w:t>NOTICE OF INTERNET AVAILABILITY OF PROXY MATERIAL</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Annual Report/Form 10-K/Notice &amp; Proxy Statement is available at:</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http://ir.federalrealty.com/phoenix.zhtml?c=84166&amp;p=proxy</w:t>
      </w:r>
    </w:p>
    <w:p>
      <w:pPr>
        <w:spacing w:after="0" w:line="192" w:lineRule="exact"/>
        <w:rPr>
          <w:sz w:val="20"/>
          <w:szCs w:val="20"/>
          <w:color w:val="auto"/>
        </w:rPr>
      </w:pPr>
    </w:p>
    <w:p>
      <w:pPr>
        <w:jc w:val="center"/>
        <w:ind w:right="-179"/>
        <w:spacing w:after="0"/>
        <w:rPr>
          <w:sz w:val="20"/>
          <w:szCs w:val="20"/>
          <w:color w:val="auto"/>
        </w:rPr>
      </w:pPr>
      <w:r>
        <w:rPr>
          <w:rFonts w:ascii="Arial" w:cs="Arial" w:eastAsia="Arial" w:hAnsi="Arial"/>
          <w:sz w:val="32"/>
          <w:szCs w:val="32"/>
          <w:color w:val="auto"/>
        </w:rPr>
        <w:t>Please sign, date and mail</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32"/>
          <w:szCs w:val="32"/>
          <w:color w:val="auto"/>
        </w:rPr>
        <w:t>your proxy card in the</w:t>
      </w:r>
    </w:p>
    <w:p>
      <w:pPr>
        <w:jc w:val="center"/>
        <w:ind w:right="-179"/>
        <w:spacing w:after="0" w:line="237" w:lineRule="auto"/>
        <w:rPr>
          <w:sz w:val="20"/>
          <w:szCs w:val="20"/>
          <w:color w:val="auto"/>
        </w:rPr>
      </w:pPr>
      <w:r>
        <w:rPr>
          <w:rFonts w:ascii="Arial" w:cs="Arial" w:eastAsia="Arial" w:hAnsi="Arial"/>
          <w:sz w:val="32"/>
          <w:szCs w:val="32"/>
          <w:color w:val="auto"/>
        </w:rPr>
        <w:t>envelope provided as soon</w:t>
      </w:r>
    </w:p>
    <w:p>
      <w:pPr>
        <w:spacing w:after="0" w:line="1" w:lineRule="exact"/>
        <w:rPr>
          <w:sz w:val="20"/>
          <w:szCs w:val="20"/>
          <w:color w:val="auto"/>
        </w:rPr>
      </w:pPr>
    </w:p>
    <w:p>
      <w:pPr>
        <w:jc w:val="center"/>
        <w:ind w:right="-179"/>
        <w:spacing w:after="0"/>
        <w:rPr>
          <w:sz w:val="20"/>
          <w:szCs w:val="20"/>
          <w:color w:val="auto"/>
        </w:rPr>
      </w:pPr>
      <w:r>
        <w:rPr>
          <w:rFonts w:ascii="Arial" w:cs="Arial" w:eastAsia="Arial" w:hAnsi="Arial"/>
          <w:sz w:val="32"/>
          <w:szCs w:val="32"/>
          <w:color w:val="auto"/>
        </w:rPr>
        <w:t>as possible.</w:t>
      </w:r>
    </w:p>
    <w:p>
      <w:pPr>
        <w:spacing w:after="0" w:line="223" w:lineRule="exact"/>
        <w:rPr>
          <w:sz w:val="20"/>
          <w:szCs w:val="20"/>
          <w:color w:val="auto"/>
        </w:rPr>
      </w:pPr>
    </w:p>
    <w:tbl>
      <w:tblPr>
        <w:tblLayout w:type="fixed"/>
        <w:tblInd w:w="200" w:type="dxa"/>
        <w:tblCellMar>
          <w:top w:w="0" w:type="dxa"/>
          <w:left w:w="0" w:type="dxa"/>
          <w:bottom w:w="0" w:type="dxa"/>
          <w:right w:w="0" w:type="dxa"/>
        </w:tblCellMar>
      </w:tblPr>
      <w:tr>
        <w:trPr>
          <w:trHeight w:val="275"/>
        </w:trPr>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80" w:type="dxa"/>
            <w:vAlign w:val="bottom"/>
            <w:gridSpan w:val="3"/>
          </w:tcPr>
          <w:p>
            <w:pPr>
              <w:ind w:left="2100"/>
              <w:spacing w:after="0"/>
              <w:rPr>
                <w:sz w:val="20"/>
                <w:szCs w:val="20"/>
                <w:color w:val="auto"/>
              </w:rPr>
            </w:pPr>
            <w:r>
              <w:rPr>
                <w:rFonts w:ascii="Arial" w:cs="Arial" w:eastAsia="Arial" w:hAnsi="Arial"/>
                <w:sz w:val="22"/>
                <w:szCs w:val="22"/>
                <w:color w:val="auto"/>
              </w:rPr>
              <w:t xml:space="preserve">i  </w:t>
            </w:r>
            <w:r>
              <w:rPr>
                <w:rFonts w:ascii="Arial" w:cs="Arial" w:eastAsia="Arial" w:hAnsi="Arial"/>
                <w:sz w:val="18"/>
                <w:szCs w:val="18"/>
                <w:color w:val="auto"/>
              </w:rPr>
              <w:t>Please detach along perforated line and mail in the envelope provided.</w:t>
            </w:r>
            <w:r>
              <w:rPr>
                <w:rFonts w:ascii="Arial" w:cs="Arial" w:eastAsia="Arial" w:hAnsi="Arial"/>
                <w:sz w:val="22"/>
                <w:szCs w:val="22"/>
                <w:color w:val="auto"/>
              </w:rPr>
              <w:t xml:space="preserve"> i</w:t>
            </w:r>
          </w:p>
        </w:tc>
        <w:tc>
          <w:tcPr>
            <w:tcW w:w="4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24"/>
        </w:trPr>
        <w:tc>
          <w:tcPr>
            <w:tcW w:w="320" w:type="dxa"/>
            <w:vAlign w:val="bottom"/>
            <w:gridSpan w:val="2"/>
          </w:tcPr>
          <w:p>
            <w:pPr>
              <w:spacing w:after="0" w:line="221" w:lineRule="exact"/>
              <w:rPr>
                <w:sz w:val="20"/>
                <w:szCs w:val="20"/>
                <w:color w:val="auto"/>
              </w:rPr>
            </w:pPr>
            <w:r>
              <w:rPr>
                <w:rFonts w:ascii="MS PGothic" w:cs="MS PGothic" w:eastAsia="MS PGothic" w:hAnsi="MS PGothic"/>
                <w:sz w:val="22"/>
                <w:szCs w:val="22"/>
                <w:color w:val="auto"/>
              </w:rPr>
              <w:t>∎</w:t>
            </w:r>
          </w:p>
        </w:tc>
        <w:tc>
          <w:tcPr>
            <w:tcW w:w="3500" w:type="dxa"/>
            <w:vAlign w:val="bottom"/>
          </w:tcPr>
          <w:p>
            <w:pPr>
              <w:jc w:val="right"/>
              <w:ind w:right="1290"/>
              <w:spacing w:after="0"/>
              <w:rPr>
                <w:sz w:val="20"/>
                <w:szCs w:val="20"/>
                <w:color w:val="auto"/>
              </w:rPr>
            </w:pPr>
            <w:r>
              <w:rPr>
                <w:rFonts w:ascii="Arial" w:cs="Arial" w:eastAsia="Arial" w:hAnsi="Arial"/>
                <w:sz w:val="18"/>
                <w:szCs w:val="18"/>
                <w:color w:val="auto"/>
                <w:w w:val="98"/>
              </w:rPr>
              <w:t>00003333333303030000 2</w:t>
            </w:r>
          </w:p>
        </w:tc>
        <w:tc>
          <w:tcPr>
            <w:tcW w:w="460" w:type="dxa"/>
            <w:vAlign w:val="bottom"/>
          </w:tcPr>
          <w:p>
            <w:pPr>
              <w:spacing w:after="0"/>
              <w:rPr>
                <w:sz w:val="24"/>
                <w:szCs w:val="24"/>
                <w:color w:val="auto"/>
              </w:rPr>
            </w:pPr>
          </w:p>
        </w:tc>
        <w:tc>
          <w:tcPr>
            <w:tcW w:w="4720" w:type="dxa"/>
            <w:vAlign w:val="bottom"/>
          </w:tcPr>
          <w:p>
            <w:pPr>
              <w:ind w:left="4080"/>
              <w:spacing w:after="0"/>
              <w:rPr>
                <w:sz w:val="20"/>
                <w:szCs w:val="20"/>
                <w:color w:val="auto"/>
              </w:rPr>
            </w:pPr>
            <w:r>
              <w:rPr>
                <w:rFonts w:ascii="Arial" w:cs="Arial" w:eastAsia="Arial" w:hAnsi="Arial"/>
                <w:sz w:val="18"/>
                <w:szCs w:val="18"/>
                <w:color w:val="auto"/>
              </w:rPr>
              <w:t>050119</w:t>
            </w: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740" w:type="dxa"/>
            <w:vAlign w:val="bottom"/>
            <w:tcBorders>
              <w:bottom w:val="single" w:sz="8" w:color="auto"/>
            </w:tcBorders>
            <w:gridSpan w:val="6"/>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740" w:type="dxa"/>
            <w:vAlign w:val="bottom"/>
            <w:tcBorders>
              <w:right w:val="single" w:sz="8" w:color="auto"/>
            </w:tcBorders>
            <w:gridSpan w:val="6"/>
          </w:tcPr>
          <w:p>
            <w:pPr>
              <w:jc w:val="center"/>
              <w:ind w:right="12"/>
              <w:spacing w:after="0"/>
              <w:rPr>
                <w:sz w:val="20"/>
                <w:szCs w:val="20"/>
                <w:color w:val="auto"/>
              </w:rPr>
            </w:pPr>
            <w:r>
              <w:rPr>
                <w:rFonts w:ascii="Arial" w:cs="Arial" w:eastAsia="Arial" w:hAnsi="Arial"/>
                <w:sz w:val="9"/>
                <w:szCs w:val="9"/>
                <w:color w:val="auto"/>
                <w:w w:val="96"/>
              </w:rPr>
              <w:t>THIS PROXY WHEN PROPERLY EXECUTED WILL BE VOTED AS DIRECTED BY THE UNDERSIGNED SHAREHOLDER. IF NO DIRECTION IS GIVEN, THIS PROXY WILL BE VOTED “FOR” ALL NOMINEES IN PROPOSAL 1, “FOR” PROPOSALS 2 AND 3</w:t>
            </w:r>
          </w:p>
        </w:tc>
        <w:tc>
          <w:tcPr>
            <w:tcW w:w="0" w:type="dxa"/>
            <w:vAlign w:val="bottom"/>
          </w:tcPr>
          <w:p>
            <w:pPr>
              <w:spacing w:after="0"/>
              <w:rPr>
                <w:sz w:val="1"/>
                <w:szCs w:val="1"/>
                <w:color w:val="auto"/>
              </w:rPr>
            </w:pPr>
          </w:p>
        </w:tc>
      </w:tr>
      <w:tr>
        <w:trPr>
          <w:trHeight w:val="114"/>
        </w:trPr>
        <w:tc>
          <w:tcPr>
            <w:tcW w:w="40" w:type="dxa"/>
            <w:vAlign w:val="bottom"/>
            <w:tcBorders>
              <w:right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9840" w:type="dxa"/>
            <w:vAlign w:val="bottom"/>
            <w:gridSpan w:val="5"/>
          </w:tcPr>
          <w:p>
            <w:pPr>
              <w:jc w:val="center"/>
              <w:ind w:left="710"/>
              <w:spacing w:after="0"/>
              <w:rPr>
                <w:sz w:val="20"/>
                <w:szCs w:val="20"/>
                <w:color w:val="auto"/>
              </w:rPr>
            </w:pPr>
            <w:r>
              <w:rPr>
                <w:rFonts w:ascii="Arial" w:cs="Arial" w:eastAsia="Arial" w:hAnsi="Arial"/>
                <w:sz w:val="9"/>
                <w:szCs w:val="9"/>
                <w:color w:val="auto"/>
                <w:w w:val="96"/>
              </w:rPr>
              <w:t>AND THE PROXIES WILL VOTE IN THEIR SOLE JUDGMENT UPON ANY OTHER MATTERS PROPERLY COMING BEFORE THE MEETING OR ANY POSTPONEMENT OR ADJOURNMENT THEREOF.</w:t>
            </w:r>
          </w:p>
        </w:tc>
        <w:tc>
          <w:tcPr>
            <w:tcW w:w="9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9840" w:type="dxa"/>
            <w:vAlign w:val="bottom"/>
            <w:gridSpan w:val="5"/>
          </w:tcPr>
          <w:p>
            <w:pPr>
              <w:ind w:left="640"/>
              <w:spacing w:after="0"/>
              <w:rPr>
                <w:sz w:val="20"/>
                <w:szCs w:val="20"/>
                <w:color w:val="auto"/>
              </w:rPr>
            </w:pPr>
            <w:r>
              <w:rPr>
                <w:rFonts w:ascii="Arial" w:cs="Arial" w:eastAsia="Arial" w:hAnsi="Arial"/>
                <w:sz w:val="13"/>
                <w:szCs w:val="13"/>
                <w:b w:val="1"/>
                <w:bCs w:val="1"/>
                <w:color w:val="auto"/>
                <w:w w:val="97"/>
              </w:rPr>
              <w:t>PLEASE SIGN, DATE AND RETURN PROMPTLY IN THE ENCLOSED ENVELOPE. PLEASE MARK YOUR VOTE IN BLUE OR BLACK INK AS SHOWN HERE</w:t>
            </w:r>
          </w:p>
        </w:tc>
        <w:tc>
          <w:tcPr>
            <w:tcW w:w="900" w:type="dxa"/>
            <w:vAlign w:val="bottom"/>
            <w:tcBorders>
              <w:right w:val="single" w:sz="8" w:color="auto"/>
            </w:tcBorders>
          </w:tcPr>
          <w:p>
            <w:pPr>
              <w:ind w:left="40"/>
              <w:spacing w:after="0" w:line="131" w:lineRule="exact"/>
              <w:rPr>
                <w:sz w:val="20"/>
                <w:szCs w:val="20"/>
                <w:color w:val="auto"/>
              </w:rPr>
            </w:pP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r>
        <w:trPr>
          <w:trHeight w:val="43"/>
        </w:trPr>
        <w:tc>
          <w:tcPr>
            <w:tcW w:w="40" w:type="dxa"/>
            <w:vAlign w:val="bottom"/>
            <w:tcBorders>
              <w:right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35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5180" w:type="dxa"/>
            <w:vAlign w:val="bottom"/>
            <w:tcBorders>
              <w:bottom w:val="single" w:sz="8" w:color="auto"/>
            </w:tcBorders>
            <w:gridSpan w:val="2"/>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5180" w:type="dxa"/>
            <w:vAlign w:val="bottom"/>
            <w:gridSpan w:val="2"/>
          </w:tcPr>
          <w:p>
            <w:pPr>
              <w:ind w:left="80"/>
              <w:spacing w:after="0"/>
              <w:rPr>
                <w:sz w:val="20"/>
                <w:szCs w:val="20"/>
                <w:color w:val="auto"/>
              </w:rPr>
            </w:pPr>
            <w:r>
              <w:rPr>
                <w:rFonts w:ascii="Arial" w:cs="Arial" w:eastAsia="Arial" w:hAnsi="Arial"/>
                <w:sz w:val="14"/>
                <w:szCs w:val="14"/>
                <w:color w:val="auto"/>
                <w:w w:val="97"/>
              </w:rPr>
              <w:t>1. To elect the following Trustees as set forth in the accompanying Proxy Statement:</w:t>
            </w: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4720" w:type="dxa"/>
            <w:vAlign w:val="bottom"/>
          </w:tcPr>
          <w:p>
            <w:pPr>
              <w:spacing w:after="0"/>
              <w:rPr>
                <w:sz w:val="10"/>
                <w:szCs w:val="10"/>
                <w:color w:val="auto"/>
              </w:rPr>
            </w:pPr>
          </w:p>
        </w:tc>
        <w:tc>
          <w:tcPr>
            <w:tcW w:w="460" w:type="dxa"/>
            <w:vAlign w:val="bottom"/>
          </w:tcPr>
          <w:p>
            <w:pPr>
              <w:ind w:left="100"/>
              <w:spacing w:after="0" w:line="123" w:lineRule="exact"/>
              <w:rPr>
                <w:sz w:val="20"/>
                <w:szCs w:val="20"/>
                <w:color w:val="auto"/>
              </w:rPr>
            </w:pPr>
            <w:r>
              <w:rPr>
                <w:rFonts w:ascii="Arial" w:cs="Arial" w:eastAsia="Arial" w:hAnsi="Arial"/>
                <w:sz w:val="13"/>
                <w:szCs w:val="13"/>
                <w:color w:val="auto"/>
              </w:rPr>
              <w:t>FOR</w:t>
            </w:r>
          </w:p>
        </w:tc>
        <w:tc>
          <w:tcPr>
            <w:tcW w:w="700" w:type="dxa"/>
            <w:vAlign w:val="bottom"/>
          </w:tcPr>
          <w:p>
            <w:pPr>
              <w:jc w:val="center"/>
              <w:spacing w:after="0" w:line="123" w:lineRule="exact"/>
              <w:rPr>
                <w:sz w:val="20"/>
                <w:szCs w:val="20"/>
                <w:color w:val="auto"/>
              </w:rPr>
            </w:pPr>
            <w:r>
              <w:rPr>
                <w:rFonts w:ascii="Arial" w:cs="Arial" w:eastAsia="Arial" w:hAnsi="Arial"/>
                <w:sz w:val="13"/>
                <w:szCs w:val="13"/>
                <w:color w:val="auto"/>
                <w:w w:val="98"/>
              </w:rPr>
              <w:t>AGAINST</w:t>
            </w:r>
          </w:p>
        </w:tc>
        <w:tc>
          <w:tcPr>
            <w:tcW w:w="900" w:type="dxa"/>
            <w:vAlign w:val="bottom"/>
          </w:tcPr>
          <w:p>
            <w:pPr>
              <w:jc w:val="center"/>
              <w:ind w:left="52"/>
              <w:spacing w:after="0" w:line="123" w:lineRule="exact"/>
              <w:rPr>
                <w:sz w:val="20"/>
                <w:szCs w:val="20"/>
                <w:color w:val="auto"/>
              </w:rPr>
            </w:pPr>
            <w:r>
              <w:rPr>
                <w:rFonts w:ascii="Arial" w:cs="Arial" w:eastAsia="Arial" w:hAnsi="Arial"/>
                <w:sz w:val="13"/>
                <w:szCs w:val="13"/>
                <w:color w:val="auto"/>
                <w:w w:val="96"/>
              </w:rPr>
              <w:t>ABSTAIN</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4720" w:type="dxa"/>
            <w:vAlign w:val="bottom"/>
            <w:vMerge w:val="restart"/>
          </w:tcPr>
          <w:p>
            <w:pPr>
              <w:ind w:left="440"/>
              <w:spacing w:after="0"/>
              <w:rPr>
                <w:sz w:val="20"/>
                <w:szCs w:val="20"/>
                <w:color w:val="auto"/>
              </w:rPr>
            </w:pPr>
            <w:r>
              <w:rPr>
                <w:rFonts w:ascii="Arial" w:cs="Arial" w:eastAsia="Arial" w:hAnsi="Arial"/>
                <w:sz w:val="14"/>
                <w:szCs w:val="14"/>
                <w:color w:val="auto"/>
              </w:rPr>
              <w:t>Jon E. Bortz</w:t>
            </w:r>
          </w:p>
        </w:tc>
        <w:tc>
          <w:tcPr>
            <w:tcW w:w="460" w:type="dxa"/>
            <w:vAlign w:val="bottom"/>
          </w:tcPr>
          <w:p>
            <w:pPr>
              <w:ind w:left="100"/>
              <w:spacing w:after="0" w:line="216" w:lineRule="exact"/>
              <w:rPr>
                <w:sz w:val="20"/>
                <w:szCs w:val="20"/>
                <w:color w:val="auto"/>
              </w:rPr>
            </w:pPr>
            <w:r>
              <w:rPr>
                <w:rFonts w:ascii="MS PGothic" w:cs="MS PGothic" w:eastAsia="MS PGothic" w:hAnsi="MS PGothic"/>
                <w:sz w:val="25"/>
                <w:szCs w:val="25"/>
                <w:color w:val="auto"/>
              </w:rPr>
              <w:t>☐</w:t>
            </w:r>
          </w:p>
        </w:tc>
        <w:tc>
          <w:tcPr>
            <w:tcW w:w="700" w:type="dxa"/>
            <w:vAlign w:val="bottom"/>
          </w:tcPr>
          <w:p>
            <w:pPr>
              <w:jc w:val="center"/>
              <w:spacing w:after="0" w:line="216" w:lineRule="exact"/>
              <w:rPr>
                <w:sz w:val="20"/>
                <w:szCs w:val="20"/>
                <w:color w:val="auto"/>
              </w:rPr>
            </w:pPr>
            <w:r>
              <w:rPr>
                <w:rFonts w:ascii="MS PGothic" w:cs="MS PGothic" w:eastAsia="MS PGothic" w:hAnsi="MS PGothic"/>
                <w:sz w:val="25"/>
                <w:szCs w:val="25"/>
                <w:color w:val="auto"/>
                <w:w w:val="95"/>
              </w:rPr>
              <w:t>☐</w:t>
            </w:r>
          </w:p>
        </w:tc>
        <w:tc>
          <w:tcPr>
            <w:tcW w:w="900" w:type="dxa"/>
            <w:vAlign w:val="bottom"/>
          </w:tcPr>
          <w:p>
            <w:pPr>
              <w:jc w:val="center"/>
              <w:ind w:left="52"/>
              <w:spacing w:after="0" w:line="216" w:lineRule="exact"/>
              <w:rPr>
                <w:sz w:val="20"/>
                <w:szCs w:val="20"/>
                <w:color w:val="auto"/>
              </w:rPr>
            </w:pPr>
            <w:r>
              <w:rPr>
                <w:rFonts w:ascii="MS PGothic" w:cs="MS PGothic" w:eastAsia="MS PGothic" w:hAnsi="MS PGothic"/>
                <w:sz w:val="25"/>
                <w:szCs w:val="25"/>
                <w:color w:val="auto"/>
                <w:w w:val="87"/>
              </w:rPr>
              <w:t>☐</w:t>
            </w:r>
          </w:p>
        </w:tc>
        <w:tc>
          <w:tcPr>
            <w:tcW w:w="0" w:type="dxa"/>
            <w:vAlign w:val="bottom"/>
          </w:tcPr>
          <w:p>
            <w:pPr>
              <w:spacing w:after="0"/>
              <w:rPr>
                <w:sz w:val="1"/>
                <w:szCs w:val="1"/>
                <w:color w:val="auto"/>
              </w:rPr>
            </w:pPr>
          </w:p>
        </w:tc>
      </w:tr>
      <w:tr>
        <w:trPr>
          <w:trHeight w:val="42"/>
        </w:trPr>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500" w:type="dxa"/>
            <w:vAlign w:val="bottom"/>
          </w:tcPr>
          <w:p>
            <w:pPr>
              <w:spacing w:after="0"/>
              <w:rPr>
                <w:sz w:val="3"/>
                <w:szCs w:val="3"/>
                <w:color w:val="auto"/>
              </w:rPr>
            </w:pPr>
          </w:p>
        </w:tc>
        <w:tc>
          <w:tcPr>
            <w:tcW w:w="460" w:type="dxa"/>
            <w:vAlign w:val="bottom"/>
            <w:tcBorders>
              <w:right w:val="single" w:sz="8" w:color="auto"/>
            </w:tcBorders>
          </w:tcPr>
          <w:p>
            <w:pPr>
              <w:spacing w:after="0"/>
              <w:rPr>
                <w:sz w:val="3"/>
                <w:szCs w:val="3"/>
                <w:color w:val="auto"/>
              </w:rPr>
            </w:pPr>
          </w:p>
        </w:tc>
        <w:tc>
          <w:tcPr>
            <w:tcW w:w="4720" w:type="dxa"/>
            <w:vAlign w:val="bottom"/>
            <w:vMerge w:val="continue"/>
          </w:tcPr>
          <w:p>
            <w:pPr>
              <w:spacing w:after="0"/>
              <w:rPr>
                <w:sz w:val="3"/>
                <w:szCs w:val="3"/>
                <w:color w:val="auto"/>
              </w:rPr>
            </w:pPr>
          </w:p>
        </w:tc>
        <w:tc>
          <w:tcPr>
            <w:tcW w:w="460" w:type="dxa"/>
            <w:vAlign w:val="bottom"/>
            <w:vMerge w:val="restart"/>
          </w:tcPr>
          <w:p>
            <w:pPr>
              <w:ind w:left="100"/>
              <w:spacing w:after="0" w:line="251" w:lineRule="exact"/>
              <w:rPr>
                <w:sz w:val="20"/>
                <w:szCs w:val="20"/>
                <w:color w:val="auto"/>
              </w:rPr>
            </w:pPr>
            <w:r>
              <w:rPr>
                <w:rFonts w:ascii="MS PGothic" w:cs="MS PGothic" w:eastAsia="MS PGothic" w:hAnsi="MS PGothic"/>
                <w:sz w:val="25"/>
                <w:szCs w:val="25"/>
                <w:color w:val="auto"/>
              </w:rPr>
              <w:t>☐</w:t>
            </w:r>
          </w:p>
        </w:tc>
        <w:tc>
          <w:tcPr>
            <w:tcW w:w="700" w:type="dxa"/>
            <w:vAlign w:val="bottom"/>
            <w:vMerge w:val="restart"/>
          </w:tcPr>
          <w:p>
            <w:pPr>
              <w:jc w:val="center"/>
              <w:spacing w:after="0" w:line="251" w:lineRule="exact"/>
              <w:rPr>
                <w:sz w:val="20"/>
                <w:szCs w:val="20"/>
                <w:color w:val="auto"/>
              </w:rPr>
            </w:pPr>
            <w:r>
              <w:rPr>
                <w:rFonts w:ascii="MS PGothic" w:cs="MS PGothic" w:eastAsia="MS PGothic" w:hAnsi="MS PGothic"/>
                <w:sz w:val="25"/>
                <w:szCs w:val="25"/>
                <w:color w:val="auto"/>
                <w:w w:val="95"/>
              </w:rPr>
              <w:t>☐</w:t>
            </w:r>
          </w:p>
        </w:tc>
        <w:tc>
          <w:tcPr>
            <w:tcW w:w="900" w:type="dxa"/>
            <w:vAlign w:val="bottom"/>
            <w:vMerge w:val="restart"/>
          </w:tcPr>
          <w:p>
            <w:pPr>
              <w:jc w:val="center"/>
              <w:ind w:left="52"/>
              <w:spacing w:after="0" w:line="251" w:lineRule="exact"/>
              <w:rPr>
                <w:sz w:val="20"/>
                <w:szCs w:val="20"/>
                <w:color w:val="auto"/>
              </w:rPr>
            </w:pPr>
            <w:r>
              <w:rPr>
                <w:rFonts w:ascii="MS PGothic" w:cs="MS PGothic" w:eastAsia="MS PGothic" w:hAnsi="MS PGothic"/>
                <w:sz w:val="25"/>
                <w:szCs w:val="25"/>
                <w:color w:val="auto"/>
                <w:w w:val="87"/>
              </w:rPr>
              <w:t>☐</w:t>
            </w: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460" w:type="dxa"/>
            <w:vAlign w:val="bottom"/>
            <w:tcBorders>
              <w:right w:val="single" w:sz="8" w:color="auto"/>
            </w:tcBorders>
          </w:tcPr>
          <w:p>
            <w:pPr>
              <w:spacing w:after="0"/>
              <w:rPr>
                <w:sz w:val="22"/>
                <w:szCs w:val="22"/>
                <w:color w:val="auto"/>
              </w:rPr>
            </w:pPr>
          </w:p>
        </w:tc>
        <w:tc>
          <w:tcPr>
            <w:tcW w:w="4720" w:type="dxa"/>
            <w:vAlign w:val="bottom"/>
            <w:vMerge w:val="restart"/>
          </w:tcPr>
          <w:p>
            <w:pPr>
              <w:ind w:left="440"/>
              <w:spacing w:after="0"/>
              <w:rPr>
                <w:sz w:val="20"/>
                <w:szCs w:val="20"/>
                <w:color w:val="auto"/>
              </w:rPr>
            </w:pPr>
            <w:r>
              <w:rPr>
                <w:rFonts w:ascii="Arial" w:cs="Arial" w:eastAsia="Arial" w:hAnsi="Arial"/>
                <w:sz w:val="14"/>
                <w:szCs w:val="14"/>
                <w:color w:val="auto"/>
              </w:rPr>
              <w:t>David W. Faeder</w:t>
            </w:r>
          </w:p>
        </w:tc>
        <w:tc>
          <w:tcPr>
            <w:tcW w:w="460" w:type="dxa"/>
            <w:vAlign w:val="bottom"/>
            <w:vMerge w:val="continue"/>
          </w:tcPr>
          <w:p>
            <w:pPr>
              <w:spacing w:after="0"/>
              <w:rPr>
                <w:sz w:val="22"/>
                <w:szCs w:val="22"/>
                <w:color w:val="auto"/>
              </w:rPr>
            </w:pPr>
          </w:p>
        </w:tc>
        <w:tc>
          <w:tcPr>
            <w:tcW w:w="700" w:type="dxa"/>
            <w:vAlign w:val="bottom"/>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2"/>
        </w:trPr>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500" w:type="dxa"/>
            <w:vAlign w:val="bottom"/>
          </w:tcPr>
          <w:p>
            <w:pPr>
              <w:spacing w:after="0"/>
              <w:rPr>
                <w:sz w:val="3"/>
                <w:szCs w:val="3"/>
                <w:color w:val="auto"/>
              </w:rPr>
            </w:pPr>
          </w:p>
        </w:tc>
        <w:tc>
          <w:tcPr>
            <w:tcW w:w="460" w:type="dxa"/>
            <w:vAlign w:val="bottom"/>
            <w:tcBorders>
              <w:right w:val="single" w:sz="8" w:color="auto"/>
            </w:tcBorders>
          </w:tcPr>
          <w:p>
            <w:pPr>
              <w:spacing w:after="0"/>
              <w:rPr>
                <w:sz w:val="3"/>
                <w:szCs w:val="3"/>
                <w:color w:val="auto"/>
              </w:rPr>
            </w:pPr>
          </w:p>
        </w:tc>
        <w:tc>
          <w:tcPr>
            <w:tcW w:w="4720" w:type="dxa"/>
            <w:vAlign w:val="bottom"/>
            <w:vMerge w:val="continue"/>
          </w:tcPr>
          <w:p>
            <w:pPr>
              <w:spacing w:after="0"/>
              <w:rPr>
                <w:sz w:val="3"/>
                <w:szCs w:val="3"/>
                <w:color w:val="auto"/>
              </w:rPr>
            </w:pPr>
          </w:p>
        </w:tc>
        <w:tc>
          <w:tcPr>
            <w:tcW w:w="460" w:type="dxa"/>
            <w:vAlign w:val="bottom"/>
            <w:vMerge w:val="restart"/>
          </w:tcPr>
          <w:p>
            <w:pPr>
              <w:ind w:left="100"/>
              <w:spacing w:after="0" w:line="251" w:lineRule="exact"/>
              <w:rPr>
                <w:sz w:val="20"/>
                <w:szCs w:val="20"/>
                <w:color w:val="auto"/>
              </w:rPr>
            </w:pPr>
            <w:r>
              <w:rPr>
                <w:rFonts w:ascii="MS PGothic" w:cs="MS PGothic" w:eastAsia="MS PGothic" w:hAnsi="MS PGothic"/>
                <w:sz w:val="25"/>
                <w:szCs w:val="25"/>
                <w:color w:val="auto"/>
              </w:rPr>
              <w:t>☐</w:t>
            </w:r>
          </w:p>
        </w:tc>
        <w:tc>
          <w:tcPr>
            <w:tcW w:w="700" w:type="dxa"/>
            <w:vAlign w:val="bottom"/>
            <w:vMerge w:val="restart"/>
          </w:tcPr>
          <w:p>
            <w:pPr>
              <w:jc w:val="center"/>
              <w:spacing w:after="0" w:line="251" w:lineRule="exact"/>
              <w:rPr>
                <w:sz w:val="20"/>
                <w:szCs w:val="20"/>
                <w:color w:val="auto"/>
              </w:rPr>
            </w:pPr>
            <w:r>
              <w:rPr>
                <w:rFonts w:ascii="MS PGothic" w:cs="MS PGothic" w:eastAsia="MS PGothic" w:hAnsi="MS PGothic"/>
                <w:sz w:val="25"/>
                <w:szCs w:val="25"/>
                <w:color w:val="auto"/>
                <w:w w:val="95"/>
              </w:rPr>
              <w:t>☐</w:t>
            </w:r>
          </w:p>
        </w:tc>
        <w:tc>
          <w:tcPr>
            <w:tcW w:w="900" w:type="dxa"/>
            <w:vAlign w:val="bottom"/>
            <w:vMerge w:val="restart"/>
          </w:tcPr>
          <w:p>
            <w:pPr>
              <w:jc w:val="center"/>
              <w:ind w:left="52"/>
              <w:spacing w:after="0" w:line="251" w:lineRule="exact"/>
              <w:rPr>
                <w:sz w:val="20"/>
                <w:szCs w:val="20"/>
                <w:color w:val="auto"/>
              </w:rPr>
            </w:pPr>
            <w:r>
              <w:rPr>
                <w:rFonts w:ascii="MS PGothic" w:cs="MS PGothic" w:eastAsia="MS PGothic" w:hAnsi="MS PGothic"/>
                <w:sz w:val="25"/>
                <w:szCs w:val="25"/>
                <w:color w:val="auto"/>
                <w:w w:val="87"/>
              </w:rPr>
              <w:t>☐</w:t>
            </w: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460" w:type="dxa"/>
            <w:vAlign w:val="bottom"/>
            <w:tcBorders>
              <w:right w:val="single" w:sz="8" w:color="auto"/>
            </w:tcBorders>
          </w:tcPr>
          <w:p>
            <w:pPr>
              <w:spacing w:after="0"/>
              <w:rPr>
                <w:sz w:val="22"/>
                <w:szCs w:val="22"/>
                <w:color w:val="auto"/>
              </w:rPr>
            </w:pPr>
          </w:p>
        </w:tc>
        <w:tc>
          <w:tcPr>
            <w:tcW w:w="4720" w:type="dxa"/>
            <w:vAlign w:val="bottom"/>
            <w:vMerge w:val="restart"/>
          </w:tcPr>
          <w:p>
            <w:pPr>
              <w:ind w:left="440"/>
              <w:spacing w:after="0"/>
              <w:rPr>
                <w:sz w:val="20"/>
                <w:szCs w:val="20"/>
                <w:color w:val="auto"/>
              </w:rPr>
            </w:pPr>
            <w:r>
              <w:rPr>
                <w:rFonts w:ascii="Arial" w:cs="Arial" w:eastAsia="Arial" w:hAnsi="Arial"/>
                <w:sz w:val="14"/>
                <w:szCs w:val="14"/>
                <w:color w:val="auto"/>
              </w:rPr>
              <w:t>Elizabeth I. Holland</w:t>
            </w:r>
          </w:p>
        </w:tc>
        <w:tc>
          <w:tcPr>
            <w:tcW w:w="460" w:type="dxa"/>
            <w:vAlign w:val="bottom"/>
            <w:vMerge w:val="continue"/>
          </w:tcPr>
          <w:p>
            <w:pPr>
              <w:spacing w:after="0"/>
              <w:rPr>
                <w:sz w:val="22"/>
                <w:szCs w:val="22"/>
                <w:color w:val="auto"/>
              </w:rPr>
            </w:pPr>
          </w:p>
        </w:tc>
        <w:tc>
          <w:tcPr>
            <w:tcW w:w="700" w:type="dxa"/>
            <w:vAlign w:val="bottom"/>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2"/>
        </w:trPr>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500" w:type="dxa"/>
            <w:vAlign w:val="bottom"/>
          </w:tcPr>
          <w:p>
            <w:pPr>
              <w:spacing w:after="0"/>
              <w:rPr>
                <w:sz w:val="3"/>
                <w:szCs w:val="3"/>
                <w:color w:val="auto"/>
              </w:rPr>
            </w:pPr>
          </w:p>
        </w:tc>
        <w:tc>
          <w:tcPr>
            <w:tcW w:w="460" w:type="dxa"/>
            <w:vAlign w:val="bottom"/>
            <w:tcBorders>
              <w:right w:val="single" w:sz="8" w:color="auto"/>
            </w:tcBorders>
          </w:tcPr>
          <w:p>
            <w:pPr>
              <w:spacing w:after="0"/>
              <w:rPr>
                <w:sz w:val="3"/>
                <w:szCs w:val="3"/>
                <w:color w:val="auto"/>
              </w:rPr>
            </w:pPr>
          </w:p>
        </w:tc>
        <w:tc>
          <w:tcPr>
            <w:tcW w:w="4720" w:type="dxa"/>
            <w:vAlign w:val="bottom"/>
            <w:vMerge w:val="continue"/>
          </w:tcPr>
          <w:p>
            <w:pPr>
              <w:spacing w:after="0"/>
              <w:rPr>
                <w:sz w:val="3"/>
                <w:szCs w:val="3"/>
                <w:color w:val="auto"/>
              </w:rPr>
            </w:pPr>
          </w:p>
        </w:tc>
        <w:tc>
          <w:tcPr>
            <w:tcW w:w="460" w:type="dxa"/>
            <w:vAlign w:val="bottom"/>
            <w:vMerge w:val="restart"/>
          </w:tcPr>
          <w:p>
            <w:pPr>
              <w:ind w:left="100"/>
              <w:spacing w:after="0" w:line="251" w:lineRule="exact"/>
              <w:rPr>
                <w:sz w:val="20"/>
                <w:szCs w:val="20"/>
                <w:color w:val="auto"/>
              </w:rPr>
            </w:pPr>
            <w:r>
              <w:rPr>
                <w:rFonts w:ascii="MS PGothic" w:cs="MS PGothic" w:eastAsia="MS PGothic" w:hAnsi="MS PGothic"/>
                <w:sz w:val="25"/>
                <w:szCs w:val="25"/>
                <w:color w:val="auto"/>
              </w:rPr>
              <w:t>☐</w:t>
            </w:r>
          </w:p>
        </w:tc>
        <w:tc>
          <w:tcPr>
            <w:tcW w:w="700" w:type="dxa"/>
            <w:vAlign w:val="bottom"/>
            <w:vMerge w:val="restart"/>
          </w:tcPr>
          <w:p>
            <w:pPr>
              <w:jc w:val="center"/>
              <w:spacing w:after="0" w:line="251" w:lineRule="exact"/>
              <w:rPr>
                <w:sz w:val="20"/>
                <w:szCs w:val="20"/>
                <w:color w:val="auto"/>
              </w:rPr>
            </w:pPr>
            <w:r>
              <w:rPr>
                <w:rFonts w:ascii="MS PGothic" w:cs="MS PGothic" w:eastAsia="MS PGothic" w:hAnsi="MS PGothic"/>
                <w:sz w:val="25"/>
                <w:szCs w:val="25"/>
                <w:color w:val="auto"/>
                <w:w w:val="95"/>
              </w:rPr>
              <w:t>☐</w:t>
            </w:r>
          </w:p>
        </w:tc>
        <w:tc>
          <w:tcPr>
            <w:tcW w:w="900" w:type="dxa"/>
            <w:vAlign w:val="bottom"/>
            <w:vMerge w:val="restart"/>
          </w:tcPr>
          <w:p>
            <w:pPr>
              <w:jc w:val="center"/>
              <w:ind w:left="52"/>
              <w:spacing w:after="0" w:line="251" w:lineRule="exact"/>
              <w:rPr>
                <w:sz w:val="20"/>
                <w:szCs w:val="20"/>
                <w:color w:val="auto"/>
              </w:rPr>
            </w:pPr>
            <w:r>
              <w:rPr>
                <w:rFonts w:ascii="MS PGothic" w:cs="MS PGothic" w:eastAsia="MS PGothic" w:hAnsi="MS PGothic"/>
                <w:sz w:val="25"/>
                <w:szCs w:val="25"/>
                <w:color w:val="auto"/>
                <w:w w:val="87"/>
              </w:rPr>
              <w:t>☐</w:t>
            </w: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460" w:type="dxa"/>
            <w:vAlign w:val="bottom"/>
            <w:tcBorders>
              <w:right w:val="single" w:sz="8" w:color="auto"/>
            </w:tcBorders>
          </w:tcPr>
          <w:p>
            <w:pPr>
              <w:spacing w:after="0"/>
              <w:rPr>
                <w:sz w:val="22"/>
                <w:szCs w:val="22"/>
                <w:color w:val="auto"/>
              </w:rPr>
            </w:pPr>
          </w:p>
        </w:tc>
        <w:tc>
          <w:tcPr>
            <w:tcW w:w="4720" w:type="dxa"/>
            <w:vAlign w:val="bottom"/>
            <w:vMerge w:val="restart"/>
          </w:tcPr>
          <w:p>
            <w:pPr>
              <w:ind w:left="440"/>
              <w:spacing w:after="0"/>
              <w:rPr>
                <w:sz w:val="20"/>
                <w:szCs w:val="20"/>
                <w:color w:val="auto"/>
              </w:rPr>
            </w:pPr>
            <w:r>
              <w:rPr>
                <w:rFonts w:ascii="Arial" w:cs="Arial" w:eastAsia="Arial" w:hAnsi="Arial"/>
                <w:sz w:val="14"/>
                <w:szCs w:val="14"/>
                <w:color w:val="auto"/>
              </w:rPr>
              <w:t>Mark S. Ordan</w:t>
            </w:r>
          </w:p>
        </w:tc>
        <w:tc>
          <w:tcPr>
            <w:tcW w:w="460" w:type="dxa"/>
            <w:vAlign w:val="bottom"/>
            <w:vMerge w:val="continue"/>
          </w:tcPr>
          <w:p>
            <w:pPr>
              <w:spacing w:after="0"/>
              <w:rPr>
                <w:sz w:val="22"/>
                <w:szCs w:val="22"/>
                <w:color w:val="auto"/>
              </w:rPr>
            </w:pPr>
          </w:p>
        </w:tc>
        <w:tc>
          <w:tcPr>
            <w:tcW w:w="700" w:type="dxa"/>
            <w:vAlign w:val="bottom"/>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2"/>
        </w:trPr>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500" w:type="dxa"/>
            <w:vAlign w:val="bottom"/>
          </w:tcPr>
          <w:p>
            <w:pPr>
              <w:spacing w:after="0"/>
              <w:rPr>
                <w:sz w:val="3"/>
                <w:szCs w:val="3"/>
                <w:color w:val="auto"/>
              </w:rPr>
            </w:pPr>
          </w:p>
        </w:tc>
        <w:tc>
          <w:tcPr>
            <w:tcW w:w="460" w:type="dxa"/>
            <w:vAlign w:val="bottom"/>
            <w:tcBorders>
              <w:right w:val="single" w:sz="8" w:color="auto"/>
            </w:tcBorders>
          </w:tcPr>
          <w:p>
            <w:pPr>
              <w:spacing w:after="0"/>
              <w:rPr>
                <w:sz w:val="3"/>
                <w:szCs w:val="3"/>
                <w:color w:val="auto"/>
              </w:rPr>
            </w:pPr>
          </w:p>
        </w:tc>
        <w:tc>
          <w:tcPr>
            <w:tcW w:w="4720" w:type="dxa"/>
            <w:vAlign w:val="bottom"/>
            <w:vMerge w:val="continue"/>
          </w:tcPr>
          <w:p>
            <w:pPr>
              <w:spacing w:after="0"/>
              <w:rPr>
                <w:sz w:val="3"/>
                <w:szCs w:val="3"/>
                <w:color w:val="auto"/>
              </w:rPr>
            </w:pPr>
          </w:p>
        </w:tc>
        <w:tc>
          <w:tcPr>
            <w:tcW w:w="460" w:type="dxa"/>
            <w:vAlign w:val="bottom"/>
            <w:vMerge w:val="restart"/>
          </w:tcPr>
          <w:p>
            <w:pPr>
              <w:ind w:left="100"/>
              <w:spacing w:after="0" w:line="251" w:lineRule="exact"/>
              <w:rPr>
                <w:sz w:val="20"/>
                <w:szCs w:val="20"/>
                <w:color w:val="auto"/>
              </w:rPr>
            </w:pPr>
            <w:r>
              <w:rPr>
                <w:rFonts w:ascii="MS PGothic" w:cs="MS PGothic" w:eastAsia="MS PGothic" w:hAnsi="MS PGothic"/>
                <w:sz w:val="25"/>
                <w:szCs w:val="25"/>
                <w:color w:val="auto"/>
              </w:rPr>
              <w:t>☐</w:t>
            </w:r>
          </w:p>
        </w:tc>
        <w:tc>
          <w:tcPr>
            <w:tcW w:w="700" w:type="dxa"/>
            <w:vAlign w:val="bottom"/>
            <w:vMerge w:val="restart"/>
          </w:tcPr>
          <w:p>
            <w:pPr>
              <w:jc w:val="center"/>
              <w:spacing w:after="0" w:line="251" w:lineRule="exact"/>
              <w:rPr>
                <w:sz w:val="20"/>
                <w:szCs w:val="20"/>
                <w:color w:val="auto"/>
              </w:rPr>
            </w:pPr>
            <w:r>
              <w:rPr>
                <w:rFonts w:ascii="MS PGothic" w:cs="MS PGothic" w:eastAsia="MS PGothic" w:hAnsi="MS PGothic"/>
                <w:sz w:val="25"/>
                <w:szCs w:val="25"/>
                <w:color w:val="auto"/>
                <w:w w:val="95"/>
              </w:rPr>
              <w:t>☐</w:t>
            </w:r>
          </w:p>
        </w:tc>
        <w:tc>
          <w:tcPr>
            <w:tcW w:w="900" w:type="dxa"/>
            <w:vAlign w:val="bottom"/>
            <w:vMerge w:val="restart"/>
          </w:tcPr>
          <w:p>
            <w:pPr>
              <w:jc w:val="center"/>
              <w:ind w:left="52"/>
              <w:spacing w:after="0" w:line="251" w:lineRule="exact"/>
              <w:rPr>
                <w:sz w:val="20"/>
                <w:szCs w:val="20"/>
                <w:color w:val="auto"/>
              </w:rPr>
            </w:pPr>
            <w:r>
              <w:rPr>
                <w:rFonts w:ascii="MS PGothic" w:cs="MS PGothic" w:eastAsia="MS PGothic" w:hAnsi="MS PGothic"/>
                <w:sz w:val="25"/>
                <w:szCs w:val="25"/>
                <w:color w:val="auto"/>
                <w:w w:val="87"/>
              </w:rPr>
              <w:t>☐</w:t>
            </w: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460" w:type="dxa"/>
            <w:vAlign w:val="bottom"/>
            <w:tcBorders>
              <w:right w:val="single" w:sz="8" w:color="auto"/>
            </w:tcBorders>
          </w:tcPr>
          <w:p>
            <w:pPr>
              <w:spacing w:after="0"/>
              <w:rPr>
                <w:sz w:val="22"/>
                <w:szCs w:val="22"/>
                <w:color w:val="auto"/>
              </w:rPr>
            </w:pPr>
          </w:p>
        </w:tc>
        <w:tc>
          <w:tcPr>
            <w:tcW w:w="4720" w:type="dxa"/>
            <w:vAlign w:val="bottom"/>
            <w:vMerge w:val="restart"/>
          </w:tcPr>
          <w:p>
            <w:pPr>
              <w:ind w:left="440"/>
              <w:spacing w:after="0"/>
              <w:rPr>
                <w:sz w:val="20"/>
                <w:szCs w:val="20"/>
                <w:color w:val="auto"/>
              </w:rPr>
            </w:pPr>
            <w:r>
              <w:rPr>
                <w:rFonts w:ascii="Arial" w:cs="Arial" w:eastAsia="Arial" w:hAnsi="Arial"/>
                <w:sz w:val="14"/>
                <w:szCs w:val="14"/>
                <w:color w:val="auto"/>
              </w:rPr>
              <w:t>Gail P. Steinel</w:t>
            </w:r>
          </w:p>
        </w:tc>
        <w:tc>
          <w:tcPr>
            <w:tcW w:w="460" w:type="dxa"/>
            <w:vAlign w:val="bottom"/>
            <w:vMerge w:val="continue"/>
          </w:tcPr>
          <w:p>
            <w:pPr>
              <w:spacing w:after="0"/>
              <w:rPr>
                <w:sz w:val="22"/>
                <w:szCs w:val="22"/>
                <w:color w:val="auto"/>
              </w:rPr>
            </w:pPr>
          </w:p>
        </w:tc>
        <w:tc>
          <w:tcPr>
            <w:tcW w:w="700" w:type="dxa"/>
            <w:vAlign w:val="bottom"/>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2"/>
        </w:trPr>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500" w:type="dxa"/>
            <w:vAlign w:val="bottom"/>
          </w:tcPr>
          <w:p>
            <w:pPr>
              <w:spacing w:after="0"/>
              <w:rPr>
                <w:sz w:val="3"/>
                <w:szCs w:val="3"/>
                <w:color w:val="auto"/>
              </w:rPr>
            </w:pPr>
          </w:p>
        </w:tc>
        <w:tc>
          <w:tcPr>
            <w:tcW w:w="460" w:type="dxa"/>
            <w:vAlign w:val="bottom"/>
            <w:tcBorders>
              <w:right w:val="single" w:sz="8" w:color="auto"/>
            </w:tcBorders>
          </w:tcPr>
          <w:p>
            <w:pPr>
              <w:spacing w:after="0"/>
              <w:rPr>
                <w:sz w:val="3"/>
                <w:szCs w:val="3"/>
                <w:color w:val="auto"/>
              </w:rPr>
            </w:pPr>
          </w:p>
        </w:tc>
        <w:tc>
          <w:tcPr>
            <w:tcW w:w="4720" w:type="dxa"/>
            <w:vAlign w:val="bottom"/>
            <w:vMerge w:val="continue"/>
          </w:tcPr>
          <w:p>
            <w:pPr>
              <w:spacing w:after="0"/>
              <w:rPr>
                <w:sz w:val="3"/>
                <w:szCs w:val="3"/>
                <w:color w:val="auto"/>
              </w:rPr>
            </w:pPr>
          </w:p>
        </w:tc>
        <w:tc>
          <w:tcPr>
            <w:tcW w:w="460" w:type="dxa"/>
            <w:vAlign w:val="bottom"/>
            <w:vMerge w:val="restart"/>
          </w:tcPr>
          <w:p>
            <w:pPr>
              <w:ind w:left="100"/>
              <w:spacing w:after="0" w:line="251" w:lineRule="exact"/>
              <w:rPr>
                <w:sz w:val="20"/>
                <w:szCs w:val="20"/>
                <w:color w:val="auto"/>
              </w:rPr>
            </w:pPr>
            <w:r>
              <w:rPr>
                <w:rFonts w:ascii="MS PGothic" w:cs="MS PGothic" w:eastAsia="MS PGothic" w:hAnsi="MS PGothic"/>
                <w:sz w:val="25"/>
                <w:szCs w:val="25"/>
                <w:color w:val="auto"/>
              </w:rPr>
              <w:t>☐</w:t>
            </w:r>
          </w:p>
        </w:tc>
        <w:tc>
          <w:tcPr>
            <w:tcW w:w="700" w:type="dxa"/>
            <w:vAlign w:val="bottom"/>
            <w:vMerge w:val="restart"/>
          </w:tcPr>
          <w:p>
            <w:pPr>
              <w:jc w:val="center"/>
              <w:spacing w:after="0" w:line="251" w:lineRule="exact"/>
              <w:rPr>
                <w:sz w:val="20"/>
                <w:szCs w:val="20"/>
                <w:color w:val="auto"/>
              </w:rPr>
            </w:pPr>
            <w:r>
              <w:rPr>
                <w:rFonts w:ascii="MS PGothic" w:cs="MS PGothic" w:eastAsia="MS PGothic" w:hAnsi="MS PGothic"/>
                <w:sz w:val="25"/>
                <w:szCs w:val="25"/>
                <w:color w:val="auto"/>
                <w:w w:val="95"/>
              </w:rPr>
              <w:t>☐</w:t>
            </w:r>
          </w:p>
        </w:tc>
        <w:tc>
          <w:tcPr>
            <w:tcW w:w="900" w:type="dxa"/>
            <w:vAlign w:val="bottom"/>
            <w:vMerge w:val="restart"/>
          </w:tcPr>
          <w:p>
            <w:pPr>
              <w:jc w:val="center"/>
              <w:ind w:left="52"/>
              <w:spacing w:after="0" w:line="251" w:lineRule="exact"/>
              <w:rPr>
                <w:sz w:val="20"/>
                <w:szCs w:val="20"/>
                <w:color w:val="auto"/>
              </w:rPr>
            </w:pPr>
            <w:r>
              <w:rPr>
                <w:rFonts w:ascii="MS PGothic" w:cs="MS PGothic" w:eastAsia="MS PGothic" w:hAnsi="MS PGothic"/>
                <w:sz w:val="25"/>
                <w:szCs w:val="25"/>
                <w:color w:val="auto"/>
                <w:w w:val="87"/>
              </w:rPr>
              <w:t>☐</w:t>
            </w: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460" w:type="dxa"/>
            <w:vAlign w:val="bottom"/>
            <w:tcBorders>
              <w:right w:val="single" w:sz="8" w:color="auto"/>
            </w:tcBorders>
          </w:tcPr>
          <w:p>
            <w:pPr>
              <w:spacing w:after="0"/>
              <w:rPr>
                <w:sz w:val="22"/>
                <w:szCs w:val="22"/>
                <w:color w:val="auto"/>
              </w:rPr>
            </w:pPr>
          </w:p>
        </w:tc>
        <w:tc>
          <w:tcPr>
            <w:tcW w:w="4720" w:type="dxa"/>
            <w:vAlign w:val="bottom"/>
            <w:vMerge w:val="restart"/>
          </w:tcPr>
          <w:p>
            <w:pPr>
              <w:ind w:left="440"/>
              <w:spacing w:after="0"/>
              <w:rPr>
                <w:sz w:val="20"/>
                <w:szCs w:val="20"/>
                <w:color w:val="auto"/>
              </w:rPr>
            </w:pPr>
            <w:r>
              <w:rPr>
                <w:rFonts w:ascii="Arial" w:cs="Arial" w:eastAsia="Arial" w:hAnsi="Arial"/>
                <w:sz w:val="14"/>
                <w:szCs w:val="14"/>
                <w:color w:val="auto"/>
              </w:rPr>
              <w:t>Warren M. Thompson</w:t>
            </w:r>
          </w:p>
        </w:tc>
        <w:tc>
          <w:tcPr>
            <w:tcW w:w="460" w:type="dxa"/>
            <w:vAlign w:val="bottom"/>
            <w:vMerge w:val="continue"/>
          </w:tcPr>
          <w:p>
            <w:pPr>
              <w:spacing w:after="0"/>
              <w:rPr>
                <w:sz w:val="22"/>
                <w:szCs w:val="22"/>
                <w:color w:val="auto"/>
              </w:rPr>
            </w:pPr>
          </w:p>
        </w:tc>
        <w:tc>
          <w:tcPr>
            <w:tcW w:w="700" w:type="dxa"/>
            <w:vAlign w:val="bottom"/>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2"/>
        </w:trPr>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500" w:type="dxa"/>
            <w:vAlign w:val="bottom"/>
          </w:tcPr>
          <w:p>
            <w:pPr>
              <w:spacing w:after="0"/>
              <w:rPr>
                <w:sz w:val="3"/>
                <w:szCs w:val="3"/>
                <w:color w:val="auto"/>
              </w:rPr>
            </w:pPr>
          </w:p>
        </w:tc>
        <w:tc>
          <w:tcPr>
            <w:tcW w:w="460" w:type="dxa"/>
            <w:vAlign w:val="bottom"/>
            <w:tcBorders>
              <w:right w:val="single" w:sz="8" w:color="auto"/>
            </w:tcBorders>
          </w:tcPr>
          <w:p>
            <w:pPr>
              <w:spacing w:after="0"/>
              <w:rPr>
                <w:sz w:val="3"/>
                <w:szCs w:val="3"/>
                <w:color w:val="auto"/>
              </w:rPr>
            </w:pPr>
          </w:p>
        </w:tc>
        <w:tc>
          <w:tcPr>
            <w:tcW w:w="4720" w:type="dxa"/>
            <w:vAlign w:val="bottom"/>
            <w:vMerge w:val="continue"/>
          </w:tcPr>
          <w:p>
            <w:pPr>
              <w:spacing w:after="0"/>
              <w:rPr>
                <w:sz w:val="3"/>
                <w:szCs w:val="3"/>
                <w:color w:val="auto"/>
              </w:rPr>
            </w:pPr>
          </w:p>
        </w:tc>
        <w:tc>
          <w:tcPr>
            <w:tcW w:w="460" w:type="dxa"/>
            <w:vAlign w:val="bottom"/>
            <w:vMerge w:val="restart"/>
          </w:tcPr>
          <w:p>
            <w:pPr>
              <w:ind w:left="100"/>
              <w:spacing w:after="0" w:line="251" w:lineRule="exact"/>
              <w:rPr>
                <w:sz w:val="20"/>
                <w:szCs w:val="20"/>
                <w:color w:val="auto"/>
              </w:rPr>
            </w:pPr>
            <w:r>
              <w:rPr>
                <w:rFonts w:ascii="MS PGothic" w:cs="MS PGothic" w:eastAsia="MS PGothic" w:hAnsi="MS PGothic"/>
                <w:sz w:val="25"/>
                <w:szCs w:val="25"/>
                <w:color w:val="auto"/>
              </w:rPr>
              <w:t>☐</w:t>
            </w:r>
          </w:p>
        </w:tc>
        <w:tc>
          <w:tcPr>
            <w:tcW w:w="700" w:type="dxa"/>
            <w:vAlign w:val="bottom"/>
            <w:vMerge w:val="restart"/>
          </w:tcPr>
          <w:p>
            <w:pPr>
              <w:jc w:val="center"/>
              <w:spacing w:after="0" w:line="251" w:lineRule="exact"/>
              <w:rPr>
                <w:sz w:val="20"/>
                <w:szCs w:val="20"/>
                <w:color w:val="auto"/>
              </w:rPr>
            </w:pPr>
            <w:r>
              <w:rPr>
                <w:rFonts w:ascii="MS PGothic" w:cs="MS PGothic" w:eastAsia="MS PGothic" w:hAnsi="MS PGothic"/>
                <w:sz w:val="25"/>
                <w:szCs w:val="25"/>
                <w:color w:val="auto"/>
                <w:w w:val="95"/>
              </w:rPr>
              <w:t>☐</w:t>
            </w:r>
          </w:p>
        </w:tc>
        <w:tc>
          <w:tcPr>
            <w:tcW w:w="900" w:type="dxa"/>
            <w:vAlign w:val="bottom"/>
            <w:vMerge w:val="restart"/>
          </w:tcPr>
          <w:p>
            <w:pPr>
              <w:jc w:val="center"/>
              <w:ind w:left="52"/>
              <w:spacing w:after="0" w:line="251" w:lineRule="exact"/>
              <w:rPr>
                <w:sz w:val="20"/>
                <w:szCs w:val="20"/>
                <w:color w:val="auto"/>
              </w:rPr>
            </w:pPr>
            <w:r>
              <w:rPr>
                <w:rFonts w:ascii="MS PGothic" w:cs="MS PGothic" w:eastAsia="MS PGothic" w:hAnsi="MS PGothic"/>
                <w:sz w:val="25"/>
                <w:szCs w:val="25"/>
                <w:color w:val="auto"/>
                <w:w w:val="87"/>
              </w:rPr>
              <w:t>☐</w:t>
            </w: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460" w:type="dxa"/>
            <w:vAlign w:val="bottom"/>
            <w:tcBorders>
              <w:right w:val="single" w:sz="8" w:color="auto"/>
            </w:tcBorders>
          </w:tcPr>
          <w:p>
            <w:pPr>
              <w:spacing w:after="0"/>
              <w:rPr>
                <w:sz w:val="22"/>
                <w:szCs w:val="22"/>
                <w:color w:val="auto"/>
              </w:rPr>
            </w:pPr>
          </w:p>
        </w:tc>
        <w:tc>
          <w:tcPr>
            <w:tcW w:w="4720" w:type="dxa"/>
            <w:vAlign w:val="bottom"/>
            <w:vMerge w:val="restart"/>
          </w:tcPr>
          <w:p>
            <w:pPr>
              <w:ind w:left="440"/>
              <w:spacing w:after="0"/>
              <w:rPr>
                <w:sz w:val="20"/>
                <w:szCs w:val="20"/>
                <w:color w:val="auto"/>
              </w:rPr>
            </w:pPr>
            <w:r>
              <w:rPr>
                <w:rFonts w:ascii="Arial" w:cs="Arial" w:eastAsia="Arial" w:hAnsi="Arial"/>
                <w:sz w:val="14"/>
                <w:szCs w:val="14"/>
                <w:color w:val="auto"/>
              </w:rPr>
              <w:t>Joseph S. Vassalluzzo</w:t>
            </w:r>
          </w:p>
        </w:tc>
        <w:tc>
          <w:tcPr>
            <w:tcW w:w="460" w:type="dxa"/>
            <w:vAlign w:val="bottom"/>
            <w:vMerge w:val="continue"/>
          </w:tcPr>
          <w:p>
            <w:pPr>
              <w:spacing w:after="0"/>
              <w:rPr>
                <w:sz w:val="22"/>
                <w:szCs w:val="22"/>
                <w:color w:val="auto"/>
              </w:rPr>
            </w:pPr>
          </w:p>
        </w:tc>
        <w:tc>
          <w:tcPr>
            <w:tcW w:w="700" w:type="dxa"/>
            <w:vAlign w:val="bottom"/>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2"/>
        </w:trPr>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500" w:type="dxa"/>
            <w:vAlign w:val="bottom"/>
          </w:tcPr>
          <w:p>
            <w:pPr>
              <w:spacing w:after="0"/>
              <w:rPr>
                <w:sz w:val="3"/>
                <w:szCs w:val="3"/>
                <w:color w:val="auto"/>
              </w:rPr>
            </w:pPr>
          </w:p>
        </w:tc>
        <w:tc>
          <w:tcPr>
            <w:tcW w:w="460" w:type="dxa"/>
            <w:vAlign w:val="bottom"/>
            <w:tcBorders>
              <w:right w:val="single" w:sz="8" w:color="auto"/>
            </w:tcBorders>
          </w:tcPr>
          <w:p>
            <w:pPr>
              <w:spacing w:after="0"/>
              <w:rPr>
                <w:sz w:val="3"/>
                <w:szCs w:val="3"/>
                <w:color w:val="auto"/>
              </w:rPr>
            </w:pPr>
          </w:p>
        </w:tc>
        <w:tc>
          <w:tcPr>
            <w:tcW w:w="4720" w:type="dxa"/>
            <w:vAlign w:val="bottom"/>
            <w:vMerge w:val="continue"/>
          </w:tcPr>
          <w:p>
            <w:pPr>
              <w:spacing w:after="0"/>
              <w:rPr>
                <w:sz w:val="3"/>
                <w:szCs w:val="3"/>
                <w:color w:val="auto"/>
              </w:rPr>
            </w:pPr>
          </w:p>
        </w:tc>
        <w:tc>
          <w:tcPr>
            <w:tcW w:w="460" w:type="dxa"/>
            <w:vAlign w:val="bottom"/>
            <w:vMerge w:val="restart"/>
          </w:tcPr>
          <w:p>
            <w:pPr>
              <w:ind w:left="100"/>
              <w:spacing w:after="0" w:line="251" w:lineRule="exact"/>
              <w:rPr>
                <w:sz w:val="20"/>
                <w:szCs w:val="20"/>
                <w:color w:val="auto"/>
              </w:rPr>
            </w:pPr>
            <w:r>
              <w:rPr>
                <w:rFonts w:ascii="MS PGothic" w:cs="MS PGothic" w:eastAsia="MS PGothic" w:hAnsi="MS PGothic"/>
                <w:sz w:val="25"/>
                <w:szCs w:val="25"/>
                <w:color w:val="auto"/>
              </w:rPr>
              <w:t>☐</w:t>
            </w:r>
          </w:p>
        </w:tc>
        <w:tc>
          <w:tcPr>
            <w:tcW w:w="700" w:type="dxa"/>
            <w:vAlign w:val="bottom"/>
            <w:vMerge w:val="restart"/>
          </w:tcPr>
          <w:p>
            <w:pPr>
              <w:jc w:val="center"/>
              <w:spacing w:after="0" w:line="251" w:lineRule="exact"/>
              <w:rPr>
                <w:sz w:val="20"/>
                <w:szCs w:val="20"/>
                <w:color w:val="auto"/>
              </w:rPr>
            </w:pPr>
            <w:r>
              <w:rPr>
                <w:rFonts w:ascii="MS PGothic" w:cs="MS PGothic" w:eastAsia="MS PGothic" w:hAnsi="MS PGothic"/>
                <w:sz w:val="25"/>
                <w:szCs w:val="25"/>
                <w:color w:val="auto"/>
                <w:w w:val="95"/>
              </w:rPr>
              <w:t>☐</w:t>
            </w:r>
          </w:p>
        </w:tc>
        <w:tc>
          <w:tcPr>
            <w:tcW w:w="900" w:type="dxa"/>
            <w:vAlign w:val="bottom"/>
            <w:vMerge w:val="restart"/>
          </w:tcPr>
          <w:p>
            <w:pPr>
              <w:jc w:val="center"/>
              <w:ind w:left="52"/>
              <w:spacing w:after="0" w:line="251" w:lineRule="exact"/>
              <w:rPr>
                <w:sz w:val="20"/>
                <w:szCs w:val="20"/>
                <w:color w:val="auto"/>
              </w:rPr>
            </w:pPr>
            <w:r>
              <w:rPr>
                <w:rFonts w:ascii="MS PGothic" w:cs="MS PGothic" w:eastAsia="MS PGothic" w:hAnsi="MS PGothic"/>
                <w:sz w:val="25"/>
                <w:szCs w:val="25"/>
                <w:color w:val="auto"/>
                <w:w w:val="87"/>
              </w:rPr>
              <w:t>☐</w:t>
            </w: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460" w:type="dxa"/>
            <w:vAlign w:val="bottom"/>
            <w:tcBorders>
              <w:right w:val="single" w:sz="8" w:color="auto"/>
            </w:tcBorders>
          </w:tcPr>
          <w:p>
            <w:pPr>
              <w:spacing w:after="0"/>
              <w:rPr>
                <w:sz w:val="22"/>
                <w:szCs w:val="22"/>
                <w:color w:val="auto"/>
              </w:rPr>
            </w:pPr>
          </w:p>
        </w:tc>
        <w:tc>
          <w:tcPr>
            <w:tcW w:w="4720" w:type="dxa"/>
            <w:vAlign w:val="bottom"/>
            <w:vMerge w:val="restart"/>
          </w:tcPr>
          <w:p>
            <w:pPr>
              <w:ind w:left="440"/>
              <w:spacing w:after="0"/>
              <w:rPr>
                <w:sz w:val="20"/>
                <w:szCs w:val="20"/>
                <w:color w:val="auto"/>
              </w:rPr>
            </w:pPr>
            <w:r>
              <w:rPr>
                <w:rFonts w:ascii="Arial" w:cs="Arial" w:eastAsia="Arial" w:hAnsi="Arial"/>
                <w:sz w:val="14"/>
                <w:szCs w:val="14"/>
                <w:color w:val="auto"/>
              </w:rPr>
              <w:t>Donald C. Wood</w:t>
            </w:r>
          </w:p>
        </w:tc>
        <w:tc>
          <w:tcPr>
            <w:tcW w:w="460" w:type="dxa"/>
            <w:vAlign w:val="bottom"/>
            <w:vMerge w:val="continue"/>
          </w:tcPr>
          <w:p>
            <w:pPr>
              <w:spacing w:after="0"/>
              <w:rPr>
                <w:sz w:val="22"/>
                <w:szCs w:val="22"/>
                <w:color w:val="auto"/>
              </w:rPr>
            </w:pPr>
          </w:p>
        </w:tc>
        <w:tc>
          <w:tcPr>
            <w:tcW w:w="700" w:type="dxa"/>
            <w:vAlign w:val="bottom"/>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2"/>
        </w:trPr>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500" w:type="dxa"/>
            <w:vAlign w:val="bottom"/>
          </w:tcPr>
          <w:p>
            <w:pPr>
              <w:spacing w:after="0"/>
              <w:rPr>
                <w:sz w:val="3"/>
                <w:szCs w:val="3"/>
                <w:color w:val="auto"/>
              </w:rPr>
            </w:pPr>
          </w:p>
        </w:tc>
        <w:tc>
          <w:tcPr>
            <w:tcW w:w="460" w:type="dxa"/>
            <w:vAlign w:val="bottom"/>
            <w:tcBorders>
              <w:right w:val="single" w:sz="8" w:color="auto"/>
            </w:tcBorders>
          </w:tcPr>
          <w:p>
            <w:pPr>
              <w:spacing w:after="0"/>
              <w:rPr>
                <w:sz w:val="3"/>
                <w:szCs w:val="3"/>
                <w:color w:val="auto"/>
              </w:rPr>
            </w:pPr>
          </w:p>
        </w:tc>
        <w:tc>
          <w:tcPr>
            <w:tcW w:w="472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4720" w:type="dxa"/>
            <w:vAlign w:val="bottom"/>
          </w:tcPr>
          <w:p>
            <w:pPr>
              <w:spacing w:after="0"/>
              <w:rPr>
                <w:sz w:val="24"/>
                <w:szCs w:val="24"/>
                <w:color w:val="auto"/>
              </w:rPr>
            </w:pPr>
          </w:p>
        </w:tc>
        <w:tc>
          <w:tcPr>
            <w:tcW w:w="460" w:type="dxa"/>
            <w:vAlign w:val="bottom"/>
            <w:vMerge w:val="restart"/>
          </w:tcPr>
          <w:p>
            <w:pPr>
              <w:ind w:left="100"/>
              <w:spacing w:after="0"/>
              <w:rPr>
                <w:sz w:val="20"/>
                <w:szCs w:val="20"/>
                <w:color w:val="auto"/>
              </w:rPr>
            </w:pPr>
            <w:r>
              <w:rPr>
                <w:rFonts w:ascii="Arial" w:cs="Arial" w:eastAsia="Arial" w:hAnsi="Arial"/>
                <w:sz w:val="13"/>
                <w:szCs w:val="13"/>
                <w:color w:val="auto"/>
              </w:rPr>
              <w:t>FOR</w:t>
            </w:r>
          </w:p>
        </w:tc>
        <w:tc>
          <w:tcPr>
            <w:tcW w:w="700" w:type="dxa"/>
            <w:vAlign w:val="bottom"/>
            <w:vMerge w:val="restart"/>
          </w:tcPr>
          <w:p>
            <w:pPr>
              <w:jc w:val="center"/>
              <w:spacing w:after="0"/>
              <w:rPr>
                <w:sz w:val="20"/>
                <w:szCs w:val="20"/>
                <w:color w:val="auto"/>
              </w:rPr>
            </w:pPr>
            <w:r>
              <w:rPr>
                <w:rFonts w:ascii="Arial" w:cs="Arial" w:eastAsia="Arial" w:hAnsi="Arial"/>
                <w:sz w:val="13"/>
                <w:szCs w:val="13"/>
                <w:color w:val="auto"/>
                <w:w w:val="98"/>
              </w:rPr>
              <w:t>AGAINST</w:t>
            </w:r>
          </w:p>
        </w:tc>
        <w:tc>
          <w:tcPr>
            <w:tcW w:w="900" w:type="dxa"/>
            <w:vAlign w:val="bottom"/>
            <w:vMerge w:val="restart"/>
          </w:tcPr>
          <w:p>
            <w:pPr>
              <w:jc w:val="center"/>
              <w:ind w:left="52"/>
              <w:spacing w:after="0"/>
              <w:rPr>
                <w:sz w:val="20"/>
                <w:szCs w:val="20"/>
                <w:color w:val="auto"/>
              </w:rPr>
            </w:pPr>
            <w:r>
              <w:rPr>
                <w:rFonts w:ascii="Arial" w:cs="Arial" w:eastAsia="Arial" w:hAnsi="Arial"/>
                <w:sz w:val="13"/>
                <w:szCs w:val="13"/>
                <w:color w:val="auto"/>
                <w:w w:val="96"/>
              </w:rPr>
              <w:t>ABSTAIN</w:t>
            </w:r>
          </w:p>
        </w:tc>
        <w:tc>
          <w:tcPr>
            <w:tcW w:w="0" w:type="dxa"/>
            <w:vAlign w:val="bottom"/>
          </w:tcPr>
          <w:p>
            <w:pPr>
              <w:spacing w:after="0"/>
              <w:rPr>
                <w:sz w:val="1"/>
                <w:szCs w:val="1"/>
                <w:color w:val="auto"/>
              </w:rPr>
            </w:pPr>
          </w:p>
        </w:tc>
      </w:tr>
      <w:tr>
        <w:trPr>
          <w:trHeight w:val="115"/>
        </w:trPr>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472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460" w:type="dxa"/>
            <w:vAlign w:val="bottom"/>
            <w:tcBorders>
              <w:right w:val="single" w:sz="8" w:color="auto"/>
            </w:tcBorders>
          </w:tcPr>
          <w:p>
            <w:pPr>
              <w:spacing w:after="0"/>
              <w:rPr>
                <w:sz w:val="13"/>
                <w:szCs w:val="13"/>
                <w:color w:val="auto"/>
              </w:rPr>
            </w:pPr>
          </w:p>
        </w:tc>
        <w:tc>
          <w:tcPr>
            <w:tcW w:w="4720" w:type="dxa"/>
            <w:vAlign w:val="bottom"/>
          </w:tcPr>
          <w:p>
            <w:pPr>
              <w:ind w:left="80"/>
              <w:spacing w:after="0" w:line="157" w:lineRule="exact"/>
              <w:rPr>
                <w:sz w:val="20"/>
                <w:szCs w:val="20"/>
                <w:color w:val="auto"/>
              </w:rPr>
            </w:pPr>
            <w:r>
              <w:rPr>
                <w:rFonts w:ascii="Arial" w:cs="Arial" w:eastAsia="Arial" w:hAnsi="Arial"/>
                <w:sz w:val="14"/>
                <w:szCs w:val="14"/>
                <w:color w:val="auto"/>
              </w:rPr>
              <w:t>2. To hold an advisory vote approving the compensation of our named</w:t>
            </w:r>
          </w:p>
        </w:tc>
        <w:tc>
          <w:tcPr>
            <w:tcW w:w="460" w:type="dxa"/>
            <w:vAlign w:val="bottom"/>
            <w:vMerge w:val="restart"/>
          </w:tcPr>
          <w:p>
            <w:pPr>
              <w:ind w:left="100"/>
              <w:spacing w:after="0" w:line="251" w:lineRule="exact"/>
              <w:rPr>
                <w:sz w:val="20"/>
                <w:szCs w:val="20"/>
                <w:color w:val="auto"/>
              </w:rPr>
            </w:pPr>
            <w:r>
              <w:rPr>
                <w:rFonts w:ascii="MS PGothic" w:cs="MS PGothic" w:eastAsia="MS PGothic" w:hAnsi="MS PGothic"/>
                <w:sz w:val="25"/>
                <w:szCs w:val="25"/>
                <w:color w:val="auto"/>
              </w:rPr>
              <w:t>☐</w:t>
            </w:r>
          </w:p>
        </w:tc>
        <w:tc>
          <w:tcPr>
            <w:tcW w:w="700" w:type="dxa"/>
            <w:vAlign w:val="bottom"/>
            <w:vMerge w:val="restart"/>
          </w:tcPr>
          <w:p>
            <w:pPr>
              <w:jc w:val="center"/>
              <w:spacing w:after="0" w:line="251" w:lineRule="exact"/>
              <w:rPr>
                <w:sz w:val="20"/>
                <w:szCs w:val="20"/>
                <w:color w:val="auto"/>
              </w:rPr>
            </w:pPr>
            <w:r>
              <w:rPr>
                <w:rFonts w:ascii="MS PGothic" w:cs="MS PGothic" w:eastAsia="MS PGothic" w:hAnsi="MS PGothic"/>
                <w:sz w:val="25"/>
                <w:szCs w:val="25"/>
                <w:color w:val="auto"/>
                <w:w w:val="95"/>
              </w:rPr>
              <w:t>☐</w:t>
            </w:r>
          </w:p>
        </w:tc>
        <w:tc>
          <w:tcPr>
            <w:tcW w:w="900" w:type="dxa"/>
            <w:vAlign w:val="bottom"/>
            <w:vMerge w:val="restart"/>
          </w:tcPr>
          <w:p>
            <w:pPr>
              <w:jc w:val="center"/>
              <w:ind w:left="52"/>
              <w:spacing w:after="0" w:line="251" w:lineRule="exact"/>
              <w:rPr>
                <w:sz w:val="20"/>
                <w:szCs w:val="20"/>
                <w:color w:val="auto"/>
              </w:rPr>
            </w:pPr>
            <w:r>
              <w:rPr>
                <w:rFonts w:ascii="MS PGothic" w:cs="MS PGothic" w:eastAsia="MS PGothic" w:hAnsi="MS PGothic"/>
                <w:sz w:val="25"/>
                <w:szCs w:val="25"/>
                <w:color w:val="auto"/>
                <w:w w:val="87"/>
              </w:rPr>
              <w:t>☐</w:t>
            </w: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4720" w:type="dxa"/>
            <w:vAlign w:val="bottom"/>
          </w:tcPr>
          <w:p>
            <w:pPr>
              <w:ind w:left="240"/>
              <w:spacing w:after="0"/>
              <w:rPr>
                <w:sz w:val="20"/>
                <w:szCs w:val="20"/>
                <w:color w:val="auto"/>
              </w:rPr>
            </w:pPr>
            <w:r>
              <w:rPr>
                <w:rFonts w:ascii="Arial" w:cs="Arial" w:eastAsia="Arial" w:hAnsi="Arial"/>
                <w:sz w:val="14"/>
                <w:szCs w:val="14"/>
                <w:color w:val="auto"/>
              </w:rPr>
              <w:t>executive officers.</w:t>
            </w:r>
          </w:p>
        </w:tc>
        <w:tc>
          <w:tcPr>
            <w:tcW w:w="460" w:type="dxa"/>
            <w:vAlign w:val="bottom"/>
            <w:vMerge w:val="continue"/>
          </w:tcPr>
          <w:p>
            <w:pPr>
              <w:spacing w:after="0"/>
              <w:rPr>
                <w:sz w:val="20"/>
                <w:szCs w:val="20"/>
                <w:color w:val="auto"/>
              </w:rPr>
            </w:pPr>
          </w:p>
        </w:tc>
        <w:tc>
          <w:tcPr>
            <w:tcW w:w="70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460" w:type="dxa"/>
            <w:vAlign w:val="bottom"/>
            <w:tcBorders>
              <w:right w:val="single" w:sz="8" w:color="auto"/>
            </w:tcBorders>
          </w:tcPr>
          <w:p>
            <w:pPr>
              <w:spacing w:after="0"/>
              <w:rPr>
                <w:sz w:val="22"/>
                <w:szCs w:val="22"/>
                <w:color w:val="auto"/>
              </w:rPr>
            </w:pPr>
          </w:p>
        </w:tc>
        <w:tc>
          <w:tcPr>
            <w:tcW w:w="4720" w:type="dxa"/>
            <w:vAlign w:val="bottom"/>
          </w:tcPr>
          <w:p>
            <w:pPr>
              <w:spacing w:after="0"/>
              <w:rPr>
                <w:sz w:val="22"/>
                <w:szCs w:val="22"/>
                <w:color w:val="auto"/>
              </w:rPr>
            </w:pPr>
          </w:p>
        </w:tc>
        <w:tc>
          <w:tcPr>
            <w:tcW w:w="460" w:type="dxa"/>
            <w:vAlign w:val="bottom"/>
          </w:tcPr>
          <w:p>
            <w:pPr>
              <w:ind w:left="100"/>
              <w:spacing w:after="0"/>
              <w:rPr>
                <w:sz w:val="20"/>
                <w:szCs w:val="20"/>
                <w:color w:val="auto"/>
              </w:rPr>
            </w:pPr>
            <w:r>
              <w:rPr>
                <w:rFonts w:ascii="Arial" w:cs="Arial" w:eastAsia="Arial" w:hAnsi="Arial"/>
                <w:sz w:val="13"/>
                <w:szCs w:val="13"/>
                <w:color w:val="auto"/>
              </w:rPr>
              <w:t>FOR</w:t>
            </w:r>
          </w:p>
        </w:tc>
        <w:tc>
          <w:tcPr>
            <w:tcW w:w="700" w:type="dxa"/>
            <w:vAlign w:val="bottom"/>
          </w:tcPr>
          <w:p>
            <w:pPr>
              <w:jc w:val="center"/>
              <w:spacing w:after="0"/>
              <w:rPr>
                <w:sz w:val="20"/>
                <w:szCs w:val="20"/>
                <w:color w:val="auto"/>
              </w:rPr>
            </w:pPr>
            <w:r>
              <w:rPr>
                <w:rFonts w:ascii="Arial" w:cs="Arial" w:eastAsia="Arial" w:hAnsi="Arial"/>
                <w:sz w:val="13"/>
                <w:szCs w:val="13"/>
                <w:color w:val="auto"/>
                <w:w w:val="98"/>
              </w:rPr>
              <w:t>AGAINST</w:t>
            </w:r>
          </w:p>
        </w:tc>
        <w:tc>
          <w:tcPr>
            <w:tcW w:w="900" w:type="dxa"/>
            <w:vAlign w:val="bottom"/>
          </w:tcPr>
          <w:p>
            <w:pPr>
              <w:jc w:val="center"/>
              <w:ind w:left="52"/>
              <w:spacing w:after="0"/>
              <w:rPr>
                <w:sz w:val="20"/>
                <w:szCs w:val="20"/>
                <w:color w:val="auto"/>
              </w:rPr>
            </w:pPr>
            <w:r>
              <w:rPr>
                <w:rFonts w:ascii="Arial" w:cs="Arial" w:eastAsia="Arial" w:hAnsi="Arial"/>
                <w:sz w:val="13"/>
                <w:szCs w:val="13"/>
                <w:color w:val="auto"/>
                <w:w w:val="96"/>
              </w:rPr>
              <w:t>ABSTAIN</w:t>
            </w: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460" w:type="dxa"/>
            <w:vAlign w:val="bottom"/>
            <w:tcBorders>
              <w:right w:val="single" w:sz="8" w:color="auto"/>
            </w:tcBorders>
          </w:tcPr>
          <w:p>
            <w:pPr>
              <w:spacing w:after="0"/>
              <w:rPr>
                <w:sz w:val="13"/>
                <w:szCs w:val="13"/>
                <w:color w:val="auto"/>
              </w:rPr>
            </w:pPr>
          </w:p>
        </w:tc>
        <w:tc>
          <w:tcPr>
            <w:tcW w:w="4720" w:type="dxa"/>
            <w:vAlign w:val="bottom"/>
          </w:tcPr>
          <w:p>
            <w:pPr>
              <w:ind w:left="80"/>
              <w:spacing w:after="0" w:line="157" w:lineRule="exact"/>
              <w:rPr>
                <w:sz w:val="20"/>
                <w:szCs w:val="20"/>
                <w:color w:val="auto"/>
              </w:rPr>
            </w:pPr>
            <w:r>
              <w:rPr>
                <w:rFonts w:ascii="Arial" w:cs="Arial" w:eastAsia="Arial" w:hAnsi="Arial"/>
                <w:sz w:val="14"/>
                <w:szCs w:val="14"/>
                <w:color w:val="auto"/>
              </w:rPr>
              <w:t>3. To ratify the appointment of Grant Thornton LLP as our independent</w:t>
            </w:r>
          </w:p>
        </w:tc>
        <w:tc>
          <w:tcPr>
            <w:tcW w:w="460" w:type="dxa"/>
            <w:vAlign w:val="bottom"/>
            <w:vMerge w:val="restart"/>
          </w:tcPr>
          <w:p>
            <w:pPr>
              <w:ind w:left="100"/>
              <w:spacing w:after="0" w:line="251" w:lineRule="exact"/>
              <w:rPr>
                <w:sz w:val="20"/>
                <w:szCs w:val="20"/>
                <w:color w:val="auto"/>
              </w:rPr>
            </w:pPr>
            <w:r>
              <w:rPr>
                <w:rFonts w:ascii="MS PGothic" w:cs="MS PGothic" w:eastAsia="MS PGothic" w:hAnsi="MS PGothic"/>
                <w:sz w:val="25"/>
                <w:szCs w:val="25"/>
                <w:color w:val="auto"/>
              </w:rPr>
              <w:t>☐</w:t>
            </w:r>
          </w:p>
        </w:tc>
        <w:tc>
          <w:tcPr>
            <w:tcW w:w="700" w:type="dxa"/>
            <w:vAlign w:val="bottom"/>
            <w:vMerge w:val="restart"/>
          </w:tcPr>
          <w:p>
            <w:pPr>
              <w:jc w:val="center"/>
              <w:spacing w:after="0" w:line="251" w:lineRule="exact"/>
              <w:rPr>
                <w:sz w:val="20"/>
                <w:szCs w:val="20"/>
                <w:color w:val="auto"/>
              </w:rPr>
            </w:pPr>
            <w:r>
              <w:rPr>
                <w:rFonts w:ascii="MS PGothic" w:cs="MS PGothic" w:eastAsia="MS PGothic" w:hAnsi="MS PGothic"/>
                <w:sz w:val="25"/>
                <w:szCs w:val="25"/>
                <w:color w:val="auto"/>
                <w:w w:val="95"/>
              </w:rPr>
              <w:t>☐</w:t>
            </w:r>
          </w:p>
        </w:tc>
        <w:tc>
          <w:tcPr>
            <w:tcW w:w="900" w:type="dxa"/>
            <w:vAlign w:val="bottom"/>
            <w:vMerge w:val="restart"/>
          </w:tcPr>
          <w:p>
            <w:pPr>
              <w:jc w:val="center"/>
              <w:ind w:left="52"/>
              <w:spacing w:after="0" w:line="251" w:lineRule="exact"/>
              <w:rPr>
                <w:sz w:val="20"/>
                <w:szCs w:val="20"/>
                <w:color w:val="auto"/>
              </w:rPr>
            </w:pPr>
            <w:r>
              <w:rPr>
                <w:rFonts w:ascii="MS PGothic" w:cs="MS PGothic" w:eastAsia="MS PGothic" w:hAnsi="MS PGothic"/>
                <w:sz w:val="25"/>
                <w:szCs w:val="25"/>
                <w:color w:val="auto"/>
                <w:w w:val="87"/>
              </w:rPr>
              <w:t>☐</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4720" w:type="dxa"/>
            <w:vAlign w:val="bottom"/>
          </w:tcPr>
          <w:p>
            <w:pPr>
              <w:ind w:left="240"/>
              <w:spacing w:after="0" w:line="149" w:lineRule="exact"/>
              <w:rPr>
                <w:sz w:val="20"/>
                <w:szCs w:val="20"/>
                <w:color w:val="auto"/>
              </w:rPr>
            </w:pPr>
            <w:r>
              <w:rPr>
                <w:rFonts w:ascii="Arial" w:cs="Arial" w:eastAsia="Arial" w:hAnsi="Arial"/>
                <w:sz w:val="14"/>
                <w:szCs w:val="14"/>
                <w:color w:val="auto"/>
                <w:w w:val="99"/>
              </w:rPr>
              <w:t>registered public accounting firm for the fiscal year ending December 31,</w:t>
            </w:r>
          </w:p>
        </w:tc>
        <w:tc>
          <w:tcPr>
            <w:tcW w:w="4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4720" w:type="dxa"/>
            <w:vAlign w:val="bottom"/>
          </w:tcPr>
          <w:p>
            <w:pPr>
              <w:ind w:left="240"/>
              <w:spacing w:after="0"/>
              <w:rPr>
                <w:sz w:val="20"/>
                <w:szCs w:val="20"/>
                <w:color w:val="auto"/>
              </w:rPr>
            </w:pPr>
            <w:r>
              <w:rPr>
                <w:rFonts w:ascii="Arial" w:cs="Arial" w:eastAsia="Arial" w:hAnsi="Arial"/>
                <w:sz w:val="14"/>
                <w:szCs w:val="14"/>
                <w:color w:val="auto"/>
              </w:rPr>
              <w:t>2019.</w:t>
            </w: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3780" w:type="dxa"/>
            <w:vAlign w:val="bottom"/>
            <w:gridSpan w:val="2"/>
          </w:tcPr>
          <w:p>
            <w:pPr>
              <w:spacing w:after="0" w:line="123" w:lineRule="exact"/>
              <w:rPr>
                <w:sz w:val="20"/>
                <w:szCs w:val="20"/>
                <w:color w:val="auto"/>
              </w:rPr>
            </w:pPr>
            <w:r>
              <w:rPr>
                <w:rFonts w:ascii="Arial" w:cs="Arial" w:eastAsia="Arial" w:hAnsi="Arial"/>
                <w:sz w:val="14"/>
                <w:szCs w:val="14"/>
                <w:color w:val="auto"/>
                <w:w w:val="93"/>
              </w:rPr>
              <w:t>To change the address on your account, please check the box at</w:t>
            </w:r>
          </w:p>
        </w:tc>
        <w:tc>
          <w:tcPr>
            <w:tcW w:w="460" w:type="dxa"/>
            <w:vAlign w:val="bottom"/>
            <w:tcBorders>
              <w:right w:val="single" w:sz="8" w:color="auto"/>
            </w:tcBorders>
            <w:vMerge w:val="restart"/>
          </w:tcPr>
          <w:p>
            <w:pPr>
              <w:ind w:left="80"/>
              <w:spacing w:after="0" w:line="311" w:lineRule="exact"/>
              <w:rPr>
                <w:sz w:val="20"/>
                <w:szCs w:val="20"/>
                <w:color w:val="auto"/>
              </w:rPr>
            </w:pPr>
            <w:r>
              <w:rPr>
                <w:rFonts w:ascii="MS PGothic" w:cs="MS PGothic" w:eastAsia="MS PGothic" w:hAnsi="MS PGothic"/>
                <w:sz w:val="31"/>
                <w:szCs w:val="31"/>
                <w:color w:val="auto"/>
              </w:rPr>
              <w:t>☐</w:t>
            </w:r>
          </w:p>
        </w:tc>
        <w:tc>
          <w:tcPr>
            <w:tcW w:w="4720" w:type="dxa"/>
            <w:vAlign w:val="bottom"/>
            <w:vMerge w:val="restart"/>
          </w:tcPr>
          <w:p>
            <w:pPr>
              <w:ind w:left="80"/>
              <w:spacing w:after="0"/>
              <w:rPr>
                <w:sz w:val="20"/>
                <w:szCs w:val="20"/>
                <w:color w:val="auto"/>
              </w:rPr>
            </w:pPr>
            <w:r>
              <w:rPr>
                <w:rFonts w:ascii="Arial" w:cs="Arial" w:eastAsia="Arial" w:hAnsi="Arial"/>
                <w:sz w:val="14"/>
                <w:szCs w:val="14"/>
                <w:color w:val="auto"/>
              </w:rPr>
              <w:t>4. To consider and act upon any other matters properly coming before the</w:t>
            </w:r>
          </w:p>
        </w:tc>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3820" w:type="dxa"/>
            <w:vAlign w:val="bottom"/>
            <w:gridSpan w:val="3"/>
            <w:vMerge w:val="restart"/>
          </w:tcPr>
          <w:p>
            <w:pPr>
              <w:spacing w:after="0" w:line="149" w:lineRule="exact"/>
              <w:rPr>
                <w:sz w:val="20"/>
                <w:szCs w:val="20"/>
                <w:color w:val="auto"/>
              </w:rPr>
            </w:pPr>
            <w:r>
              <w:rPr>
                <w:rFonts w:ascii="Arial" w:cs="Arial" w:eastAsia="Arial" w:hAnsi="Arial"/>
                <w:sz w:val="14"/>
                <w:szCs w:val="14"/>
                <w:color w:val="auto"/>
                <w:w w:val="94"/>
              </w:rPr>
              <w:t>right and indicate your new address in the address space above.</w:t>
            </w:r>
          </w:p>
        </w:tc>
        <w:tc>
          <w:tcPr>
            <w:tcW w:w="460" w:type="dxa"/>
            <w:vAlign w:val="bottom"/>
            <w:tcBorders>
              <w:right w:val="single" w:sz="8" w:color="auto"/>
            </w:tcBorders>
            <w:vMerge w:val="continue"/>
          </w:tcPr>
          <w:p>
            <w:pPr>
              <w:spacing w:after="0"/>
              <w:rPr>
                <w:sz w:val="5"/>
                <w:szCs w:val="5"/>
                <w:color w:val="auto"/>
              </w:rPr>
            </w:pPr>
          </w:p>
        </w:tc>
        <w:tc>
          <w:tcPr>
            <w:tcW w:w="472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70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820" w:type="dxa"/>
            <w:vAlign w:val="bottom"/>
            <w:gridSpan w:val="3"/>
            <w:vMerge w:val="continue"/>
          </w:tcPr>
          <w:p>
            <w:pPr>
              <w:spacing w:after="0"/>
              <w:rPr>
                <w:sz w:val="7"/>
                <w:szCs w:val="7"/>
                <w:color w:val="auto"/>
              </w:rPr>
            </w:pPr>
          </w:p>
        </w:tc>
        <w:tc>
          <w:tcPr>
            <w:tcW w:w="460" w:type="dxa"/>
            <w:vAlign w:val="bottom"/>
            <w:tcBorders>
              <w:right w:val="single" w:sz="8" w:color="auto"/>
            </w:tcBorders>
            <w:vMerge w:val="continue"/>
          </w:tcPr>
          <w:p>
            <w:pPr>
              <w:spacing w:after="0"/>
              <w:rPr>
                <w:sz w:val="7"/>
                <w:szCs w:val="7"/>
                <w:color w:val="auto"/>
              </w:rPr>
            </w:pPr>
          </w:p>
        </w:tc>
        <w:tc>
          <w:tcPr>
            <w:tcW w:w="4720" w:type="dxa"/>
            <w:vAlign w:val="bottom"/>
            <w:vMerge w:val="restart"/>
          </w:tcPr>
          <w:p>
            <w:pPr>
              <w:ind w:left="240"/>
              <w:spacing w:after="0"/>
              <w:rPr>
                <w:sz w:val="20"/>
                <w:szCs w:val="20"/>
                <w:color w:val="auto"/>
              </w:rPr>
            </w:pPr>
            <w:r>
              <w:rPr>
                <w:rFonts w:ascii="Arial" w:cs="Arial" w:eastAsia="Arial" w:hAnsi="Arial"/>
                <w:sz w:val="14"/>
                <w:szCs w:val="14"/>
                <w:color w:val="auto"/>
              </w:rPr>
              <w:t>meeting or any postponement or adjourment thereof.</w:t>
            </w:r>
          </w:p>
        </w:tc>
        <w:tc>
          <w:tcPr>
            <w:tcW w:w="460" w:type="dxa"/>
            <w:vAlign w:val="bottom"/>
          </w:tcPr>
          <w:p>
            <w:pPr>
              <w:spacing w:after="0"/>
              <w:rPr>
                <w:sz w:val="7"/>
                <w:szCs w:val="7"/>
                <w:color w:val="auto"/>
              </w:rPr>
            </w:pPr>
          </w:p>
        </w:tc>
        <w:tc>
          <w:tcPr>
            <w:tcW w:w="70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3820" w:type="dxa"/>
            <w:vAlign w:val="bottom"/>
            <w:gridSpan w:val="3"/>
          </w:tcPr>
          <w:p>
            <w:pPr>
              <w:spacing w:after="0" w:line="149" w:lineRule="exact"/>
              <w:rPr>
                <w:sz w:val="20"/>
                <w:szCs w:val="20"/>
                <w:color w:val="auto"/>
              </w:rPr>
            </w:pPr>
            <w:r>
              <w:rPr>
                <w:rFonts w:ascii="Arial" w:cs="Arial" w:eastAsia="Arial" w:hAnsi="Arial"/>
                <w:sz w:val="14"/>
                <w:szCs w:val="14"/>
                <w:color w:val="auto"/>
                <w:w w:val="91"/>
              </w:rPr>
              <w:t>Please note that changes to the registered name(s) on the account</w:t>
            </w:r>
          </w:p>
        </w:tc>
        <w:tc>
          <w:tcPr>
            <w:tcW w:w="460" w:type="dxa"/>
            <w:vAlign w:val="bottom"/>
            <w:tcBorders>
              <w:right w:val="single" w:sz="8" w:color="auto"/>
            </w:tcBorders>
            <w:vMerge w:val="continue"/>
          </w:tcPr>
          <w:p>
            <w:pPr>
              <w:spacing w:after="0"/>
              <w:rPr>
                <w:sz w:val="12"/>
                <w:szCs w:val="12"/>
                <w:color w:val="auto"/>
              </w:rPr>
            </w:pPr>
          </w:p>
        </w:tc>
        <w:tc>
          <w:tcPr>
            <w:tcW w:w="472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82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may not be submitted via this method.</w:t>
            </w:r>
          </w:p>
        </w:tc>
        <w:tc>
          <w:tcPr>
            <w:tcW w:w="460" w:type="dxa"/>
            <w:vAlign w:val="bottom"/>
            <w:tcBorders>
              <w:bottom w:val="single" w:sz="8" w:color="auto"/>
              <w:right w:val="single" w:sz="8" w:color="auto"/>
            </w:tcBorders>
          </w:tcPr>
          <w:p>
            <w:pPr>
              <w:spacing w:after="0"/>
              <w:rPr>
                <w:sz w:val="14"/>
                <w:szCs w:val="14"/>
                <w:color w:val="auto"/>
              </w:rPr>
            </w:pPr>
          </w:p>
        </w:tc>
        <w:tc>
          <w:tcPr>
            <w:tcW w:w="4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 w:lineRule="exact"/>
        <w:rPr>
          <w:sz w:val="20"/>
          <w:szCs w:val="20"/>
          <w:color w:val="auto"/>
        </w:rPr>
      </w:pPr>
    </w:p>
    <w:p>
      <w:pPr>
        <w:sectPr>
          <w:pgSz w:w="11900" w:h="16838" w:orient="portrait"/>
          <w:cols w:equalWidth="0" w:num="1">
            <w:col w:w="11240"/>
          </w:cols>
          <w:pgMar w:left="240" w:top="459" w:right="419" w:bottom="1440" w:gutter="0" w:footer="0" w:header="0"/>
        </w:sectPr>
      </w:pPr>
    </w:p>
    <w:p>
      <w:pPr>
        <w:spacing w:after="0" w:line="20" w:lineRule="exact"/>
        <w:rPr>
          <w:sz w:val="20"/>
          <w:szCs w:val="20"/>
          <w:color w:val="auto"/>
        </w:rPr>
      </w:pPr>
    </w:p>
    <w:p>
      <w:pPr>
        <w:ind w:left="300"/>
        <w:spacing w:after="0"/>
        <w:rPr>
          <w:sz w:val="20"/>
          <w:szCs w:val="20"/>
          <w:color w:val="auto"/>
        </w:rPr>
      </w:pPr>
      <w:r>
        <w:rPr>
          <w:rFonts w:ascii="Arial" w:cs="Arial" w:eastAsia="Arial" w:hAnsi="Arial"/>
          <w:sz w:val="12"/>
          <w:szCs w:val="12"/>
          <w:color w:val="auto"/>
        </w:rPr>
        <w:t>Signature of Shareholder</w:t>
      </w:r>
    </w:p>
    <w:p>
      <w:pPr>
        <w:ind w:left="1240" w:hanging="942"/>
        <w:spacing w:after="0" w:line="183" w:lineRule="auto"/>
        <w:tabs>
          <w:tab w:leader="none" w:pos="1240" w:val="left"/>
        </w:tabs>
        <w:numPr>
          <w:ilvl w:val="0"/>
          <w:numId w:val="31"/>
        </w:numPr>
        <w:rPr>
          <w:rFonts w:ascii="MS PGothic" w:cs="MS PGothic" w:eastAsia="MS PGothic" w:hAnsi="MS PGothic"/>
          <w:sz w:val="43"/>
          <w:szCs w:val="43"/>
          <w:color w:val="auto"/>
          <w:vertAlign w:val="subscript"/>
        </w:rPr>
      </w:pPr>
      <w:r>
        <w:rPr>
          <w:rFonts w:ascii="Arial" w:cs="Arial" w:eastAsia="Arial" w:hAnsi="Arial"/>
          <w:sz w:val="14"/>
          <w:szCs w:val="14"/>
          <w:b w:val="1"/>
          <w:bCs w:val="1"/>
          <w:color w:val="auto"/>
        </w:rPr>
        <w:t>Note: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81"/>
        </w:trPr>
        <w:tc>
          <w:tcPr>
            <w:tcW w:w="1900" w:type="dxa"/>
            <w:vAlign w:val="bottom"/>
            <w:tcBorders>
              <w:top w:val="single" w:sz="8" w:color="auto"/>
              <w:left w:val="single" w:sz="8" w:color="auto"/>
              <w:bottom w:val="single" w:sz="8" w:color="auto"/>
              <w:right w:val="single" w:sz="8" w:color="auto"/>
            </w:tcBorders>
          </w:tcPr>
          <w:p>
            <w:pPr>
              <w:spacing w:after="0"/>
              <w:rPr>
                <w:sz w:val="15"/>
                <w:szCs w:val="15"/>
                <w:color w:val="auto"/>
              </w:rPr>
            </w:pPr>
          </w:p>
        </w:tc>
        <w:tc>
          <w:tcPr>
            <w:tcW w:w="5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Date:</w:t>
            </w:r>
          </w:p>
        </w:tc>
        <w:tc>
          <w:tcPr>
            <w:tcW w:w="1020" w:type="dxa"/>
            <w:vAlign w:val="bottom"/>
            <w:tcBorders>
              <w:top w:val="single" w:sz="8" w:color="auto"/>
              <w:bottom w:val="single" w:sz="8" w:color="auto"/>
              <w:right w:val="single" w:sz="8" w:color="auto"/>
            </w:tcBorders>
          </w:tcPr>
          <w:p>
            <w:pPr>
              <w:spacing w:after="0"/>
              <w:rPr>
                <w:sz w:val="15"/>
                <w:szCs w:val="15"/>
                <w:color w:val="auto"/>
              </w:rPr>
            </w:pPr>
          </w:p>
        </w:tc>
        <w:tc>
          <w:tcPr>
            <w:tcW w:w="208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4"/>
                <w:szCs w:val="14"/>
                <w:color w:val="auto"/>
                <w:w w:val="96"/>
              </w:rPr>
              <w:t>Signature of Shareholder</w:t>
            </w:r>
          </w:p>
        </w:tc>
        <w:tc>
          <w:tcPr>
            <w:tcW w:w="2220" w:type="dxa"/>
            <w:vAlign w:val="bottom"/>
            <w:tcBorders>
              <w:top w:val="single" w:sz="8" w:color="auto"/>
              <w:bottom w:val="single" w:sz="8" w:color="auto"/>
              <w:right w:val="single" w:sz="8" w:color="auto"/>
            </w:tcBorders>
          </w:tcPr>
          <w:p>
            <w:pPr>
              <w:spacing w:after="0"/>
              <w:rPr>
                <w:sz w:val="15"/>
                <w:szCs w:val="15"/>
                <w:color w:val="auto"/>
              </w:rPr>
            </w:pPr>
          </w:p>
        </w:tc>
        <w:tc>
          <w:tcPr>
            <w:tcW w:w="5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Date:</w:t>
            </w:r>
          </w:p>
        </w:tc>
        <w:tc>
          <w:tcPr>
            <w:tcW w:w="1220" w:type="dxa"/>
            <w:vAlign w:val="bottom"/>
            <w:tcBorders>
              <w:top w:val="single" w:sz="8" w:color="auto"/>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8220" w:type="dxa"/>
            <w:vAlign w:val="bottom"/>
            <w:gridSpan w:val="6"/>
          </w:tcPr>
          <w:p>
            <w:pPr>
              <w:ind w:left="100"/>
              <w:spacing w:after="0"/>
              <w:rPr>
                <w:sz w:val="20"/>
                <w:szCs w:val="20"/>
                <w:color w:val="auto"/>
              </w:rPr>
            </w:pPr>
            <w:r>
              <w:rPr>
                <w:rFonts w:ascii="Arial" w:cs="Arial" w:eastAsia="Arial" w:hAnsi="Arial"/>
                <w:sz w:val="14"/>
                <w:szCs w:val="14"/>
                <w:color w:val="auto"/>
                <w:w w:val="94"/>
              </w:rPr>
              <w:t>Please sign exactly as your name or names appear on this Proxy. When shares are held jointly, each holder should sign. When signing as</w:t>
            </w:r>
          </w:p>
        </w:tc>
        <w:tc>
          <w:tcPr>
            <w:tcW w:w="1220" w:type="dxa"/>
            <w:vAlign w:val="bottom"/>
            <w:vMerge w:val="restart"/>
          </w:tcPr>
          <w:p>
            <w:pPr>
              <w:ind w:left="104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161"/>
        </w:trPr>
        <w:tc>
          <w:tcPr>
            <w:tcW w:w="8220" w:type="dxa"/>
            <w:vAlign w:val="bottom"/>
            <w:gridSpan w:val="6"/>
          </w:tcPr>
          <w:p>
            <w:pPr>
              <w:ind w:left="100"/>
              <w:spacing w:after="0"/>
              <w:rPr>
                <w:sz w:val="20"/>
                <w:szCs w:val="20"/>
                <w:color w:val="auto"/>
              </w:rPr>
            </w:pPr>
            <w:r>
              <w:rPr>
                <w:rFonts w:ascii="Arial" w:cs="Arial" w:eastAsia="Arial" w:hAnsi="Arial"/>
                <w:sz w:val="14"/>
                <w:szCs w:val="14"/>
                <w:color w:val="auto"/>
                <w:w w:val="95"/>
              </w:rPr>
              <w:t>executor, administrator, attorney, trustee or guardian, please give full title as such. If the signer is a corporation, please sign full corporate</w:t>
            </w: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ind w:left="100"/>
        <w:spacing w:after="0"/>
        <w:rPr>
          <w:sz w:val="20"/>
          <w:szCs w:val="20"/>
          <w:color w:val="auto"/>
        </w:rPr>
      </w:pPr>
      <w:r>
        <w:rPr>
          <w:rFonts w:ascii="Arial" w:cs="Arial" w:eastAsia="Arial" w:hAnsi="Arial"/>
          <w:sz w:val="14"/>
          <w:szCs w:val="14"/>
          <w:color w:val="auto"/>
        </w:rPr>
        <w:t>name by duly authorized officer, giving full title as such. If signer is a partnership, please sign in partnership name by authorized person.</w:t>
      </w:r>
    </w:p>
    <w:p>
      <w:pPr>
        <w:sectPr>
          <w:pgSz w:w="11900" w:h="16838" w:orient="portrait"/>
          <w:cols w:equalWidth="0" w:num="2">
            <w:col w:w="1740" w:space="80"/>
            <w:col w:w="9420"/>
          </w:cols>
          <w:pgMar w:left="240" w:top="459" w:right="419" w:bottom="1440"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ANNUAL MEETING OF SHAREHOLDERS OF</w:t>
      </w:r>
    </w:p>
    <w:p>
      <w:pPr>
        <w:spacing w:after="0" w:line="82" w:lineRule="exact"/>
        <w:rPr>
          <w:sz w:val="20"/>
          <w:szCs w:val="20"/>
          <w:color w:val="auto"/>
        </w:rPr>
      </w:pPr>
    </w:p>
    <w:p>
      <w:pPr>
        <w:jc w:val="center"/>
        <w:ind w:right="-179"/>
        <w:spacing w:after="0"/>
        <w:rPr>
          <w:sz w:val="20"/>
          <w:szCs w:val="20"/>
          <w:color w:val="auto"/>
        </w:rPr>
      </w:pPr>
      <w:r>
        <w:rPr>
          <w:rFonts w:ascii="Arial" w:cs="Arial" w:eastAsia="Arial" w:hAnsi="Arial"/>
          <w:sz w:val="43"/>
          <w:szCs w:val="43"/>
          <w:b w:val="1"/>
          <w:bCs w:val="1"/>
          <w:color w:val="auto"/>
        </w:rPr>
        <w:t>FEDERAL REALTY INVESTMENT TRUST</w:t>
      </w:r>
    </w:p>
    <w:p>
      <w:pPr>
        <w:spacing w:after="0" w:line="237"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May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328295</wp:posOffset>
            </wp:positionV>
            <wp:extent cx="2400935" cy="3175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400935" cy="31750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4180"/>
        <w:spacing w:after="0"/>
        <w:rPr>
          <w:sz w:val="20"/>
          <w:szCs w:val="20"/>
          <w:color w:val="auto"/>
        </w:rPr>
      </w:pPr>
      <w:r>
        <w:rPr>
          <w:rFonts w:ascii="Arial" w:cs="Arial" w:eastAsia="Arial" w:hAnsi="Arial"/>
          <w:sz w:val="22"/>
          <w:szCs w:val="22"/>
          <w:b w:val="1"/>
          <w:bCs w:val="1"/>
          <w:color w:val="auto"/>
        </w:rPr>
        <w:t>PROXY VOTING INSTRUCTIONS</w:t>
      </w:r>
    </w:p>
    <w:p>
      <w:pPr>
        <w:sectPr>
          <w:pgSz w:w="11900" w:h="16838" w:orient="portrait"/>
          <w:cols w:equalWidth="0" w:num="1">
            <w:col w:w="11240"/>
          </w:cols>
          <w:pgMar w:left="240" w:top="459" w:right="419" w:bottom="580" w:gutter="0" w:footer="0" w:header="0"/>
        </w:sectPr>
      </w:pPr>
    </w:p>
    <w:p>
      <w:pPr>
        <w:spacing w:after="0" w:line="200" w:lineRule="exact"/>
        <w:rPr>
          <w:sz w:val="20"/>
          <w:szCs w:val="20"/>
          <w:color w:val="auto"/>
        </w:rPr>
      </w:pPr>
    </w:p>
    <w:p>
      <w:pPr>
        <w:spacing w:after="0" w:line="204" w:lineRule="exact"/>
        <w:rPr>
          <w:sz w:val="20"/>
          <w:szCs w:val="20"/>
          <w:color w:val="auto"/>
        </w:rPr>
      </w:pPr>
    </w:p>
    <w:p>
      <w:pPr>
        <w:ind w:left="200" w:right="640"/>
        <w:spacing w:after="0" w:line="266" w:lineRule="auto"/>
        <w:rPr>
          <w:sz w:val="20"/>
          <w:szCs w:val="20"/>
          <w:color w:val="auto"/>
        </w:rPr>
      </w:pPr>
      <w:r>
        <w:rPr>
          <w:rFonts w:ascii="Arial" w:cs="Arial" w:eastAsia="Arial" w:hAnsi="Arial"/>
          <w:sz w:val="18"/>
          <w:szCs w:val="18"/>
          <w:b w:val="1"/>
          <w:bCs w:val="1"/>
          <w:u w:val="single" w:color="auto"/>
          <w:color w:val="auto"/>
        </w:rPr>
        <w:t>INTERNET</w:t>
      </w:r>
      <w:r>
        <w:rPr>
          <w:rFonts w:ascii="Arial" w:cs="Arial" w:eastAsia="Arial" w:hAnsi="Arial"/>
          <w:sz w:val="18"/>
          <w:szCs w:val="18"/>
          <w:b w:val="1"/>
          <w:bCs w:val="1"/>
          <w:color w:val="auto"/>
        </w:rPr>
        <w:t xml:space="preserve"> </w:t>
      </w:r>
      <w:r>
        <w:rPr>
          <w:rFonts w:ascii="Arial" w:cs="Arial" w:eastAsia="Arial" w:hAnsi="Arial"/>
          <w:sz w:val="18"/>
          <w:szCs w:val="18"/>
          <w:color w:val="auto"/>
        </w:rPr>
        <w:t>- Access “</w:t>
      </w:r>
      <w:r>
        <w:rPr>
          <w:rFonts w:ascii="Arial" w:cs="Arial" w:eastAsia="Arial" w:hAnsi="Arial"/>
          <w:sz w:val="18"/>
          <w:szCs w:val="18"/>
          <w:b w:val="1"/>
          <w:bCs w:val="1"/>
          <w:color w:val="auto"/>
        </w:rPr>
        <w:t>www.voteproxy.com</w:t>
      </w:r>
      <w:r>
        <w:rPr>
          <w:rFonts w:ascii="Arial" w:cs="Arial" w:eastAsia="Arial" w:hAnsi="Arial"/>
          <w:sz w:val="18"/>
          <w:szCs w:val="18"/>
          <w:color w:val="auto"/>
        </w:rPr>
        <w:t>” and follow the on-screen</w:t>
      </w:r>
      <w:r>
        <w:rPr>
          <w:rFonts w:ascii="Arial" w:cs="Arial" w:eastAsia="Arial" w:hAnsi="Arial"/>
          <w:sz w:val="18"/>
          <w:szCs w:val="18"/>
          <w:b w:val="1"/>
          <w:bCs w:val="1"/>
          <w:color w:val="auto"/>
        </w:rPr>
        <w:t xml:space="preserve"> </w:t>
      </w:r>
      <w:r>
        <w:rPr>
          <w:rFonts w:ascii="Arial" w:cs="Arial" w:eastAsia="Arial" w:hAnsi="Arial"/>
          <w:sz w:val="18"/>
          <w:szCs w:val="18"/>
          <w:color w:val="auto"/>
        </w:rPr>
        <w:t>instructions or scan the QR code with your smartphone. Have your proxy card available when you access the web page.</w:t>
      </w:r>
    </w:p>
    <w:p>
      <w:pPr>
        <w:spacing w:after="0" w:line="41" w:lineRule="exact"/>
        <w:rPr>
          <w:sz w:val="20"/>
          <w:szCs w:val="20"/>
          <w:color w:val="auto"/>
        </w:rPr>
      </w:pPr>
    </w:p>
    <w:p>
      <w:pPr>
        <w:jc w:val="both"/>
        <w:ind w:left="200" w:right="440"/>
        <w:spacing w:after="0" w:line="314" w:lineRule="auto"/>
        <w:rPr>
          <w:sz w:val="20"/>
          <w:szCs w:val="20"/>
          <w:color w:val="auto"/>
        </w:rPr>
      </w:pPr>
      <w:r>
        <w:rPr>
          <w:rFonts w:ascii="Arial" w:cs="Arial" w:eastAsia="Arial" w:hAnsi="Arial"/>
          <w:sz w:val="16"/>
          <w:szCs w:val="16"/>
          <w:b w:val="1"/>
          <w:bCs w:val="1"/>
          <w:u w:val="single" w:color="auto"/>
          <w:color w:val="auto"/>
        </w:rPr>
        <w:t>TELEPHONE</w:t>
      </w:r>
      <w:r>
        <w:rPr>
          <w:rFonts w:ascii="Arial" w:cs="Arial" w:eastAsia="Arial" w:hAnsi="Arial"/>
          <w:sz w:val="16"/>
          <w:szCs w:val="16"/>
          <w:b w:val="1"/>
          <w:bCs w:val="1"/>
          <w:color w:val="auto"/>
        </w:rPr>
        <w:t xml:space="preserve"> </w:t>
      </w:r>
      <w:r>
        <w:rPr>
          <w:rFonts w:ascii="Arial" w:cs="Arial" w:eastAsia="Arial" w:hAnsi="Arial"/>
          <w:sz w:val="16"/>
          <w:szCs w:val="16"/>
          <w:color w:val="auto"/>
        </w:rPr>
        <w:t>- Call toll-free</w:t>
      </w:r>
      <w:r>
        <w:rPr>
          <w:rFonts w:ascii="Arial" w:cs="Arial" w:eastAsia="Arial" w:hAnsi="Arial"/>
          <w:sz w:val="16"/>
          <w:szCs w:val="16"/>
          <w:b w:val="1"/>
          <w:bCs w:val="1"/>
          <w:color w:val="auto"/>
        </w:rPr>
        <w:t xml:space="preserve"> 1-800-PROXIES </w:t>
      </w:r>
      <w:r>
        <w:rPr>
          <w:rFonts w:ascii="Arial" w:cs="Arial" w:eastAsia="Arial" w:hAnsi="Arial"/>
          <w:sz w:val="16"/>
          <w:szCs w:val="16"/>
          <w:color w:val="auto"/>
        </w:rPr>
        <w:t>(1-800-776-9437) in the United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States or </w:t>
      </w:r>
      <w:r>
        <w:rPr>
          <w:rFonts w:ascii="Arial" w:cs="Arial" w:eastAsia="Arial" w:hAnsi="Arial"/>
          <w:sz w:val="16"/>
          <w:szCs w:val="16"/>
          <w:b w:val="1"/>
          <w:bCs w:val="1"/>
          <w:color w:val="auto"/>
        </w:rPr>
        <w:t>1-718-921-8500</w:t>
      </w:r>
      <w:r>
        <w:rPr>
          <w:rFonts w:ascii="Arial" w:cs="Arial" w:eastAsia="Arial" w:hAnsi="Arial"/>
          <w:sz w:val="16"/>
          <w:szCs w:val="16"/>
          <w:color w:val="auto"/>
        </w:rPr>
        <w:t xml:space="preserve"> from foreign countries from any touch-tone telephone and follow the instructions. Have your proxy card available when you call.</w:t>
      </w:r>
    </w:p>
    <w:p>
      <w:pPr>
        <w:spacing w:after="0" w:line="6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Vote online/phone until 11:59 PM EDT the day before the meeting.</w:t>
      </w:r>
    </w:p>
    <w:p>
      <w:pPr>
        <w:spacing w:after="0" w:line="86" w:lineRule="exact"/>
        <w:rPr>
          <w:sz w:val="20"/>
          <w:szCs w:val="20"/>
          <w:color w:val="auto"/>
        </w:rPr>
      </w:pPr>
    </w:p>
    <w:p>
      <w:pPr>
        <w:jc w:val="both"/>
        <w:ind w:left="200" w:right="440"/>
        <w:spacing w:after="0" w:line="282" w:lineRule="auto"/>
        <w:rPr>
          <w:sz w:val="20"/>
          <w:szCs w:val="20"/>
          <w:color w:val="auto"/>
        </w:rPr>
      </w:pPr>
      <w:r>
        <w:rPr>
          <w:rFonts w:ascii="Arial" w:cs="Arial" w:eastAsia="Arial" w:hAnsi="Arial"/>
          <w:sz w:val="18"/>
          <w:szCs w:val="18"/>
          <w:b w:val="1"/>
          <w:bCs w:val="1"/>
          <w:u w:val="single" w:color="auto"/>
          <w:color w:val="auto"/>
        </w:rPr>
        <w:t>MAIL</w:t>
      </w:r>
      <w:r>
        <w:rPr>
          <w:rFonts w:ascii="Arial" w:cs="Arial" w:eastAsia="Arial" w:hAnsi="Arial"/>
          <w:sz w:val="18"/>
          <w:szCs w:val="18"/>
          <w:b w:val="1"/>
          <w:bCs w:val="1"/>
          <w:color w:val="auto"/>
        </w:rPr>
        <w:t xml:space="preserve"> </w:t>
      </w:r>
      <w:r>
        <w:rPr>
          <w:rFonts w:ascii="Arial" w:cs="Arial" w:eastAsia="Arial" w:hAnsi="Arial"/>
          <w:sz w:val="18"/>
          <w:szCs w:val="18"/>
          <w:color w:val="auto"/>
        </w:rPr>
        <w:t>- Sign, date and mail your proxy card in the envelope provided as soon as</w:t>
      </w:r>
      <w:r>
        <w:rPr>
          <w:rFonts w:ascii="Arial" w:cs="Arial" w:eastAsia="Arial" w:hAnsi="Arial"/>
          <w:sz w:val="18"/>
          <w:szCs w:val="18"/>
          <w:b w:val="1"/>
          <w:bCs w:val="1"/>
          <w:color w:val="auto"/>
        </w:rPr>
        <w:t xml:space="preserve"> </w:t>
      </w:r>
      <w:r>
        <w:rPr>
          <w:rFonts w:ascii="Arial" w:cs="Arial" w:eastAsia="Arial" w:hAnsi="Arial"/>
          <w:sz w:val="18"/>
          <w:szCs w:val="18"/>
          <w:color w:val="auto"/>
        </w:rPr>
        <w:t>possible.</w:t>
      </w:r>
    </w:p>
    <w:p>
      <w:pPr>
        <w:spacing w:after="0" w:line="27" w:lineRule="exact"/>
        <w:rPr>
          <w:sz w:val="20"/>
          <w:szCs w:val="20"/>
          <w:color w:val="auto"/>
        </w:rPr>
      </w:pPr>
    </w:p>
    <w:p>
      <w:pPr>
        <w:ind w:left="200" w:right="800"/>
        <w:spacing w:after="0" w:line="282" w:lineRule="auto"/>
        <w:rPr>
          <w:sz w:val="20"/>
          <w:szCs w:val="20"/>
          <w:color w:val="auto"/>
        </w:rPr>
      </w:pPr>
      <w:r>
        <w:rPr>
          <w:rFonts w:ascii="Arial" w:cs="Arial" w:eastAsia="Arial" w:hAnsi="Arial"/>
          <w:sz w:val="18"/>
          <w:szCs w:val="18"/>
          <w:b w:val="1"/>
          <w:bCs w:val="1"/>
          <w:u w:val="single" w:color="auto"/>
          <w:color w:val="auto"/>
        </w:rPr>
        <w:t>IN PERSON</w:t>
      </w:r>
      <w:r>
        <w:rPr>
          <w:rFonts w:ascii="Arial" w:cs="Arial" w:eastAsia="Arial" w:hAnsi="Arial"/>
          <w:sz w:val="18"/>
          <w:szCs w:val="18"/>
          <w:b w:val="1"/>
          <w:bCs w:val="1"/>
          <w:color w:val="auto"/>
        </w:rPr>
        <w:t xml:space="preserve"> - </w:t>
      </w:r>
      <w:r>
        <w:rPr>
          <w:rFonts w:ascii="Arial" w:cs="Arial" w:eastAsia="Arial" w:hAnsi="Arial"/>
          <w:sz w:val="18"/>
          <w:szCs w:val="18"/>
          <w:color w:val="auto"/>
        </w:rPr>
        <w:t>You may vote your shares in person by attending the Annual</w:t>
      </w:r>
      <w:r>
        <w:rPr>
          <w:rFonts w:ascii="Arial" w:cs="Arial" w:eastAsia="Arial" w:hAnsi="Arial"/>
          <w:sz w:val="18"/>
          <w:szCs w:val="18"/>
          <w:b w:val="1"/>
          <w:bCs w:val="1"/>
          <w:color w:val="auto"/>
        </w:rPr>
        <w:t xml:space="preserve"> </w:t>
      </w:r>
      <w:r>
        <w:rPr>
          <w:rFonts w:ascii="Arial" w:cs="Arial" w:eastAsia="Arial" w:hAnsi="Arial"/>
          <w:sz w:val="18"/>
          <w:szCs w:val="18"/>
          <w:color w:val="auto"/>
        </w:rPr>
        <w:t>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-222250</wp:posOffset>
            </wp:positionV>
            <wp:extent cx="2804160" cy="13290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804160" cy="1329055"/>
                    </a:xfrm>
                    <a:prstGeom prst="rect">
                      <a:avLst/>
                    </a:prstGeom>
                    <a:noFill/>
                  </pic:spPr>
                </pic:pic>
              </a:graphicData>
            </a:graphic>
          </wp:anchor>
        </w:drawing>
        <w:drawing>
          <wp:anchor simplePos="0" relativeHeight="251657728" behindDoc="1" locked="0" layoutInCell="0" allowOverlap="1">
            <wp:simplePos x="0" y="0"/>
            <wp:positionH relativeFrom="column">
              <wp:posOffset>-158115</wp:posOffset>
            </wp:positionH>
            <wp:positionV relativeFrom="paragraph">
              <wp:posOffset>-1096645</wp:posOffset>
            </wp:positionV>
            <wp:extent cx="531495" cy="5403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31495" cy="54038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ACCOUNT NUMBER</w:t>
      </w:r>
    </w:p>
    <w:p>
      <w:pPr>
        <w:spacing w:after="0" w:line="506" w:lineRule="exact"/>
        <w:rPr>
          <w:sz w:val="20"/>
          <w:szCs w:val="20"/>
          <w:color w:val="auto"/>
        </w:rPr>
      </w:pPr>
    </w:p>
    <w:p>
      <w:pPr>
        <w:sectPr>
          <w:pgSz w:w="11900" w:h="16838" w:orient="portrait"/>
          <w:cols w:equalWidth="0" w:num="2">
            <w:col w:w="6480" w:space="720"/>
            <w:col w:w="4040"/>
          </w:cols>
          <w:pgMar w:left="240" w:top="459" w:right="419" w:bottom="58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u w:val="single" w:color="auto"/>
          <w:color w:val="auto"/>
        </w:rPr>
        <w:t>NOTICE OF INTERNET AVAILABILITY OF PROXY MATERIAL</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-127635</wp:posOffset>
            </wp:positionV>
            <wp:extent cx="7006590" cy="5575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006590" cy="557530"/>
                    </a:xfrm>
                    <a:prstGeom prst="rect">
                      <a:avLst/>
                    </a:prstGeom>
                    <a:noFill/>
                  </pic:spPr>
                </pic:pic>
              </a:graphicData>
            </a:graphic>
          </wp:anchor>
        </w:drawing>
      </w:r>
    </w:p>
    <w:p>
      <w:pPr>
        <w:spacing w:after="0" w:line="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The Annual Report/Form 10-K/Notice &amp; Proxy Statement is available at:</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http://ir.federalrealty.com/phoenix.zhtml?c=84166&amp;p=proxy</w:t>
      </w:r>
    </w:p>
    <w:p>
      <w:pPr>
        <w:spacing w:after="0" w:line="211"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 xml:space="preserve">i Please detach along perforated line and mail in the envelope provided </w:t>
      </w:r>
      <w:r>
        <w:rPr>
          <w:rFonts w:ascii="Arial" w:cs="Arial" w:eastAsia="Arial" w:hAnsi="Arial"/>
          <w:sz w:val="18"/>
          <w:szCs w:val="18"/>
          <w:u w:val="single" w:color="auto"/>
          <w:color w:val="auto"/>
        </w:rPr>
        <w:t>IF</w:t>
      </w:r>
      <w:r>
        <w:rPr>
          <w:rFonts w:ascii="Arial" w:cs="Arial" w:eastAsia="Arial" w:hAnsi="Arial"/>
          <w:sz w:val="18"/>
          <w:szCs w:val="18"/>
          <w:color w:val="auto"/>
        </w:rPr>
        <w:t xml:space="preserve"> you are not voting via telephone or the Internet. i</w:t>
      </w:r>
    </w:p>
    <w:p>
      <w:pPr>
        <w:spacing w:after="0" w:line="300" w:lineRule="exact"/>
        <w:rPr>
          <w:sz w:val="20"/>
          <w:szCs w:val="20"/>
          <w:color w:val="auto"/>
        </w:rPr>
      </w:pPr>
    </w:p>
    <w:tbl>
      <w:tblPr>
        <w:tblLayout w:type="fixed"/>
        <w:tblInd w:w="200" w:type="dxa"/>
        <w:tblCellMar>
          <w:top w:w="0" w:type="dxa"/>
          <w:left w:w="0" w:type="dxa"/>
          <w:bottom w:w="0" w:type="dxa"/>
          <w:right w:w="0" w:type="dxa"/>
        </w:tblCellMar>
      </w:tblPr>
      <w:tr>
        <w:trPr>
          <w:trHeight w:val="339"/>
        </w:trPr>
        <w:tc>
          <w:tcPr>
            <w:tcW w:w="220" w:type="dxa"/>
            <w:vAlign w:val="bottom"/>
            <w:gridSpan w:val="2"/>
          </w:tcPr>
          <w:p>
            <w:pPr>
              <w:spacing w:after="0" w:line="221" w:lineRule="exact"/>
              <w:rPr>
                <w:sz w:val="20"/>
                <w:szCs w:val="20"/>
                <w:color w:val="auto"/>
              </w:rPr>
            </w:pPr>
            <w:r>
              <w:rPr>
                <w:rFonts w:ascii="MS PGothic" w:cs="MS PGothic" w:eastAsia="MS PGothic" w:hAnsi="MS PGothic"/>
                <w:sz w:val="22"/>
                <w:szCs w:val="22"/>
                <w:color w:val="auto"/>
              </w:rPr>
              <w:t>∎</w:t>
            </w:r>
          </w:p>
        </w:tc>
        <w:tc>
          <w:tcPr>
            <w:tcW w:w="4000" w:type="dxa"/>
            <w:vAlign w:val="bottom"/>
            <w:gridSpan w:val="2"/>
          </w:tcPr>
          <w:p>
            <w:pPr>
              <w:jc w:val="right"/>
              <w:ind w:right="1715"/>
              <w:spacing w:after="0"/>
              <w:rPr>
                <w:sz w:val="20"/>
                <w:szCs w:val="20"/>
                <w:color w:val="auto"/>
              </w:rPr>
            </w:pPr>
            <w:r>
              <w:rPr>
                <w:rFonts w:ascii="Arial" w:cs="Arial" w:eastAsia="Arial" w:hAnsi="Arial"/>
                <w:sz w:val="18"/>
                <w:szCs w:val="18"/>
                <w:color w:val="auto"/>
              </w:rPr>
              <w:t>00003333333303030000 2</w:t>
            </w: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40" w:type="dxa"/>
            <w:vAlign w:val="bottom"/>
            <w:gridSpan w:val="2"/>
          </w:tcPr>
          <w:p>
            <w:pPr>
              <w:jc w:val="right"/>
              <w:ind w:right="100"/>
              <w:spacing w:after="0"/>
              <w:rPr>
                <w:sz w:val="20"/>
                <w:szCs w:val="20"/>
                <w:color w:val="auto"/>
              </w:rPr>
            </w:pPr>
            <w:r>
              <w:rPr>
                <w:rFonts w:ascii="Arial" w:cs="Arial" w:eastAsia="Arial" w:hAnsi="Arial"/>
                <w:sz w:val="18"/>
                <w:szCs w:val="18"/>
                <w:color w:val="auto"/>
              </w:rPr>
              <w:t>050119</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2"/>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3"/>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580" w:type="dxa"/>
            <w:vAlign w:val="bottom"/>
            <w:gridSpan w:val="11"/>
          </w:tcPr>
          <w:p>
            <w:pPr>
              <w:jc w:val="right"/>
              <w:ind w:right="30"/>
              <w:spacing w:after="0"/>
              <w:rPr>
                <w:sz w:val="20"/>
                <w:szCs w:val="20"/>
                <w:color w:val="auto"/>
              </w:rPr>
            </w:pPr>
            <w:r>
              <w:rPr>
                <w:rFonts w:ascii="Arial" w:cs="Arial" w:eastAsia="Arial" w:hAnsi="Arial"/>
                <w:sz w:val="9"/>
                <w:szCs w:val="9"/>
                <w:color w:val="auto"/>
                <w:w w:val="99"/>
              </w:rPr>
              <w:t>THIS PROXY WHEN PROPERLY EXECUTED WILL BE VOTED AS DIRECTED BY THE UNDERSIGNED SHAREHOLDER. IF NO DIRECTION IS GIVEN, THIS PROXY WILL BE VOTED “FOR” ALL NOMINEES IN PROPOSAL 1, “FOR” PROPOSALS 2 AND 3</w:t>
            </w: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4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8520" w:type="dxa"/>
            <w:vAlign w:val="bottom"/>
            <w:gridSpan w:val="9"/>
          </w:tcPr>
          <w:p>
            <w:pPr>
              <w:ind w:left="20"/>
              <w:spacing w:after="0"/>
              <w:rPr>
                <w:sz w:val="20"/>
                <w:szCs w:val="20"/>
                <w:color w:val="auto"/>
              </w:rPr>
            </w:pPr>
            <w:r>
              <w:rPr>
                <w:rFonts w:ascii="Arial" w:cs="Arial" w:eastAsia="Arial" w:hAnsi="Arial"/>
                <w:sz w:val="9"/>
                <w:szCs w:val="9"/>
                <w:color w:val="auto"/>
              </w:rPr>
              <w:t>AND THE PROXIES WILL VOTE IN THEIR SOLE JUDGMENT UPON ANY OTHER MATTERS PROPERLY COMING BEFORE THE MEETING OR ANY POSTPONEMENT OR ADJOURNMENT THEREOF.</w:t>
            </w:r>
          </w:p>
        </w:tc>
        <w:tc>
          <w:tcPr>
            <w:tcW w:w="640" w:type="dxa"/>
            <w:vAlign w:val="bottom"/>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9940" w:type="dxa"/>
            <w:vAlign w:val="bottom"/>
            <w:gridSpan w:val="10"/>
          </w:tcPr>
          <w:p>
            <w:pPr>
              <w:ind w:left="740"/>
              <w:spacing w:after="0"/>
              <w:rPr>
                <w:sz w:val="20"/>
                <w:szCs w:val="20"/>
                <w:color w:val="auto"/>
              </w:rPr>
            </w:pPr>
            <w:r>
              <w:rPr>
                <w:rFonts w:ascii="Arial" w:cs="Arial" w:eastAsia="Arial" w:hAnsi="Arial"/>
                <w:sz w:val="13"/>
                <w:szCs w:val="13"/>
                <w:b w:val="1"/>
                <w:bCs w:val="1"/>
                <w:color w:val="auto"/>
                <w:w w:val="97"/>
              </w:rPr>
              <w:t>PLEASE SIGN, DATE AND RETURN PROMPTLY IN THE ENCLOSED ENVELOPE. PLEASE MARK YOUR VOTE IN BLUE OR BLACK INK AS SHOWN HERE</w:t>
            </w:r>
          </w:p>
        </w:tc>
        <w:tc>
          <w:tcPr>
            <w:tcW w:w="640" w:type="dxa"/>
            <w:vAlign w:val="bottom"/>
          </w:tcPr>
          <w:p>
            <w:pPr>
              <w:jc w:val="right"/>
              <w:ind w:right="390"/>
              <w:spacing w:after="0" w:line="131" w:lineRule="exact"/>
              <w:rPr>
                <w:sz w:val="20"/>
                <w:szCs w:val="20"/>
                <w:color w:val="auto"/>
              </w:rPr>
            </w:pPr>
            <w:r>
              <w:rPr>
                <w:rFonts w:ascii="MS PGothic" w:cs="MS PGothic" w:eastAsia="MS PGothic" w:hAnsi="MS PGothic"/>
                <w:sz w:val="13"/>
                <w:szCs w:val="13"/>
                <w:color w:val="auto"/>
                <w:w w:val="91"/>
              </w:rPr>
              <w:t>☒</w:t>
            </w: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40" w:type="dxa"/>
            <w:vAlign w:val="bottom"/>
            <w:tcBorders>
              <w:right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25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5100" w:type="dxa"/>
            <w:vAlign w:val="bottom"/>
            <w:gridSpan w:val="5"/>
          </w:tcPr>
          <w:p>
            <w:pPr>
              <w:ind w:left="80"/>
              <w:spacing w:after="0"/>
              <w:rPr>
                <w:sz w:val="20"/>
                <w:szCs w:val="20"/>
                <w:color w:val="auto"/>
              </w:rPr>
            </w:pPr>
            <w:r>
              <w:rPr>
                <w:rFonts w:ascii="Arial" w:cs="Arial" w:eastAsia="Arial" w:hAnsi="Arial"/>
                <w:sz w:val="14"/>
                <w:szCs w:val="14"/>
                <w:color w:val="auto"/>
                <w:w w:val="95"/>
              </w:rPr>
              <w:t>1. To elect the following Trustees as set forth in the accompanying Proxy Statement:</w:t>
            </w: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60" w:type="dxa"/>
            <w:vAlign w:val="bottom"/>
          </w:tcPr>
          <w:p>
            <w:pPr>
              <w:jc w:val="center"/>
              <w:spacing w:after="0" w:line="141" w:lineRule="exact"/>
              <w:rPr>
                <w:sz w:val="20"/>
                <w:szCs w:val="20"/>
                <w:color w:val="auto"/>
              </w:rPr>
            </w:pPr>
            <w:r>
              <w:rPr>
                <w:rFonts w:ascii="Arial" w:cs="Arial" w:eastAsia="Arial" w:hAnsi="Arial"/>
                <w:sz w:val="14"/>
                <w:szCs w:val="14"/>
                <w:color w:val="auto"/>
                <w:w w:val="94"/>
              </w:rPr>
              <w:t>FOR</w:t>
            </w:r>
          </w:p>
        </w:tc>
        <w:tc>
          <w:tcPr>
            <w:tcW w:w="800" w:type="dxa"/>
            <w:vAlign w:val="bottom"/>
            <w:gridSpan w:val="2"/>
          </w:tcPr>
          <w:p>
            <w:pPr>
              <w:jc w:val="center"/>
              <w:spacing w:after="0" w:line="141" w:lineRule="exact"/>
              <w:rPr>
                <w:sz w:val="20"/>
                <w:szCs w:val="20"/>
                <w:color w:val="auto"/>
              </w:rPr>
            </w:pPr>
            <w:r>
              <w:rPr>
                <w:rFonts w:ascii="Arial" w:cs="Arial" w:eastAsia="Arial" w:hAnsi="Arial"/>
                <w:sz w:val="14"/>
                <w:szCs w:val="14"/>
                <w:color w:val="auto"/>
              </w:rPr>
              <w:t>AGAINST</w:t>
            </w:r>
          </w:p>
        </w:tc>
        <w:tc>
          <w:tcPr>
            <w:tcW w:w="900" w:type="dxa"/>
            <w:vAlign w:val="bottom"/>
            <w:gridSpan w:val="2"/>
          </w:tcPr>
          <w:p>
            <w:pPr>
              <w:jc w:val="center"/>
              <w:spacing w:after="0" w:line="141" w:lineRule="exact"/>
              <w:rPr>
                <w:sz w:val="20"/>
                <w:szCs w:val="20"/>
                <w:color w:val="auto"/>
              </w:rPr>
            </w:pPr>
            <w:r>
              <w:rPr>
                <w:rFonts w:ascii="Arial" w:cs="Arial" w:eastAsia="Arial" w:hAnsi="Arial"/>
                <w:sz w:val="14"/>
                <w:szCs w:val="14"/>
                <w:color w:val="auto"/>
              </w:rPr>
              <w:t>ABSTAIN</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1400" w:type="dxa"/>
            <w:vAlign w:val="bottom"/>
            <w:gridSpan w:val="2"/>
            <w:vMerge w:val="restart"/>
          </w:tcPr>
          <w:p>
            <w:pPr>
              <w:ind w:left="360"/>
              <w:spacing w:after="0"/>
              <w:rPr>
                <w:sz w:val="20"/>
                <w:szCs w:val="20"/>
                <w:color w:val="auto"/>
              </w:rPr>
            </w:pPr>
            <w:r>
              <w:rPr>
                <w:rFonts w:ascii="Arial" w:cs="Arial" w:eastAsia="Arial" w:hAnsi="Arial"/>
                <w:sz w:val="14"/>
                <w:szCs w:val="14"/>
                <w:color w:val="auto"/>
              </w:rPr>
              <w:t>Jon E. Bortz</w:t>
            </w:r>
          </w:p>
        </w:tc>
        <w:tc>
          <w:tcPr>
            <w:tcW w:w="16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60" w:type="dxa"/>
            <w:vAlign w:val="bottom"/>
          </w:tcPr>
          <w:p>
            <w:pPr>
              <w:jc w:val="center"/>
              <w:spacing w:after="0" w:line="216" w:lineRule="exact"/>
              <w:rPr>
                <w:sz w:val="20"/>
                <w:szCs w:val="20"/>
                <w:color w:val="auto"/>
              </w:rPr>
            </w:pPr>
            <w:r>
              <w:rPr>
                <w:rFonts w:ascii="MS PGothic" w:cs="MS PGothic" w:eastAsia="MS PGothic" w:hAnsi="MS PGothic"/>
                <w:sz w:val="25"/>
                <w:szCs w:val="25"/>
                <w:color w:val="auto"/>
                <w:w w:val="87"/>
              </w:rPr>
              <w:t>☐</w:t>
            </w:r>
          </w:p>
        </w:tc>
        <w:tc>
          <w:tcPr>
            <w:tcW w:w="240" w:type="dxa"/>
            <w:vAlign w:val="bottom"/>
          </w:tcPr>
          <w:p>
            <w:pPr>
              <w:spacing w:after="0"/>
              <w:rPr>
                <w:sz w:val="18"/>
                <w:szCs w:val="18"/>
                <w:color w:val="auto"/>
              </w:rPr>
            </w:pPr>
          </w:p>
        </w:tc>
        <w:tc>
          <w:tcPr>
            <w:tcW w:w="560" w:type="dxa"/>
            <w:vAlign w:val="bottom"/>
          </w:tcPr>
          <w:p>
            <w:pPr>
              <w:jc w:val="center"/>
              <w:ind w:right="79"/>
              <w:spacing w:after="0" w:line="216" w:lineRule="exact"/>
              <w:rPr>
                <w:sz w:val="20"/>
                <w:szCs w:val="20"/>
                <w:color w:val="auto"/>
              </w:rPr>
            </w:pPr>
            <w:r>
              <w:rPr>
                <w:rFonts w:ascii="MS PGothic" w:cs="MS PGothic" w:eastAsia="MS PGothic" w:hAnsi="MS PGothic"/>
                <w:sz w:val="25"/>
                <w:szCs w:val="25"/>
                <w:color w:val="auto"/>
                <w:w w:val="95"/>
              </w:rPr>
              <w:t>☐</w:t>
            </w:r>
          </w:p>
        </w:tc>
        <w:tc>
          <w:tcPr>
            <w:tcW w:w="640" w:type="dxa"/>
            <w:vAlign w:val="bottom"/>
          </w:tcPr>
          <w:p>
            <w:pPr>
              <w:jc w:val="center"/>
              <w:ind w:left="230"/>
              <w:spacing w:after="0" w:line="216" w:lineRule="exact"/>
              <w:rPr>
                <w:sz w:val="20"/>
                <w:szCs w:val="20"/>
                <w:color w:val="auto"/>
              </w:rPr>
            </w:pPr>
            <w:r>
              <w:rPr>
                <w:rFonts w:ascii="MS PGothic" w:cs="MS PGothic" w:eastAsia="MS PGothic" w:hAnsi="MS PGothic"/>
                <w:sz w:val="25"/>
                <w:szCs w:val="25"/>
                <w:color w:val="auto"/>
                <w:w w:val="87"/>
              </w:rPr>
              <w:t>☐</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580" w:type="dxa"/>
            <w:vAlign w:val="bottom"/>
          </w:tcPr>
          <w:p>
            <w:pPr>
              <w:spacing w:after="0"/>
              <w:rPr>
                <w:sz w:val="3"/>
                <w:szCs w:val="3"/>
                <w:color w:val="auto"/>
              </w:rPr>
            </w:pPr>
          </w:p>
        </w:tc>
        <w:tc>
          <w:tcPr>
            <w:tcW w:w="40" w:type="dxa"/>
            <w:vAlign w:val="bottom"/>
            <w:tcBorders>
              <w:right w:val="single" w:sz="8" w:color="auto"/>
            </w:tcBorders>
          </w:tcPr>
          <w:p>
            <w:pPr>
              <w:spacing w:after="0"/>
              <w:rPr>
                <w:sz w:val="3"/>
                <w:szCs w:val="3"/>
                <w:color w:val="auto"/>
              </w:rPr>
            </w:pPr>
          </w:p>
        </w:tc>
        <w:tc>
          <w:tcPr>
            <w:tcW w:w="1400" w:type="dxa"/>
            <w:vAlign w:val="bottom"/>
            <w:gridSpan w:val="2"/>
            <w:vMerge w:val="continue"/>
          </w:tcPr>
          <w:p>
            <w:pPr>
              <w:spacing w:after="0"/>
              <w:rPr>
                <w:sz w:val="3"/>
                <w:szCs w:val="3"/>
                <w:color w:val="auto"/>
              </w:rPr>
            </w:pPr>
          </w:p>
        </w:tc>
        <w:tc>
          <w:tcPr>
            <w:tcW w:w="16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460" w:type="dxa"/>
            <w:vAlign w:val="bottom"/>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rPr>
              <w:t>☐</w:t>
            </w:r>
          </w:p>
        </w:tc>
        <w:tc>
          <w:tcPr>
            <w:tcW w:w="240" w:type="dxa"/>
            <w:vAlign w:val="bottom"/>
          </w:tcPr>
          <w:p>
            <w:pPr>
              <w:spacing w:after="0"/>
              <w:rPr>
                <w:sz w:val="3"/>
                <w:szCs w:val="3"/>
                <w:color w:val="auto"/>
              </w:rPr>
            </w:pPr>
          </w:p>
        </w:tc>
        <w:tc>
          <w:tcPr>
            <w:tcW w:w="560" w:type="dxa"/>
            <w:vAlign w:val="bottom"/>
            <w:vMerge w:val="restart"/>
          </w:tcPr>
          <w:p>
            <w:pPr>
              <w:jc w:val="center"/>
              <w:ind w:right="79"/>
              <w:spacing w:after="0" w:line="251" w:lineRule="exact"/>
              <w:rPr>
                <w:sz w:val="20"/>
                <w:szCs w:val="20"/>
                <w:color w:val="auto"/>
              </w:rPr>
            </w:pPr>
            <w:r>
              <w:rPr>
                <w:rFonts w:ascii="MS PGothic" w:cs="MS PGothic" w:eastAsia="MS PGothic" w:hAnsi="MS PGothic"/>
                <w:sz w:val="25"/>
                <w:szCs w:val="25"/>
                <w:color w:val="auto"/>
                <w:w w:val="95"/>
              </w:rPr>
              <w:t>☐</w:t>
            </w:r>
          </w:p>
        </w:tc>
        <w:tc>
          <w:tcPr>
            <w:tcW w:w="640" w:type="dxa"/>
            <w:vAlign w:val="bottom"/>
            <w:vMerge w:val="restart"/>
          </w:tcPr>
          <w:p>
            <w:pPr>
              <w:jc w:val="center"/>
              <w:ind w:left="230"/>
              <w:spacing w:after="0" w:line="251" w:lineRule="exact"/>
              <w:rPr>
                <w:sz w:val="20"/>
                <w:szCs w:val="20"/>
                <w:color w:val="auto"/>
              </w:rPr>
            </w:pPr>
            <w:r>
              <w:rPr>
                <w:rFonts w:ascii="MS PGothic" w:cs="MS PGothic" w:eastAsia="MS PGothic" w:hAnsi="MS PGothic"/>
                <w:sz w:val="25"/>
                <w:szCs w:val="25"/>
                <w:color w:val="auto"/>
                <w:w w:val="87"/>
              </w:rPr>
              <w:t>☐</w:t>
            </w:r>
          </w:p>
        </w:tc>
        <w:tc>
          <w:tcPr>
            <w:tcW w:w="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1400" w:type="dxa"/>
            <w:vAlign w:val="bottom"/>
            <w:gridSpan w:val="2"/>
            <w:vMerge w:val="restart"/>
          </w:tcPr>
          <w:p>
            <w:pPr>
              <w:ind w:left="360"/>
              <w:spacing w:after="0"/>
              <w:rPr>
                <w:sz w:val="20"/>
                <w:szCs w:val="20"/>
                <w:color w:val="auto"/>
              </w:rPr>
            </w:pPr>
            <w:r>
              <w:rPr>
                <w:rFonts w:ascii="Arial" w:cs="Arial" w:eastAsia="Arial" w:hAnsi="Arial"/>
                <w:sz w:val="14"/>
                <w:szCs w:val="14"/>
                <w:color w:val="auto"/>
                <w:w w:val="95"/>
              </w:rPr>
              <w:t>David W. Faeder</w:t>
            </w:r>
          </w:p>
        </w:tc>
        <w:tc>
          <w:tcPr>
            <w:tcW w:w="16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460" w:type="dxa"/>
            <w:vAlign w:val="bottom"/>
            <w:vMerge w:val="continue"/>
          </w:tcPr>
          <w:p>
            <w:pPr>
              <w:spacing w:after="0"/>
              <w:rPr>
                <w:sz w:val="22"/>
                <w:szCs w:val="22"/>
                <w:color w:val="auto"/>
              </w:rPr>
            </w:pPr>
          </w:p>
        </w:tc>
        <w:tc>
          <w:tcPr>
            <w:tcW w:w="240" w:type="dxa"/>
            <w:vAlign w:val="bottom"/>
          </w:tcPr>
          <w:p>
            <w:pPr>
              <w:spacing w:after="0"/>
              <w:rPr>
                <w:sz w:val="22"/>
                <w:szCs w:val="22"/>
                <w:color w:val="auto"/>
              </w:rPr>
            </w:pPr>
          </w:p>
        </w:tc>
        <w:tc>
          <w:tcPr>
            <w:tcW w:w="560" w:type="dxa"/>
            <w:vAlign w:val="bottom"/>
            <w:vMerge w:val="continue"/>
          </w:tcPr>
          <w:p>
            <w:pPr>
              <w:spacing w:after="0"/>
              <w:rPr>
                <w:sz w:val="22"/>
                <w:szCs w:val="22"/>
                <w:color w:val="auto"/>
              </w:rPr>
            </w:pPr>
          </w:p>
        </w:tc>
        <w:tc>
          <w:tcPr>
            <w:tcW w:w="640" w:type="dxa"/>
            <w:vAlign w:val="bottom"/>
            <w:vMerge w:val="continue"/>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
        </w:trPr>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580" w:type="dxa"/>
            <w:vAlign w:val="bottom"/>
          </w:tcPr>
          <w:p>
            <w:pPr>
              <w:spacing w:after="0"/>
              <w:rPr>
                <w:sz w:val="3"/>
                <w:szCs w:val="3"/>
                <w:color w:val="auto"/>
              </w:rPr>
            </w:pPr>
          </w:p>
        </w:tc>
        <w:tc>
          <w:tcPr>
            <w:tcW w:w="40" w:type="dxa"/>
            <w:vAlign w:val="bottom"/>
            <w:tcBorders>
              <w:right w:val="single" w:sz="8" w:color="auto"/>
            </w:tcBorders>
          </w:tcPr>
          <w:p>
            <w:pPr>
              <w:spacing w:after="0"/>
              <w:rPr>
                <w:sz w:val="3"/>
                <w:szCs w:val="3"/>
                <w:color w:val="auto"/>
              </w:rPr>
            </w:pPr>
          </w:p>
        </w:tc>
        <w:tc>
          <w:tcPr>
            <w:tcW w:w="1400" w:type="dxa"/>
            <w:vAlign w:val="bottom"/>
            <w:gridSpan w:val="2"/>
            <w:vMerge w:val="continue"/>
          </w:tcPr>
          <w:p>
            <w:pPr>
              <w:spacing w:after="0"/>
              <w:rPr>
                <w:sz w:val="3"/>
                <w:szCs w:val="3"/>
                <w:color w:val="auto"/>
              </w:rPr>
            </w:pPr>
          </w:p>
        </w:tc>
        <w:tc>
          <w:tcPr>
            <w:tcW w:w="16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460" w:type="dxa"/>
            <w:vAlign w:val="bottom"/>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rPr>
              <w:t>☐</w:t>
            </w:r>
          </w:p>
        </w:tc>
        <w:tc>
          <w:tcPr>
            <w:tcW w:w="240" w:type="dxa"/>
            <w:vAlign w:val="bottom"/>
          </w:tcPr>
          <w:p>
            <w:pPr>
              <w:spacing w:after="0"/>
              <w:rPr>
                <w:sz w:val="3"/>
                <w:szCs w:val="3"/>
                <w:color w:val="auto"/>
              </w:rPr>
            </w:pPr>
          </w:p>
        </w:tc>
        <w:tc>
          <w:tcPr>
            <w:tcW w:w="560" w:type="dxa"/>
            <w:vAlign w:val="bottom"/>
            <w:vMerge w:val="restart"/>
          </w:tcPr>
          <w:p>
            <w:pPr>
              <w:jc w:val="center"/>
              <w:ind w:right="79"/>
              <w:spacing w:after="0" w:line="251" w:lineRule="exact"/>
              <w:rPr>
                <w:sz w:val="20"/>
                <w:szCs w:val="20"/>
                <w:color w:val="auto"/>
              </w:rPr>
            </w:pPr>
            <w:r>
              <w:rPr>
                <w:rFonts w:ascii="MS PGothic" w:cs="MS PGothic" w:eastAsia="MS PGothic" w:hAnsi="MS PGothic"/>
                <w:sz w:val="25"/>
                <w:szCs w:val="25"/>
                <w:color w:val="auto"/>
                <w:w w:val="95"/>
              </w:rPr>
              <w:t>☐</w:t>
            </w:r>
          </w:p>
        </w:tc>
        <w:tc>
          <w:tcPr>
            <w:tcW w:w="640" w:type="dxa"/>
            <w:vAlign w:val="bottom"/>
            <w:vMerge w:val="restart"/>
          </w:tcPr>
          <w:p>
            <w:pPr>
              <w:jc w:val="center"/>
              <w:ind w:left="230"/>
              <w:spacing w:after="0" w:line="251" w:lineRule="exact"/>
              <w:rPr>
                <w:sz w:val="20"/>
                <w:szCs w:val="20"/>
                <w:color w:val="auto"/>
              </w:rPr>
            </w:pPr>
            <w:r>
              <w:rPr>
                <w:rFonts w:ascii="MS PGothic" w:cs="MS PGothic" w:eastAsia="MS PGothic" w:hAnsi="MS PGothic"/>
                <w:sz w:val="25"/>
                <w:szCs w:val="25"/>
                <w:color w:val="auto"/>
                <w:w w:val="87"/>
              </w:rPr>
              <w:t>☐</w:t>
            </w:r>
          </w:p>
        </w:tc>
        <w:tc>
          <w:tcPr>
            <w:tcW w:w="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4640" w:type="dxa"/>
            <w:vAlign w:val="bottom"/>
            <w:gridSpan w:val="4"/>
            <w:vMerge w:val="restart"/>
          </w:tcPr>
          <w:p>
            <w:pPr>
              <w:ind w:left="360"/>
              <w:spacing w:after="0"/>
              <w:rPr>
                <w:sz w:val="20"/>
                <w:szCs w:val="20"/>
                <w:color w:val="auto"/>
              </w:rPr>
            </w:pPr>
            <w:r>
              <w:rPr>
                <w:rFonts w:ascii="Arial" w:cs="Arial" w:eastAsia="Arial" w:hAnsi="Arial"/>
                <w:sz w:val="14"/>
                <w:szCs w:val="14"/>
                <w:color w:val="auto"/>
              </w:rPr>
              <w:t>Elizabeth I. Holland</w:t>
            </w:r>
          </w:p>
        </w:tc>
        <w:tc>
          <w:tcPr>
            <w:tcW w:w="460" w:type="dxa"/>
            <w:vAlign w:val="bottom"/>
            <w:vMerge w:val="continue"/>
          </w:tcPr>
          <w:p>
            <w:pPr>
              <w:spacing w:after="0"/>
              <w:rPr>
                <w:sz w:val="22"/>
                <w:szCs w:val="22"/>
                <w:color w:val="auto"/>
              </w:rPr>
            </w:pPr>
          </w:p>
        </w:tc>
        <w:tc>
          <w:tcPr>
            <w:tcW w:w="240" w:type="dxa"/>
            <w:vAlign w:val="bottom"/>
          </w:tcPr>
          <w:p>
            <w:pPr>
              <w:spacing w:after="0"/>
              <w:rPr>
                <w:sz w:val="22"/>
                <w:szCs w:val="22"/>
                <w:color w:val="auto"/>
              </w:rPr>
            </w:pPr>
          </w:p>
        </w:tc>
        <w:tc>
          <w:tcPr>
            <w:tcW w:w="560" w:type="dxa"/>
            <w:vAlign w:val="bottom"/>
            <w:vMerge w:val="continue"/>
          </w:tcPr>
          <w:p>
            <w:pPr>
              <w:spacing w:after="0"/>
              <w:rPr>
                <w:sz w:val="22"/>
                <w:szCs w:val="22"/>
                <w:color w:val="auto"/>
              </w:rPr>
            </w:pPr>
          </w:p>
        </w:tc>
        <w:tc>
          <w:tcPr>
            <w:tcW w:w="640" w:type="dxa"/>
            <w:vAlign w:val="bottom"/>
            <w:vMerge w:val="continue"/>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
        </w:trPr>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580" w:type="dxa"/>
            <w:vAlign w:val="bottom"/>
          </w:tcPr>
          <w:p>
            <w:pPr>
              <w:spacing w:after="0"/>
              <w:rPr>
                <w:sz w:val="3"/>
                <w:szCs w:val="3"/>
                <w:color w:val="auto"/>
              </w:rPr>
            </w:pPr>
          </w:p>
        </w:tc>
        <w:tc>
          <w:tcPr>
            <w:tcW w:w="40" w:type="dxa"/>
            <w:vAlign w:val="bottom"/>
            <w:tcBorders>
              <w:right w:val="single" w:sz="8" w:color="auto"/>
            </w:tcBorders>
          </w:tcPr>
          <w:p>
            <w:pPr>
              <w:spacing w:after="0"/>
              <w:rPr>
                <w:sz w:val="3"/>
                <w:szCs w:val="3"/>
                <w:color w:val="auto"/>
              </w:rPr>
            </w:pPr>
          </w:p>
        </w:tc>
        <w:tc>
          <w:tcPr>
            <w:tcW w:w="4640" w:type="dxa"/>
            <w:vAlign w:val="bottom"/>
            <w:gridSpan w:val="4"/>
            <w:vMerge w:val="continue"/>
          </w:tcPr>
          <w:p>
            <w:pPr>
              <w:spacing w:after="0"/>
              <w:rPr>
                <w:sz w:val="3"/>
                <w:szCs w:val="3"/>
                <w:color w:val="auto"/>
              </w:rPr>
            </w:pPr>
          </w:p>
        </w:tc>
        <w:tc>
          <w:tcPr>
            <w:tcW w:w="460" w:type="dxa"/>
            <w:vAlign w:val="bottom"/>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rPr>
              <w:t>☐</w:t>
            </w:r>
          </w:p>
        </w:tc>
        <w:tc>
          <w:tcPr>
            <w:tcW w:w="240" w:type="dxa"/>
            <w:vAlign w:val="bottom"/>
          </w:tcPr>
          <w:p>
            <w:pPr>
              <w:spacing w:after="0"/>
              <w:rPr>
                <w:sz w:val="3"/>
                <w:szCs w:val="3"/>
                <w:color w:val="auto"/>
              </w:rPr>
            </w:pPr>
          </w:p>
        </w:tc>
        <w:tc>
          <w:tcPr>
            <w:tcW w:w="560" w:type="dxa"/>
            <w:vAlign w:val="bottom"/>
            <w:vMerge w:val="restart"/>
          </w:tcPr>
          <w:p>
            <w:pPr>
              <w:jc w:val="center"/>
              <w:ind w:right="79"/>
              <w:spacing w:after="0" w:line="251" w:lineRule="exact"/>
              <w:rPr>
                <w:sz w:val="20"/>
                <w:szCs w:val="20"/>
                <w:color w:val="auto"/>
              </w:rPr>
            </w:pPr>
            <w:r>
              <w:rPr>
                <w:rFonts w:ascii="MS PGothic" w:cs="MS PGothic" w:eastAsia="MS PGothic" w:hAnsi="MS PGothic"/>
                <w:sz w:val="25"/>
                <w:szCs w:val="25"/>
                <w:color w:val="auto"/>
                <w:w w:val="95"/>
              </w:rPr>
              <w:t>☐</w:t>
            </w:r>
          </w:p>
        </w:tc>
        <w:tc>
          <w:tcPr>
            <w:tcW w:w="640" w:type="dxa"/>
            <w:vAlign w:val="bottom"/>
            <w:vMerge w:val="restart"/>
          </w:tcPr>
          <w:p>
            <w:pPr>
              <w:jc w:val="center"/>
              <w:ind w:left="230"/>
              <w:spacing w:after="0" w:line="251" w:lineRule="exact"/>
              <w:rPr>
                <w:sz w:val="20"/>
                <w:szCs w:val="20"/>
                <w:color w:val="auto"/>
              </w:rPr>
            </w:pPr>
            <w:r>
              <w:rPr>
                <w:rFonts w:ascii="MS PGothic" w:cs="MS PGothic" w:eastAsia="MS PGothic" w:hAnsi="MS PGothic"/>
                <w:sz w:val="25"/>
                <w:szCs w:val="25"/>
                <w:color w:val="auto"/>
                <w:w w:val="87"/>
              </w:rPr>
              <w:t>☐</w:t>
            </w:r>
          </w:p>
        </w:tc>
        <w:tc>
          <w:tcPr>
            <w:tcW w:w="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1400" w:type="dxa"/>
            <w:vAlign w:val="bottom"/>
            <w:gridSpan w:val="2"/>
            <w:vMerge w:val="restart"/>
          </w:tcPr>
          <w:p>
            <w:pPr>
              <w:ind w:left="360"/>
              <w:spacing w:after="0"/>
              <w:rPr>
                <w:sz w:val="20"/>
                <w:szCs w:val="20"/>
                <w:color w:val="auto"/>
              </w:rPr>
            </w:pPr>
            <w:r>
              <w:rPr>
                <w:rFonts w:ascii="Arial" w:cs="Arial" w:eastAsia="Arial" w:hAnsi="Arial"/>
                <w:sz w:val="14"/>
                <w:szCs w:val="14"/>
                <w:color w:val="auto"/>
              </w:rPr>
              <w:t>Mark S. Ordan</w:t>
            </w:r>
          </w:p>
        </w:tc>
        <w:tc>
          <w:tcPr>
            <w:tcW w:w="16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460" w:type="dxa"/>
            <w:vAlign w:val="bottom"/>
            <w:vMerge w:val="continue"/>
          </w:tcPr>
          <w:p>
            <w:pPr>
              <w:spacing w:after="0"/>
              <w:rPr>
                <w:sz w:val="22"/>
                <w:szCs w:val="22"/>
                <w:color w:val="auto"/>
              </w:rPr>
            </w:pPr>
          </w:p>
        </w:tc>
        <w:tc>
          <w:tcPr>
            <w:tcW w:w="240" w:type="dxa"/>
            <w:vAlign w:val="bottom"/>
          </w:tcPr>
          <w:p>
            <w:pPr>
              <w:spacing w:after="0"/>
              <w:rPr>
                <w:sz w:val="22"/>
                <w:szCs w:val="22"/>
                <w:color w:val="auto"/>
              </w:rPr>
            </w:pPr>
          </w:p>
        </w:tc>
        <w:tc>
          <w:tcPr>
            <w:tcW w:w="560" w:type="dxa"/>
            <w:vAlign w:val="bottom"/>
            <w:vMerge w:val="continue"/>
          </w:tcPr>
          <w:p>
            <w:pPr>
              <w:spacing w:after="0"/>
              <w:rPr>
                <w:sz w:val="22"/>
                <w:szCs w:val="22"/>
                <w:color w:val="auto"/>
              </w:rPr>
            </w:pPr>
          </w:p>
        </w:tc>
        <w:tc>
          <w:tcPr>
            <w:tcW w:w="640" w:type="dxa"/>
            <w:vAlign w:val="bottom"/>
            <w:vMerge w:val="continue"/>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
        </w:trPr>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580" w:type="dxa"/>
            <w:vAlign w:val="bottom"/>
          </w:tcPr>
          <w:p>
            <w:pPr>
              <w:spacing w:after="0"/>
              <w:rPr>
                <w:sz w:val="3"/>
                <w:szCs w:val="3"/>
                <w:color w:val="auto"/>
              </w:rPr>
            </w:pPr>
          </w:p>
        </w:tc>
        <w:tc>
          <w:tcPr>
            <w:tcW w:w="40" w:type="dxa"/>
            <w:vAlign w:val="bottom"/>
            <w:tcBorders>
              <w:right w:val="single" w:sz="8" w:color="auto"/>
            </w:tcBorders>
          </w:tcPr>
          <w:p>
            <w:pPr>
              <w:spacing w:after="0"/>
              <w:rPr>
                <w:sz w:val="3"/>
                <w:szCs w:val="3"/>
                <w:color w:val="auto"/>
              </w:rPr>
            </w:pPr>
          </w:p>
        </w:tc>
        <w:tc>
          <w:tcPr>
            <w:tcW w:w="1400" w:type="dxa"/>
            <w:vAlign w:val="bottom"/>
            <w:gridSpan w:val="2"/>
            <w:vMerge w:val="continue"/>
          </w:tcPr>
          <w:p>
            <w:pPr>
              <w:spacing w:after="0"/>
              <w:rPr>
                <w:sz w:val="3"/>
                <w:szCs w:val="3"/>
                <w:color w:val="auto"/>
              </w:rPr>
            </w:pPr>
          </w:p>
        </w:tc>
        <w:tc>
          <w:tcPr>
            <w:tcW w:w="16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460" w:type="dxa"/>
            <w:vAlign w:val="bottom"/>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rPr>
              <w:t>☐</w:t>
            </w:r>
          </w:p>
        </w:tc>
        <w:tc>
          <w:tcPr>
            <w:tcW w:w="240" w:type="dxa"/>
            <w:vAlign w:val="bottom"/>
          </w:tcPr>
          <w:p>
            <w:pPr>
              <w:spacing w:after="0"/>
              <w:rPr>
                <w:sz w:val="3"/>
                <w:szCs w:val="3"/>
                <w:color w:val="auto"/>
              </w:rPr>
            </w:pPr>
          </w:p>
        </w:tc>
        <w:tc>
          <w:tcPr>
            <w:tcW w:w="560" w:type="dxa"/>
            <w:vAlign w:val="bottom"/>
            <w:vMerge w:val="restart"/>
          </w:tcPr>
          <w:p>
            <w:pPr>
              <w:jc w:val="center"/>
              <w:ind w:right="79"/>
              <w:spacing w:after="0" w:line="251" w:lineRule="exact"/>
              <w:rPr>
                <w:sz w:val="20"/>
                <w:szCs w:val="20"/>
                <w:color w:val="auto"/>
              </w:rPr>
            </w:pPr>
            <w:r>
              <w:rPr>
                <w:rFonts w:ascii="MS PGothic" w:cs="MS PGothic" w:eastAsia="MS PGothic" w:hAnsi="MS PGothic"/>
                <w:sz w:val="25"/>
                <w:szCs w:val="25"/>
                <w:color w:val="auto"/>
                <w:w w:val="95"/>
              </w:rPr>
              <w:t>☐</w:t>
            </w:r>
          </w:p>
        </w:tc>
        <w:tc>
          <w:tcPr>
            <w:tcW w:w="640" w:type="dxa"/>
            <w:vAlign w:val="bottom"/>
            <w:vMerge w:val="restart"/>
          </w:tcPr>
          <w:p>
            <w:pPr>
              <w:jc w:val="center"/>
              <w:ind w:left="230"/>
              <w:spacing w:after="0" w:line="251" w:lineRule="exact"/>
              <w:rPr>
                <w:sz w:val="20"/>
                <w:szCs w:val="20"/>
                <w:color w:val="auto"/>
              </w:rPr>
            </w:pPr>
            <w:r>
              <w:rPr>
                <w:rFonts w:ascii="MS PGothic" w:cs="MS PGothic" w:eastAsia="MS PGothic" w:hAnsi="MS PGothic"/>
                <w:sz w:val="25"/>
                <w:szCs w:val="25"/>
                <w:color w:val="auto"/>
                <w:w w:val="87"/>
              </w:rPr>
              <w:t>☐</w:t>
            </w:r>
          </w:p>
        </w:tc>
        <w:tc>
          <w:tcPr>
            <w:tcW w:w="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1400" w:type="dxa"/>
            <w:vAlign w:val="bottom"/>
            <w:gridSpan w:val="2"/>
            <w:vMerge w:val="restart"/>
          </w:tcPr>
          <w:p>
            <w:pPr>
              <w:ind w:left="360"/>
              <w:spacing w:after="0"/>
              <w:rPr>
                <w:sz w:val="20"/>
                <w:szCs w:val="20"/>
                <w:color w:val="auto"/>
              </w:rPr>
            </w:pPr>
            <w:r>
              <w:rPr>
                <w:rFonts w:ascii="Arial" w:cs="Arial" w:eastAsia="Arial" w:hAnsi="Arial"/>
                <w:sz w:val="14"/>
                <w:szCs w:val="14"/>
                <w:color w:val="auto"/>
              </w:rPr>
              <w:t>Gail P. Steinel</w:t>
            </w:r>
          </w:p>
        </w:tc>
        <w:tc>
          <w:tcPr>
            <w:tcW w:w="16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460" w:type="dxa"/>
            <w:vAlign w:val="bottom"/>
            <w:vMerge w:val="continue"/>
          </w:tcPr>
          <w:p>
            <w:pPr>
              <w:spacing w:after="0"/>
              <w:rPr>
                <w:sz w:val="22"/>
                <w:szCs w:val="22"/>
                <w:color w:val="auto"/>
              </w:rPr>
            </w:pPr>
          </w:p>
        </w:tc>
        <w:tc>
          <w:tcPr>
            <w:tcW w:w="240" w:type="dxa"/>
            <w:vAlign w:val="bottom"/>
          </w:tcPr>
          <w:p>
            <w:pPr>
              <w:spacing w:after="0"/>
              <w:rPr>
                <w:sz w:val="22"/>
                <w:szCs w:val="22"/>
                <w:color w:val="auto"/>
              </w:rPr>
            </w:pPr>
          </w:p>
        </w:tc>
        <w:tc>
          <w:tcPr>
            <w:tcW w:w="560" w:type="dxa"/>
            <w:vAlign w:val="bottom"/>
            <w:vMerge w:val="continue"/>
          </w:tcPr>
          <w:p>
            <w:pPr>
              <w:spacing w:after="0"/>
              <w:rPr>
                <w:sz w:val="22"/>
                <w:szCs w:val="22"/>
                <w:color w:val="auto"/>
              </w:rPr>
            </w:pPr>
          </w:p>
        </w:tc>
        <w:tc>
          <w:tcPr>
            <w:tcW w:w="640" w:type="dxa"/>
            <w:vAlign w:val="bottom"/>
            <w:vMerge w:val="continue"/>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
        </w:trPr>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580" w:type="dxa"/>
            <w:vAlign w:val="bottom"/>
          </w:tcPr>
          <w:p>
            <w:pPr>
              <w:spacing w:after="0"/>
              <w:rPr>
                <w:sz w:val="3"/>
                <w:szCs w:val="3"/>
                <w:color w:val="auto"/>
              </w:rPr>
            </w:pPr>
          </w:p>
        </w:tc>
        <w:tc>
          <w:tcPr>
            <w:tcW w:w="40" w:type="dxa"/>
            <w:vAlign w:val="bottom"/>
            <w:tcBorders>
              <w:right w:val="single" w:sz="8" w:color="auto"/>
            </w:tcBorders>
          </w:tcPr>
          <w:p>
            <w:pPr>
              <w:spacing w:after="0"/>
              <w:rPr>
                <w:sz w:val="3"/>
                <w:szCs w:val="3"/>
                <w:color w:val="auto"/>
              </w:rPr>
            </w:pPr>
          </w:p>
        </w:tc>
        <w:tc>
          <w:tcPr>
            <w:tcW w:w="1400" w:type="dxa"/>
            <w:vAlign w:val="bottom"/>
            <w:gridSpan w:val="2"/>
            <w:vMerge w:val="continue"/>
          </w:tcPr>
          <w:p>
            <w:pPr>
              <w:spacing w:after="0"/>
              <w:rPr>
                <w:sz w:val="3"/>
                <w:szCs w:val="3"/>
                <w:color w:val="auto"/>
              </w:rPr>
            </w:pPr>
          </w:p>
        </w:tc>
        <w:tc>
          <w:tcPr>
            <w:tcW w:w="16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460" w:type="dxa"/>
            <w:vAlign w:val="bottom"/>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rPr>
              <w:t>☐</w:t>
            </w:r>
          </w:p>
        </w:tc>
        <w:tc>
          <w:tcPr>
            <w:tcW w:w="240" w:type="dxa"/>
            <w:vAlign w:val="bottom"/>
          </w:tcPr>
          <w:p>
            <w:pPr>
              <w:spacing w:after="0"/>
              <w:rPr>
                <w:sz w:val="3"/>
                <w:szCs w:val="3"/>
                <w:color w:val="auto"/>
              </w:rPr>
            </w:pPr>
          </w:p>
        </w:tc>
        <w:tc>
          <w:tcPr>
            <w:tcW w:w="560" w:type="dxa"/>
            <w:vAlign w:val="bottom"/>
            <w:vMerge w:val="restart"/>
          </w:tcPr>
          <w:p>
            <w:pPr>
              <w:jc w:val="center"/>
              <w:ind w:right="79"/>
              <w:spacing w:after="0" w:line="251" w:lineRule="exact"/>
              <w:rPr>
                <w:sz w:val="20"/>
                <w:szCs w:val="20"/>
                <w:color w:val="auto"/>
              </w:rPr>
            </w:pPr>
            <w:r>
              <w:rPr>
                <w:rFonts w:ascii="MS PGothic" w:cs="MS PGothic" w:eastAsia="MS PGothic" w:hAnsi="MS PGothic"/>
                <w:sz w:val="25"/>
                <w:szCs w:val="25"/>
                <w:color w:val="auto"/>
                <w:w w:val="95"/>
              </w:rPr>
              <w:t>☐</w:t>
            </w:r>
          </w:p>
        </w:tc>
        <w:tc>
          <w:tcPr>
            <w:tcW w:w="640" w:type="dxa"/>
            <w:vAlign w:val="bottom"/>
            <w:vMerge w:val="restart"/>
          </w:tcPr>
          <w:p>
            <w:pPr>
              <w:jc w:val="center"/>
              <w:ind w:left="230"/>
              <w:spacing w:after="0" w:line="251" w:lineRule="exact"/>
              <w:rPr>
                <w:sz w:val="20"/>
                <w:szCs w:val="20"/>
                <w:color w:val="auto"/>
              </w:rPr>
            </w:pPr>
            <w:r>
              <w:rPr>
                <w:rFonts w:ascii="MS PGothic" w:cs="MS PGothic" w:eastAsia="MS PGothic" w:hAnsi="MS PGothic"/>
                <w:sz w:val="25"/>
                <w:szCs w:val="25"/>
                <w:color w:val="auto"/>
                <w:w w:val="87"/>
              </w:rPr>
              <w:t>☐</w:t>
            </w:r>
          </w:p>
        </w:tc>
        <w:tc>
          <w:tcPr>
            <w:tcW w:w="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4640" w:type="dxa"/>
            <w:vAlign w:val="bottom"/>
            <w:gridSpan w:val="4"/>
            <w:vMerge w:val="restart"/>
          </w:tcPr>
          <w:p>
            <w:pPr>
              <w:ind w:left="360"/>
              <w:spacing w:after="0"/>
              <w:rPr>
                <w:sz w:val="20"/>
                <w:szCs w:val="20"/>
                <w:color w:val="auto"/>
              </w:rPr>
            </w:pPr>
            <w:r>
              <w:rPr>
                <w:rFonts w:ascii="Arial" w:cs="Arial" w:eastAsia="Arial" w:hAnsi="Arial"/>
                <w:sz w:val="14"/>
                <w:szCs w:val="14"/>
                <w:color w:val="auto"/>
              </w:rPr>
              <w:t>Warren M. Thompson</w:t>
            </w:r>
          </w:p>
        </w:tc>
        <w:tc>
          <w:tcPr>
            <w:tcW w:w="460" w:type="dxa"/>
            <w:vAlign w:val="bottom"/>
            <w:vMerge w:val="continue"/>
          </w:tcPr>
          <w:p>
            <w:pPr>
              <w:spacing w:after="0"/>
              <w:rPr>
                <w:sz w:val="22"/>
                <w:szCs w:val="22"/>
                <w:color w:val="auto"/>
              </w:rPr>
            </w:pPr>
          </w:p>
        </w:tc>
        <w:tc>
          <w:tcPr>
            <w:tcW w:w="240" w:type="dxa"/>
            <w:vAlign w:val="bottom"/>
          </w:tcPr>
          <w:p>
            <w:pPr>
              <w:spacing w:after="0"/>
              <w:rPr>
                <w:sz w:val="22"/>
                <w:szCs w:val="22"/>
                <w:color w:val="auto"/>
              </w:rPr>
            </w:pPr>
          </w:p>
        </w:tc>
        <w:tc>
          <w:tcPr>
            <w:tcW w:w="560" w:type="dxa"/>
            <w:vAlign w:val="bottom"/>
            <w:vMerge w:val="continue"/>
          </w:tcPr>
          <w:p>
            <w:pPr>
              <w:spacing w:after="0"/>
              <w:rPr>
                <w:sz w:val="22"/>
                <w:szCs w:val="22"/>
                <w:color w:val="auto"/>
              </w:rPr>
            </w:pPr>
          </w:p>
        </w:tc>
        <w:tc>
          <w:tcPr>
            <w:tcW w:w="640" w:type="dxa"/>
            <w:vAlign w:val="bottom"/>
            <w:vMerge w:val="continue"/>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
        </w:trPr>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580" w:type="dxa"/>
            <w:vAlign w:val="bottom"/>
          </w:tcPr>
          <w:p>
            <w:pPr>
              <w:spacing w:after="0"/>
              <w:rPr>
                <w:sz w:val="3"/>
                <w:szCs w:val="3"/>
                <w:color w:val="auto"/>
              </w:rPr>
            </w:pPr>
          </w:p>
        </w:tc>
        <w:tc>
          <w:tcPr>
            <w:tcW w:w="40" w:type="dxa"/>
            <w:vAlign w:val="bottom"/>
            <w:tcBorders>
              <w:right w:val="single" w:sz="8" w:color="auto"/>
            </w:tcBorders>
          </w:tcPr>
          <w:p>
            <w:pPr>
              <w:spacing w:after="0"/>
              <w:rPr>
                <w:sz w:val="3"/>
                <w:szCs w:val="3"/>
                <w:color w:val="auto"/>
              </w:rPr>
            </w:pPr>
          </w:p>
        </w:tc>
        <w:tc>
          <w:tcPr>
            <w:tcW w:w="4640" w:type="dxa"/>
            <w:vAlign w:val="bottom"/>
            <w:gridSpan w:val="4"/>
            <w:vMerge w:val="continue"/>
          </w:tcPr>
          <w:p>
            <w:pPr>
              <w:spacing w:after="0"/>
              <w:rPr>
                <w:sz w:val="3"/>
                <w:szCs w:val="3"/>
                <w:color w:val="auto"/>
              </w:rPr>
            </w:pPr>
          </w:p>
        </w:tc>
        <w:tc>
          <w:tcPr>
            <w:tcW w:w="460" w:type="dxa"/>
            <w:vAlign w:val="bottom"/>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rPr>
              <w:t>☐</w:t>
            </w:r>
          </w:p>
        </w:tc>
        <w:tc>
          <w:tcPr>
            <w:tcW w:w="240" w:type="dxa"/>
            <w:vAlign w:val="bottom"/>
          </w:tcPr>
          <w:p>
            <w:pPr>
              <w:spacing w:after="0"/>
              <w:rPr>
                <w:sz w:val="3"/>
                <w:szCs w:val="3"/>
                <w:color w:val="auto"/>
              </w:rPr>
            </w:pPr>
          </w:p>
        </w:tc>
        <w:tc>
          <w:tcPr>
            <w:tcW w:w="560" w:type="dxa"/>
            <w:vAlign w:val="bottom"/>
            <w:vMerge w:val="restart"/>
          </w:tcPr>
          <w:p>
            <w:pPr>
              <w:jc w:val="center"/>
              <w:ind w:right="79"/>
              <w:spacing w:after="0" w:line="251" w:lineRule="exact"/>
              <w:rPr>
                <w:sz w:val="20"/>
                <w:szCs w:val="20"/>
                <w:color w:val="auto"/>
              </w:rPr>
            </w:pPr>
            <w:r>
              <w:rPr>
                <w:rFonts w:ascii="MS PGothic" w:cs="MS PGothic" w:eastAsia="MS PGothic" w:hAnsi="MS PGothic"/>
                <w:sz w:val="25"/>
                <w:szCs w:val="25"/>
                <w:color w:val="auto"/>
                <w:w w:val="95"/>
              </w:rPr>
              <w:t>☐</w:t>
            </w:r>
          </w:p>
        </w:tc>
        <w:tc>
          <w:tcPr>
            <w:tcW w:w="640" w:type="dxa"/>
            <w:vAlign w:val="bottom"/>
            <w:vMerge w:val="restart"/>
          </w:tcPr>
          <w:p>
            <w:pPr>
              <w:jc w:val="center"/>
              <w:ind w:left="230"/>
              <w:spacing w:after="0" w:line="251" w:lineRule="exact"/>
              <w:rPr>
                <w:sz w:val="20"/>
                <w:szCs w:val="20"/>
                <w:color w:val="auto"/>
              </w:rPr>
            </w:pPr>
            <w:r>
              <w:rPr>
                <w:rFonts w:ascii="MS PGothic" w:cs="MS PGothic" w:eastAsia="MS PGothic" w:hAnsi="MS PGothic"/>
                <w:sz w:val="25"/>
                <w:szCs w:val="25"/>
                <w:color w:val="auto"/>
                <w:w w:val="87"/>
              </w:rPr>
              <w:t>☐</w:t>
            </w:r>
          </w:p>
        </w:tc>
        <w:tc>
          <w:tcPr>
            <w:tcW w:w="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4640" w:type="dxa"/>
            <w:vAlign w:val="bottom"/>
            <w:gridSpan w:val="4"/>
            <w:vMerge w:val="restart"/>
          </w:tcPr>
          <w:p>
            <w:pPr>
              <w:ind w:left="360"/>
              <w:spacing w:after="0"/>
              <w:rPr>
                <w:sz w:val="20"/>
                <w:szCs w:val="20"/>
                <w:color w:val="auto"/>
              </w:rPr>
            </w:pPr>
            <w:r>
              <w:rPr>
                <w:rFonts w:ascii="Arial" w:cs="Arial" w:eastAsia="Arial" w:hAnsi="Arial"/>
                <w:sz w:val="14"/>
                <w:szCs w:val="14"/>
                <w:color w:val="auto"/>
              </w:rPr>
              <w:t>Joseph S. Vassalluzzo</w:t>
            </w:r>
          </w:p>
        </w:tc>
        <w:tc>
          <w:tcPr>
            <w:tcW w:w="460" w:type="dxa"/>
            <w:vAlign w:val="bottom"/>
            <w:vMerge w:val="continue"/>
          </w:tcPr>
          <w:p>
            <w:pPr>
              <w:spacing w:after="0"/>
              <w:rPr>
                <w:sz w:val="22"/>
                <w:szCs w:val="22"/>
                <w:color w:val="auto"/>
              </w:rPr>
            </w:pPr>
          </w:p>
        </w:tc>
        <w:tc>
          <w:tcPr>
            <w:tcW w:w="240" w:type="dxa"/>
            <w:vAlign w:val="bottom"/>
          </w:tcPr>
          <w:p>
            <w:pPr>
              <w:spacing w:after="0"/>
              <w:rPr>
                <w:sz w:val="22"/>
                <w:szCs w:val="22"/>
                <w:color w:val="auto"/>
              </w:rPr>
            </w:pPr>
          </w:p>
        </w:tc>
        <w:tc>
          <w:tcPr>
            <w:tcW w:w="560" w:type="dxa"/>
            <w:vAlign w:val="bottom"/>
            <w:vMerge w:val="continue"/>
          </w:tcPr>
          <w:p>
            <w:pPr>
              <w:spacing w:after="0"/>
              <w:rPr>
                <w:sz w:val="22"/>
                <w:szCs w:val="22"/>
                <w:color w:val="auto"/>
              </w:rPr>
            </w:pPr>
          </w:p>
        </w:tc>
        <w:tc>
          <w:tcPr>
            <w:tcW w:w="640" w:type="dxa"/>
            <w:vAlign w:val="bottom"/>
            <w:vMerge w:val="continue"/>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
        </w:trPr>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580" w:type="dxa"/>
            <w:vAlign w:val="bottom"/>
          </w:tcPr>
          <w:p>
            <w:pPr>
              <w:spacing w:after="0"/>
              <w:rPr>
                <w:sz w:val="3"/>
                <w:szCs w:val="3"/>
                <w:color w:val="auto"/>
              </w:rPr>
            </w:pPr>
          </w:p>
        </w:tc>
        <w:tc>
          <w:tcPr>
            <w:tcW w:w="40" w:type="dxa"/>
            <w:vAlign w:val="bottom"/>
            <w:tcBorders>
              <w:right w:val="single" w:sz="8" w:color="auto"/>
            </w:tcBorders>
          </w:tcPr>
          <w:p>
            <w:pPr>
              <w:spacing w:after="0"/>
              <w:rPr>
                <w:sz w:val="3"/>
                <w:szCs w:val="3"/>
                <w:color w:val="auto"/>
              </w:rPr>
            </w:pPr>
          </w:p>
        </w:tc>
        <w:tc>
          <w:tcPr>
            <w:tcW w:w="4640" w:type="dxa"/>
            <w:vAlign w:val="bottom"/>
            <w:gridSpan w:val="4"/>
            <w:vMerge w:val="continue"/>
          </w:tcPr>
          <w:p>
            <w:pPr>
              <w:spacing w:after="0"/>
              <w:rPr>
                <w:sz w:val="3"/>
                <w:szCs w:val="3"/>
                <w:color w:val="auto"/>
              </w:rPr>
            </w:pPr>
          </w:p>
        </w:tc>
        <w:tc>
          <w:tcPr>
            <w:tcW w:w="460" w:type="dxa"/>
            <w:vAlign w:val="bottom"/>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rPr>
              <w:t>☐</w:t>
            </w:r>
          </w:p>
        </w:tc>
        <w:tc>
          <w:tcPr>
            <w:tcW w:w="240" w:type="dxa"/>
            <w:vAlign w:val="bottom"/>
          </w:tcPr>
          <w:p>
            <w:pPr>
              <w:spacing w:after="0"/>
              <w:rPr>
                <w:sz w:val="3"/>
                <w:szCs w:val="3"/>
                <w:color w:val="auto"/>
              </w:rPr>
            </w:pPr>
          </w:p>
        </w:tc>
        <w:tc>
          <w:tcPr>
            <w:tcW w:w="560" w:type="dxa"/>
            <w:vAlign w:val="bottom"/>
            <w:vMerge w:val="restart"/>
          </w:tcPr>
          <w:p>
            <w:pPr>
              <w:jc w:val="center"/>
              <w:ind w:right="79"/>
              <w:spacing w:after="0" w:line="251" w:lineRule="exact"/>
              <w:rPr>
                <w:sz w:val="20"/>
                <w:szCs w:val="20"/>
                <w:color w:val="auto"/>
              </w:rPr>
            </w:pPr>
            <w:r>
              <w:rPr>
                <w:rFonts w:ascii="MS PGothic" w:cs="MS PGothic" w:eastAsia="MS PGothic" w:hAnsi="MS PGothic"/>
                <w:sz w:val="25"/>
                <w:szCs w:val="25"/>
                <w:color w:val="auto"/>
                <w:w w:val="95"/>
              </w:rPr>
              <w:t>☐</w:t>
            </w:r>
          </w:p>
        </w:tc>
        <w:tc>
          <w:tcPr>
            <w:tcW w:w="640" w:type="dxa"/>
            <w:vAlign w:val="bottom"/>
            <w:vMerge w:val="restart"/>
          </w:tcPr>
          <w:p>
            <w:pPr>
              <w:jc w:val="center"/>
              <w:ind w:left="230"/>
              <w:spacing w:after="0" w:line="251" w:lineRule="exact"/>
              <w:rPr>
                <w:sz w:val="20"/>
                <w:szCs w:val="20"/>
                <w:color w:val="auto"/>
              </w:rPr>
            </w:pPr>
            <w:r>
              <w:rPr>
                <w:rFonts w:ascii="MS PGothic" w:cs="MS PGothic" w:eastAsia="MS PGothic" w:hAnsi="MS PGothic"/>
                <w:sz w:val="25"/>
                <w:szCs w:val="25"/>
                <w:color w:val="auto"/>
                <w:w w:val="87"/>
              </w:rPr>
              <w:t>☐</w:t>
            </w:r>
          </w:p>
        </w:tc>
        <w:tc>
          <w:tcPr>
            <w:tcW w:w="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1400" w:type="dxa"/>
            <w:vAlign w:val="bottom"/>
            <w:gridSpan w:val="2"/>
            <w:vMerge w:val="restart"/>
          </w:tcPr>
          <w:p>
            <w:pPr>
              <w:ind w:left="360"/>
              <w:spacing w:after="0"/>
              <w:rPr>
                <w:sz w:val="20"/>
                <w:szCs w:val="20"/>
                <w:color w:val="auto"/>
              </w:rPr>
            </w:pPr>
            <w:r>
              <w:rPr>
                <w:rFonts w:ascii="Arial" w:cs="Arial" w:eastAsia="Arial" w:hAnsi="Arial"/>
                <w:sz w:val="14"/>
                <w:szCs w:val="14"/>
                <w:color w:val="auto"/>
                <w:w w:val="97"/>
              </w:rPr>
              <w:t>Donald C. Wood</w:t>
            </w:r>
          </w:p>
        </w:tc>
        <w:tc>
          <w:tcPr>
            <w:tcW w:w="16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460" w:type="dxa"/>
            <w:vAlign w:val="bottom"/>
            <w:vMerge w:val="continue"/>
          </w:tcPr>
          <w:p>
            <w:pPr>
              <w:spacing w:after="0"/>
              <w:rPr>
                <w:sz w:val="22"/>
                <w:szCs w:val="22"/>
                <w:color w:val="auto"/>
              </w:rPr>
            </w:pPr>
          </w:p>
        </w:tc>
        <w:tc>
          <w:tcPr>
            <w:tcW w:w="240" w:type="dxa"/>
            <w:vAlign w:val="bottom"/>
          </w:tcPr>
          <w:p>
            <w:pPr>
              <w:spacing w:after="0"/>
              <w:rPr>
                <w:sz w:val="22"/>
                <w:szCs w:val="22"/>
                <w:color w:val="auto"/>
              </w:rPr>
            </w:pPr>
          </w:p>
        </w:tc>
        <w:tc>
          <w:tcPr>
            <w:tcW w:w="560" w:type="dxa"/>
            <w:vAlign w:val="bottom"/>
            <w:vMerge w:val="continue"/>
          </w:tcPr>
          <w:p>
            <w:pPr>
              <w:spacing w:after="0"/>
              <w:rPr>
                <w:sz w:val="22"/>
                <w:szCs w:val="22"/>
                <w:color w:val="auto"/>
              </w:rPr>
            </w:pPr>
          </w:p>
        </w:tc>
        <w:tc>
          <w:tcPr>
            <w:tcW w:w="640" w:type="dxa"/>
            <w:vAlign w:val="bottom"/>
            <w:vMerge w:val="continue"/>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
        </w:trPr>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580" w:type="dxa"/>
            <w:vAlign w:val="bottom"/>
          </w:tcPr>
          <w:p>
            <w:pPr>
              <w:spacing w:after="0"/>
              <w:rPr>
                <w:sz w:val="3"/>
                <w:szCs w:val="3"/>
                <w:color w:val="auto"/>
              </w:rPr>
            </w:pPr>
          </w:p>
        </w:tc>
        <w:tc>
          <w:tcPr>
            <w:tcW w:w="40" w:type="dxa"/>
            <w:vAlign w:val="bottom"/>
            <w:tcBorders>
              <w:right w:val="single" w:sz="8" w:color="auto"/>
            </w:tcBorders>
          </w:tcPr>
          <w:p>
            <w:pPr>
              <w:spacing w:after="0"/>
              <w:rPr>
                <w:sz w:val="3"/>
                <w:szCs w:val="3"/>
                <w:color w:val="auto"/>
              </w:rPr>
            </w:pPr>
          </w:p>
        </w:tc>
        <w:tc>
          <w:tcPr>
            <w:tcW w:w="1400" w:type="dxa"/>
            <w:vAlign w:val="bottom"/>
            <w:gridSpan w:val="2"/>
            <w:vMerge w:val="continue"/>
          </w:tcPr>
          <w:p>
            <w:pPr>
              <w:spacing w:after="0"/>
              <w:rPr>
                <w:sz w:val="3"/>
                <w:szCs w:val="3"/>
                <w:color w:val="auto"/>
              </w:rPr>
            </w:pPr>
          </w:p>
        </w:tc>
        <w:tc>
          <w:tcPr>
            <w:tcW w:w="16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60" w:type="dxa"/>
            <w:vAlign w:val="bottom"/>
            <w:vMerge w:val="restart"/>
          </w:tcPr>
          <w:p>
            <w:pPr>
              <w:jc w:val="center"/>
              <w:spacing w:after="0"/>
              <w:rPr>
                <w:sz w:val="20"/>
                <w:szCs w:val="20"/>
                <w:color w:val="auto"/>
              </w:rPr>
            </w:pPr>
            <w:r>
              <w:rPr>
                <w:rFonts w:ascii="Arial" w:cs="Arial" w:eastAsia="Arial" w:hAnsi="Arial"/>
                <w:sz w:val="14"/>
                <w:szCs w:val="14"/>
                <w:color w:val="auto"/>
                <w:w w:val="94"/>
              </w:rPr>
              <w:t>FOR</w:t>
            </w:r>
          </w:p>
        </w:tc>
        <w:tc>
          <w:tcPr>
            <w:tcW w:w="800" w:type="dxa"/>
            <w:vAlign w:val="bottom"/>
            <w:gridSpan w:val="2"/>
            <w:vMerge w:val="restart"/>
          </w:tcPr>
          <w:p>
            <w:pPr>
              <w:jc w:val="center"/>
              <w:spacing w:after="0"/>
              <w:rPr>
                <w:sz w:val="20"/>
                <w:szCs w:val="20"/>
                <w:color w:val="auto"/>
              </w:rPr>
            </w:pPr>
            <w:r>
              <w:rPr>
                <w:rFonts w:ascii="Arial" w:cs="Arial" w:eastAsia="Arial" w:hAnsi="Arial"/>
                <w:sz w:val="14"/>
                <w:szCs w:val="14"/>
                <w:color w:val="auto"/>
              </w:rPr>
              <w:t>AGAINST</w:t>
            </w:r>
          </w:p>
        </w:tc>
        <w:tc>
          <w:tcPr>
            <w:tcW w:w="900" w:type="dxa"/>
            <w:vAlign w:val="bottom"/>
            <w:gridSpan w:val="2"/>
            <w:vMerge w:val="restart"/>
          </w:tcPr>
          <w:p>
            <w:pPr>
              <w:jc w:val="center"/>
              <w:spacing w:after="0"/>
              <w:rPr>
                <w:sz w:val="20"/>
                <w:szCs w:val="20"/>
                <w:color w:val="auto"/>
              </w:rPr>
            </w:pPr>
            <w:r>
              <w:rPr>
                <w:rFonts w:ascii="Arial" w:cs="Arial" w:eastAsia="Arial" w:hAnsi="Arial"/>
                <w:sz w:val="14"/>
                <w:szCs w:val="14"/>
                <w:color w:val="auto"/>
              </w:rPr>
              <w:t>ABSTAIN</w:t>
            </w:r>
          </w:p>
        </w:tc>
        <w:tc>
          <w:tcPr>
            <w:tcW w:w="0" w:type="dxa"/>
            <w:vAlign w:val="bottom"/>
          </w:tcPr>
          <w:p>
            <w:pPr>
              <w:spacing w:after="0"/>
              <w:rPr>
                <w:sz w:val="1"/>
                <w:szCs w:val="1"/>
                <w:color w:val="auto"/>
              </w:rPr>
            </w:pPr>
          </w:p>
        </w:tc>
      </w:tr>
      <w:tr>
        <w:trPr>
          <w:trHeight w:val="115"/>
        </w:trPr>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4640" w:type="dxa"/>
            <w:vAlign w:val="bottom"/>
            <w:gridSpan w:val="4"/>
          </w:tcPr>
          <w:p>
            <w:pPr>
              <w:ind w:left="80"/>
              <w:spacing w:after="0" w:line="157" w:lineRule="exact"/>
              <w:rPr>
                <w:sz w:val="20"/>
                <w:szCs w:val="20"/>
                <w:color w:val="auto"/>
              </w:rPr>
            </w:pPr>
            <w:r>
              <w:rPr>
                <w:rFonts w:ascii="Arial" w:cs="Arial" w:eastAsia="Arial" w:hAnsi="Arial"/>
                <w:sz w:val="14"/>
                <w:szCs w:val="14"/>
                <w:color w:val="auto"/>
              </w:rPr>
              <w:t>2. To hold an advisory vote approving the compensation of our named</w:t>
            </w:r>
          </w:p>
        </w:tc>
        <w:tc>
          <w:tcPr>
            <w:tcW w:w="460" w:type="dxa"/>
            <w:vAlign w:val="bottom"/>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rPr>
              <w:t>☐</w:t>
            </w:r>
          </w:p>
        </w:tc>
        <w:tc>
          <w:tcPr>
            <w:tcW w:w="240" w:type="dxa"/>
            <w:vAlign w:val="bottom"/>
          </w:tcPr>
          <w:p>
            <w:pPr>
              <w:spacing w:after="0"/>
              <w:rPr>
                <w:sz w:val="13"/>
                <w:szCs w:val="13"/>
                <w:color w:val="auto"/>
              </w:rPr>
            </w:pPr>
          </w:p>
        </w:tc>
        <w:tc>
          <w:tcPr>
            <w:tcW w:w="560" w:type="dxa"/>
            <w:vAlign w:val="bottom"/>
            <w:vMerge w:val="restart"/>
          </w:tcPr>
          <w:p>
            <w:pPr>
              <w:jc w:val="center"/>
              <w:ind w:right="79"/>
              <w:spacing w:after="0" w:line="251" w:lineRule="exact"/>
              <w:rPr>
                <w:sz w:val="20"/>
                <w:szCs w:val="20"/>
                <w:color w:val="auto"/>
              </w:rPr>
            </w:pPr>
            <w:r>
              <w:rPr>
                <w:rFonts w:ascii="MS PGothic" w:cs="MS PGothic" w:eastAsia="MS PGothic" w:hAnsi="MS PGothic"/>
                <w:sz w:val="25"/>
                <w:szCs w:val="25"/>
                <w:color w:val="auto"/>
                <w:w w:val="95"/>
              </w:rPr>
              <w:t>☐</w:t>
            </w:r>
          </w:p>
        </w:tc>
        <w:tc>
          <w:tcPr>
            <w:tcW w:w="640" w:type="dxa"/>
            <w:vAlign w:val="bottom"/>
            <w:vMerge w:val="restart"/>
          </w:tcPr>
          <w:p>
            <w:pPr>
              <w:jc w:val="center"/>
              <w:ind w:left="230"/>
              <w:spacing w:after="0" w:line="251" w:lineRule="exact"/>
              <w:rPr>
                <w:sz w:val="20"/>
                <w:szCs w:val="20"/>
                <w:color w:val="auto"/>
              </w:rPr>
            </w:pPr>
            <w:r>
              <w:rPr>
                <w:rFonts w:ascii="MS PGothic" w:cs="MS PGothic" w:eastAsia="MS PGothic" w:hAnsi="MS PGothic"/>
                <w:sz w:val="25"/>
                <w:szCs w:val="25"/>
                <w:color w:val="auto"/>
                <w:w w:val="87"/>
              </w:rPr>
              <w:t>☐</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14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executive officers.</w:t>
            </w:r>
          </w:p>
        </w:tc>
        <w:tc>
          <w:tcPr>
            <w:tcW w:w="16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60" w:type="dxa"/>
            <w:vAlign w:val="bottom"/>
          </w:tcPr>
          <w:p>
            <w:pPr>
              <w:jc w:val="center"/>
              <w:spacing w:after="0" w:line="141" w:lineRule="exact"/>
              <w:rPr>
                <w:sz w:val="20"/>
                <w:szCs w:val="20"/>
                <w:color w:val="auto"/>
              </w:rPr>
            </w:pPr>
            <w:r>
              <w:rPr>
                <w:rFonts w:ascii="Arial" w:cs="Arial" w:eastAsia="Arial" w:hAnsi="Arial"/>
                <w:sz w:val="14"/>
                <w:szCs w:val="14"/>
                <w:color w:val="auto"/>
                <w:w w:val="94"/>
              </w:rPr>
              <w:t>FOR</w:t>
            </w:r>
          </w:p>
        </w:tc>
        <w:tc>
          <w:tcPr>
            <w:tcW w:w="800" w:type="dxa"/>
            <w:vAlign w:val="bottom"/>
            <w:gridSpan w:val="2"/>
          </w:tcPr>
          <w:p>
            <w:pPr>
              <w:jc w:val="center"/>
              <w:spacing w:after="0" w:line="141" w:lineRule="exact"/>
              <w:rPr>
                <w:sz w:val="20"/>
                <w:szCs w:val="20"/>
                <w:color w:val="auto"/>
              </w:rPr>
            </w:pPr>
            <w:r>
              <w:rPr>
                <w:rFonts w:ascii="Arial" w:cs="Arial" w:eastAsia="Arial" w:hAnsi="Arial"/>
                <w:sz w:val="14"/>
                <w:szCs w:val="14"/>
                <w:color w:val="auto"/>
              </w:rPr>
              <w:t>AGAINST</w:t>
            </w:r>
          </w:p>
        </w:tc>
        <w:tc>
          <w:tcPr>
            <w:tcW w:w="900" w:type="dxa"/>
            <w:vAlign w:val="bottom"/>
            <w:gridSpan w:val="2"/>
          </w:tcPr>
          <w:p>
            <w:pPr>
              <w:jc w:val="center"/>
              <w:spacing w:after="0" w:line="141" w:lineRule="exact"/>
              <w:rPr>
                <w:sz w:val="20"/>
                <w:szCs w:val="20"/>
                <w:color w:val="auto"/>
              </w:rPr>
            </w:pPr>
            <w:r>
              <w:rPr>
                <w:rFonts w:ascii="Arial" w:cs="Arial" w:eastAsia="Arial" w:hAnsi="Arial"/>
                <w:sz w:val="14"/>
                <w:szCs w:val="14"/>
                <w:color w:val="auto"/>
              </w:rPr>
              <w:t>ABSTAIN</w:t>
            </w: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4640" w:type="dxa"/>
            <w:vAlign w:val="bottom"/>
            <w:gridSpan w:val="4"/>
          </w:tcPr>
          <w:p>
            <w:pPr>
              <w:ind w:left="80"/>
              <w:spacing w:after="0" w:line="157" w:lineRule="exact"/>
              <w:rPr>
                <w:sz w:val="20"/>
                <w:szCs w:val="20"/>
                <w:color w:val="auto"/>
              </w:rPr>
            </w:pPr>
            <w:r>
              <w:rPr>
                <w:rFonts w:ascii="Arial" w:cs="Arial" w:eastAsia="Arial" w:hAnsi="Arial"/>
                <w:sz w:val="14"/>
                <w:szCs w:val="14"/>
                <w:color w:val="auto"/>
              </w:rPr>
              <w:t>3. To ratify the appointment of Grant Thornton LLP as our independent</w:t>
            </w:r>
          </w:p>
        </w:tc>
        <w:tc>
          <w:tcPr>
            <w:tcW w:w="460" w:type="dxa"/>
            <w:vAlign w:val="bottom"/>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rPr>
              <w:t>☐</w:t>
            </w:r>
          </w:p>
        </w:tc>
        <w:tc>
          <w:tcPr>
            <w:tcW w:w="240" w:type="dxa"/>
            <w:vAlign w:val="bottom"/>
          </w:tcPr>
          <w:p>
            <w:pPr>
              <w:spacing w:after="0"/>
              <w:rPr>
                <w:sz w:val="13"/>
                <w:szCs w:val="13"/>
                <w:color w:val="auto"/>
              </w:rPr>
            </w:pPr>
          </w:p>
        </w:tc>
        <w:tc>
          <w:tcPr>
            <w:tcW w:w="560" w:type="dxa"/>
            <w:vAlign w:val="bottom"/>
            <w:vMerge w:val="restart"/>
          </w:tcPr>
          <w:p>
            <w:pPr>
              <w:jc w:val="center"/>
              <w:ind w:right="79"/>
              <w:spacing w:after="0" w:line="251" w:lineRule="exact"/>
              <w:rPr>
                <w:sz w:val="20"/>
                <w:szCs w:val="20"/>
                <w:color w:val="auto"/>
              </w:rPr>
            </w:pPr>
            <w:r>
              <w:rPr>
                <w:rFonts w:ascii="MS PGothic" w:cs="MS PGothic" w:eastAsia="MS PGothic" w:hAnsi="MS PGothic"/>
                <w:sz w:val="25"/>
                <w:szCs w:val="25"/>
                <w:color w:val="auto"/>
                <w:w w:val="95"/>
              </w:rPr>
              <w:t>☐</w:t>
            </w:r>
          </w:p>
        </w:tc>
        <w:tc>
          <w:tcPr>
            <w:tcW w:w="640" w:type="dxa"/>
            <w:vAlign w:val="bottom"/>
            <w:vMerge w:val="restart"/>
          </w:tcPr>
          <w:p>
            <w:pPr>
              <w:jc w:val="center"/>
              <w:ind w:left="230"/>
              <w:spacing w:after="0" w:line="251" w:lineRule="exact"/>
              <w:rPr>
                <w:sz w:val="20"/>
                <w:szCs w:val="20"/>
                <w:color w:val="auto"/>
              </w:rPr>
            </w:pPr>
            <w:r>
              <w:rPr>
                <w:rFonts w:ascii="MS PGothic" w:cs="MS PGothic" w:eastAsia="MS PGothic" w:hAnsi="MS PGothic"/>
                <w:sz w:val="25"/>
                <w:szCs w:val="25"/>
                <w:color w:val="auto"/>
                <w:w w:val="87"/>
              </w:rPr>
              <w:t>☐</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4640" w:type="dxa"/>
            <w:vAlign w:val="bottom"/>
            <w:gridSpan w:val="4"/>
          </w:tcPr>
          <w:p>
            <w:pPr>
              <w:ind w:left="220"/>
              <w:spacing w:after="0" w:line="149" w:lineRule="exact"/>
              <w:rPr>
                <w:sz w:val="20"/>
                <w:szCs w:val="20"/>
                <w:color w:val="auto"/>
              </w:rPr>
            </w:pPr>
            <w:r>
              <w:rPr>
                <w:rFonts w:ascii="Arial" w:cs="Arial" w:eastAsia="Arial" w:hAnsi="Arial"/>
                <w:sz w:val="14"/>
                <w:szCs w:val="14"/>
                <w:color w:val="auto"/>
                <w:w w:val="97"/>
              </w:rPr>
              <w:t>registered public accounting firm for the fiscal year ending December 31,</w:t>
            </w:r>
          </w:p>
        </w:tc>
        <w:tc>
          <w:tcPr>
            <w:tcW w:w="4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tcPr>
          <w:p>
            <w:pPr>
              <w:spacing w:after="0"/>
              <w:rPr>
                <w:sz w:val="14"/>
                <w:szCs w:val="14"/>
                <w:color w:val="auto"/>
              </w:rPr>
            </w:pPr>
          </w:p>
        </w:tc>
        <w:tc>
          <w:tcPr>
            <w:tcW w:w="40" w:type="dxa"/>
            <w:vAlign w:val="bottom"/>
            <w:tcBorders>
              <w:bottom w:val="single" w:sz="8" w:color="auto"/>
              <w:right w:val="single" w:sz="8" w:color="auto"/>
            </w:tcBorders>
          </w:tcPr>
          <w:p>
            <w:pPr>
              <w:spacing w:after="0"/>
              <w:rPr>
                <w:sz w:val="14"/>
                <w:szCs w:val="14"/>
                <w:color w:val="auto"/>
              </w:rPr>
            </w:pPr>
          </w:p>
        </w:tc>
        <w:tc>
          <w:tcPr>
            <w:tcW w:w="1400" w:type="dxa"/>
            <w:vAlign w:val="bottom"/>
            <w:gridSpan w:val="2"/>
          </w:tcPr>
          <w:p>
            <w:pPr>
              <w:ind w:left="220"/>
              <w:spacing w:after="0"/>
              <w:rPr>
                <w:sz w:val="20"/>
                <w:szCs w:val="20"/>
                <w:color w:val="auto"/>
              </w:rPr>
            </w:pPr>
            <w:r>
              <w:rPr>
                <w:rFonts w:ascii="Arial" w:cs="Arial" w:eastAsia="Arial" w:hAnsi="Arial"/>
                <w:sz w:val="14"/>
                <w:szCs w:val="14"/>
                <w:color w:val="auto"/>
              </w:rPr>
              <w:t>2019.</w:t>
            </w:r>
          </w:p>
        </w:tc>
        <w:tc>
          <w:tcPr>
            <w:tcW w:w="16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4220" w:type="dxa"/>
            <w:vAlign w:val="bottom"/>
            <w:tcBorders>
              <w:right w:val="single" w:sz="8" w:color="auto"/>
            </w:tcBorders>
            <w:gridSpan w:val="4"/>
          </w:tcPr>
          <w:p>
            <w:pPr>
              <w:spacing w:after="0" w:line="123" w:lineRule="exact"/>
              <w:rPr>
                <w:sz w:val="20"/>
                <w:szCs w:val="20"/>
                <w:color w:val="auto"/>
              </w:rPr>
            </w:pPr>
            <w:r>
              <w:rPr>
                <w:rFonts w:ascii="Arial" w:cs="Arial" w:eastAsia="Arial" w:hAnsi="Arial"/>
                <w:sz w:val="14"/>
                <w:szCs w:val="14"/>
                <w:color w:val="auto"/>
              </w:rPr>
              <w:t>To change the address on your account, please check the box at</w:t>
            </w:r>
          </w:p>
        </w:tc>
        <w:tc>
          <w:tcPr>
            <w:tcW w:w="4640" w:type="dxa"/>
            <w:vAlign w:val="bottom"/>
            <w:gridSpan w:val="4"/>
            <w:vMerge w:val="restart"/>
          </w:tcPr>
          <w:p>
            <w:pPr>
              <w:ind w:left="80"/>
              <w:spacing w:after="0"/>
              <w:rPr>
                <w:sz w:val="20"/>
                <w:szCs w:val="20"/>
                <w:color w:val="auto"/>
              </w:rPr>
            </w:pPr>
            <w:r>
              <w:rPr>
                <w:rFonts w:ascii="Arial" w:cs="Arial" w:eastAsia="Arial" w:hAnsi="Arial"/>
                <w:sz w:val="14"/>
                <w:szCs w:val="14"/>
                <w:color w:val="auto"/>
                <w:w w:val="99"/>
              </w:rPr>
              <w:t>4. To consider and act upon any other matters properly coming before the</w:t>
            </w: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4260" w:type="dxa"/>
            <w:vAlign w:val="bottom"/>
            <w:tcBorders>
              <w:right w:val="single" w:sz="8" w:color="auto"/>
            </w:tcBorders>
            <w:gridSpan w:val="5"/>
          </w:tcPr>
          <w:p>
            <w:pPr>
              <w:spacing w:after="0" w:line="141" w:lineRule="exact"/>
              <w:rPr>
                <w:sz w:val="20"/>
                <w:szCs w:val="20"/>
                <w:color w:val="auto"/>
              </w:rPr>
            </w:pPr>
            <w:r>
              <w:rPr>
                <w:rFonts w:ascii="Arial" w:cs="Arial" w:eastAsia="Arial" w:hAnsi="Arial"/>
                <w:sz w:val="14"/>
                <w:szCs w:val="14"/>
                <w:color w:val="auto"/>
              </w:rPr>
              <w:t>right and indicate your new address in the address space above.</w:t>
            </w:r>
          </w:p>
        </w:tc>
        <w:tc>
          <w:tcPr>
            <w:tcW w:w="4640" w:type="dxa"/>
            <w:vAlign w:val="bottom"/>
            <w:gridSpan w:val="4"/>
            <w:vMerge w:val="continue"/>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4260" w:type="dxa"/>
            <w:vAlign w:val="bottom"/>
            <w:tcBorders>
              <w:right w:val="single" w:sz="8" w:color="auto"/>
            </w:tcBorders>
            <w:gridSpan w:val="5"/>
          </w:tcPr>
          <w:p>
            <w:pPr>
              <w:spacing w:after="0" w:line="157" w:lineRule="exact"/>
              <w:rPr>
                <w:sz w:val="20"/>
                <w:szCs w:val="20"/>
                <w:color w:val="auto"/>
              </w:rPr>
            </w:pPr>
            <w:r>
              <w:rPr>
                <w:rFonts w:ascii="Arial" w:cs="Arial" w:eastAsia="Arial" w:hAnsi="Arial"/>
                <w:sz w:val="11"/>
                <w:szCs w:val="11"/>
                <w:color w:val="auto"/>
              </w:rPr>
              <w:t xml:space="preserve">Please note that changes to the registered name(s) on the account  </w:t>
            </w:r>
            <w:r>
              <w:rPr>
                <w:rFonts w:ascii="MS PGothic" w:cs="MS PGothic" w:eastAsia="MS PGothic" w:hAnsi="MS PGothic"/>
                <w:sz w:val="18"/>
                <w:szCs w:val="18"/>
                <w:color w:val="auto"/>
              </w:rPr>
              <w:t>☐</w:t>
            </w:r>
          </w:p>
        </w:tc>
        <w:tc>
          <w:tcPr>
            <w:tcW w:w="4640" w:type="dxa"/>
            <w:vAlign w:val="bottom"/>
            <w:gridSpan w:val="4"/>
          </w:tcPr>
          <w:p>
            <w:pPr>
              <w:ind w:left="220"/>
              <w:spacing w:after="0" w:line="157" w:lineRule="exact"/>
              <w:rPr>
                <w:sz w:val="20"/>
                <w:szCs w:val="20"/>
                <w:color w:val="auto"/>
              </w:rPr>
            </w:pPr>
            <w:r>
              <w:rPr>
                <w:rFonts w:ascii="Arial" w:cs="Arial" w:eastAsia="Arial" w:hAnsi="Arial"/>
                <w:sz w:val="14"/>
                <w:szCs w:val="14"/>
                <w:color w:val="auto"/>
              </w:rPr>
              <w:t>meeting or any postponement or adjournment thereof.</w:t>
            </w: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260" w:type="dxa"/>
            <w:vAlign w:val="bottom"/>
            <w:tcBorders>
              <w:bottom w:val="single" w:sz="8" w:color="auto"/>
              <w:right w:val="single" w:sz="8" w:color="auto"/>
            </w:tcBorders>
            <w:gridSpan w:val="5"/>
          </w:tcPr>
          <w:p>
            <w:pPr>
              <w:spacing w:after="0"/>
              <w:rPr>
                <w:sz w:val="20"/>
                <w:szCs w:val="20"/>
                <w:color w:val="auto"/>
              </w:rPr>
            </w:pPr>
            <w:r>
              <w:rPr>
                <w:rFonts w:ascii="Arial" w:cs="Arial" w:eastAsia="Arial" w:hAnsi="Arial"/>
                <w:sz w:val="14"/>
                <w:szCs w:val="14"/>
                <w:color w:val="auto"/>
              </w:rPr>
              <w:t>may not be submitted via this method.</w:t>
            </w: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640" w:type="dxa"/>
            <w:vAlign w:val="bottom"/>
            <w:gridSpan w:val="3"/>
            <w:vMerge w:val="restart"/>
          </w:tcPr>
          <w:p>
            <w:pPr>
              <w:spacing w:after="0"/>
              <w:rPr>
                <w:sz w:val="20"/>
                <w:szCs w:val="20"/>
                <w:color w:val="auto"/>
              </w:rPr>
            </w:pPr>
            <w:r>
              <w:rPr>
                <w:rFonts w:ascii="Arial" w:cs="Arial" w:eastAsia="Arial" w:hAnsi="Arial"/>
                <w:sz w:val="14"/>
                <w:szCs w:val="14"/>
                <w:color w:val="auto"/>
              </w:rPr>
              <w:t>Signature of Shareholder</w:t>
            </w:r>
          </w:p>
        </w:tc>
        <w:tc>
          <w:tcPr>
            <w:tcW w:w="25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vMerge w:val="restart"/>
          </w:tcPr>
          <w:p>
            <w:pPr>
              <w:ind w:left="80"/>
              <w:spacing w:after="0"/>
              <w:rPr>
                <w:sz w:val="20"/>
                <w:szCs w:val="20"/>
                <w:color w:val="auto"/>
              </w:rPr>
            </w:pPr>
            <w:r>
              <w:rPr>
                <w:rFonts w:ascii="Arial" w:cs="Arial" w:eastAsia="Arial" w:hAnsi="Arial"/>
                <w:sz w:val="14"/>
                <w:szCs w:val="14"/>
                <w:color w:val="auto"/>
              </w:rPr>
              <w:t>Date:</w:t>
            </w:r>
          </w:p>
        </w:tc>
        <w:tc>
          <w:tcPr>
            <w:tcW w:w="880" w:type="dxa"/>
            <w:vAlign w:val="bottom"/>
            <w:tcBorders>
              <w:bottom w:val="single" w:sz="8" w:color="auto"/>
            </w:tcBorders>
          </w:tcPr>
          <w:p>
            <w:pPr>
              <w:spacing w:after="0"/>
              <w:rPr>
                <w:sz w:val="20"/>
                <w:szCs w:val="20"/>
                <w:color w:val="auto"/>
              </w:rPr>
            </w:pPr>
          </w:p>
        </w:tc>
        <w:tc>
          <w:tcPr>
            <w:tcW w:w="1680" w:type="dxa"/>
            <w:vAlign w:val="bottom"/>
            <w:vMerge w:val="restart"/>
          </w:tcPr>
          <w:p>
            <w:pPr>
              <w:ind w:left="120"/>
              <w:spacing w:after="0"/>
              <w:rPr>
                <w:sz w:val="20"/>
                <w:szCs w:val="20"/>
                <w:color w:val="auto"/>
              </w:rPr>
            </w:pPr>
            <w:r>
              <w:rPr>
                <w:rFonts w:ascii="Arial" w:cs="Arial" w:eastAsia="Arial" w:hAnsi="Arial"/>
                <w:sz w:val="14"/>
                <w:szCs w:val="14"/>
                <w:color w:val="auto"/>
                <w:w w:val="97"/>
              </w:rPr>
              <w:t>Signature of Shareholder</w:t>
            </w:r>
          </w:p>
        </w:tc>
        <w:tc>
          <w:tcPr>
            <w:tcW w:w="15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60" w:type="dxa"/>
            <w:vAlign w:val="bottom"/>
            <w:vMerge w:val="restart"/>
          </w:tcPr>
          <w:p>
            <w:pPr>
              <w:ind w:left="140"/>
              <w:spacing w:after="0"/>
              <w:rPr>
                <w:sz w:val="20"/>
                <w:szCs w:val="20"/>
                <w:color w:val="auto"/>
              </w:rPr>
            </w:pPr>
            <w:r>
              <w:rPr>
                <w:rFonts w:ascii="Arial" w:cs="Arial" w:eastAsia="Arial" w:hAnsi="Arial"/>
                <w:sz w:val="14"/>
                <w:szCs w:val="14"/>
                <w:color w:val="auto"/>
              </w:rPr>
              <w:t>Date:</w:t>
            </w:r>
          </w:p>
        </w:tc>
        <w:tc>
          <w:tcPr>
            <w:tcW w:w="6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1640" w:type="dxa"/>
            <w:vAlign w:val="bottom"/>
            <w:gridSpan w:val="3"/>
            <w:vMerge w:val="continue"/>
          </w:tcPr>
          <w:p>
            <w:pPr>
              <w:spacing w:after="0"/>
              <w:rPr>
                <w:sz w:val="12"/>
                <w:szCs w:val="12"/>
                <w:color w:val="auto"/>
              </w:rPr>
            </w:pPr>
          </w:p>
        </w:tc>
        <w:tc>
          <w:tcPr>
            <w:tcW w:w="2580" w:type="dxa"/>
            <w:vAlign w:val="bottom"/>
            <w:tcBorders>
              <w:left w:val="single" w:sz="8" w:color="auto"/>
              <w:bottom w:val="single" w:sz="8" w:color="auto"/>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880" w:type="dxa"/>
            <w:vAlign w:val="bottom"/>
            <w:tcBorders>
              <w:left w:val="single" w:sz="8" w:color="auto"/>
              <w:bottom w:val="single" w:sz="8" w:color="auto"/>
              <w:right w:val="single" w:sz="8" w:color="auto"/>
            </w:tcBorders>
          </w:tcPr>
          <w:p>
            <w:pPr>
              <w:spacing w:after="0"/>
              <w:rPr>
                <w:sz w:val="12"/>
                <w:szCs w:val="12"/>
                <w:color w:val="auto"/>
              </w:rPr>
            </w:pPr>
          </w:p>
        </w:tc>
        <w:tc>
          <w:tcPr>
            <w:tcW w:w="1680" w:type="dxa"/>
            <w:vAlign w:val="bottom"/>
            <w:vMerge w:val="continue"/>
          </w:tcPr>
          <w:p>
            <w:pPr>
              <w:spacing w:after="0"/>
              <w:rPr>
                <w:sz w:val="12"/>
                <w:szCs w:val="12"/>
                <w:color w:val="auto"/>
              </w:rPr>
            </w:pPr>
          </w:p>
        </w:tc>
        <w:tc>
          <w:tcPr>
            <w:tcW w:w="1560" w:type="dxa"/>
            <w:vAlign w:val="bottom"/>
            <w:tcBorders>
              <w:left w:val="single" w:sz="8" w:color="auto"/>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40" w:type="dxa"/>
            <w:vAlign w:val="bottom"/>
            <w:tcBorders>
              <w:bottom w:val="single" w:sz="8" w:color="auto"/>
              <w:right w:val="single" w:sz="8" w:color="auto"/>
            </w:tcBorders>
          </w:tcPr>
          <w:p>
            <w:pPr>
              <w:spacing w:after="0"/>
              <w:rPr>
                <w:sz w:val="12"/>
                <w:szCs w:val="12"/>
                <w:color w:val="auto"/>
              </w:rPr>
            </w:pPr>
          </w:p>
        </w:tc>
        <w:tc>
          <w:tcPr>
            <w:tcW w:w="560" w:type="dxa"/>
            <w:vAlign w:val="bottom"/>
            <w:vMerge w:val="continue"/>
          </w:tcPr>
          <w:p>
            <w:pPr>
              <w:spacing w:after="0"/>
              <w:rPr>
                <w:sz w:val="12"/>
                <w:szCs w:val="12"/>
                <w:color w:val="auto"/>
              </w:rPr>
            </w:pPr>
          </w:p>
        </w:tc>
        <w:tc>
          <w:tcPr>
            <w:tcW w:w="640" w:type="dxa"/>
            <w:vAlign w:val="bottom"/>
            <w:tcBorders>
              <w:left w:val="single" w:sz="8" w:color="auto"/>
              <w:bottom w:val="single" w:sz="8" w:color="auto"/>
            </w:tcBorders>
          </w:tcPr>
          <w:p>
            <w:pPr>
              <w:spacing w:after="0"/>
              <w:rPr>
                <w:sz w:val="12"/>
                <w:szCs w:val="12"/>
                <w:color w:val="auto"/>
              </w:rPr>
            </w:pPr>
          </w:p>
        </w:tc>
        <w:tc>
          <w:tcPr>
            <w:tcW w:w="2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66"/>
        </w:trPr>
        <w:tc>
          <w:tcPr>
            <w:tcW w:w="220" w:type="dxa"/>
            <w:vAlign w:val="bottom"/>
            <w:gridSpan w:val="2"/>
            <w:vMerge w:val="restart"/>
          </w:tcPr>
          <w:p>
            <w:pPr>
              <w:spacing w:after="0" w:line="251" w:lineRule="exact"/>
              <w:rPr>
                <w:sz w:val="20"/>
                <w:szCs w:val="20"/>
                <w:color w:val="auto"/>
              </w:rPr>
            </w:pPr>
            <w:r>
              <w:rPr>
                <w:rFonts w:ascii="MS PGothic" w:cs="MS PGothic" w:eastAsia="MS PGothic" w:hAnsi="MS PGothic"/>
                <w:sz w:val="25"/>
                <w:szCs w:val="25"/>
                <w:color w:val="auto"/>
              </w:rPr>
              <w:t>∎</w:t>
            </w:r>
          </w:p>
        </w:tc>
        <w:tc>
          <w:tcPr>
            <w:tcW w:w="10580" w:type="dxa"/>
            <w:vAlign w:val="bottom"/>
            <w:gridSpan w:val="11"/>
          </w:tcPr>
          <w:p>
            <w:pPr>
              <w:jc w:val="right"/>
              <w:ind w:right="170"/>
              <w:spacing w:after="0"/>
              <w:rPr>
                <w:sz w:val="20"/>
                <w:szCs w:val="20"/>
                <w:color w:val="auto"/>
              </w:rPr>
            </w:pPr>
            <w:r>
              <w:rPr>
                <w:rFonts w:ascii="Arial" w:cs="Arial" w:eastAsia="Arial" w:hAnsi="Arial"/>
                <w:sz w:val="14"/>
                <w:szCs w:val="14"/>
                <w:b w:val="1"/>
                <w:bCs w:val="1"/>
                <w:color w:val="auto"/>
                <w:w w:val="92"/>
              </w:rPr>
              <w:t xml:space="preserve">Note:  </w:t>
            </w:r>
            <w:r>
              <w:rPr>
                <w:rFonts w:ascii="Arial" w:cs="Arial" w:eastAsia="Arial" w:hAnsi="Arial"/>
                <w:sz w:val="14"/>
                <w:szCs w:val="14"/>
                <w:color w:val="auto"/>
                <w:w w:val="92"/>
              </w:rPr>
              <w:t>Please sign exactly as your name or names appear on this Proxy. When shares are held jointly, each holder should sign. When signing as executor, administrator, attorney,</w:t>
            </w:r>
          </w:p>
        </w:tc>
        <w:tc>
          <w:tcPr>
            <w:tcW w:w="260" w:type="dxa"/>
            <w:vAlign w:val="bottom"/>
            <w:vMerge w:val="restart"/>
          </w:tcPr>
          <w:p>
            <w:pPr>
              <w:ind w:left="60"/>
              <w:spacing w:after="0" w:line="251" w:lineRule="exact"/>
              <w:rPr>
                <w:sz w:val="20"/>
                <w:szCs w:val="20"/>
                <w:color w:val="auto"/>
              </w:rPr>
            </w:pPr>
            <w:r>
              <w:rPr>
                <w:rFonts w:ascii="MS PGothic" w:cs="MS PGothic" w:eastAsia="MS PGothic" w:hAnsi="MS PGothic"/>
                <w:sz w:val="25"/>
                <w:szCs w:val="25"/>
                <w:color w:val="auto"/>
              </w:rPr>
              <w:t>∎</w:t>
            </w:r>
          </w:p>
        </w:tc>
        <w:tc>
          <w:tcPr>
            <w:tcW w:w="0" w:type="dxa"/>
            <w:vAlign w:val="bottom"/>
          </w:tcPr>
          <w:p>
            <w:pPr>
              <w:spacing w:after="0"/>
              <w:rPr>
                <w:sz w:val="1"/>
                <w:szCs w:val="1"/>
                <w:color w:val="auto"/>
              </w:rPr>
            </w:pPr>
          </w:p>
        </w:tc>
      </w:tr>
      <w:tr>
        <w:trPr>
          <w:trHeight w:val="149"/>
        </w:trPr>
        <w:tc>
          <w:tcPr>
            <w:tcW w:w="220" w:type="dxa"/>
            <w:vAlign w:val="bottom"/>
            <w:gridSpan w:val="2"/>
            <w:vMerge w:val="continue"/>
          </w:tcPr>
          <w:p>
            <w:pPr>
              <w:spacing w:after="0"/>
              <w:rPr>
                <w:sz w:val="12"/>
                <w:szCs w:val="12"/>
                <w:color w:val="auto"/>
              </w:rPr>
            </w:pPr>
          </w:p>
        </w:tc>
        <w:tc>
          <w:tcPr>
            <w:tcW w:w="10580" w:type="dxa"/>
            <w:vAlign w:val="bottom"/>
            <w:gridSpan w:val="11"/>
          </w:tcPr>
          <w:p>
            <w:pPr>
              <w:jc w:val="right"/>
              <w:ind w:right="30"/>
              <w:spacing w:after="0" w:line="149" w:lineRule="exact"/>
              <w:rPr>
                <w:sz w:val="20"/>
                <w:szCs w:val="20"/>
                <w:color w:val="auto"/>
              </w:rPr>
            </w:pPr>
            <w:r>
              <w:rPr>
                <w:rFonts w:ascii="Arial" w:cs="Arial" w:eastAsia="Arial" w:hAnsi="Arial"/>
                <w:sz w:val="14"/>
                <w:szCs w:val="14"/>
                <w:color w:val="auto"/>
                <w:w w:val="98"/>
              </w:rPr>
              <w:t>trustee or guardian, please give full title as such. If the signer is a corporation, please sign full corporate name by duly authorized officer, giving full title as such. If signer is</w:t>
            </w:r>
          </w:p>
        </w:tc>
        <w:tc>
          <w:tcPr>
            <w:tcW w:w="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220" w:type="dxa"/>
            <w:vAlign w:val="bottom"/>
            <w:gridSpan w:val="2"/>
            <w:vMerge w:val="continue"/>
          </w:tcPr>
          <w:p>
            <w:pPr>
              <w:spacing w:after="0"/>
              <w:rPr>
                <w:sz w:val="18"/>
                <w:szCs w:val="18"/>
                <w:color w:val="auto"/>
              </w:rPr>
            </w:pPr>
          </w:p>
        </w:tc>
        <w:tc>
          <w:tcPr>
            <w:tcW w:w="5440" w:type="dxa"/>
            <w:vAlign w:val="bottom"/>
            <w:gridSpan w:val="5"/>
          </w:tcPr>
          <w:p>
            <w:pPr>
              <w:ind w:left="520"/>
              <w:spacing w:after="0"/>
              <w:rPr>
                <w:sz w:val="20"/>
                <w:szCs w:val="20"/>
                <w:color w:val="auto"/>
              </w:rPr>
            </w:pPr>
            <w:r>
              <w:rPr>
                <w:rFonts w:ascii="Arial" w:cs="Arial" w:eastAsia="Arial" w:hAnsi="Arial"/>
                <w:sz w:val="14"/>
                <w:szCs w:val="14"/>
                <w:color w:val="auto"/>
              </w:rPr>
              <w:t>a partnership, please sign in partnership name by authorized person.</w:t>
            </w:r>
          </w:p>
        </w:tc>
        <w:tc>
          <w:tcPr>
            <w:tcW w:w="16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240" w:top="459" w:right="419" w:bottom="58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lvl w:ilvl="1">
      <w:lvlJc w:val="left"/>
      <w:lvlText w:val="(%2)"/>
      <w:numFmt w:val="decimal"/>
      <w:start w:val="1"/>
    </w:lvl>
  </w:abstractNum>
  <w:abstractNum w:abstractNumId="5">
    <w:nsid w:val="3F2DBA31"/>
    <w:multiLevelType w:val="hybridMultilevel"/>
    <w:lvl w:ilvl="0">
      <w:lvlJc w:val="left"/>
      <w:lvlText w:val="(%1)"/>
      <w:numFmt w:val="decimal"/>
      <w:start w:val="4"/>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1)"/>
      <w:numFmt w:val="decimal"/>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1"/>
      <w:numFmt w:val="decimal"/>
      <w:start w:val="1"/>
    </w:lvl>
    <w:lvl w:ilvl="1">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1)"/>
      <w:numFmt w:val="lowerLetter"/>
      <w:start w:val="1"/>
    </w:lvl>
  </w:abstractNum>
  <w:abstractNum w:abstractNumId="15">
    <w:nsid w:val="6763845E"/>
    <w:multiLevelType w:val="hybridMultilevel"/>
    <w:lvl w:ilvl="0">
      <w:lvlJc w:val="left"/>
      <w:lvlText w:val="(%1)"/>
      <w:numFmt w:val="decimal"/>
      <w:start w:val="1"/>
    </w:lvl>
  </w:abstractNum>
  <w:abstractNum w:abstractNumId="16">
    <w:nsid w:val="75A2A8D4"/>
    <w:multiLevelType w:val="hybridMultilevel"/>
    <w:lvl w:ilvl="0">
      <w:lvlJc w:val="left"/>
      <w:lvlText w:val="(%1)"/>
      <w:numFmt w:val="decimal"/>
      <w:start w:val="5"/>
    </w:lvl>
  </w:abstractNum>
  <w:abstractNum w:abstractNumId="17">
    <w:nsid w:val="8EDBDAB"/>
    <w:multiLevelType w:val="hybridMultilevel"/>
    <w:lvl w:ilvl="0">
      <w:lvlJc w:val="left"/>
      <w:lvlText w:val="(%1)"/>
      <w:numFmt w:val="decimal"/>
      <w:start w:val="1"/>
    </w:lvl>
  </w:abstractNum>
  <w:abstractNum w:abstractNumId="18">
    <w:nsid w:val="79838CB2"/>
    <w:multiLevelType w:val="hybridMultilevel"/>
    <w:lvl w:ilvl="0">
      <w:lvlJc w:val="left"/>
      <w:lvlText w:val="(%1)"/>
      <w:numFmt w:val="decimal"/>
      <w:start w:val="1"/>
    </w:lvl>
  </w:abstractNum>
  <w:abstractNum w:abstractNumId="19">
    <w:nsid w:val="4353D0CD"/>
    <w:multiLevelType w:val="hybridMultilevel"/>
    <w:lvl w:ilvl="0">
      <w:lvlJc w:val="left"/>
      <w:lvlText w:val="(%1)"/>
      <w:numFmt w:val="decimal"/>
      <w:start w:val="1"/>
    </w:lvl>
  </w:abstractNum>
  <w:abstractNum w:abstractNumId="20">
    <w:nsid w:val="B03E0C6"/>
    <w:multiLevelType w:val="hybridMultilevel"/>
    <w:lvl w:ilvl="0">
      <w:lvlJc w:val="left"/>
      <w:lvlText w:val="(%1)"/>
      <w:numFmt w:val="decimal"/>
      <w:start w:val="1"/>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1)"/>
      <w:numFmt w:val="decimal"/>
      <w:start w:val="5"/>
    </w:lvl>
  </w:abstractNum>
  <w:abstractNum w:abstractNumId="23">
    <w:nsid w:val="71F32454"/>
    <w:multiLevelType w:val="hybridMultilevel"/>
    <w:lvl w:ilvl="0">
      <w:lvlJc w:val="left"/>
      <w:lvlText w:val="Ø"/>
      <w:numFmt w:val="bullet"/>
      <w:start w:val="1"/>
    </w:lvl>
  </w:abstractNum>
  <w:abstractNum w:abstractNumId="24">
    <w:nsid w:val="2CA88611"/>
    <w:multiLevelType w:val="hybridMultilevel"/>
    <w:lvl w:ilvl="0">
      <w:lvlJc w:val="left"/>
      <w:lvlText w:val="(%1)"/>
      <w:numFmt w:val="decimal"/>
      <w:start w:val="1"/>
    </w:lvl>
  </w:abstractNum>
  <w:abstractNum w:abstractNumId="25">
    <w:nsid w:val="836C40E"/>
    <w:multiLevelType w:val="hybridMultilevel"/>
    <w:lvl w:ilvl="0">
      <w:lvlJc w:val="left"/>
      <w:lvlText w:val="Ø"/>
      <w:numFmt w:val="bullet"/>
      <w:start w:val="1"/>
    </w:lvl>
  </w:abstractNum>
  <w:abstractNum w:abstractNumId="26">
    <w:nsid w:val="2901D82"/>
    <w:multiLevelType w:val="hybridMultilevel"/>
    <w:lvl w:ilvl="0">
      <w:lvlJc w:val="left"/>
      <w:lvlText w:val="(%1)"/>
      <w:numFmt w:val="decimal"/>
      <w:start w:val="1"/>
    </w:lvl>
  </w:abstractNum>
  <w:abstractNum w:abstractNumId="27">
    <w:nsid w:val="3A95F874"/>
    <w:multiLevelType w:val="hybridMultilevel"/>
    <w:lvl w:ilvl="0">
      <w:lvlJc w:val="left"/>
      <w:lvlText w:val="*"/>
      <w:numFmt w:val="bullet"/>
      <w:start w:val="1"/>
    </w:lvl>
  </w:abstractNum>
  <w:abstractNum w:abstractNumId="28">
    <w:nsid w:val="8138641"/>
    <w:multiLevelType w:val="hybridMultilevel"/>
    <w:lvl w:ilvl="0">
      <w:lvlJc w:val="left"/>
      <w:lvlText w:val="(%1)"/>
      <w:numFmt w:val="decimal"/>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2019-12-03T20:44:51Z</dcterms:created>
  <dcterms:modified xsi:type="dcterms:W3CDTF">2019-12-03T20:44:51Z</dcterms:modified>
</cp:coreProperties>
</file>