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313747503</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31, 2005</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220" w:right="8219" w:hanging="1"/>
        <w:spacing w:after="0" w:line="279" w:lineRule="auto"/>
        <w:tabs>
          <w:tab w:leader="none" w:pos="64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313747503</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5 PAGES</w:t>
      </w:r>
    </w:p>
    <w:p>
      <w:pPr>
        <w:spacing w:after="0" w:line="200" w:lineRule="exact"/>
        <w:rPr>
          <w:sz w:val="24"/>
          <w:szCs w:val="24"/>
          <w:color w:val="auto"/>
        </w:rPr>
      </w:pPr>
    </w:p>
    <w:p>
      <w:pPr>
        <w:sectPr>
          <w:pgSz w:w="11900" w:h="16855" w:orient="portrait"/>
          <w:cols w:equalWidth="0" w:num="3">
            <w:col w:w="1280" w:space="200"/>
            <w:col w:w="3600" w:space="720"/>
            <w:col w:w="4419"/>
          </w:cols>
          <w:pgMar w:left="240" w:top="244" w:right="1440" w:bottom="0" w:gutter="0" w:footer="0" w:header="0"/>
          <w:type w:val="continuous"/>
        </w:sect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 of Reporting Person</w:t>
      </w:r>
    </w:p>
    <w:p>
      <w:pPr>
        <w:spacing w:after="0" w:line="4"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Adelante Capital Management LLC</w:t>
      </w:r>
    </w:p>
    <w:p>
      <w:pPr>
        <w:sectPr>
          <w:pgSz w:w="11900" w:h="16855"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ind w:left="1160" w:right="3999" w:hanging="99"/>
        <w:spacing w:after="0" w:line="235" w:lineRule="auto"/>
        <w:tabs>
          <w:tab w:leader="none" w:pos="158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I.R.S. No. 943219135</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2440" w:hanging="536"/>
        <w:spacing w:after="0" w:line="238" w:lineRule="auto"/>
        <w:tabs>
          <w:tab w:leader="none" w:pos="244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440" w:hanging="536"/>
        <w:spacing w:after="0" w:line="238" w:lineRule="auto"/>
        <w:tabs>
          <w:tab w:leader="none" w:pos="244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2860"/>
        <w:spacing w:after="0" w:line="238" w:lineRule="auto"/>
        <w:rPr>
          <w:sz w:val="20"/>
          <w:szCs w:val="20"/>
          <w:color w:val="auto"/>
        </w:rPr>
      </w:pPr>
      <w:r>
        <w:rPr>
          <w:rFonts w:ascii="Courier New" w:cs="Courier New" w:eastAsia="Courier New" w:hAnsi="Courier New"/>
          <w:sz w:val="18"/>
          <w:szCs w:val="18"/>
          <w:color w:val="auto"/>
        </w:rPr>
        <w:t>None</w:t>
      </w: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2860"/>
        <w:spacing w:after="0" w:line="237" w:lineRule="auto"/>
        <w:rPr>
          <w:sz w:val="20"/>
          <w:szCs w:val="20"/>
          <w:color w:val="auto"/>
        </w:rPr>
      </w:pPr>
      <w:r>
        <w:rPr>
          <w:rFonts w:ascii="Courier New" w:cs="Courier New" w:eastAsia="Courier New" w:hAnsi="Courier New"/>
          <w:sz w:val="18"/>
          <w:szCs w:val="18"/>
          <w:color w:val="auto"/>
        </w:rPr>
        <w:t>None</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2860"/>
        <w:spacing w:after="0"/>
        <w:rPr>
          <w:sz w:val="20"/>
          <w:szCs w:val="20"/>
          <w:color w:val="auto"/>
        </w:rPr>
      </w:pPr>
      <w:r>
        <w:rPr>
          <w:rFonts w:ascii="Courier New" w:cs="Courier New" w:eastAsia="Courier New" w:hAnsi="Courier New"/>
          <w:sz w:val="18"/>
          <w:szCs w:val="18"/>
          <w:color w:val="auto"/>
        </w:rPr>
        <w:t>324,599</w:t>
      </w:r>
    </w:p>
    <w:p>
      <w:pPr>
        <w:spacing w:after="0" w:line="206" w:lineRule="exact"/>
        <w:rPr>
          <w:sz w:val="24"/>
          <w:szCs w:val="24"/>
          <w:color w:val="auto"/>
        </w:rPr>
      </w:pPr>
    </w:p>
    <w:p>
      <w:pPr>
        <w:ind w:left="2860" w:right="7159" w:hanging="2852"/>
        <w:spacing w:after="0" w:line="265" w:lineRule="auto"/>
        <w:tabs>
          <w:tab w:leader="none" w:pos="5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0</w:t>
      </w:r>
    </w:p>
    <w:p>
      <w:pPr>
        <w:spacing w:after="0" w:line="200" w:lineRule="exact"/>
        <w:rPr>
          <w:rFonts w:ascii="Courier New" w:cs="Courier New" w:eastAsia="Courier New" w:hAnsi="Courier New"/>
          <w:sz w:val="16"/>
          <w:szCs w:val="16"/>
          <w:color w:val="auto"/>
        </w:rPr>
      </w:pPr>
    </w:p>
    <w:p>
      <w:pPr>
        <w:spacing w:after="0" w:line="207" w:lineRule="exact"/>
        <w:rPr>
          <w:rFonts w:ascii="Courier New" w:cs="Courier New" w:eastAsia="Courier New" w:hAnsi="Courier New"/>
          <w:sz w:val="16"/>
          <w:szCs w:val="16"/>
          <w:color w:val="auto"/>
        </w:rPr>
      </w:pPr>
    </w:p>
    <w:p>
      <w:pPr>
        <w:ind w:left="2860" w:right="3359" w:hanging="2852"/>
        <w:spacing w:after="0" w:line="235" w:lineRule="auto"/>
        <w:tabs>
          <w:tab w:leader="none" w:pos="5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324,599</w:t>
      </w:r>
    </w:p>
    <w:p>
      <w:pPr>
        <w:spacing w:after="0" w:line="20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w:t>
      </w:r>
    </w:p>
    <w:p>
      <w:pPr>
        <w:ind w:left="29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sectPr>
          <w:pgSz w:w="11900" w:h="16855" w:orient="portrait"/>
          <w:cols w:equalWidth="0" w:num="1">
            <w:col w:w="10219"/>
          </w:cols>
          <w:pgMar w:left="240" w:top="244" w:right="1440" w:bottom="0" w:gutter="0" w:footer="0" w:header="0"/>
          <w:type w:val="continuous"/>
        </w:sectPr>
      </w:pPr>
    </w:p>
    <w:bookmarkStart w:id="1" w:name="page2"/>
    <w:bookmarkEnd w:id="1"/>
    <w:p>
      <w:pPr>
        <w:ind w:left="2960"/>
        <w:spacing w:after="0"/>
        <w:rPr>
          <w:sz w:val="20"/>
          <w:szCs w:val="20"/>
          <w:color w:val="auto"/>
        </w:rPr>
      </w:pPr>
      <w:r>
        <w:rPr>
          <w:rFonts w:ascii="Courier New" w:cs="Courier New" w:eastAsia="Courier New" w:hAnsi="Courier New"/>
          <w:sz w:val="18"/>
          <w:szCs w:val="18"/>
          <w:color w:val="auto"/>
        </w:rPr>
        <w:t>6.01%</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CONTINUED ON NEXT PAGE</w:t>
      </w:r>
    </w:p>
    <w:p>
      <w:pPr>
        <w:ind w:left="2320"/>
        <w:spacing w:after="0" w:line="238" w:lineRule="auto"/>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 w:leader="none" w:pos="1980" w:val="left"/>
          <w:tab w:leader="none" w:pos="37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Federal Realty Investment Trust, Inc.</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1626 East Jefferson Street; Rockville, MD  20852-4041</w:t>
      </w:r>
    </w:p>
    <w:p>
      <w:pPr>
        <w:spacing w:after="0" w:line="202" w:lineRule="exact"/>
        <w:rPr>
          <w:sz w:val="20"/>
          <w:szCs w:val="20"/>
          <w:color w:val="auto"/>
        </w:rPr>
      </w:pPr>
    </w:p>
    <w:p>
      <w:pPr>
        <w:spacing w:after="0"/>
        <w:tabs>
          <w:tab w:leader="none" w:pos="1040" w:val="left"/>
          <w:tab w:leader="none" w:pos="19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Adelante Capital Management LLC</w:t>
      </w:r>
    </w:p>
    <w:p>
      <w:pPr>
        <w:spacing w:after="0" w:line="201"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Principal Business Office or, if none,</w:t>
      </w:r>
    </w:p>
    <w:p>
      <w:pPr>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555 12th Street, Suite 2100, Oakland, CA 94607</w:t>
      </w:r>
    </w:p>
    <w:p>
      <w:pPr>
        <w:spacing w:after="0" w:line="201" w:lineRule="exact"/>
        <w:rPr>
          <w:sz w:val="20"/>
          <w:szCs w:val="20"/>
          <w:color w:val="auto"/>
        </w:rPr>
      </w:pPr>
    </w:p>
    <w:p>
      <w:pPr>
        <w:ind w:left="2000" w:hanging="939"/>
        <w:spacing w:after="0"/>
        <w:tabs>
          <w:tab w:leader="none" w:pos="20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w:t>
      </w:r>
    </w:p>
    <w:p>
      <w:pPr>
        <w:spacing w:after="0" w:line="206" w:lineRule="exact"/>
        <w:rPr>
          <w:rFonts w:ascii="Courier New" w:cs="Courier New" w:eastAsia="Courier New" w:hAnsi="Courier New"/>
          <w:sz w:val="18"/>
          <w:szCs w:val="18"/>
          <w:color w:val="auto"/>
        </w:rPr>
      </w:pPr>
    </w:p>
    <w:p>
      <w:pPr>
        <w:ind w:left="2000" w:right="2519" w:hanging="939"/>
        <w:spacing w:after="0" w:line="235" w:lineRule="auto"/>
        <w:tabs>
          <w:tab w:leader="none" w:pos="20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Preferred Series B 8.5%, par value $25 per share</w:t>
      </w:r>
    </w:p>
    <w:p>
      <w:pPr>
        <w:spacing w:after="0" w:line="202" w:lineRule="exact"/>
        <w:rPr>
          <w:rFonts w:ascii="Courier New" w:cs="Courier New" w:eastAsia="Courier New" w:hAnsi="Courier New"/>
          <w:sz w:val="18"/>
          <w:szCs w:val="18"/>
          <w:color w:val="auto"/>
        </w:rPr>
      </w:pPr>
    </w:p>
    <w:p>
      <w:pPr>
        <w:ind w:left="2000" w:hanging="939"/>
        <w:spacing w:after="0"/>
        <w:tabs>
          <w:tab w:leader="none" w:pos="20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313747503</w:t>
      </w:r>
    </w:p>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check whether the person filing is a:</w:t>
      </w:r>
    </w:p>
    <w:p>
      <w:pPr>
        <w:spacing w:after="0" w:line="203" w:lineRule="exact"/>
        <w:rPr>
          <w:sz w:val="20"/>
          <w:szCs w:val="20"/>
          <w:color w:val="auto"/>
        </w:rPr>
      </w:pPr>
    </w:p>
    <w:p>
      <w:pPr>
        <w:ind w:left="1480" w:hanging="419"/>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1480" w:hanging="419"/>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4"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w:t>
      </w:r>
    </w:p>
    <w:p>
      <w:pPr>
        <w:spacing w:after="0" w:line="21" w:lineRule="exact"/>
        <w:rPr>
          <w:rFonts w:ascii="Courier New" w:cs="Courier New" w:eastAsia="Courier New" w:hAnsi="Courier New"/>
          <w:sz w:val="16"/>
          <w:szCs w:val="16"/>
          <w:color w:val="auto"/>
        </w:rPr>
      </w:pPr>
    </w:p>
    <w:p>
      <w:pPr>
        <w:ind w:left="1900" w:right="2839" w:hanging="839"/>
        <w:spacing w:after="0" w:line="235" w:lineRule="auto"/>
        <w:tabs>
          <w:tab w:leader="none" w:pos="147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5" w:lineRule="exact"/>
        <w:rPr>
          <w:rFonts w:ascii="Courier New" w:cs="Courier New" w:eastAsia="Courier New" w:hAnsi="Courier New"/>
          <w:sz w:val="18"/>
          <w:szCs w:val="18"/>
          <w:color w:val="auto"/>
        </w:rPr>
      </w:pPr>
    </w:p>
    <w:p>
      <w:pPr>
        <w:ind w:left="1900" w:right="3039" w:hanging="839"/>
        <w:spacing w:after="0" w:line="235" w:lineRule="auto"/>
        <w:tabs>
          <w:tab w:leader="none" w:pos="147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Investment Advisors Act of 1940</w:t>
      </w:r>
    </w:p>
    <w:p>
      <w:pPr>
        <w:spacing w:after="0" w:line="5" w:lineRule="exact"/>
        <w:rPr>
          <w:rFonts w:ascii="Courier New" w:cs="Courier New" w:eastAsia="Courier New" w:hAnsi="Courier New"/>
          <w:sz w:val="18"/>
          <w:szCs w:val="18"/>
          <w:color w:val="auto"/>
        </w:rPr>
      </w:pPr>
    </w:p>
    <w:p>
      <w:pPr>
        <w:ind w:left="1900" w:right="2099" w:hanging="839"/>
        <w:spacing w:after="0" w:line="268" w:lineRule="auto"/>
        <w:tabs>
          <w:tab w:leader="none" w:pos="147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 Retirement Income Security Act of 1974 or Endowment Fund; see Sec. 240.13d-1(b)(1)(ii)(F)</w:t>
      </w:r>
    </w:p>
    <w:p>
      <w:pPr>
        <w:ind w:left="1480" w:hanging="419"/>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Sec.</w:t>
      </w:r>
    </w:p>
    <w:p>
      <w:pPr>
        <w:ind w:left="1900"/>
        <w:spacing w:after="0"/>
        <w:rPr>
          <w:sz w:val="20"/>
          <w:szCs w:val="20"/>
          <w:color w:val="auto"/>
        </w:rPr>
      </w:pPr>
      <w:r>
        <w:rPr>
          <w:rFonts w:ascii="Courier New" w:cs="Courier New" w:eastAsia="Courier New" w:hAnsi="Courier New"/>
          <w:sz w:val="18"/>
          <w:szCs w:val="18"/>
          <w:color w:val="auto"/>
        </w:rPr>
        <w:t>240.13d-1(b)(ii)(G) (Note: See Item 7)</w:t>
      </w:r>
    </w:p>
    <w:p>
      <w:pPr>
        <w:ind w:left="1060"/>
        <w:spacing w:after="0" w:line="237" w:lineRule="auto"/>
        <w:rPr>
          <w:sz w:val="20"/>
          <w:szCs w:val="20"/>
          <w:color w:val="auto"/>
        </w:rPr>
      </w:pPr>
      <w:r>
        <w:rPr>
          <w:rFonts w:ascii="Courier New" w:cs="Courier New" w:eastAsia="Courier New" w:hAnsi="Courier New"/>
          <w:sz w:val="18"/>
          <w:szCs w:val="18"/>
          <w:color w:val="auto"/>
        </w:rPr>
        <w:t>(h) [ ] Group, in accordance with Sec. 240.13d-1(b)(1)(ii)(H)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If the percent of class owned, as of December 31 of the year covered by the statement, or as of the last day of any month described in Rule 13d-1 (b)</w:t>
      </w:r>
    </w:p>
    <w:p>
      <w:pPr>
        <w:ind w:right="2199"/>
        <w:spacing w:after="0" w:line="290" w:lineRule="auto"/>
        <w:rPr>
          <w:sz w:val="20"/>
          <w:szCs w:val="20"/>
          <w:color w:val="auto"/>
        </w:rPr>
      </w:pPr>
      <w:r>
        <w:rPr>
          <w:rFonts w:ascii="Courier New" w:cs="Courier New" w:eastAsia="Courier New" w:hAnsi="Courier New"/>
          <w:sz w:val="16"/>
          <w:szCs w:val="16"/>
          <w:color w:val="auto"/>
        </w:rPr>
        <w:t>(2), if applicable, exceeds five percent, provide the following information as of that date and identify those shares which there is a right to acquire.</w:t>
      </w:r>
    </w:p>
    <w:p>
      <w:pPr>
        <w:spacing w:after="0" w:line="170" w:lineRule="exact"/>
        <w:rPr>
          <w:sz w:val="20"/>
          <w:szCs w:val="20"/>
          <w:color w:val="auto"/>
        </w:rPr>
      </w:pPr>
    </w:p>
    <w:p>
      <w:pPr>
        <w:ind w:left="3380" w:right="5999" w:hanging="2319"/>
        <w:spacing w:after="0" w:line="268" w:lineRule="auto"/>
        <w:tabs>
          <w:tab w:leader="none" w:pos="158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324,599</w:t>
      </w:r>
    </w:p>
    <w:p>
      <w:pPr>
        <w:ind w:left="1580" w:hanging="519"/>
        <w:spacing w:after="0" w:line="238" w:lineRule="auto"/>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3380"/>
        <w:spacing w:after="0"/>
        <w:rPr>
          <w:sz w:val="20"/>
          <w:szCs w:val="20"/>
          <w:color w:val="auto"/>
        </w:rPr>
      </w:pPr>
      <w:r>
        <w:rPr>
          <w:rFonts w:ascii="Courier New" w:cs="Courier New" w:eastAsia="Courier New" w:hAnsi="Courier New"/>
          <w:sz w:val="18"/>
          <w:szCs w:val="18"/>
          <w:color w:val="auto"/>
        </w:rPr>
        <w:t>6.01%</w:t>
      </w:r>
    </w:p>
    <w:p>
      <w:pPr>
        <w:ind w:left="1580" w:hanging="519"/>
        <w:spacing w:after="0" w:line="237"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3380" w:right="3779" w:hanging="1792"/>
        <w:spacing w:after="0" w:line="235" w:lineRule="auto"/>
        <w:tabs>
          <w:tab w:leader="none" w:pos="222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5" w:lineRule="exact"/>
        <w:rPr>
          <w:rFonts w:ascii="Courier New" w:cs="Courier New" w:eastAsia="Courier New" w:hAnsi="Courier New"/>
          <w:sz w:val="18"/>
          <w:szCs w:val="18"/>
          <w:color w:val="auto"/>
        </w:rPr>
      </w:pPr>
    </w:p>
    <w:p>
      <w:pPr>
        <w:ind w:left="3380" w:right="3479" w:hanging="1792"/>
        <w:spacing w:after="0" w:line="235" w:lineRule="auto"/>
        <w:tabs>
          <w:tab w:leader="none" w:pos="222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voted None</w:t>
      </w:r>
    </w:p>
    <w:p>
      <w:pPr>
        <w:spacing w:after="0" w:line="5" w:lineRule="exact"/>
        <w:rPr>
          <w:rFonts w:ascii="Courier New" w:cs="Courier New" w:eastAsia="Courier New" w:hAnsi="Courier New"/>
          <w:sz w:val="18"/>
          <w:szCs w:val="18"/>
          <w:color w:val="auto"/>
        </w:rPr>
      </w:pPr>
    </w:p>
    <w:p>
      <w:pPr>
        <w:ind w:left="3380" w:right="2419" w:hanging="1792"/>
        <w:spacing w:after="0" w:line="235" w:lineRule="auto"/>
        <w:tabs>
          <w:tab w:leader="none" w:pos="222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324,599</w:t>
      </w:r>
    </w:p>
    <w:p>
      <w:pPr>
        <w:spacing w:after="0" w:line="5" w:lineRule="exact"/>
        <w:rPr>
          <w:rFonts w:ascii="Courier New" w:cs="Courier New" w:eastAsia="Courier New" w:hAnsi="Courier New"/>
          <w:sz w:val="18"/>
          <w:szCs w:val="18"/>
          <w:color w:val="auto"/>
        </w:rPr>
      </w:pPr>
    </w:p>
    <w:p>
      <w:pPr>
        <w:ind w:left="3480" w:right="2199" w:hanging="1892"/>
        <w:spacing w:after="0" w:line="235" w:lineRule="auto"/>
        <w:tabs>
          <w:tab w:leader="none" w:pos="2215"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ectPr>
          <w:pgSz w:w="11900" w:h="16838" w:orient="portrait"/>
          <w:cols w:equalWidth="0" w:num="1">
            <w:col w:w="10219"/>
          </w:cols>
          <w:pgMar w:left="240" w:top="136" w:right="1440" w:bottom="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All shares owned on behalf of our clients</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PAGE 4 OF 5 PAGES</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If a parent holding company has filed this schedule, pursuant to Rule 13d-1(b)(ii) (G), so indicated under Item 3 (g) and attach an exhibit stating the identity and the Item 3 classification of the relevant subsidiary. If a parent holding company has filed this schedule pursuant to Rule 13d-1 (c), attach an exhibit stating the identification of the relevant subsidiary.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If a group has filed this schedule pursuant to Rule 13d-1(b) (ii) (H), so Indicate under item 3 (h) and attach an exhibit stating the identity and Item 3 classification of each member of the group. If a group has filed this schedule pursuant to Rule 13d-1 (c) attach an exhibit stating the identity of each member of the group.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certification shall be included if the statement is filed</w:t>
      </w:r>
    </w:p>
    <w:p>
      <w:pPr>
        <w:spacing w:after="0" w:line="238" w:lineRule="auto"/>
        <w:rPr>
          <w:sz w:val="20"/>
          <w:szCs w:val="20"/>
          <w:color w:val="auto"/>
        </w:rPr>
      </w:pPr>
      <w:r>
        <w:rPr>
          <w:rFonts w:ascii="Courier New" w:cs="Courier New" w:eastAsia="Courier New" w:hAnsi="Courier New"/>
          <w:sz w:val="18"/>
          <w:szCs w:val="18"/>
          <w:color w:val="auto"/>
        </w:rPr>
        <w:t>Pursuant to Rule 13d-1(b):</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5 OF 5 PAGES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 as of December 31, 2005.</w:t>
      </w: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ADELANTE CAPITAL MANAGEMENT LLC</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Mark A. Hoopes</w:t>
      </w:r>
    </w:p>
    <w:p>
      <w:pPr>
        <w:ind w:left="3800"/>
        <w:spacing w:after="0" w:line="238" w:lineRule="auto"/>
        <w:rPr>
          <w:sz w:val="20"/>
          <w:szCs w:val="20"/>
          <w:color w:val="auto"/>
        </w:rPr>
      </w:pPr>
      <w:r>
        <w:rPr>
          <w:rFonts w:ascii="Courier New" w:cs="Courier New" w:eastAsia="Courier New" w:hAnsi="Courier New"/>
          <w:sz w:val="18"/>
          <w:szCs w:val="18"/>
          <w:color w:val="auto"/>
        </w:rPr>
        <w:t>Name: Mark A. Hoopes</w:t>
      </w:r>
    </w:p>
    <w:p>
      <w:pPr>
        <w:sectPr>
          <w:pgSz w:w="11900" w:h="16838" w:orient="portrait"/>
          <w:cols w:equalWidth="0" w:num="1">
            <w:col w:w="10219"/>
          </w:cols>
          <w:pgMar w:left="240" w:top="339" w:right="1440" w:bottom="0" w:gutter="0" w:footer="0" w:header="0"/>
        </w:sectPr>
      </w:pPr>
    </w:p>
    <w:bookmarkStart w:id="3" w:name="page4"/>
    <w:bookmarkEnd w:id="3"/>
    <w:p>
      <w:pPr>
        <w:ind w:left="2600"/>
        <w:spacing w:after="0"/>
        <w:rPr>
          <w:sz w:val="20"/>
          <w:szCs w:val="20"/>
          <w:color w:val="auto"/>
        </w:rPr>
      </w:pPr>
      <w:r>
        <w:rPr>
          <w:rFonts w:ascii="Courier New" w:cs="Courier New" w:eastAsia="Courier New" w:hAnsi="Courier New"/>
          <w:sz w:val="16"/>
          <w:szCs w:val="16"/>
          <w:color w:val="auto"/>
        </w:rPr>
        <w:t>Title: Compliance Officer</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upperLetter"/>
      <w:start w:val="24"/>
    </w:lvl>
  </w:abstractNum>
  <w:abstractNum w:abstractNumId="3">
    <w:nsid w:val="7545E146"/>
    <w:multiLevelType w:val="hybridMultilevel"/>
    <w:lvl w:ilvl="0">
      <w:lvlJc w:val="left"/>
      <w:lvlText w:val="%1"/>
      <w:numFmt w:val="decimal"/>
      <w:start w:val="1"/>
    </w:lvl>
    <w:lvl w:ilvl="1">
      <w:lvlJc w:val="left"/>
      <w:lvlText w:val="S.%2."/>
      <w:numFmt w:val="upperLetter"/>
      <w:start w:val="19"/>
    </w:lvl>
    <w:lvl w:ilvl="2">
      <w:lvlJc w:val="left"/>
      <w:lvlText w:val="%3"/>
      <w:numFmt w:val="lowerLetter"/>
      <w:start w:val="1"/>
    </w:lvl>
  </w:abstractNum>
  <w:abstractNum w:abstractNumId="4">
    <w:nsid w:val="515F007C"/>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1"/>
    </w:lvl>
  </w:abstractNum>
  <w:abstractNum w:abstractNumId="5">
    <w:nsid w:val="5BD062C2"/>
    <w:multiLevelType w:val="hybridMultilevel"/>
    <w:lvl w:ilvl="0">
      <w:lvlJc w:val="left"/>
      <w:lvlText w:val="%1."/>
      <w:numFmt w:val="decimal"/>
      <w:start w:val="8"/>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lowerLetter"/>
      <w:start w:val="3"/>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2019-12-13T00:51:18Z</dcterms:created>
  <dcterms:modified xsi:type="dcterms:W3CDTF">2019-12-13T00:51:18Z</dcterms:modified>
</cp:coreProperties>
</file>