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February 16, 2005, Federal Realty Investment Trust (the “Trust”) filed a Form 8-K, dated February 16, 2005 for the purpose of furnishing supplemental data pertaining to its operations, as well as a press release, relating to its financial results for the quarter and year ended December 31, 2004. The supplemental data and press release were furnished as Exhibit 99.1 to that Form 8-K.</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Trust is amending the February 16 Form 8-K to correct certain typographical errors contained in the “Summary of Top 25 Tenants – December 31, 2004” that was part of Item 11 of the Supplemental Information included in Exhibit 99.1 of that Form 8-K. Specifically, the corrected information contained in this Form 8-K/A relates to certain of the statistical information about Retail Ventures, Inc. and MTS, Inc. that was presented in the columns for tenant gross leaseable area (155,000 square feet and 91,000 square feet, respectively) percentage of total gross leaseable area (0.92% and 0.54%, respectively) and the number of stores leased by those tenants (5 stores each). In accordance with applicable rules of the Securities and Exchange Commission, the Trust is refurnishing Exhibit 99.1 in its entirety.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information contained in this Form 8-K/A, including the exhibit hereto, is being furnished under Item 2.02 – Results of Operations and Financial Condition, and shall not be deemed “filed” for any purpose, including for the purposes of Section 18 of the Securities Exchange Act of 1934, as amended (the “Exchange Act”), or otherwise subject to the liabilities of that Section. The information in this Form 8-K/A shall not be deemed incorporated by reference into any filing under the Securities Act of 1933, as amended, or under the Exchange Act, regardless of any general incorporation language in such filing.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portfolio information at December 31, 2004 (including press release dated February 16, 2005)</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16, 2005</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3"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69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2"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December 31, 2004</w:t>
      </w:r>
    </w:p>
    <w:p>
      <w:pPr>
        <w:spacing w:after="0" w:line="3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284"/>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358"/>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89"/>
              </w:rPr>
              <w:t>Supplemental Information</w:t>
            </w:r>
          </w:p>
        </w:tc>
        <w:tc>
          <w:tcPr>
            <w:tcW w:w="2440" w:type="dxa"/>
            <w:vAlign w:val="bottom"/>
          </w:tcPr>
          <w:p>
            <w:pPr>
              <w:spacing w:after="0"/>
              <w:rPr>
                <w:sz w:val="24"/>
                <w:szCs w:val="24"/>
                <w:color w:val="auto"/>
              </w:rPr>
            </w:pPr>
          </w:p>
        </w:tc>
      </w:tr>
      <w:tr>
        <w:trPr>
          <w:trHeight w:val="222"/>
        </w:trPr>
        <w:tc>
          <w:tcPr>
            <w:tcW w:w="8980" w:type="dxa"/>
            <w:vAlign w:val="bottom"/>
          </w:tcPr>
          <w:p>
            <w:pPr>
              <w:jc w:val="center"/>
              <w:ind w:left="2352"/>
              <w:spacing w:after="0"/>
              <w:rPr>
                <w:sz w:val="20"/>
                <w:szCs w:val="20"/>
                <w:color w:val="auto"/>
              </w:rPr>
            </w:pPr>
            <w:r>
              <w:rPr>
                <w:rFonts w:ascii="Arial" w:cs="Arial" w:eastAsia="Arial" w:hAnsi="Arial"/>
                <w:sz w:val="18"/>
                <w:szCs w:val="18"/>
                <w:color w:val="auto"/>
                <w:w w:val="87"/>
              </w:rPr>
              <w:t>December 31, 2004</w:t>
            </w:r>
          </w:p>
        </w:tc>
        <w:tc>
          <w:tcPr>
            <w:tcW w:w="2440" w:type="dxa"/>
            <w:vAlign w:val="bottom"/>
          </w:tcPr>
          <w:p>
            <w:pPr>
              <w:spacing w:after="0"/>
              <w:rPr>
                <w:sz w:val="19"/>
                <w:szCs w:val="19"/>
                <w:color w:val="auto"/>
              </w:rPr>
            </w:pPr>
          </w:p>
        </w:tc>
      </w:tr>
      <w:tr>
        <w:trPr>
          <w:trHeight w:val="365"/>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365"/>
        </w:trPr>
        <w:tc>
          <w:tcPr>
            <w:tcW w:w="8980" w:type="dxa"/>
            <w:vAlign w:val="bottom"/>
          </w:tcPr>
          <w:p>
            <w:pPr>
              <w:spacing w:after="0"/>
              <w:rPr>
                <w:sz w:val="20"/>
                <w:szCs w:val="20"/>
                <w:color w:val="auto"/>
              </w:rPr>
            </w:pPr>
            <w:r>
              <w:rPr>
                <w:rFonts w:ascii="Arial" w:cs="Arial" w:eastAsia="Arial" w:hAnsi="Arial"/>
                <w:sz w:val="18"/>
                <w:szCs w:val="18"/>
                <w:color w:val="auto"/>
              </w:rPr>
              <w:t>1.   Fourth Quarter and Year-end 2004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920"/>
              <w:spacing w:after="0"/>
              <w:rPr>
                <w:sz w:val="20"/>
                <w:szCs w:val="20"/>
                <w:color w:val="auto"/>
              </w:rPr>
            </w:pPr>
            <w:r>
              <w:rPr>
                <w:rFonts w:ascii="Arial" w:cs="Arial" w:eastAsia="Arial" w:hAnsi="Arial"/>
                <w:sz w:val="18"/>
                <w:szCs w:val="18"/>
                <w:color w:val="auto"/>
              </w:rPr>
              <w:t>Summarized Operating Results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92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92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80" w:type="dxa"/>
            <w:vAlign w:val="bottom"/>
          </w:tcPr>
          <w:p>
            <w:pPr>
              <w:ind w:left="920"/>
              <w:spacing w:after="0"/>
              <w:rPr>
                <w:sz w:val="20"/>
                <w:szCs w:val="20"/>
                <w:color w:val="auto"/>
              </w:rPr>
            </w:pPr>
            <w:r>
              <w:rPr>
                <w:rFonts w:ascii="Arial" w:cs="Arial" w:eastAsia="Arial" w:hAnsi="Arial"/>
                <w:sz w:val="18"/>
                <w:szCs w:val="18"/>
                <w:color w:val="auto"/>
              </w:rPr>
              <w:t>Market Data / Capital Availability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980" w:type="dxa"/>
            <w:vAlign w:val="bottom"/>
          </w:tcPr>
          <w:p>
            <w:pPr>
              <w:ind w:left="92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0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7700" w:type="dxa"/>
            <w:vAlign w:val="bottom"/>
          </w:tcPr>
          <w:p>
            <w:pPr>
              <w:ind w:left="680"/>
              <w:spacing w:after="0"/>
              <w:rPr>
                <w:sz w:val="20"/>
                <w:szCs w:val="20"/>
                <w:color w:val="auto"/>
              </w:rPr>
            </w:pPr>
            <w:r>
              <w:rPr>
                <w:rFonts w:ascii="Arial" w:cs="Arial" w:eastAsia="Arial" w:hAnsi="Arial"/>
                <w:sz w:val="18"/>
                <w:szCs w:val="18"/>
                <w:color w:val="auto"/>
              </w:rPr>
              <w:t>Summary of Outstanding Debt</w:t>
            </w:r>
          </w:p>
        </w:tc>
        <w:tc>
          <w:tcPr>
            <w:tcW w:w="3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40" w:type="dxa"/>
            <w:vAlign w:val="bottom"/>
          </w:tcPr>
          <w:p>
            <w:pPr>
              <w:spacing w:after="0"/>
              <w:rPr>
                <w:sz w:val="19"/>
                <w:szCs w:val="19"/>
                <w:color w:val="auto"/>
              </w:rPr>
            </w:pPr>
          </w:p>
        </w:tc>
        <w:tc>
          <w:tcPr>
            <w:tcW w:w="7700" w:type="dxa"/>
            <w:vAlign w:val="bottom"/>
          </w:tcPr>
          <w:p>
            <w:pPr>
              <w:ind w:left="680"/>
              <w:spacing w:after="0"/>
              <w:rPr>
                <w:sz w:val="20"/>
                <w:szCs w:val="20"/>
                <w:color w:val="auto"/>
              </w:rPr>
            </w:pPr>
            <w:r>
              <w:rPr>
                <w:rFonts w:ascii="Arial" w:cs="Arial" w:eastAsia="Arial" w:hAnsi="Arial"/>
                <w:sz w:val="18"/>
                <w:szCs w:val="18"/>
                <w:color w:val="auto"/>
              </w:rPr>
              <w:t>Summary of Debt Maturities</w:t>
            </w:r>
          </w:p>
        </w:tc>
        <w:tc>
          <w:tcPr>
            <w:tcW w:w="3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7700" w:type="dxa"/>
            <w:vAlign w:val="bottom"/>
          </w:tcPr>
          <w:p>
            <w:pPr>
              <w:ind w:left="100"/>
              <w:spacing w:after="0"/>
              <w:rPr>
                <w:sz w:val="20"/>
                <w:szCs w:val="20"/>
                <w:color w:val="auto"/>
              </w:rPr>
            </w:pPr>
            <w:r>
              <w:rPr>
                <w:rFonts w:ascii="Arial" w:cs="Arial" w:eastAsia="Arial" w:hAnsi="Arial"/>
                <w:sz w:val="18"/>
                <w:szCs w:val="18"/>
                <w:color w:val="auto"/>
              </w:rPr>
              <w:t>Summary of Redevelopment Opportunities and Santana Row</w:t>
            </w:r>
          </w:p>
        </w:tc>
        <w:tc>
          <w:tcPr>
            <w:tcW w:w="3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7700" w:type="dxa"/>
            <w:vAlign w:val="bottom"/>
          </w:tcPr>
          <w:p>
            <w:pPr>
              <w:ind w:left="100"/>
              <w:spacing w:after="0"/>
              <w:rPr>
                <w:sz w:val="20"/>
                <w:szCs w:val="20"/>
                <w:color w:val="auto"/>
              </w:rPr>
            </w:pPr>
            <w:r>
              <w:rPr>
                <w:rFonts w:ascii="Arial" w:cs="Arial" w:eastAsia="Arial" w:hAnsi="Arial"/>
                <w:sz w:val="18"/>
                <w:szCs w:val="18"/>
                <w:color w:val="auto"/>
              </w:rPr>
              <w:t>2004 Acquisitions and Dispositions</w:t>
            </w:r>
          </w:p>
        </w:tc>
        <w:tc>
          <w:tcPr>
            <w:tcW w:w="3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6.</w:t>
            </w:r>
          </w:p>
        </w:tc>
        <w:tc>
          <w:tcPr>
            <w:tcW w:w="7700" w:type="dxa"/>
            <w:vAlign w:val="bottom"/>
          </w:tcPr>
          <w:p>
            <w:pPr>
              <w:ind w:left="100"/>
              <w:spacing w:after="0"/>
              <w:rPr>
                <w:sz w:val="20"/>
                <w:szCs w:val="20"/>
                <w:color w:val="auto"/>
              </w:rPr>
            </w:pPr>
            <w:r>
              <w:rPr>
                <w:rFonts w:ascii="Arial" w:cs="Arial" w:eastAsia="Arial" w:hAnsi="Arial"/>
                <w:sz w:val="18"/>
                <w:szCs w:val="18"/>
                <w:color w:val="auto"/>
              </w:rPr>
              <w:t>Real Estate Status Report</w:t>
            </w:r>
          </w:p>
        </w:tc>
        <w:tc>
          <w:tcPr>
            <w:tcW w:w="3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7.</w:t>
            </w:r>
          </w:p>
        </w:tc>
        <w:tc>
          <w:tcPr>
            <w:tcW w:w="7700" w:type="dxa"/>
            <w:vAlign w:val="bottom"/>
          </w:tcPr>
          <w:p>
            <w:pPr>
              <w:ind w:left="100"/>
              <w:spacing w:after="0"/>
              <w:rPr>
                <w:sz w:val="20"/>
                <w:szCs w:val="20"/>
                <w:color w:val="auto"/>
              </w:rPr>
            </w:pPr>
            <w:r>
              <w:rPr>
                <w:rFonts w:ascii="Arial" w:cs="Arial" w:eastAsia="Arial" w:hAnsi="Arial"/>
                <w:sz w:val="18"/>
                <w:szCs w:val="18"/>
                <w:color w:val="auto"/>
              </w:rPr>
              <w:t>Property Operating Income by Metropolitan Area</w:t>
            </w:r>
          </w:p>
        </w:tc>
        <w:tc>
          <w:tcPr>
            <w:tcW w:w="34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Leasing Summary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Retail Leasing Summary – Comparable</w:t>
            </w:r>
          </w:p>
        </w:tc>
        <w:tc>
          <w:tcPr>
            <w:tcW w:w="3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280" w:type="dxa"/>
            <w:vAlign w:val="bottom"/>
          </w:tcPr>
          <w:p>
            <w:pPr>
              <w:spacing w:after="0"/>
              <w:rPr>
                <w:sz w:val="19"/>
                <w:szCs w:val="19"/>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Retail Leasing Summary – Non-comparable</w:t>
            </w:r>
          </w:p>
        </w:tc>
        <w:tc>
          <w:tcPr>
            <w:tcW w:w="3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60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60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60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60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760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54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Summarized Operating Results and Balance Sheet</w:t>
            </w:r>
          </w:p>
        </w:tc>
        <w:tc>
          <w:tcPr>
            <w:tcW w:w="3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Summary of Outstanding Debt and Debt Maturities</w:t>
            </w:r>
          </w:p>
        </w:tc>
        <w:tc>
          <w:tcPr>
            <w:tcW w:w="3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2004 Acquisitions and Dispositions</w:t>
            </w:r>
          </w:p>
        </w:tc>
        <w:tc>
          <w:tcPr>
            <w:tcW w:w="3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80" w:type="dxa"/>
            <w:vAlign w:val="bottom"/>
          </w:tcPr>
          <w:p>
            <w:pPr>
              <w:spacing w:after="0"/>
              <w:rPr>
                <w:sz w:val="19"/>
                <w:szCs w:val="19"/>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Real Estate Status Report</w:t>
            </w:r>
          </w:p>
        </w:tc>
        <w:tc>
          <w:tcPr>
            <w:tcW w:w="3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760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5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11, 2004, and include the following:</w:t>
      </w:r>
    </w:p>
    <w:p>
      <w:pPr>
        <w:spacing w:after="0" w:line="4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900" w:right="1000" w:hanging="446"/>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i w:val="1"/>
          <w:iCs w:val="1"/>
          <w:color w:val="auto"/>
        </w:rPr>
      </w:pPr>
    </w:p>
    <w:p>
      <w:pPr>
        <w:ind w:left="900" w:right="140" w:hanging="446"/>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i w:val="1"/>
          <w:iCs w:val="1"/>
          <w:color w:val="auto"/>
        </w:rPr>
      </w:pPr>
    </w:p>
    <w:p>
      <w:pPr>
        <w:ind w:left="900" w:hanging="446"/>
        <w:spacing w:after="0" w:line="256"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i w:val="1"/>
          <w:iCs w:val="1"/>
          <w:color w:val="auto"/>
        </w:rPr>
      </w:pPr>
    </w:p>
    <w:p>
      <w:pPr>
        <w:ind w:left="900" w:hanging="446"/>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i w:val="1"/>
          <w:iCs w:val="1"/>
          <w:color w:val="auto"/>
        </w:rPr>
      </w:pPr>
    </w:p>
    <w:p>
      <w:pPr>
        <w:ind w:left="900" w:hanging="446"/>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i w:val="1"/>
          <w:iCs w:val="1"/>
          <w:color w:val="auto"/>
        </w:rPr>
      </w:pPr>
    </w:p>
    <w:p>
      <w:pPr>
        <w:ind w:left="900" w:right="20" w:hanging="446"/>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4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11, 2004.</w:t>
      </w:r>
    </w:p>
    <w:p>
      <w:pPr>
        <w:sectPr>
          <w:pgSz w:w="11900" w:h="16838" w:orient="portrait"/>
          <w:cols w:equalWidth="0" w:num="1">
            <w:col w:w="11360"/>
          </w:cols>
          <w:pgMar w:left="240" w:top="274"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5"/>
        </w:trPr>
        <w:tc>
          <w:tcPr>
            <w:tcW w:w="5960" w:type="dxa"/>
            <w:vAlign w:val="bottom"/>
            <w:gridSpan w:val="3"/>
          </w:tcPr>
          <w:p>
            <w:pPr>
              <w:spacing w:after="0"/>
              <w:rPr>
                <w:sz w:val="20"/>
                <w:szCs w:val="20"/>
                <w:color w:val="auto"/>
              </w:rPr>
            </w:pPr>
            <w:r>
              <w:rPr>
                <w:rFonts w:ascii="Arial" w:cs="Arial" w:eastAsia="Arial" w:hAnsi="Arial"/>
                <w:sz w:val="18"/>
                <w:szCs w:val="18"/>
                <w:i w:val="1"/>
                <w:iCs w:val="1"/>
                <w:color w:val="auto"/>
              </w:rPr>
              <w:t>Investor and Media Inquiries</w:t>
            </w: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8"/>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Andrew Blocher</w:t>
            </w:r>
          </w:p>
        </w:tc>
        <w:tc>
          <w:tcPr>
            <w:tcW w:w="390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Suzanne O’Neill</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1980" w:type="dxa"/>
            <w:vAlign w:val="bottom"/>
            <w:gridSpan w:val="2"/>
          </w:tcPr>
          <w:p>
            <w:pPr>
              <w:spacing w:after="0"/>
              <w:rPr>
                <w:sz w:val="20"/>
                <w:szCs w:val="20"/>
                <w:color w:val="auto"/>
              </w:rPr>
            </w:pPr>
            <w:r>
              <w:rPr>
                <w:rFonts w:ascii="Arial" w:cs="Arial" w:eastAsia="Arial" w:hAnsi="Arial"/>
                <w:sz w:val="18"/>
                <w:szCs w:val="18"/>
                <w:color w:val="auto"/>
                <w:w w:val="87"/>
              </w:rPr>
              <w:t>Manager, Investor Relations</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301/998-8166</w:t>
            </w:r>
          </w:p>
        </w:tc>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301/998-8358</w:t>
            </w:r>
          </w:p>
        </w:tc>
        <w:tc>
          <w:tcPr>
            <w:tcW w:w="140" w:type="dxa"/>
            <w:vAlign w:val="bottom"/>
          </w:tcPr>
          <w:p>
            <w:pPr>
              <w:spacing w:after="0"/>
              <w:rPr>
                <w:sz w:val="18"/>
                <w:szCs w:val="18"/>
                <w:color w:val="auto"/>
              </w:rPr>
            </w:pPr>
          </w:p>
        </w:tc>
      </w:tr>
      <w:tr>
        <w:trPr>
          <w:trHeight w:val="184"/>
        </w:trPr>
        <w:tc>
          <w:tcPr>
            <w:tcW w:w="5960" w:type="dxa"/>
            <w:vAlign w:val="bottom"/>
            <w:gridSpan w:val="3"/>
          </w:tcPr>
          <w:p>
            <w:pPr>
              <w:spacing w:after="0" w:line="184" w:lineRule="exact"/>
              <w:rPr>
                <w:sz w:val="20"/>
                <w:szCs w:val="20"/>
                <w:color w:val="auto"/>
              </w:rPr>
            </w:pPr>
            <w:r>
              <w:rPr>
                <w:rFonts w:ascii="Arial" w:cs="Arial" w:eastAsia="Arial" w:hAnsi="Arial"/>
                <w:sz w:val="18"/>
                <w:szCs w:val="18"/>
                <w:i w:val="1"/>
                <w:iCs w:val="1"/>
                <w:color w:val="auto"/>
              </w:rPr>
              <w:t>ablocher@federalrealty.com</w:t>
            </w:r>
          </w:p>
        </w:tc>
        <w:tc>
          <w:tcPr>
            <w:tcW w:w="1980" w:type="dxa"/>
            <w:vAlign w:val="bottom"/>
            <w:gridSpan w:val="2"/>
          </w:tcPr>
          <w:p>
            <w:pPr>
              <w:spacing w:after="0" w:line="184" w:lineRule="exact"/>
              <w:rPr>
                <w:sz w:val="20"/>
                <w:szCs w:val="20"/>
                <w:color w:val="auto"/>
              </w:rPr>
            </w:pPr>
            <w:r>
              <w:rPr>
                <w:rFonts w:ascii="Arial" w:cs="Arial" w:eastAsia="Arial" w:hAnsi="Arial"/>
                <w:sz w:val="18"/>
                <w:szCs w:val="18"/>
                <w:i w:val="1"/>
                <w:iCs w:val="1"/>
                <w:color w:val="auto"/>
                <w:w w:val="94"/>
              </w:rPr>
              <w:t>soneill@federalrealty.com</w:t>
            </w:r>
          </w:p>
        </w:tc>
      </w:tr>
      <w:tr>
        <w:trPr>
          <w:trHeight w:val="20"/>
        </w:trPr>
        <w:tc>
          <w:tcPr>
            <w:tcW w:w="2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FEDERAL REALTY INVESTMENT TRUST ANNOUNCES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YEAR-END 2004 OPERATING RESULTS</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ROCKVILLE, Md. (February 16, 2005) – Federal Realty Investment Trust (NYSE:FRT) today reported operating results for its fourth quarter and year ended December 31, 2004.</w:t>
      </w:r>
    </w:p>
    <w:p>
      <w:pPr>
        <w:spacing w:after="0" w:line="99" w:lineRule="exact"/>
        <w:rPr>
          <w:sz w:val="20"/>
          <w:szCs w:val="20"/>
          <w:color w:val="auto"/>
        </w:rPr>
      </w:pPr>
    </w:p>
    <w:p>
      <w:pPr>
        <w:ind w:left="900" w:right="280" w:hanging="446"/>
        <w:spacing w:after="0" w:line="27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Federal Realty reported record Funds from Operations available for common shareholders (FFO) per diluted share of $2.85 for the year, and net income per diluted share of $1.41.</w:t>
      </w:r>
    </w:p>
    <w:p>
      <w:pPr>
        <w:spacing w:after="0" w:line="2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(FFO) per diluted share was $0.70 for fourth quarter 2004 and net income available for common shareholders per diluted share was $0.36.</w:t>
      </w:r>
    </w:p>
    <w:p>
      <w:pPr>
        <w:spacing w:after="0" w:line="194" w:lineRule="exact"/>
        <w:rPr>
          <w:rFonts w:ascii="Arial" w:cs="Arial" w:eastAsia="Arial" w:hAnsi="Arial"/>
          <w:sz w:val="16"/>
          <w:szCs w:val="16"/>
          <w:color w:val="auto"/>
        </w:rPr>
      </w:pPr>
    </w:p>
    <w:p>
      <w:pPr>
        <w:ind w:left="900" w:right="880" w:hanging="446"/>
        <w:spacing w:after="0" w:line="27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For 2004, same-center property operating income increased 4.3% including redevelopments and expansions, and 3.4% excluding redevelopments and expansions.</w:t>
      </w:r>
    </w:p>
    <w:p>
      <w:pPr>
        <w:spacing w:after="0" w:line="25" w:lineRule="exact"/>
        <w:rPr>
          <w:rFonts w:ascii="Arial" w:cs="Arial" w:eastAsia="Arial" w:hAnsi="Arial"/>
          <w:sz w:val="18"/>
          <w:szCs w:val="18"/>
          <w:color w:val="auto"/>
        </w:rPr>
      </w:pPr>
    </w:p>
    <w:p>
      <w:pPr>
        <w:ind w:left="900" w:right="56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Cash-basis contractual rent increases on lease rollovers were 18% for both the fourth quarter and the year on more than 398,000 and approximately 1.7 million square feet, respectively, of retail space for which there was a prior tenant.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The Trust’s portfolio was 95.1% leased at December 31,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Realty reported FFO of $37.1 million, or $0.70 per diluted share in fourth quarter 2004. This compares to FFO of $41.4 million, or $0.82 per diluted share reported in fourth quarter 2003, which included approximately $8.0 million ($0.16 per diluted share) of insurance recovery for lost income from the Santana Row fire.</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year ended December 31, 2004, Federal Realty reported FFO of $148.7 million, or $2.85 per diluted share, including approximately $3.1 million, or $0.06 per diluted share, of Santana Row insurance proceeds. For 2003, the Trust reported FFO of $131.3 million, or $2.70 per diluted share, which included the $8.0 million ($0.16 per diluted share) of Santana Row insurance proceeds, and a $3.4 million ($0.07 per diluted share) charge relating to the redemption of the Trust’s 7.95% Series A Cumulative Redeemable Preferred Shares in accordance with generally accepted accounting principles.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74"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AND YEAR-END 2004 OPERATING RESULTS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2005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 income available for common shareholders was $19.0 million, and net income available for common shareholders per diluted share was $0.36 for the quarter ended December 31, 2004, versus $32.5 million and $0.66, respectively, for the fourth quarter of 2003. For the year ended December 31, 2004, Federal Realty reported net income available for common shareholders of $72.7 million, or $1.41 per diluted share. This compares to net income available for common shareholders of $76.0 million, or $1.59 per diluted share, for the year ended December 31, 2003.</w:t>
      </w:r>
    </w:p>
    <w:p>
      <w:pPr>
        <w:spacing w:after="0" w:line="9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available for common shareholders and FFO per diluted share to net income available for common shareholders and net income available for common shareholders per diluted share, respectively, is attached to this press release.</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 am extremely proud of what the Trust accomplished in 2004, including our record FFO per share,” commented Donald Wood, Federal Realty’s President and Chief Executive Officer. “Record leasing activity, effective identification and execution of redevelopment opportunities, and acquisition capacity for both our own portfolio and our joint venture have created tremendous momentum coming out of 2004 that should support our growth for 2005 and beyond.”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 same-center basis, property operating income for fourth quarter 2004 increased 3.4% over fourth quarter 2003 both including and excluding redevelopment properties. For the year ended December 31, 2004, same-center property operating income increased 4.3% when redevelopments and expansions are included, and 3.4% when redevelopments and expansions are excluded.</w:t>
      </w:r>
    </w:p>
    <w:p>
      <w:pPr>
        <w:spacing w:after="0" w:line="12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Overall, the Trust’s portfolio was 95.1% leased as of December 31, 2004, a 200 basis point improvement from the 93.1% leased at December 31, 2003. As of December 31, 2004, Federal Realty’s same-center portfolio was 96.8% leased, compared to 96.1% leased at year-end 2003.</w:t>
      </w:r>
    </w:p>
    <w:p>
      <w:pPr>
        <w:spacing w:after="0" w:line="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fourth quarter of 2004, the Trust signed 96 leases for a total of 454,000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spaces for which there was a former tenant), the Trust leased more than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70"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398,000 square feet at a weighted-average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xml:space="preserve"> excluding the impact of straight-line rents) of 18%. The weighted-average contractual rent on this comparable space for the first year of the new leases is $22.18 per square foot compared to the weighted-average contractual rent of $18.75 per square foot for the last year of the prior leases. The weighted-average contractual rent for the last year of the prior leases is calculated by including both the minimum rent and the percentage rent actually paid during the last year of those leases.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2004, Federal Realty signed 320 leases for a record 1.7 million square feet of comparable space at a weighted-average cash-basis contractual rent increase per square foot of 18%. The weighted-average contractual rent on this comparable space for the first year of the new leases is $21.63 per square foot compared to the weighted-average contractual rent of $18.37 per square foot for the last year of the prior leases. The year 2004 was the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year in which the Trust had weighted-average contractual rent increases in excess of 10%.</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a GAAP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including the impact of straight-line rents), weighted-average rent increases per square foot for comparable space were 29.6% for the fourth quarter of 2004 and 27.5% for the year ended December 31, 2004. As of December 31, 2004, Federal Realty’s weighted-average contractual rent for all retail and commercial space in its portfolio was $18.33 per square foot.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Santana Row, Federal Realty’s mixed-use community in San Jose, Calif., 94% of the retail space was leased to 110 tenants, with 105 stores open and operating as of December 31, 2004. The 255 existing residential units at Santana Row were 95% leased as of December 31, 2004, and the development of the 256 Phase IV residential units remains on budget with the first unit deliveries expected in Spring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today increased guidance for 2005 FFO per diluted share to a range of $3.01 to $3.04, and net income per diluted share to $1.41 to $1.44.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83" w:lineRule="exact"/>
        <w:rPr>
          <w:sz w:val="20"/>
          <w:szCs w:val="20"/>
          <w:color w:val="auto"/>
        </w:rPr>
      </w:pPr>
    </w:p>
    <w:p>
      <w:pPr>
        <w:ind w:left="460" w:right="520" w:hanging="452"/>
        <w:spacing w:after="0" w:line="30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December 7, 2004 – Federal Realty announced the acquisition of a supermarket-anchored shopping center in the Boston metropolitan area for $16.5 million. The property, Atlantic Plaza in North Reading, Mass., was acquired through the Trust’s joint venture with Clarion Lion Properties Fund.</w:t>
      </w:r>
    </w:p>
    <w:p>
      <w:pPr>
        <w:ind w:left="5320"/>
        <w:spacing w:after="0"/>
        <w:rPr>
          <w:rFonts w:ascii="Arial" w:cs="Arial" w:eastAsia="Arial" w:hAnsi="Arial"/>
          <w:sz w:val="15"/>
          <w:szCs w:val="15"/>
          <w:color w:val="auto"/>
        </w:rPr>
      </w:pPr>
      <w:r>
        <w:rPr>
          <w:rFonts w:ascii="Arial" w:cs="Arial" w:eastAsia="Arial" w:hAnsi="Arial"/>
          <w:sz w:val="18"/>
          <w:szCs w:val="18"/>
          <w:color w:val="auto"/>
        </w:rPr>
        <w:t>– MORE –</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70" w:lineRule="exact"/>
        <w:rPr>
          <w:sz w:val="20"/>
          <w:szCs w:val="20"/>
          <w:color w:val="auto"/>
        </w:rPr>
      </w:pPr>
    </w:p>
    <w:p>
      <w:pPr>
        <w:ind w:left="460" w:right="64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December 14, 2004 – Federal Realty announced that its Board of Trustees had declared a regular quarterly cash dividend of $0.505 per share on its common shares, resulting in an indicated annual dividend rate of $2.02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fourth quarter and year-end 2004 earnings conference call, which is scheduled for February 17, 2005, at 11 a.m. Eastern Standard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for 30 days by dialing (800) 679-9654.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16.9 million square feet located primarily in strategic metropolitan markets in the Northeast, Mid-Atlantic, and California. In addition, the Trust has an ownership interest in approximately 460,000 square feet of retail space through its joint venture with Clarion Lion Properties Fund in which the Trust has a 30% interest. Our operating portfolio (excluding joint venture properties) was 95.1% leased to approximately 2,200 national, regional, and local retailers as of December 31, 2004, with no single tenant accounting for more than 2.3% of rental revenue. Federal Realty has paid quarterly dividends to its shareholders continuously since its founding in 1962, and has increased its dividend rate for 37 consecutive years, the longest consecutive record in the REIT industry. Shares of Federal Realty are traded on the NYSE under the symbol FRT.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11, 2004, and include the following:</w:t>
      </w:r>
    </w:p>
    <w:p>
      <w:pPr>
        <w:spacing w:after="0" w:line="4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900" w:right="10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118" w:lineRule="exact"/>
        <w:rPr>
          <w:rFonts w:ascii="Arial" w:cs="Arial" w:eastAsia="Arial" w:hAnsi="Arial"/>
          <w:sz w:val="18"/>
          <w:szCs w:val="18"/>
          <w:color w:val="auto"/>
        </w:rPr>
      </w:pPr>
    </w:p>
    <w:p>
      <w:pPr>
        <w:ind w:left="5320"/>
        <w:spacing w:after="0"/>
        <w:rPr>
          <w:rFonts w:ascii="Arial" w:cs="Arial" w:eastAsia="Arial" w:hAnsi="Arial"/>
          <w:sz w:val="18"/>
          <w:szCs w:val="18"/>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70" w:lineRule="exact"/>
        <w:rPr>
          <w:sz w:val="20"/>
          <w:szCs w:val="20"/>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11, 2004.</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60"/>
          </w:cols>
          <w:pgMar w:left="240" w:top="280" w:right="299" w:bottom="1440" w:gutter="0" w:footer="0" w:header="0"/>
        </w:sectPr>
      </w:pPr>
    </w:p>
    <w:bookmarkStart w:id="11" w:name="page12"/>
    <w:bookmarkEnd w:id="1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CONSOLIDATED OPERATING RESULTS</w:t>
            </w:r>
          </w:p>
        </w:tc>
        <w:tc>
          <w:tcPr>
            <w:tcW w:w="466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820" w:type="dxa"/>
            <w:vAlign w:val="bottom"/>
            <w:gridSpan w:val="6"/>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95,402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371,856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100,694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99,312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394,274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20,934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55,746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237,783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6"/>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(21,223)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(20,682)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(85,058)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22,005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20" w:type="dxa"/>
            <w:vAlign w:val="bottom"/>
            <w:gridSpan w:val="6"/>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Results from operations of discontinued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35,400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(15,084)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Preferred stock redemption fee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3"/>
              </w:rPr>
              <w:t>FUNDS FROM OPERATIONS AVAILABLE FOR COMMON SHAREHOLDERS</w:t>
            </w:r>
          </w:p>
        </w:tc>
        <w:tc>
          <w:tcPr>
            <w:tcW w:w="1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21,918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35,400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84,156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(12,330)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(14,052)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81,649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Depreciation on joint venture real estate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159,091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Preferred stock redemption fee</w:t>
            </w:r>
          </w:p>
        </w:tc>
        <w:tc>
          <w:tcPr>
            <w:tcW w:w="10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Funds from operations available for common shareholders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148,671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72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Funds from operations per share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NET INCOME PER COMMON SHARE, BASIC</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720"/>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NET INCOME PER COMMON SHARE, DILUTED</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-3903345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-3903345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-3903345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-3903345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-3903345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-3903345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-3903345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-3903345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-3903345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-3903345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-3903345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-3903345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-1939290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-1939290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-1939290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-1939290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-1939290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-1939290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-1939290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-1939290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-1939290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-1939290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-1939290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-1939290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-516255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-516255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-516255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-516255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-516255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-516255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-516255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-516255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-516255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-516255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-516255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-516255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97" w:orient="portrait"/>
          <w:cols w:equalWidth="0" w:num="1">
            <w:col w:w="11420"/>
          </w:cols>
          <w:pgMar w:left="240" w:top="274"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3"/>
        </w:trPr>
        <w:tc>
          <w:tcPr>
            <w:tcW w:w="5660" w:type="dxa"/>
            <w:vAlign w:val="bottom"/>
          </w:tcPr>
          <w:p>
            <w:pPr>
              <w:ind w:left="440"/>
              <w:spacing w:after="0"/>
              <w:rPr>
                <w:sz w:val="20"/>
                <w:szCs w:val="20"/>
                <w:color w:val="auto"/>
              </w:rPr>
            </w:pPr>
            <w:r>
              <w:rPr>
                <w:rFonts w:ascii="Arial" w:cs="Arial" w:eastAsia="Arial" w:hAnsi="Arial"/>
                <w:sz w:val="18"/>
                <w:szCs w:val="18"/>
                <w:color w:val="auto"/>
                <w:w w:val="92"/>
              </w:rPr>
              <w:t>Income from continuing operations available for common shareholders</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discontinued operations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740"/>
              <w:spacing w:after="0"/>
              <w:rPr>
                <w:sz w:val="20"/>
                <w:szCs w:val="20"/>
                <w:color w:val="auto"/>
              </w:rPr>
            </w:pPr>
            <w:r>
              <w:rPr>
                <w:rFonts w:ascii="Arial" w:cs="Arial" w:eastAsia="Arial" w:hAnsi="Arial"/>
                <w:sz w:val="18"/>
                <w:szCs w:val="18"/>
                <w:color w:val="auto"/>
                <w:w w:val="88"/>
              </w:rPr>
              <w:t>Net income available for common shareholders, diluted</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Weighted average number of common shares, diluted</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tcPr>
          <w:p>
            <w:pPr>
              <w:spacing w:after="0"/>
              <w:rPr>
                <w:sz w:val="9"/>
                <w:szCs w:val="9"/>
                <w:color w:val="auto"/>
              </w:rPr>
            </w:pPr>
          </w:p>
        </w:tc>
        <w:tc>
          <w:tcPr>
            <w:tcW w:w="2160" w:type="dxa"/>
            <w:vAlign w:val="bottom"/>
            <w:vMerge w:val="restart"/>
          </w:tcPr>
          <w:p>
            <w:pPr>
              <w:jc w:val="right"/>
              <w:ind w:right="1972"/>
              <w:spacing w:after="0"/>
              <w:rPr>
                <w:sz w:val="20"/>
                <w:szCs w:val="20"/>
                <w:color w:val="auto"/>
              </w:rPr>
            </w:pPr>
            <w:r>
              <w:rPr>
                <w:rFonts w:ascii="Arial" w:cs="Arial" w:eastAsia="Arial" w:hAnsi="Arial"/>
                <w:sz w:val="18"/>
                <w:szCs w:val="18"/>
                <w:color w:val="auto"/>
                <w:w w:val="79"/>
              </w:rPr>
              <w:t>8</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6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-608965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-608965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-608965</wp:posOffset>
            </wp:positionV>
            <wp:extent cx="85344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-608965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-608965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-608965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-608965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CONSOLIDATED BALANCE SHEETS</w:t>
            </w:r>
          </w:p>
        </w:tc>
        <w:tc>
          <w:tcPr>
            <w:tcW w:w="4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at cost</w:t>
            </w:r>
          </w:p>
        </w:tc>
        <w:tc>
          <w:tcPr>
            <w:tcW w:w="4500" w:type="dxa"/>
            <w:vAlign w:val="bottom"/>
            <w:gridSpan w:val="2"/>
            <w:shd w:val="clear" w:color="auto" w:fill="CCEEFF"/>
          </w:tcPr>
          <w:p>
            <w:pPr>
              <w:ind w:left="4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2,666,276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2,470,149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(595,338)</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(514,177)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2,070,938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1,955,972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30,475</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Mortgage notes receivable</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78,094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500" w:type="dxa"/>
            <w:vAlign w:val="bottom"/>
            <w:gridSpan w:val="2"/>
            <w:shd w:val="clear" w:color="auto" w:fill="CCEEFF"/>
          </w:tcPr>
          <w:p>
            <w:pPr>
              <w:ind w:left="4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2,141,185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leases and mortgage notes</w:t>
            </w:r>
          </w:p>
        </w:tc>
        <w:tc>
          <w:tcPr>
            <w:tcW w:w="4500" w:type="dxa"/>
            <w:vAlign w:val="bottom"/>
            <w:gridSpan w:val="2"/>
            <w:shd w:val="clear" w:color="auto" w:fill="CCEEFF"/>
          </w:tcPr>
          <w:p>
            <w:pPr>
              <w:ind w:left="4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153,351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1,457,408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1,420,229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color w:val="auto"/>
              </w:rPr>
              <w:t>Minority interests</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18,954</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Preferred stock</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500" w:type="dxa"/>
            <w:vAlign w:val="bottom"/>
            <w:gridSpan w:val="2"/>
            <w:shd w:val="clear" w:color="auto" w:fill="CCEEFF"/>
          </w:tcPr>
          <w:p>
            <w:pPr>
              <w:ind w:left="4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2,141,185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420" w:type="dxa"/>
            <w:vAlign w:val="bottom"/>
            <w:vMerge w:val="restart"/>
          </w:tcPr>
          <w:p>
            <w:pPr>
              <w:ind w:left="62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-2915920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-2915920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-2915920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-2915920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-2915920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-2915920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210" w:type="dxa"/>
            <w:vAlign w:val="bottom"/>
            <w:gridSpan w:val="5"/>
          </w:tcPr>
          <w:p>
            <w:pPr>
              <w:jc w:val="right"/>
              <w:ind w:right="14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0"/>
                <w:szCs w:val="20"/>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3"/>
              </w:rPr>
              <w:t>December 31,</w:t>
            </w:r>
          </w:p>
        </w:tc>
        <w:tc>
          <w:tcPr>
            <w:tcW w:w="168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81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60" w:type="dxa"/>
            <w:vAlign w:val="bottom"/>
            <w:gridSpan w:val="2"/>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321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89"/>
              </w:rPr>
              <w:t>(in thousands, except per share data)</w:t>
            </w:r>
          </w:p>
        </w:tc>
        <w:tc>
          <w:tcPr>
            <w:tcW w:w="180" w:type="dxa"/>
            <w:vAlign w:val="bottom"/>
          </w:tcPr>
          <w:p>
            <w:pPr>
              <w:spacing w:after="0"/>
              <w:rPr>
                <w:sz w:val="21"/>
                <w:szCs w:val="21"/>
                <w:color w:val="auto"/>
              </w:rPr>
            </w:pPr>
          </w:p>
        </w:tc>
        <w:tc>
          <w:tcPr>
            <w:tcW w:w="26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7"/>
              </w:rPr>
              <w:t>(in thousands, except per share data)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Funds from Operations available for common shareholders</w:t>
            </w:r>
          </w:p>
        </w:tc>
        <w:tc>
          <w:tcPr>
            <w:tcW w:w="130" w:type="dxa"/>
            <w:vAlign w:val="bottom"/>
            <w:shd w:val="clear" w:color="auto" w:fill="CCEEFF"/>
          </w:tcPr>
          <w:p>
            <w:pPr>
              <w:spacing w:after="0"/>
              <w:rPr>
                <w:sz w:val="15"/>
                <w:szCs w:val="15"/>
                <w:color w:val="auto"/>
              </w:rPr>
            </w:pPr>
          </w:p>
        </w:tc>
        <w:tc>
          <w:tcPr>
            <w:tcW w:w="81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20" w:type="dxa"/>
            <w:vAlign w:val="bottom"/>
            <w:tcBorders>
              <w:top w:val="single" w:sz="8" w:color="auto"/>
            </w:tcBorders>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(FFO) (1)</w:t>
            </w:r>
          </w:p>
        </w:tc>
        <w:tc>
          <w:tcPr>
            <w:tcW w:w="840" w:type="dxa"/>
            <w:vAlign w:val="bottom"/>
            <w:tcBorders>
              <w:top w:val="single" w:sz="8" w:color="CCEEFF"/>
            </w:tcBorders>
            <w:shd w:val="clear" w:color="auto" w:fill="CCEEFF"/>
          </w:tcPr>
          <w:p>
            <w:pPr>
              <w:spacing w:after="0"/>
              <w:rPr>
                <w:sz w:val="17"/>
                <w:szCs w:val="17"/>
                <w:color w:val="auto"/>
              </w:rPr>
            </w:pPr>
          </w:p>
        </w:tc>
        <w:tc>
          <w:tcPr>
            <w:tcW w:w="130" w:type="dxa"/>
            <w:vAlign w:val="bottom"/>
            <w:tcBorders>
              <w:top w:val="single" w:sz="8" w:color="CCEEFF"/>
            </w:tcBorders>
            <w:shd w:val="clear" w:color="auto" w:fill="CCEEFF"/>
          </w:tcPr>
          <w:p>
            <w:pPr>
              <w:spacing w:after="0"/>
              <w:rPr>
                <w:sz w:val="17"/>
                <w:szCs w:val="17"/>
                <w:color w:val="auto"/>
              </w:rPr>
            </w:pPr>
          </w:p>
        </w:tc>
        <w:tc>
          <w:tcPr>
            <w:tcW w:w="81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 w:type="dxa"/>
            <w:vAlign w:val="bottom"/>
            <w:tcBorders>
              <w:top w:val="single" w:sz="8" w:color="CCEEFF"/>
            </w:tcBorders>
            <w:shd w:val="clear" w:color="auto" w:fill="CCEEFF"/>
          </w:tcPr>
          <w:p>
            <w:pPr>
              <w:spacing w:after="0" w:line="20" w:lineRule="exact"/>
              <w:rPr>
                <w:sz w:val="1"/>
                <w:szCs w:val="1"/>
                <w:color w:val="auto"/>
              </w:rPr>
            </w:pPr>
          </w:p>
        </w:tc>
        <w:tc>
          <w:tcPr>
            <w:tcW w:w="81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280" w:type="dxa"/>
            <w:vAlign w:val="bottom"/>
            <w:gridSpan w:val="8"/>
          </w:tcPr>
          <w:p>
            <w:pPr>
              <w:spacing w:after="0"/>
              <w:rPr>
                <w:sz w:val="20"/>
                <w:szCs w:val="20"/>
                <w:color w:val="auto"/>
              </w:rPr>
            </w:pPr>
            <w:r>
              <w:rPr>
                <w:rFonts w:ascii="Arial" w:cs="Arial" w:eastAsia="Arial" w:hAnsi="Arial"/>
                <w:sz w:val="18"/>
                <w:szCs w:val="18"/>
                <w:color w:val="auto"/>
              </w:rPr>
              <w:t>Net income</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21,918</w:t>
            </w:r>
          </w:p>
        </w:tc>
        <w:tc>
          <w:tcPr>
            <w:tcW w:w="7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35,400</w:t>
            </w:r>
          </w:p>
        </w:tc>
        <w:tc>
          <w:tcPr>
            <w:tcW w:w="7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84,156</w:t>
            </w:r>
          </w:p>
        </w:tc>
        <w:tc>
          <w:tcPr>
            <w:tcW w:w="74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94,497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30" w:type="dxa"/>
            <w:vAlign w:val="bottom"/>
            <w:shd w:val="clear" w:color="auto" w:fill="CCEEFF"/>
          </w:tcPr>
          <w:p>
            <w:pPr>
              <w:spacing w:after="0"/>
              <w:rPr>
                <w:sz w:val="18"/>
                <w:szCs w:val="18"/>
                <w:color w:val="auto"/>
              </w:rPr>
            </w:pPr>
          </w:p>
        </w:tc>
        <w:tc>
          <w:tcPr>
            <w:tcW w:w="153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(12,330)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(14,052)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3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20,503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19,067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81,649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Amortization of initial direct costs of leases</w:t>
            </w: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1,981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1,628</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7,151</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43,765</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159,091</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Dividends on preferred stock</w:t>
            </w:r>
          </w:p>
        </w:tc>
        <w:tc>
          <w:tcPr>
            <w:tcW w:w="130" w:type="dxa"/>
            <w:vAlign w:val="bottom"/>
          </w:tcPr>
          <w:p>
            <w:pPr>
              <w:spacing w:after="0"/>
              <w:rPr>
                <w:sz w:val="18"/>
                <w:szCs w:val="18"/>
                <w:color w:val="auto"/>
              </w:rPr>
            </w:pPr>
          </w:p>
        </w:tc>
        <w:tc>
          <w:tcPr>
            <w:tcW w:w="1530" w:type="dxa"/>
            <w:vAlign w:val="bottom"/>
            <w:gridSpan w:val="2"/>
          </w:tcPr>
          <w:p>
            <w:pPr>
              <w:jc w:val="right"/>
              <w:ind w:right="66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(2,869)</w:t>
            </w:r>
          </w:p>
        </w:tc>
        <w:tc>
          <w:tcPr>
            <w:tcW w:w="180" w:type="dxa"/>
            <w:vAlign w:val="bottom"/>
          </w:tcPr>
          <w:p>
            <w:pPr>
              <w:spacing w:after="0"/>
              <w:rPr>
                <w:sz w:val="18"/>
                <w:szCs w:val="18"/>
                <w:color w:val="auto"/>
              </w:rPr>
            </w:pPr>
          </w:p>
        </w:tc>
        <w:tc>
          <w:tcPr>
            <w:tcW w:w="1500" w:type="dxa"/>
            <w:vAlign w:val="bottom"/>
            <w:gridSpan w:val="2"/>
          </w:tcPr>
          <w:p>
            <w:pPr>
              <w:jc w:val="right"/>
              <w:ind w:right="612"/>
              <w:spacing w:after="0"/>
              <w:rPr>
                <w:sz w:val="20"/>
                <w:szCs w:val="20"/>
                <w:color w:val="auto"/>
              </w:rPr>
            </w:pPr>
            <w:r>
              <w:rPr>
                <w:rFonts w:ascii="Arial" w:cs="Arial" w:eastAsia="Arial" w:hAnsi="Arial"/>
                <w:sz w:val="18"/>
                <w:szCs w:val="18"/>
                <w:color w:val="auto"/>
              </w:rPr>
              <w:t>(11,475)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color w:val="auto"/>
              </w:rPr>
              <w:t>Preferred stock redemption fee</w:t>
            </w:r>
          </w:p>
        </w:tc>
        <w:tc>
          <w:tcPr>
            <w:tcW w:w="130" w:type="dxa"/>
            <w:vAlign w:val="bottom"/>
          </w:tcPr>
          <w:p>
            <w:pPr>
              <w:spacing w:after="0"/>
              <w:rPr>
                <w:sz w:val="19"/>
                <w:szCs w:val="19"/>
                <w:color w:val="auto"/>
              </w:rPr>
            </w:pPr>
          </w:p>
        </w:tc>
        <w:tc>
          <w:tcPr>
            <w:tcW w:w="153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8"/>
              </w:rPr>
              <w:t>Funds from operations available for common shareholders (2)</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37,124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41,397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148,671</w:t>
            </w:r>
          </w:p>
        </w:tc>
        <w:tc>
          <w:tcPr>
            <w:tcW w:w="7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 diluted</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80" w:type="dxa"/>
            <w:vAlign w:val="bottom"/>
            <w:gridSpan w:val="8"/>
          </w:tcPr>
          <w:p>
            <w:pPr>
              <w:spacing w:after="0"/>
              <w:rPr>
                <w:sz w:val="20"/>
                <w:szCs w:val="20"/>
                <w:color w:val="auto"/>
              </w:rPr>
            </w:pPr>
            <w:r>
              <w:rPr>
                <w:rFonts w:ascii="Arial" w:cs="Arial" w:eastAsia="Arial" w:hAnsi="Arial"/>
                <w:sz w:val="18"/>
                <w:szCs w:val="18"/>
                <w:b w:val="1"/>
                <w:bCs w:val="1"/>
                <w:color w:val="auto"/>
              </w:rPr>
              <w:t>Funds from operations per share available for common</w:t>
            </w:r>
          </w:p>
        </w:tc>
        <w:tc>
          <w:tcPr>
            <w:tcW w:w="13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6"/>
          </w:tcPr>
          <w:p>
            <w:pPr>
              <w:spacing w:after="0"/>
              <w:rPr>
                <w:sz w:val="20"/>
                <w:szCs w:val="20"/>
                <w:color w:val="auto"/>
              </w:rPr>
            </w:pPr>
            <w:r>
              <w:rPr>
                <w:rFonts w:ascii="Arial" w:cs="Arial" w:eastAsia="Arial" w:hAnsi="Arial"/>
                <w:sz w:val="18"/>
                <w:szCs w:val="18"/>
                <w:b w:val="1"/>
                <w:bCs w:val="1"/>
                <w:color w:val="auto"/>
              </w:rPr>
              <w:t>shareholders (2)</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0.70</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0.82</w:t>
            </w:r>
          </w:p>
        </w:tc>
        <w:tc>
          <w:tcPr>
            <w:tcW w:w="7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74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Summary of Capital Expenditures</w:t>
            </w:r>
          </w:p>
        </w:tc>
        <w:tc>
          <w:tcPr>
            <w:tcW w:w="130" w:type="dxa"/>
            <w:vAlign w:val="bottom"/>
            <w:shd w:val="clear" w:color="auto" w:fill="CCEEFF"/>
          </w:tcPr>
          <w:p>
            <w:pPr>
              <w:spacing w:after="0"/>
              <w:rPr>
                <w:sz w:val="15"/>
                <w:szCs w:val="15"/>
                <w:color w:val="auto"/>
              </w:rPr>
            </w:pPr>
          </w:p>
        </w:tc>
        <w:tc>
          <w:tcPr>
            <w:tcW w:w="81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 w:type="dxa"/>
            <w:vAlign w:val="bottom"/>
            <w:tcBorders>
              <w:top w:val="single" w:sz="8" w:color="CCEEFF"/>
            </w:tcBorders>
            <w:shd w:val="clear" w:color="auto" w:fill="CCEEFF"/>
          </w:tcPr>
          <w:p>
            <w:pPr>
              <w:spacing w:after="0" w:line="20" w:lineRule="exact"/>
              <w:rPr>
                <w:sz w:val="1"/>
                <w:szCs w:val="1"/>
                <w:color w:val="auto"/>
              </w:rPr>
            </w:pPr>
          </w:p>
        </w:tc>
        <w:tc>
          <w:tcPr>
            <w:tcW w:w="81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280" w:type="dxa"/>
            <w:vAlign w:val="bottom"/>
            <w:gridSpan w:val="8"/>
          </w:tcPr>
          <w:p>
            <w:pPr>
              <w:spacing w:after="0"/>
              <w:rPr>
                <w:sz w:val="20"/>
                <w:szCs w:val="20"/>
                <w:color w:val="auto"/>
              </w:rPr>
            </w:pPr>
            <w:r>
              <w:rPr>
                <w:rFonts w:ascii="Arial" w:cs="Arial" w:eastAsia="Arial" w:hAnsi="Arial"/>
                <w:sz w:val="18"/>
                <w:szCs w:val="18"/>
                <w:color w:val="auto"/>
              </w:rPr>
              <w:t>Non-maintenance capital expenditures</w:t>
            </w:r>
          </w:p>
        </w:tc>
        <w:tc>
          <w:tcPr>
            <w:tcW w:w="13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Acquisition related (3)</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7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color w:val="auto"/>
              </w:rPr>
              <w:t>Capital expenditures related to new square footage</w:t>
            </w:r>
          </w:p>
        </w:tc>
        <w:tc>
          <w:tcPr>
            <w:tcW w:w="13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467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3,818</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Development, redevelopment and expansions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color w:val="auto"/>
              </w:rPr>
              <w:t>Tenant improvements</w:t>
            </w: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5,487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4,554</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26,218</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Maintenance capital expenditures</w:t>
            </w: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4,168</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1,969</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10,643</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22,841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27,985</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109,283</w:t>
            </w:r>
          </w:p>
        </w:tc>
        <w:tc>
          <w:tcPr>
            <w:tcW w:w="7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157,802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6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Dividends and Payout Ratios</w:t>
            </w:r>
          </w:p>
        </w:tc>
        <w:tc>
          <w:tcPr>
            <w:tcW w:w="3100" w:type="dxa"/>
            <w:vAlign w:val="bottom"/>
            <w:tcBorders>
              <w:bottom w:val="single" w:sz="8" w:color="CCEEFF"/>
            </w:tcBorders>
            <w:gridSpan w:val="3"/>
            <w:shd w:val="clear" w:color="auto" w:fill="CCEEFF"/>
          </w:tcPr>
          <w:p>
            <w:pPr>
              <w:spacing w:after="0"/>
              <w:rPr>
                <w:sz w:val="17"/>
                <w:szCs w:val="17"/>
                <w:color w:val="auto"/>
              </w:rPr>
            </w:pPr>
          </w:p>
        </w:tc>
        <w:tc>
          <w:tcPr>
            <w:tcW w:w="130" w:type="dxa"/>
            <w:vAlign w:val="bottom"/>
            <w:tcBorders>
              <w:bottom w:val="single" w:sz="8" w:color="CCEEFF"/>
            </w:tcBorders>
            <w:shd w:val="clear" w:color="auto" w:fill="CCEEFF"/>
          </w:tcPr>
          <w:p>
            <w:pPr>
              <w:spacing w:after="0"/>
              <w:rPr>
                <w:sz w:val="17"/>
                <w:szCs w:val="17"/>
                <w:color w:val="auto"/>
              </w:rPr>
            </w:pPr>
          </w:p>
        </w:tc>
        <w:tc>
          <w:tcPr>
            <w:tcW w:w="81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color w:val="auto"/>
              </w:rPr>
              <w:t>Common dividends declared</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26,330</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24,108</w:t>
            </w:r>
          </w:p>
        </w:tc>
        <w:tc>
          <w:tcPr>
            <w:tcW w:w="7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101,969</w:t>
            </w:r>
          </w:p>
        </w:tc>
        <w:tc>
          <w:tcPr>
            <w:tcW w:w="74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93,889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Dividend payout ratio % - FFO</w:t>
            </w:r>
          </w:p>
        </w:tc>
        <w:tc>
          <w:tcPr>
            <w:tcW w:w="130" w:type="dxa"/>
            <w:vAlign w:val="bottom"/>
            <w:shd w:val="clear" w:color="auto" w:fill="CCEEFF"/>
          </w:tcPr>
          <w:p>
            <w:pPr>
              <w:spacing w:after="0"/>
              <w:rPr>
                <w:sz w:val="18"/>
                <w:szCs w:val="18"/>
                <w:color w:val="auto"/>
              </w:rPr>
            </w:pPr>
          </w:p>
        </w:tc>
        <w:tc>
          <w:tcPr>
            <w:tcW w:w="153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-3054350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-3054350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-3054350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-3054350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-3054350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-3054350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-3054350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-3054350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-3054350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-3054350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-3054350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-3054350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-2411095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-2411095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-2411095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-2411095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-2411095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-2411095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-2411095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-2411095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-2411095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-2411095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-2411095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-2411095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-653415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-653415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-653415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-653415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-653415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-653415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-653415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-653415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-653415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-653415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-653415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-653415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2004, includes $3.1 million ($.06 per share) for Santana Row fire insurance proceeds. For 2003, includes a $3.4 million charge ($.07 per share) for preferred stock redemption and approximately $8.0 million of income ($.16 per share) from Santana Row fire insurance proceeds.</w:t>
      </w:r>
    </w:p>
    <w:p>
      <w:pPr>
        <w:spacing w:after="0" w:line="1"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related to properties acquired in the last two years for which non-maintenance expenditures were planned at the time of the acquisition underwriting.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 Capital Availability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gridSpan w:val="2"/>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Market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Common shares outstanding (1)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52,137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Market price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Common 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2,692,876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1,888,826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Series B preferred shares outstanding</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Market price per Series B preferred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Preferred 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2,839,378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2,037,326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Total debt (2)</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1,304,057</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1,310,680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Total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4,143,435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3,348,006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Total debt to market capitalization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 debt to market capitalization at constant price of $38.39</w:t>
            </w:r>
          </w:p>
        </w:tc>
        <w:tc>
          <w:tcPr>
            <w:tcW w:w="1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Fixed rate debt ratio:</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860"/>
              <w:spacing w:after="0"/>
              <w:rPr>
                <w:sz w:val="20"/>
                <w:szCs w:val="20"/>
                <w:color w:val="auto"/>
              </w:rPr>
            </w:pPr>
            <w:r>
              <w:rPr>
                <w:rFonts w:ascii="Arial" w:cs="Arial" w:eastAsia="Arial" w:hAnsi="Arial"/>
                <w:sz w:val="18"/>
                <w:szCs w:val="18"/>
                <w:b w:val="1"/>
                <w:bCs w:val="1"/>
                <w:color w:val="auto"/>
              </w:rPr>
              <w:t>Fixed rate debt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Variable rate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Capital availability: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Cash on hand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30,475</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Available capacity under line of credit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Available for issuance under shelf registration statement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500,475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-2437130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-2437130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-2437130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-2437130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-2437130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-2437130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-1167765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-1167765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-1167765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-1167765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-1167765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-1167765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62166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-172720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14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53,616,827 shares issued net of 1,480,202 shares held in Treasury as of December 31, 2004. As of December 31, 2003, consists of 50,670,851 shares issued net of 1,470,275 shares held in Treasury. Amounts do not include 449,325 and 852,222 Operating Units outstanding at December 31, 2004 and December 31, 2003, respectively.</w:t>
      </w:r>
    </w:p>
    <w:p>
      <w:pPr>
        <w:ind w:left="460" w:right="8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debt includes capital leases and mortgages payable, notes payable, and senior notes and debentures. It does not include the $14.2 million which is the Trust’s 30% share of the total $47.2 million debt of the partnership with Clarion Lion Properties Fund.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Rental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Minimum Rents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Retail and commercial properties (1)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$66,166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$ 68,699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$ 281,152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860"/>
              <w:spacing w:after="0"/>
              <w:rPr>
                <w:sz w:val="20"/>
                <w:szCs w:val="20"/>
                <w:color w:val="auto"/>
              </w:rPr>
            </w:pPr>
            <w:r>
              <w:rPr>
                <w:rFonts w:ascii="Arial" w:cs="Arial" w:eastAsia="Arial" w:hAnsi="Arial"/>
                <w:sz w:val="18"/>
                <w:szCs w:val="18"/>
                <w:color w:val="auto"/>
              </w:rPr>
              <w:t>Residential (2)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3,095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12,486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Percentage Rents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1,685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5,794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Rental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$94,548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$ 95,402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$ 371,856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$ 338,057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-172720</wp:posOffset>
            </wp:positionV>
            <wp:extent cx="20453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453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120" w:hanging="452"/>
        <w:spacing w:after="0" w:line="28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year ended December 31, 2004 and December 31, 2003, minimum rents include $3.6 million and $1.9 million, respectively, to recognize rent on a straight-line basis and includes $1.6 million and $0.3 million, respectively, to recognize income for market lease adjustments on acquired properties in accordance with SFAS 141. Fire insurance proceeds attributable to rental income lost at Santana Row as a result of the August 2002 fire of approximately $3.1 million and $8.0 million for 2004 and 2003, respectively are included in retail minimum rents. For the three months ended December 31, 2004 and December 31, 2003, minimum rents include $1.1 million and $0.9 million, respectively, to recognize rent on a straight-line basis and includes $0.5 million and $0.2 million, respectively, to recognize income for market lease adjustments on acquired properties in accordance with SFAS 141. Fire insurance proceeds attributable to rental income lost at Santana Row as a result of the August 2002 fire of approximately $0.3 million and $8.0 million for the fourth quarter of 2004 and 2003, respectively are included in retail minimum rents.</w:t>
      </w:r>
    </w:p>
    <w:p>
      <w:pPr>
        <w:spacing w:after="0" w:line="5" w:lineRule="exact"/>
        <w:rPr>
          <w:rFonts w:ascii="Arial" w:cs="Arial" w:eastAsia="Arial" w:hAnsi="Arial"/>
          <w:sz w:val="16"/>
          <w:szCs w:val="16"/>
          <w:color w:val="auto"/>
        </w:rPr>
      </w:pPr>
    </w:p>
    <w:p>
      <w:pPr>
        <w:ind w:left="460" w:right="4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Residential minimum rents comprise the rents at Rollingwood Apartments, The Crest at Congressional Apartments and the residential rents at Santana Row.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Interest Rate as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1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December 31, 2004</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 (a)</w:t>
            </w:r>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10/01/08</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164 E Houston Street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10/06/08</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09/01/09</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Federal Plaza</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06/01/11</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Tyson’s Station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09/01/11</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Barracks Road</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Hauppauge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16,484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Wildwood</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Mount Vernon</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04/15/28</w:t>
            </w:r>
          </w:p>
        </w:tc>
        <w:tc>
          <w:tcPr>
            <w:tcW w:w="2160" w:type="dxa"/>
            <w:vAlign w:val="bottom"/>
            <w:gridSpan w:val="2"/>
          </w:tcPr>
          <w:p>
            <w:pPr>
              <w:jc w:val="right"/>
              <w:ind w:right="280"/>
              <w:spacing w:after="0"/>
              <w:rPr>
                <w:sz w:val="20"/>
                <w:szCs w:val="20"/>
                <w:color w:val="auto"/>
              </w:rPr>
            </w:pPr>
            <w:r>
              <w:rPr>
                <w:rFonts w:ascii="Arial" w:cs="Arial" w:eastAsia="Arial" w:hAnsi="Arial"/>
                <w:sz w:val="18"/>
                <w:szCs w:val="18"/>
                <w:color w:val="auto"/>
              </w:rPr>
              <w:t>5.660%(b)</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12,829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Notes Payable</w:t>
            </w: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01/31/13</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various</w:t>
            </w:r>
          </w:p>
        </w:tc>
        <w:tc>
          <w:tcPr>
            <w:tcW w:w="2160" w:type="dxa"/>
            <w:vAlign w:val="bottom"/>
            <w:gridSpan w:val="2"/>
          </w:tcPr>
          <w:p>
            <w:pPr>
              <w:jc w:val="right"/>
              <w:ind w:right="620"/>
              <w:spacing w:after="0"/>
              <w:rPr>
                <w:sz w:val="20"/>
                <w:szCs w:val="20"/>
                <w:color w:val="auto"/>
              </w:rPr>
            </w:pPr>
            <w:r>
              <w:rPr>
                <w:rFonts w:ascii="Arial" w:cs="Arial" w:eastAsia="Arial" w:hAnsi="Arial"/>
                <w:sz w:val="18"/>
                <w:szCs w:val="18"/>
                <w:color w:val="auto"/>
              </w:rPr>
              <w:t>various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Unsecured Variable Rate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Revolving credit facility</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10/08/06</w:t>
            </w:r>
          </w:p>
        </w:tc>
        <w:tc>
          <w:tcPr>
            <w:tcW w:w="2160" w:type="dxa"/>
            <w:vAlign w:val="bottom"/>
            <w:gridSpan w:val="2"/>
          </w:tcPr>
          <w:p>
            <w:pPr>
              <w:ind w:left="600"/>
              <w:spacing w:after="0"/>
              <w:rPr>
                <w:sz w:val="20"/>
                <w:szCs w:val="20"/>
                <w:color w:val="auto"/>
              </w:rPr>
            </w:pPr>
            <w:r>
              <w:rPr>
                <w:rFonts w:ascii="Arial" w:cs="Arial" w:eastAsia="Arial" w:hAnsi="Arial"/>
                <w:sz w:val="18"/>
                <w:szCs w:val="18"/>
                <w:color w:val="auto"/>
              </w:rPr>
              <w:t>LIBOR + .75%(c)</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Term note with banks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10/08/06</w:t>
            </w:r>
          </w:p>
        </w:tc>
        <w:tc>
          <w:tcPr>
            <w:tcW w:w="2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LIBOR + .95%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Term note with banks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10/08/08</w:t>
            </w:r>
          </w:p>
        </w:tc>
        <w:tc>
          <w:tcPr>
            <w:tcW w:w="2160" w:type="dxa"/>
            <w:vAlign w:val="bottom"/>
            <w:gridSpan w:val="2"/>
          </w:tcPr>
          <w:p>
            <w:pPr>
              <w:ind w:left="600"/>
              <w:spacing w:after="0"/>
              <w:rPr>
                <w:sz w:val="20"/>
                <w:szCs w:val="20"/>
                <w:color w:val="auto"/>
              </w:rPr>
            </w:pPr>
            <w:r>
              <w:rPr>
                <w:rFonts w:ascii="Arial" w:cs="Arial" w:eastAsia="Arial" w:hAnsi="Arial"/>
                <w:sz w:val="18"/>
                <w:szCs w:val="18"/>
                <w:color w:val="auto"/>
              </w:rPr>
              <w:t>LIBOR + .95%(d)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Escondido (Municipal bonds)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10/01/16</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2.560%(e)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Loehmann’s Redemption Note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09/27/06</w:t>
            </w:r>
          </w:p>
        </w:tc>
        <w:tc>
          <w:tcPr>
            <w:tcW w:w="2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2.340%(f)</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Notes and Debentures</w:t>
            </w:r>
          </w:p>
        </w:tc>
        <w:tc>
          <w:tcPr>
            <w:tcW w:w="376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6.625% Notes (fixed)</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12/01/05</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6.99% Medium Term Notes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03/10/06</w:t>
            </w:r>
          </w:p>
        </w:tc>
        <w:tc>
          <w:tcPr>
            <w:tcW w:w="2160" w:type="dxa"/>
            <w:vAlign w:val="bottom"/>
            <w:gridSpan w:val="2"/>
          </w:tcPr>
          <w:p>
            <w:pPr>
              <w:jc w:val="right"/>
              <w:ind w:right="280"/>
              <w:spacing w:after="0"/>
              <w:rPr>
                <w:sz w:val="20"/>
                <w:szCs w:val="20"/>
                <w:color w:val="auto"/>
              </w:rPr>
            </w:pPr>
            <w:r>
              <w:rPr>
                <w:rFonts w:ascii="Arial" w:cs="Arial" w:eastAsia="Arial" w:hAnsi="Arial"/>
                <w:sz w:val="18"/>
                <w:szCs w:val="18"/>
                <w:color w:val="auto"/>
              </w:rPr>
              <w:t>6.894%(g)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6.125% Notes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11/15/07</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6.325%(h)</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8.75% Notes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12/01/09</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02/15/11</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7.48% Debentures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08/15/26</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08/01/27</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Less: Unamortized Debt Discount</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(2,379)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568,121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Capital Lease Obligations</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w w:val="89"/>
              </w:rPr>
              <w:t>Various through 2077(i)</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159,000</w:t>
            </w: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Fixed and Variable Rate Debt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1,304,057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annualized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interest 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 fixed rate debt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1,139,657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87.39%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60" w:type="dxa"/>
            <w:vAlign w:val="bottom"/>
            <w:gridSpan w:val="4"/>
          </w:tcPr>
          <w:p>
            <w:pPr>
              <w:ind w:left="240"/>
              <w:spacing w:after="0"/>
              <w:rPr>
                <w:sz w:val="20"/>
                <w:szCs w:val="20"/>
                <w:color w:val="auto"/>
              </w:rPr>
            </w:pPr>
            <w:r>
              <w:rPr>
                <w:rFonts w:ascii="Arial" w:cs="Arial" w:eastAsia="Arial" w:hAnsi="Arial"/>
                <w:sz w:val="18"/>
                <w:szCs w:val="18"/>
                <w:color w:val="auto"/>
              </w:rPr>
              <w:t>Total variable rate debt</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jc w:val="right"/>
              <w:ind w:right="56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164,400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12.61%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DEBT AND CAPITAL LEASES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1,304,057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-1178560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-1178560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-1178560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540" w:type="dxa"/>
            <w:vAlign w:val="bottom"/>
          </w:tcPr>
          <w:p>
            <w:pPr>
              <w:jc w:val="right"/>
              <w:ind w:right="64"/>
              <w:spacing w:after="0"/>
              <w:rPr>
                <w:sz w:val="20"/>
                <w:szCs w:val="20"/>
                <w:color w:val="auto"/>
              </w:rPr>
            </w:pPr>
            <w:r>
              <w:rPr>
                <w:rFonts w:ascii="Arial" w:cs="Arial" w:eastAsia="Arial" w:hAnsi="Arial"/>
                <w:sz w:val="14"/>
                <w:szCs w:val="14"/>
                <w:b w:val="1"/>
                <w:bCs w:val="1"/>
                <w:color w:val="auto"/>
              </w:rPr>
              <w:t>2004</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20" w:type="dxa"/>
            <w:vAlign w:val="bottom"/>
            <w:gridSpan w:val="2"/>
          </w:tcPr>
          <w:p>
            <w:pPr>
              <w:ind w:left="300"/>
              <w:spacing w:after="0"/>
              <w:rPr>
                <w:sz w:val="20"/>
                <w:szCs w:val="20"/>
                <w:color w:val="auto"/>
              </w:rPr>
            </w:pPr>
            <w:r>
              <w:rPr>
                <w:rFonts w:ascii="Arial" w:cs="Arial" w:eastAsia="Arial" w:hAnsi="Arial"/>
                <w:sz w:val="14"/>
                <w:szCs w:val="14"/>
                <w:b w:val="1"/>
                <w:bCs w:val="1"/>
                <w:color w:val="auto"/>
                <w:w w:val="96"/>
              </w:rPr>
              <w:t>2004</w:t>
            </w:r>
          </w:p>
        </w:tc>
        <w:tc>
          <w:tcPr>
            <w:tcW w:w="620" w:type="dxa"/>
            <w:vAlign w:val="bottom"/>
            <w:gridSpan w:val="2"/>
          </w:tcPr>
          <w:p>
            <w:pPr>
              <w:ind w:left="300"/>
              <w:spacing w:after="0"/>
              <w:rPr>
                <w:sz w:val="20"/>
                <w:szCs w:val="20"/>
                <w:color w:val="auto"/>
              </w:rPr>
            </w:pPr>
            <w:r>
              <w:rPr>
                <w:rFonts w:ascii="Arial" w:cs="Arial" w:eastAsia="Arial" w:hAnsi="Arial"/>
                <w:sz w:val="14"/>
                <w:szCs w:val="14"/>
                <w:b w:val="1"/>
                <w:bCs w:val="1"/>
                <w:color w:val="auto"/>
                <w:w w:val="96"/>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Operational Statistics</w:t>
            </w:r>
          </w:p>
        </w:tc>
        <w:tc>
          <w:tcPr>
            <w:tcW w:w="47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w w:val="96"/>
              </w:rPr>
              <w:t>Ratio of EBITDA to combined fixed charges and preferred share dividends (k)</w:t>
            </w: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2.51</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79"/>
              </w:rPr>
              <w:t>2.24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Ratio of Adjusted EBITDA to combined fixed charges and preferred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dividends (k)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2.37</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2.06</w:t>
            </w:r>
          </w:p>
        </w:tc>
        <w:tc>
          <w:tcPr>
            <w:tcW w:w="0" w:type="dxa"/>
            <w:vAlign w:val="bottom"/>
          </w:tcPr>
          <w:p>
            <w:pPr>
              <w:spacing w:after="0"/>
              <w:rPr>
                <w:sz w:val="1"/>
                <w:szCs w:val="1"/>
                <w:color w:val="auto"/>
              </w:rPr>
            </w:pPr>
          </w:p>
        </w:tc>
      </w:tr>
    </w:tbl>
    <w:p>
      <w:pPr>
        <w:sectPr>
          <w:pgSz w:w="11900" w:h="16857" w:orient="portrait"/>
          <w:cols w:equalWidth="0" w:num="1">
            <w:col w:w="11420"/>
          </w:cols>
          <w:pgMar w:left="240" w:top="274"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00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0075" cy="8890"/>
                    </a:xfrm>
                    <a:prstGeom prst="rect">
                      <a:avLst/>
                    </a:prstGeom>
                    <a:noFill/>
                  </pic:spPr>
                </pic:pic>
              </a:graphicData>
            </a:graphic>
          </wp:anchor>
        </w:drawing>
        <w:t>Notes:</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($14.2 million) of the $47.2 million debt of the partnership with Clarion Lion Properties Fund.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lender has the option to call the loan on April 15, 2013 or anytime thereafter.</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$300 million three-year revolving credit facility, with a one-year extension option. The weighted average effective rate for the quarter and year was 2.86% and 2.22%, respectively.</w:t>
      </w: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January 2004, the Trust purchased an interest rate swap on this note thereby locking in the LIBOR portion of the interest rate at 2.401% through October 2006.</w:t>
      </w:r>
    </w:p>
    <w:p>
      <w:pPr>
        <w:ind w:left="460" w:right="5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to be the interest rate which would enable the bonds to be remarketed at 100% of their principal amount. The weighted average interest rate for the twelve months ended December 31, 2004 was 2.71%.</w:t>
      </w:r>
    </w:p>
    <w:p>
      <w:pPr>
        <w:spacing w:after="0" w:line="1" w:lineRule="exact"/>
        <w:rPr>
          <w:rFonts w:ascii="Arial" w:cs="Arial" w:eastAsia="Arial" w:hAnsi="Arial"/>
          <w:sz w:val="16"/>
          <w:szCs w:val="16"/>
          <w:color w:val="auto"/>
        </w:rPr>
      </w:pPr>
    </w:p>
    <w:p>
      <w:pPr>
        <w:ind w:left="460" w:right="5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note bears interest at the Applicable Federal Rate established by the Internal Revenue Service for short-term debt instruments for the month of September 2004. It was paid in full on February 1, 2005.</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purchased interest rate swaps at issuance, thereby reducing the effective interest on these notes.</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w:t>
      </w:r>
    </w:p>
    <w:p>
      <w:pPr>
        <w:ind w:left="460" w:right="4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annualized interest rate on capital lease obligations as of December 31, 2004 is 8.78% on a basis of minimum rent and 11.01% including performance-based participation rent paid by the Trust.</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annualized interest rate on variable rate debt as of December 31, 2004.</w:t>
      </w:r>
    </w:p>
    <w:p>
      <w:pPr>
        <w:spacing w:after="0" w:line="9"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(through redemption) and Series B preferred shares. Adjusted EBITDA is reconciled to net income in the Glossary of Terms.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53"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1"/>
              </w:rPr>
              <w:t>Scheduled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74"/>
        </w:trPr>
        <w:tc>
          <w:tcPr>
            <w:tcW w:w="498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Maturities</w:t>
            </w:r>
          </w:p>
        </w:tc>
        <w:tc>
          <w:tcPr>
            <w:tcW w:w="100" w:type="dxa"/>
            <w:vAlign w:val="bottom"/>
          </w:tcPr>
          <w:p>
            <w:pPr>
              <w:spacing w:after="0"/>
              <w:rPr>
                <w:sz w:val="15"/>
                <w:szCs w:val="15"/>
                <w:color w:val="auto"/>
              </w:rPr>
            </w:pPr>
          </w:p>
        </w:tc>
        <w:tc>
          <w:tcPr>
            <w:tcW w:w="13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Debt Maturing</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2005</w:t>
            </w:r>
          </w:p>
        </w:tc>
        <w:tc>
          <w:tcPr>
            <w:tcW w:w="40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44,357</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2006</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204,129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209,166(1)</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154,715</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2008</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159,542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165,370</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184,496</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2010</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6,639</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2011</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118,301</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2012</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6,801</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2013</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2014</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5,771</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403,080</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1,088,119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1,304,057</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-172720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-172720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-172720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-172720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-172720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-172720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-172720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-172720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-172720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-172720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5620" w:right="2300" w:hanging="5612"/>
        <w:spacing w:after="0" w:line="440" w:lineRule="auto"/>
        <w:tabs>
          <w:tab w:leader="none" w:pos="4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 $100 million term loan and $55 million drawn under the Trust’s $300 million three-year revolving credit facility. 14</w:t>
      </w:r>
    </w:p>
    <w:p>
      <w:pPr>
        <w:sectPr>
          <w:pgSz w:w="11900" w:h="16838" w:orient="portrait"/>
          <w:cols w:equalWidth="0" w:num="1">
            <w:col w:w="11420"/>
          </w:cols>
          <w:pgMar w:left="240" w:top="274" w:right="239" w:bottom="1440" w:gutter="0" w:footer="0" w:header="0"/>
        </w:sectPr>
      </w:pPr>
    </w:p>
    <w:bookmarkStart w:id="20" w:name="page21"/>
    <w:bookmarkEnd w:id="2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 and Santana Row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1"/>
              </w:rPr>
              <w:t>Projected</w:t>
            </w:r>
          </w:p>
        </w:tc>
        <w:tc>
          <w:tcPr>
            <w:tcW w:w="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Projected</w:t>
            </w:r>
          </w:p>
        </w:tc>
        <w:tc>
          <w:tcPr>
            <w:tcW w:w="80" w:type="dxa"/>
            <w:vAlign w:val="bottom"/>
          </w:tcPr>
          <w:p>
            <w:pPr>
              <w:spacing w:after="0"/>
              <w:rPr>
                <w:sz w:val="12"/>
                <w:szCs w:val="12"/>
                <w:color w:val="auto"/>
              </w:rPr>
            </w:pPr>
          </w:p>
        </w:tc>
        <w:tc>
          <w:tcPr>
            <w:tcW w:w="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4"/>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56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Location</w:t>
            </w:r>
          </w:p>
        </w:tc>
        <w:tc>
          <w:tcPr>
            <w:tcW w:w="1320" w:type="dxa"/>
            <w:vAlign w:val="bottom"/>
          </w:tcPr>
          <w:p>
            <w:pPr>
              <w:spacing w:after="0"/>
              <w:rPr>
                <w:sz w:val="15"/>
                <w:szCs w:val="15"/>
                <w:color w:val="auto"/>
              </w:rPr>
            </w:pPr>
          </w:p>
        </w:tc>
        <w:tc>
          <w:tcPr>
            <w:tcW w:w="2340" w:type="dxa"/>
            <w:vAlign w:val="bottom"/>
            <w:gridSpan w:val="3"/>
          </w:tcPr>
          <w:p>
            <w:pPr>
              <w:ind w:left="120"/>
              <w:spacing w:after="0"/>
              <w:rPr>
                <w:sz w:val="20"/>
                <w:szCs w:val="20"/>
                <w:color w:val="auto"/>
              </w:rPr>
            </w:pPr>
            <w:r>
              <w:rPr>
                <w:rFonts w:ascii="Arial" w:cs="Arial" w:eastAsia="Arial" w:hAnsi="Arial"/>
                <w:sz w:val="14"/>
                <w:szCs w:val="14"/>
                <w:b w:val="1"/>
                <w:bCs w:val="1"/>
                <w:color w:val="auto"/>
              </w:rPr>
              <w:t>Opportunity</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ROI (2)</w:t>
            </w:r>
          </w:p>
        </w:tc>
        <w:tc>
          <w:tcPr>
            <w:tcW w:w="2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 (1)</w:t>
            </w:r>
          </w:p>
        </w:tc>
        <w:tc>
          <w:tcPr>
            <w:tcW w:w="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Projects Stabilized in 2004 (3)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Santana Row Phase II</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San Jose, CA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Two new pad sites (Best Buy and The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Container Store) and additional parking</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Street</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San Antonio, TX</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Retail and ground lease to Hotel Valencia</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Santana Row Phase III</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San Jose, CA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Pad site (theater &amp; restaurant)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Garden Market</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Western Springs, IL</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Expansion, re-tenanting (new grocer) and</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new pad site (existing drug store)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Perring Plaza</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Baltimore, MD</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Re-tenanting (sporting goods and small</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shops)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Old Town Center</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Los Gatos, CA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Re-tenanting (office) and site</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improvements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Bethesda Row</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Bethesda, MD</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New pad site (fitness equipment)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Shops at Willow Lawn</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Richmond, VA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Grocer expansion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Wildwood</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Bethesda, MD</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Pad expansion and re-tenanting (bank)</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Laurel</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Laurel, MD</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Grocer expansion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Lawrence Park</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Broomall, PA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Grocer expansion</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w w:val="86"/>
              </w:rPr>
              <w:t>Subtotal: Projects Stabilized in 2004 (3) (4)</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6"/>
              </w:rPr>
              <w:t>Projects Anticipated to Stabilize in 2005 (3)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Bala Cynwyd</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Philadelphia, PA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Grocer re-location and expansion and re-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tenanting (new health club)</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&gt;20%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Andorra</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Philadelphia, PA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Re-tenanting (new health club)</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Leesburg Plaza - Peebles</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Leesburg, VA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Re-tenanting (office supply &amp; auto supply)</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Brick Plaza</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Brick, NJ</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Re-tenanting (electronics)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Pan Am</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Fairfax, VA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w w:val="99"/>
              </w:rPr>
              <w:t>Grocer expansion, small shop re-tenanting</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and site improvements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Bristol Plaza</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Bristol, CT</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Grocer relocation, canopy and façade</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renovation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Brunswick</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North Brunswick, NJ</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Re-tenanting (new health club)</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Rutgers Plaza</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Franklin, NJ</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Grocer re-location and expansion and</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backfill of existing grocer space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Greenlawn Plaza</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Greenlawn, NY</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w w:val="99"/>
              </w:rPr>
              <w:t>Re-tenanting and new pad site (child care)</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&gt;20%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2005 (3) (4)</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6"/>
              </w:rPr>
              <w:t>Projects Anticipated to Stabilize in 2006 (3)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Santana Phase IV</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San Jose, CA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Building 7 residential re-build, 256 rental</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units.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58.4</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Mount Vernon / South Valley</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Alexandria, VA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7"/>
              </w:rPr>
              <w:t>Grocer expansion, small shop re-tenanting,</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site improvements, and addition of 3</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anchors.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Leesburg Plaza - Kmart</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Leesburg, VA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Demolish, redevelop and re-tenant former</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Kmart building, add two new pad sites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(bank &amp; restaurant).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Village of Shirlington</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Arlington, VA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8"/>
              </w:rPr>
              <w:t>New ground floor retail and parking garage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Hauppauge Shopping Center</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Hauppauge, NY</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Pad site re-tenanting (restaurant)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2006 (3) (4)</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i w:val="1"/>
                <w:iCs w:val="1"/>
                <w:color w:val="auto"/>
                <w:w w:val="92"/>
              </w:rPr>
              <w:t>Total: Projects Anticipated to Stabilize in 2004, 2005 and 2006 (3) (4)</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98.2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-4651375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-4651375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-4651375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-4651375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-4651375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-4651375</wp:posOffset>
            </wp:positionV>
            <wp:extent cx="26162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-2284730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-2284730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-2284730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-2284730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-2284730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-2284730</wp:posOffset>
            </wp:positionV>
            <wp:extent cx="26162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-329565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-329565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-329565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-329565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-329565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-329565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6162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19"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Redevelopments anticipated to stabilize in 2007 and 2008 include the final phase of Bethesda Row, Rockville Town Square, Mercer Mall, Loehmann’s Plaza, Flourtown, Galaxy, and the Shops at Willow Lawn encompassing estimated costs of $150 to $200 million. (3) (5)</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 Summary (as of Dec. 31, 2004)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w w:val="88"/>
              </w:rPr>
              <w:t>Retail Summary</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4"/>
              </w:rPr>
              <w:t>Residential Summary</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20" w:type="dxa"/>
            <w:vAlign w:val="bottom"/>
            <w:gridSpan w:val="7"/>
          </w:tcPr>
          <w:p>
            <w:pPr>
              <w:jc w:val="right"/>
              <w:ind w:right="642"/>
              <w:spacing w:after="0"/>
              <w:rPr>
                <w:sz w:val="20"/>
                <w:szCs w:val="20"/>
                <w:color w:val="auto"/>
              </w:rPr>
            </w:pPr>
            <w:r>
              <w:rPr>
                <w:rFonts w:ascii="Arial" w:cs="Arial" w:eastAsia="Arial" w:hAnsi="Arial"/>
                <w:sz w:val="14"/>
                <w:szCs w:val="14"/>
                <w:b w:val="1"/>
                <w:bCs w:val="1"/>
                <w:color w:val="auto"/>
                <w:w w:val="95"/>
              </w:rPr>
              <w:t>Financial Summary ($ millions) (8)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Anticipated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Projected</w:t>
            </w:r>
          </w:p>
        </w:tc>
        <w:tc>
          <w:tcPr>
            <w:tcW w:w="24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Cost to</w:t>
            </w: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Stabilized</w:t>
            </w:r>
          </w:p>
        </w:tc>
        <w:tc>
          <w:tcPr>
            <w:tcW w:w="94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74"/>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77"/>
              </w:rPr>
              <w:t>Stores</w:t>
            </w:r>
          </w:p>
        </w:tc>
        <w:tc>
          <w:tcPr>
            <w:tcW w:w="24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Square Feet</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 Leased</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9"/>
              </w:rPr>
              <w:t>Units</w:t>
            </w:r>
          </w:p>
        </w:tc>
        <w:tc>
          <w:tcPr>
            <w:tcW w:w="12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Rent (6)</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 Leased</w:t>
            </w:r>
          </w:p>
        </w:tc>
        <w:tc>
          <w:tcPr>
            <w:tcW w:w="120" w:type="dxa"/>
            <w:vAlign w:val="bottom"/>
          </w:tcPr>
          <w:p>
            <w:pPr>
              <w:spacing w:after="0"/>
              <w:rPr>
                <w:sz w:val="15"/>
                <w:szCs w:val="15"/>
                <w:color w:val="auto"/>
              </w:rPr>
            </w:pPr>
          </w:p>
        </w:tc>
        <w:tc>
          <w:tcPr>
            <w:tcW w:w="44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Yield (7)</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8"/>
              </w:rPr>
              <w:t>Stabilization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I - Retail, residential and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Hotel Valencia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445,212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255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$1.67 - $2.88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780" w:type="dxa"/>
            <w:vAlign w:val="bottom"/>
            <w:gridSpan w:val="3"/>
            <w:shd w:val="clear" w:color="auto" w:fill="CCEEFF"/>
          </w:tcPr>
          <w:p>
            <w:pPr>
              <w:jc w:val="center"/>
              <w:ind w:left="39"/>
              <w:spacing w:after="0"/>
              <w:rPr>
                <w:sz w:val="20"/>
                <w:szCs w:val="20"/>
                <w:color w:val="auto"/>
              </w:rPr>
            </w:pPr>
            <w:r>
              <w:rPr>
                <w:rFonts w:ascii="Arial" w:cs="Arial" w:eastAsia="Arial" w:hAnsi="Arial"/>
                <w:sz w:val="18"/>
                <w:szCs w:val="18"/>
                <w:color w:val="auto"/>
                <w:w w:val="93"/>
              </w:rPr>
              <w:t>$ 435</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Phase II - Best Buy and The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Container Store</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83,991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780" w:type="dxa"/>
            <w:vAlign w:val="bottom"/>
            <w:gridSpan w:val="3"/>
          </w:tcPr>
          <w:p>
            <w:pPr>
              <w:jc w:val="center"/>
              <w:ind w:left="39"/>
              <w:spacing w:after="0"/>
              <w:rPr>
                <w:sz w:val="20"/>
                <w:szCs w:val="20"/>
                <w:color w:val="auto"/>
              </w:rPr>
            </w:pPr>
            <w:r>
              <w:rPr>
                <w:rFonts w:ascii="Arial" w:cs="Arial" w:eastAsia="Arial" w:hAnsi="Arial"/>
                <w:sz w:val="18"/>
                <w:szCs w:val="18"/>
                <w:color w:val="auto"/>
              </w:rPr>
              <w:t>$  25</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94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III - CineArts theater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28,525</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building &amp; restaurant</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19"/>
                <w:szCs w:val="19"/>
                <w:color w:val="auto"/>
              </w:rPr>
            </w:pPr>
          </w:p>
        </w:tc>
        <w:tc>
          <w:tcPr>
            <w:tcW w:w="43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Phase IV - Building 7 residential</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re-build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n/a</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256</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$1.94 - $2.47</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3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76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 w:type="dxa"/>
            <w:vAlign w:val="bottom"/>
          </w:tcPr>
          <w:p>
            <w:pPr>
              <w:spacing w:after="0"/>
              <w:rPr>
                <w:sz w:val="8"/>
                <w:szCs w:val="8"/>
                <w:color w:val="auto"/>
              </w:rPr>
            </w:pPr>
          </w:p>
        </w:tc>
        <w:tc>
          <w:tcPr>
            <w:tcW w:w="43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557,728</w:t>
            </w: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511</w:t>
            </w:r>
          </w:p>
        </w:tc>
        <w:tc>
          <w:tcPr>
            <w:tcW w:w="1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492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6.2%</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-172720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-172720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-172720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-172720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-172720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-172720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-172720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-172720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-172720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-172720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-172720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-172720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-172720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-172720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77" w:lineRule="exact"/>
        <w:rPr>
          <w:sz w:val="20"/>
          <w:szCs w:val="20"/>
          <w:color w:val="auto"/>
        </w:rPr>
      </w:pPr>
    </w:p>
    <w:p>
      <w:pPr>
        <w:ind w:left="460" w:right="240" w:hanging="452"/>
        <w:spacing w:after="0" w:line="284" w:lineRule="auto"/>
        <w:tabs>
          <w:tab w:leader="none" w:pos="4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There is no guaranty that the Trust will ultimately complete any or all of these redevelopment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b w:val="1"/>
          <w:bCs w:val="1"/>
          <w:i w:val="1"/>
          <w:iCs w:val="1"/>
          <w:color w:val="auto"/>
        </w:rPr>
      </w:pPr>
    </w:p>
    <w:p>
      <w:pPr>
        <w:ind w:left="460" w:hanging="452"/>
        <w:spacing w:after="0" w:line="281" w:lineRule="auto"/>
        <w:tabs>
          <w:tab w:leader="none" w:pos="4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being paid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6"/>
          <w:szCs w:val="16"/>
          <w:b w:val="1"/>
          <w:bCs w:val="1"/>
          <w:i w:val="1"/>
          <w:i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Stabilization is the year in which 95% occupancy of the redeveloped space is achieved.</w:t>
      </w:r>
    </w:p>
    <w:p>
      <w:pPr>
        <w:spacing w:after="0" w:line="9"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subtotals and totals reflect cost weighted-average ROIs.</w:t>
      </w:r>
    </w:p>
    <w:p>
      <w:pPr>
        <w:spacing w:after="0" w:line="9" w:lineRule="exact"/>
        <w:rPr>
          <w:rFonts w:ascii="Arial" w:cs="Arial" w:eastAsia="Arial" w:hAnsi="Arial"/>
          <w:sz w:val="18"/>
          <w:szCs w:val="18"/>
          <w:b w:val="1"/>
          <w:bCs w:val="1"/>
          <w:i w:val="1"/>
          <w:iCs w:val="1"/>
          <w:color w:val="auto"/>
        </w:rPr>
      </w:pPr>
    </w:p>
    <w:p>
      <w:pPr>
        <w:ind w:left="460" w:right="20" w:hanging="452"/>
        <w:spacing w:after="0" w:line="250" w:lineRule="auto"/>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These future redevelopment opportunities are being explored by the Trust. There is no guaranty that the Trust will ultimately pursue or complete any or all of these opportunities.</w:t>
      </w:r>
    </w:p>
    <w:p>
      <w:pPr>
        <w:ind w:left="460" w:right="100" w:hanging="452"/>
        <w:spacing w:after="0" w:line="281" w:lineRule="auto"/>
        <w:tabs>
          <w:tab w:leader="none" w:pos="4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Range of gross rents. Market conditions have generally not required concessions on renewals, but have required concessions of up to one month on new 12 month leases. Overall average gross rent for Phase I is $2.03 per square foot per month and $2.28 per square foot per month for Phase IV. The range of rents above reflect the size and type of residential offerings for each phase.</w:t>
      </w:r>
    </w:p>
    <w:p>
      <w:pPr>
        <w:spacing w:after="0" w:line="2" w:lineRule="exact"/>
        <w:rPr>
          <w:rFonts w:ascii="Arial" w:cs="Arial" w:eastAsia="Arial" w:hAnsi="Arial"/>
          <w:sz w:val="16"/>
          <w:szCs w:val="16"/>
          <w:b w:val="1"/>
          <w:bCs w:val="1"/>
          <w:i w:val="1"/>
          <w:i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Calculated as stabilized Property Operating Income (POI) divided by cost.</w:t>
      </w:r>
    </w:p>
    <w:p>
      <w:pPr>
        <w:spacing w:after="0" w:line="9" w:lineRule="exact"/>
        <w:rPr>
          <w:rFonts w:ascii="Arial" w:cs="Arial" w:eastAsia="Arial" w:hAnsi="Arial"/>
          <w:sz w:val="18"/>
          <w:szCs w:val="18"/>
          <w:b w:val="1"/>
          <w:bCs w:val="1"/>
          <w:i w:val="1"/>
          <w:iCs w:val="1"/>
          <w:color w:val="auto"/>
        </w:rPr>
      </w:pPr>
    </w:p>
    <w:p>
      <w:pPr>
        <w:ind w:left="460" w:right="740" w:hanging="452"/>
        <w:spacing w:after="0" w:line="261" w:lineRule="auto"/>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Santana Row Phase I and Total Projected Cost and Cost to Date are net of $129 million of insurance proceeds, $11 million of which has been recognized as income in 2003 and 2004.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Realty Investment Trust Acquisitions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Property</w:t>
            </w: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Purchase price</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Anchor tenants</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Westgate Mall</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2"/>
              </w:rPr>
              <w:t>San Jose, CA</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10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1"/>
              </w:rPr>
              <w:t>Target, Safeway, Burlington Coat Factory,</w:t>
            </w: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637,211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97,000</w:t>
            </w:r>
          </w:p>
        </w:tc>
        <w:tc>
          <w:tcPr>
            <w:tcW w:w="420" w:type="dxa"/>
            <w:vAlign w:val="bottom"/>
            <w:shd w:val="clear" w:color="auto" w:fill="CCEEFF"/>
          </w:tcPr>
          <w:p>
            <w:pPr>
              <w:spacing w:after="0"/>
              <w:rPr>
                <w:sz w:val="19"/>
                <w:szCs w:val="19"/>
                <w:color w:val="auto"/>
              </w:rPr>
            </w:pPr>
          </w:p>
        </w:tc>
        <w:tc>
          <w:tcPr>
            <w:tcW w:w="3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Ross Dress for Less, Nordstrom Rack</w:t>
            </w: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September 15,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Mercer Mall (land parcel)</w:t>
            </w:r>
          </w:p>
        </w:tc>
        <w:tc>
          <w:tcPr>
            <w:tcW w:w="1040" w:type="dxa"/>
            <w:vAlign w:val="bottom"/>
          </w:tcPr>
          <w:p>
            <w:pPr>
              <w:spacing w:after="0"/>
              <w:rPr>
                <w:sz w:val="20"/>
                <w:szCs w:val="20"/>
                <w:color w:val="auto"/>
              </w:rPr>
            </w:pPr>
            <w:r>
              <w:rPr>
                <w:rFonts w:ascii="Arial" w:cs="Arial" w:eastAsia="Arial" w:hAnsi="Arial"/>
                <w:sz w:val="18"/>
                <w:szCs w:val="18"/>
                <w:color w:val="auto"/>
                <w:w w:val="89"/>
              </w:rPr>
              <w:t>Lawrenceville,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NJ</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12,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Shaw’s Plaza</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Carver, MA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Shaw’s Supermarket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December 23, 2004</w:t>
            </w:r>
          </w:p>
        </w:tc>
        <w:tc>
          <w:tcPr>
            <w:tcW w:w="3160" w:type="dxa"/>
            <w:vAlign w:val="bottom"/>
            <w:gridSpan w:val="4"/>
          </w:tcPr>
          <w:p>
            <w:pPr>
              <w:spacing w:after="0"/>
              <w:rPr>
                <w:sz w:val="20"/>
                <w:szCs w:val="20"/>
                <w:color w:val="auto"/>
              </w:rPr>
            </w:pPr>
            <w:r>
              <w:rPr>
                <w:rFonts w:ascii="Arial" w:cs="Arial" w:eastAsia="Arial" w:hAnsi="Arial"/>
                <w:sz w:val="18"/>
                <w:szCs w:val="18"/>
                <w:color w:val="auto"/>
                <w:w w:val="99"/>
              </w:rPr>
              <w:t>Mercer Mall (West Windsor land parcel)</w:t>
            </w:r>
          </w:p>
        </w:tc>
        <w:tc>
          <w:tcPr>
            <w:tcW w:w="1040" w:type="dxa"/>
            <w:vAlign w:val="bottom"/>
          </w:tcPr>
          <w:p>
            <w:pPr>
              <w:spacing w:after="0"/>
              <w:rPr>
                <w:sz w:val="20"/>
                <w:szCs w:val="20"/>
                <w:color w:val="auto"/>
              </w:rPr>
            </w:pPr>
            <w:r>
              <w:rPr>
                <w:rFonts w:ascii="Arial" w:cs="Arial" w:eastAsia="Arial" w:hAnsi="Arial"/>
                <w:sz w:val="18"/>
                <w:szCs w:val="18"/>
                <w:color w:val="auto"/>
                <w:w w:val="89"/>
              </w:rPr>
              <w:t>Lawrenceville,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NJ</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712,518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101,435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0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6"/>
              </w:rPr>
              <w:t>Joint Venture Acquisitions</w:t>
            </w:r>
          </w:p>
        </w:tc>
        <w:tc>
          <w:tcPr>
            <w:tcW w:w="2960" w:type="dxa"/>
            <w:vAlign w:val="bottom"/>
            <w:gridSpan w:val="3"/>
            <w:vMerge w:val="restart"/>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1"/>
        </w:trPr>
        <w:tc>
          <w:tcPr>
            <w:tcW w:w="2000" w:type="dxa"/>
            <w:vAlign w:val="bottom"/>
            <w:tcBorders>
              <w:bottom w:val="single" w:sz="8" w:color="auto"/>
            </w:tcBorders>
            <w:gridSpan w:val="4"/>
            <w:vMerge w:val="continue"/>
          </w:tcPr>
          <w:p>
            <w:pPr>
              <w:spacing w:after="0"/>
              <w:rPr>
                <w:sz w:val="24"/>
                <w:szCs w:val="24"/>
                <w:color w:val="auto"/>
              </w:rPr>
            </w:pPr>
          </w:p>
        </w:tc>
        <w:tc>
          <w:tcPr>
            <w:tcW w:w="296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Property</w:t>
            </w: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24"/>
                <w:szCs w:val="24"/>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Purchase price</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Anchor tenants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Plaza del Mercado</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5"/>
              </w:rPr>
              <w:t>Silver Spring,</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Giant Food, CVS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20,578(1)</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September 20,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Campus Plaza</w:t>
            </w:r>
          </w:p>
        </w:tc>
        <w:tc>
          <w:tcPr>
            <w:tcW w:w="1040" w:type="dxa"/>
            <w:vAlign w:val="bottom"/>
          </w:tcPr>
          <w:p>
            <w:pPr>
              <w:spacing w:after="0"/>
              <w:rPr>
                <w:sz w:val="20"/>
                <w:szCs w:val="20"/>
                <w:color w:val="auto"/>
              </w:rPr>
            </w:pPr>
            <w:r>
              <w:rPr>
                <w:rFonts w:ascii="Arial" w:cs="Arial" w:eastAsia="Arial" w:hAnsi="Arial"/>
                <w:sz w:val="18"/>
                <w:szCs w:val="18"/>
                <w:color w:val="auto"/>
              </w:rPr>
              <w:t>Bridgewater,</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00" w:type="dxa"/>
            <w:vAlign w:val="bottom"/>
            <w:gridSpan w:val="9"/>
          </w:tcPr>
          <w:p>
            <w:pPr>
              <w:spacing w:after="0"/>
              <w:rPr>
                <w:sz w:val="20"/>
                <w:szCs w:val="20"/>
                <w:color w:val="auto"/>
              </w:rPr>
            </w:pPr>
            <w:r>
              <w:rPr>
                <w:rFonts w:ascii="Arial" w:cs="Arial" w:eastAsia="Arial" w:hAnsi="Arial"/>
                <w:sz w:val="18"/>
                <w:szCs w:val="18"/>
                <w:color w:val="auto"/>
                <w:w w:val="95"/>
              </w:rPr>
              <w:t>Roche Brothers Supermarket, Burlington</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MA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18,450(2)</w:t>
            </w:r>
          </w:p>
        </w:tc>
        <w:tc>
          <w:tcPr>
            <w:tcW w:w="1240" w:type="dxa"/>
            <w:vAlign w:val="bottom"/>
            <w:gridSpan w:val="3"/>
          </w:tcPr>
          <w:p>
            <w:pPr>
              <w:spacing w:after="0"/>
              <w:rPr>
                <w:sz w:val="20"/>
                <w:szCs w:val="20"/>
                <w:color w:val="auto"/>
              </w:rPr>
            </w:pPr>
            <w:r>
              <w:rPr>
                <w:rFonts w:ascii="Arial" w:cs="Arial" w:eastAsia="Arial" w:hAnsi="Arial"/>
                <w:sz w:val="18"/>
                <w:szCs w:val="18"/>
                <w:color w:val="auto"/>
              </w:rPr>
              <w:t>Coat Factory</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Weymouth,</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Foodmaster Supermarket, Marshalls</w:t>
            </w: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20,275</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December 1,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Atlantic Plaza</w:t>
            </w:r>
          </w:p>
        </w:tc>
        <w:tc>
          <w:tcPr>
            <w:tcW w:w="1040" w:type="dxa"/>
            <w:vAlign w:val="bottom"/>
          </w:tcPr>
          <w:p>
            <w:pPr>
              <w:spacing w:after="0"/>
              <w:rPr>
                <w:sz w:val="20"/>
                <w:szCs w:val="20"/>
                <w:color w:val="auto"/>
              </w:rPr>
            </w:pPr>
            <w:r>
              <w:rPr>
                <w:rFonts w:ascii="Arial" w:cs="Arial" w:eastAsia="Arial" w:hAnsi="Arial"/>
                <w:sz w:val="18"/>
                <w:szCs w:val="18"/>
                <w:color w:val="auto"/>
              </w:rPr>
              <w:t>North</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00" w:type="dxa"/>
            <w:vAlign w:val="bottom"/>
            <w:gridSpan w:val="9"/>
          </w:tcPr>
          <w:p>
            <w:pPr>
              <w:spacing w:after="0"/>
              <w:rPr>
                <w:sz w:val="20"/>
                <w:szCs w:val="20"/>
                <w:color w:val="auto"/>
              </w:rPr>
            </w:pPr>
            <w:r>
              <w:rPr>
                <w:rFonts w:ascii="Arial" w:cs="Arial" w:eastAsia="Arial" w:hAnsi="Arial"/>
                <w:sz w:val="18"/>
                <w:szCs w:val="18"/>
                <w:color w:val="auto"/>
              </w:rPr>
              <w:t>Shaw’s Supermarket, Sears Hardware</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Reading, MA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16,500</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75,803</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0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87"/>
              </w:rPr>
              <w:t>Federal Realty Investment Trust Dispositions</w:t>
            </w:r>
          </w:p>
        </w:tc>
        <w:tc>
          <w:tcPr>
            <w:tcW w:w="156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3400" w:type="dxa"/>
            <w:vAlign w:val="bottom"/>
            <w:tcBorders>
              <w:bottom w:val="single" w:sz="8" w:color="auto"/>
            </w:tcBorders>
            <w:gridSpan w:val="6"/>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Property</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City / State</w:t>
            </w:r>
          </w:p>
        </w:tc>
        <w:tc>
          <w:tcPr>
            <w:tcW w:w="2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0"/>
              </w:rPr>
              <w:t>Sales Price</w:t>
            </w: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Village at Shirlington (land parcel)</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Arlington,</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VA</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June 14,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Magruder’s Center</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Rockville,</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MD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109,000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14,350(3)</w:t>
            </w:r>
          </w:p>
        </w:tc>
        <w:tc>
          <w:tcPr>
            <w:tcW w:w="0" w:type="dxa"/>
            <w:vAlign w:val="bottom"/>
          </w:tcPr>
          <w:p>
            <w:pPr>
              <w:spacing w:after="0"/>
              <w:rPr>
                <w:sz w:val="1"/>
                <w:szCs w:val="1"/>
                <w:color w:val="auto"/>
              </w:rPr>
            </w:pPr>
          </w:p>
        </w:tc>
      </w:tr>
      <w:tr>
        <w:trPr>
          <w:trHeight w:val="210"/>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2004</w:t>
            </w:r>
          </w:p>
        </w:tc>
        <w:tc>
          <w:tcPr>
            <w:tcW w:w="4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Plaza del Mercado (contribution to joint venture)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Silver</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Spring,</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20,578(1)</w:t>
            </w: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September 16,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Village at Shirlington (land parcels)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Arlington,</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VA</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2,796(4)</w:t>
            </w:r>
          </w:p>
        </w:tc>
        <w:tc>
          <w:tcPr>
            <w:tcW w:w="0" w:type="dxa"/>
            <w:vAlign w:val="bottom"/>
          </w:tcPr>
          <w:p>
            <w:pPr>
              <w:spacing w:after="0"/>
              <w:rPr>
                <w:sz w:val="1"/>
                <w:szCs w:val="1"/>
                <w:color w:val="auto"/>
              </w:rPr>
            </w:pPr>
          </w:p>
        </w:tc>
      </w:tr>
      <w:tr>
        <w:trPr>
          <w:trHeight w:val="21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15,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314-324 West Main Street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Avon, CT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December 15,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339 West Main Street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Avon, CT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15,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135 South Main Street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West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Hartford,</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December 29,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1706 Sherman Avenue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Evanston,</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IL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1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-5764530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-5764530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-5764530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-5764530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-5764530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-3474720</wp:posOffset>
            </wp:positionV>
            <wp:extent cx="108458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8458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-172720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-172720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-172720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1, 2004, we contributed Plaza del Mercado to a newly formed joint venture in which we own 30% of the equity.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price includes $725,000 paid on December 22, 2004 for a 1.5 acre vacant land parcel adjacent to the shopping center.</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14, 2004 the Magruders Center was conveyed to the City of Rockville in lieu of condemnation in order to facilitate the redevelopment of Rockville Town Square.</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September 16, 2004, we sold two unimproved parcels of land at the Village at Shirlington in conjunction with the redevelopment of the property.</w:t>
      </w:r>
    </w:p>
    <w:p>
      <w:pPr>
        <w:sectPr>
          <w:pgSz w:w="11900" w:h="16838" w:orient="portrait"/>
          <w:cols w:equalWidth="0" w:num="1">
            <w:col w:w="11420"/>
          </w:cols>
          <w:pgMar w:left="240" w:top="274"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Mortgage or</w:t>
            </w:r>
          </w:p>
        </w:tc>
        <w:tc>
          <w:tcPr>
            <w:tcW w:w="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Grocery</w:t>
            </w: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Year</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Ownership</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Capital Lease</w:t>
            </w:r>
          </w:p>
        </w:tc>
        <w:tc>
          <w:tcPr>
            <w:tcW w:w="8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Anchor</w:t>
            </w: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Property Name</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MSA Description</w:t>
            </w:r>
          </w:p>
        </w:tc>
        <w:tc>
          <w:tcPr>
            <w:tcW w:w="60" w:type="dxa"/>
            <w:vAlign w:val="bottom"/>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Acquired</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Investment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Percentage</w:t>
            </w:r>
          </w:p>
        </w:tc>
        <w:tc>
          <w:tcPr>
            <w:tcW w:w="4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GLA (1)</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 Leased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8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7"/>
              </w:rPr>
              <w:t>GLA (2) Grocery Anchor (2)</w:t>
            </w: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58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5"/>
              </w:rPr>
              <w:t>Washington Metropolitan Area</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Bethesda Row</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Giant Food</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1993-98</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81,322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12,576 40,000</w:t>
            </w: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Landmark Theater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88"/>
              </w:rPr>
              <w:t>Congressional Plaza</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Whole Foods</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Buy Buy Baby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Container Store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1965</w:t>
            </w:r>
          </w:p>
        </w:tc>
        <w:tc>
          <w:tcPr>
            <w:tcW w:w="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67,165(4)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337,000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28,000</w:t>
            </w: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Tower 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Courthouse Center</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7,587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Falls Plaza</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Giant Food</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8,148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51,000</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Falls Plaza-East</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CVS / Staples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Federal Plaza</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TJ Maxx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62,092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247,000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tcPr>
          <w:p>
            <w:pPr>
              <w:jc w:val="right"/>
              <w:spacing w:after="0"/>
              <w:rPr>
                <w:sz w:val="20"/>
                <w:szCs w:val="20"/>
                <w:color w:val="auto"/>
              </w:rPr>
            </w:pPr>
            <w:r>
              <w:rPr>
                <w:rFonts w:ascii="Arial" w:cs="Arial" w:eastAsia="Arial" w:hAnsi="Arial"/>
                <w:sz w:val="18"/>
                <w:szCs w:val="18"/>
                <w:color w:val="auto"/>
              </w:rPr>
              <w:t>35,127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CompUSA / 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Friendship Center</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Borders / Linens ‘n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Things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33,309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Maggiano’s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87"/>
              </w:rPr>
              <w:t>Gaithersburg Square</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5"/>
              </w:rPr>
              <w:t>Beyond / Borders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23,957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215,000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Idylwood Plaza</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Whole Foods</w:t>
            </w: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15,025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30,000</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Laurel</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Giant Food</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5"/>
              </w:rPr>
              <w:t>Marshalls / Toys 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46,241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387,000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61,000</w:t>
            </w: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Leesburg Plaza</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Giant Food</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Pier One / Office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21,676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9,900 55,000</w:t>
            </w: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Depot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98"/>
              </w:rPr>
              <w:t>Loehmann’s Plaza</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Bally’s / Linens ‘n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Things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45,674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251,000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Loehmann’s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Mid-Pike Plaza</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Linens ‘n Things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Toys R Us / Bally’s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17,245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AC Moore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Mount Vernon</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Shoppers Food</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22,099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236,000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2700" w:type="dxa"/>
            <w:vAlign w:val="bottom"/>
            <w:gridSpan w:val="5"/>
          </w:tcPr>
          <w:p>
            <w:pPr>
              <w:ind w:left="340"/>
              <w:spacing w:after="0"/>
              <w:rPr>
                <w:sz w:val="20"/>
                <w:szCs w:val="20"/>
                <w:color w:val="auto"/>
              </w:rPr>
            </w:pPr>
            <w:r>
              <w:rPr>
                <w:rFonts w:ascii="Arial" w:cs="Arial" w:eastAsia="Arial" w:hAnsi="Arial"/>
                <w:sz w:val="18"/>
                <w:szCs w:val="18"/>
                <w:color w:val="auto"/>
              </w:rPr>
              <w:t>12,829 54,000 Warehouse</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Old Keene Mill</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Whole Foods</w:t>
            </w: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5,159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24,000</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Pan Am</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Safeway</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Micro Center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26,286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33,000</w:t>
            </w: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Pentagon Row</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Harris Teeter</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Bally’s / Bed, Bath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&amp; Beyond / DSW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87,335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45,000</w:t>
            </w: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Plus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Pike 7</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2"/>
              </w:rPr>
              <w:t>Staples / TJ Maxx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33,605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164,000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Tower 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Quince Orchard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Magruders</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Circuit City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19,798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24,000</w:t>
            </w: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Staples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Rockville Town</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Magruders</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Square</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2,698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(signed)</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Rollingwood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Apartments</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6,725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93"/>
              </w:rPr>
              <w:t>Sam’s Park &amp; Shop</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Petco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12,101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 Valley</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Home Depot / TJ</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14,885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Maxx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Tower</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7"/>
              </w:rPr>
              <w:t>Virginia Fine Wine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18,780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 Talbots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Tyson’s Station</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Trader Joes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Village at</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Cineplex Odeon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Shirlington</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29,452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2"/>
              </w:rPr>
              <w:t>Carlyle Grand Café</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Wildwood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Balducci’s</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17,486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27,243 20,000</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Metropolitan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Area</w:t>
            </w: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732,563</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4,770,000</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0" w:gutter="0" w:footer="0" w:header="0"/>
        </w:sectPr>
      </w:pPr>
    </w:p>
    <w:bookmarkStart w:id="24" w:name="page25"/>
    <w:bookmarkEnd w:id="24"/>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Philadelphia Metropolitan Area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Andorra</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Acme Markets</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Kohl’s / Staples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 Fitness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Bala Cynwyd</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Acme Markets</w:t>
            </w:r>
          </w:p>
        </w:tc>
        <w:tc>
          <w:tcPr>
            <w:tcW w:w="1480" w:type="dxa"/>
            <w:vAlign w:val="bottom"/>
          </w:tcPr>
          <w:p>
            <w:pPr>
              <w:ind w:left="40"/>
              <w:spacing w:after="0"/>
              <w:rPr>
                <w:sz w:val="20"/>
                <w:szCs w:val="20"/>
                <w:color w:val="auto"/>
              </w:rPr>
            </w:pPr>
            <w:r>
              <w:rPr>
                <w:rFonts w:ascii="Arial" w:cs="Arial" w:eastAsia="Arial" w:hAnsi="Arial"/>
                <w:sz w:val="18"/>
                <w:szCs w:val="18"/>
                <w:color w:val="auto"/>
              </w:rPr>
              <w:t>Lord &amp; Taylor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jc w:val="right"/>
              <w:spacing w:after="0"/>
              <w:rPr>
                <w:sz w:val="20"/>
                <w:szCs w:val="20"/>
                <w:color w:val="auto"/>
              </w:rPr>
            </w:pPr>
            <w:r>
              <w:rPr>
                <w:rFonts w:ascii="Arial" w:cs="Arial" w:eastAsia="Arial" w:hAnsi="Arial"/>
                <w:sz w:val="18"/>
                <w:szCs w:val="18"/>
                <w:color w:val="auto"/>
              </w:rPr>
              <w:t>1993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25,115</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280,000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45,000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L.A. Fitness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Ellisburg Circle</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Genuardi’s</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Beyond / Stein Mart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Feasterville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Genuardi’s</w:t>
            </w:r>
          </w:p>
        </w:tc>
        <w:tc>
          <w:tcPr>
            <w:tcW w:w="1480" w:type="dxa"/>
            <w:vAlign w:val="bottom"/>
          </w:tcPr>
          <w:p>
            <w:pPr>
              <w:ind w:left="40"/>
              <w:spacing w:after="0"/>
              <w:rPr>
                <w:sz w:val="20"/>
                <w:szCs w:val="20"/>
                <w:color w:val="auto"/>
              </w:rPr>
            </w:pPr>
            <w:r>
              <w:rPr>
                <w:rFonts w:ascii="Arial" w:cs="Arial" w:eastAsia="Arial" w:hAnsi="Arial"/>
                <w:sz w:val="18"/>
                <w:szCs w:val="18"/>
                <w:color w:val="auto"/>
              </w:rPr>
              <w:t>OfficeMax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11,659</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111,000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53,000</w:t>
            </w: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Flourtown</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Genuardi’s</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92"/>
              </w:rPr>
              <w:t>Langhorne Square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Redner’s</w:t>
            </w:r>
          </w:p>
        </w:tc>
        <w:tc>
          <w:tcPr>
            <w:tcW w:w="1480" w:type="dxa"/>
            <w:vAlign w:val="bottom"/>
          </w:tcPr>
          <w:p>
            <w:pPr>
              <w:ind w:left="4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jc w:val="right"/>
              <w:spacing w:after="0"/>
              <w:rPr>
                <w:sz w:val="20"/>
                <w:szCs w:val="20"/>
                <w:color w:val="auto"/>
              </w:rPr>
            </w:pPr>
            <w:r>
              <w:rPr>
                <w:rFonts w:ascii="Arial" w:cs="Arial" w:eastAsia="Arial" w:hAnsi="Arial"/>
                <w:sz w:val="18"/>
                <w:szCs w:val="18"/>
                <w:color w:val="auto"/>
              </w:rPr>
              <w:t>1985</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17,858</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216,000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55,000</w:t>
            </w:r>
          </w:p>
        </w:tc>
        <w:tc>
          <w:tcPr>
            <w:tcW w:w="1300" w:type="dxa"/>
            <w:vAlign w:val="bottom"/>
          </w:tcPr>
          <w:p>
            <w:pPr>
              <w:ind w:left="20"/>
              <w:spacing w:after="0"/>
              <w:rPr>
                <w:sz w:val="20"/>
                <w:szCs w:val="20"/>
                <w:color w:val="auto"/>
              </w:rPr>
            </w:pPr>
            <w:r>
              <w:rPr>
                <w:rFonts w:ascii="Arial" w:cs="Arial" w:eastAsia="Arial" w:hAnsi="Arial"/>
                <w:sz w:val="18"/>
                <w:szCs w:val="18"/>
                <w:color w:val="auto"/>
                <w:w w:val="89"/>
              </w:rPr>
              <w:t>Warehouse Mkts.</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Lawrence Park</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Acme Markets</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 / TJ Maxx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26,059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Northeast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Burlington Coat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9"/>
              </w:rPr>
              <w:t>Marshalls / Tower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21,947</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292,000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Willow Grove</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Marshalls / Toys 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Wynnewood</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Genuardi’s</w:t>
            </w:r>
          </w:p>
        </w:tc>
        <w:tc>
          <w:tcPr>
            <w:tcW w:w="1480" w:type="dxa"/>
            <w:vAlign w:val="bottom"/>
          </w:tcPr>
          <w:p>
            <w:pPr>
              <w:ind w:left="4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5"/>
              </w:rPr>
              <w:t>Beyond / Borders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1996</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35,313</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255,000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720" w:type="dxa"/>
            <w:vAlign w:val="bottom"/>
          </w:tcPr>
          <w:p>
            <w:pPr>
              <w:jc w:val="right"/>
              <w:spacing w:after="0"/>
              <w:rPr>
                <w:sz w:val="20"/>
                <w:szCs w:val="20"/>
                <w:color w:val="auto"/>
              </w:rPr>
            </w:pPr>
            <w:r>
              <w:rPr>
                <w:rFonts w:ascii="Arial" w:cs="Arial" w:eastAsia="Arial" w:hAnsi="Arial"/>
                <w:sz w:val="18"/>
                <w:szCs w:val="18"/>
                <w:color w:val="auto"/>
              </w:rPr>
              <w:t>31,586</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98,000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Old Navy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Metropolitan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Area</w:t>
            </w:r>
          </w:p>
        </w:tc>
        <w:tc>
          <w:tcPr>
            <w:tcW w:w="5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224,754</w:t>
            </w:r>
          </w:p>
        </w:tc>
        <w:tc>
          <w:tcPr>
            <w:tcW w:w="9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2,444,000</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b w:val="1"/>
                <w:bCs w:val="1"/>
                <w:color w:val="auto"/>
              </w:rPr>
              <w:t>New York / New Jersey</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Allwood</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Bergen-Passaic,</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Stop &amp; Shop</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Mandee Shop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4,297</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Clifton</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w w:val="99"/>
              </w:rPr>
              <w:t>Bergen-Passaic,</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Drug Fair / Dollar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NJ</w:t>
            </w:r>
          </w:p>
        </w:tc>
        <w:tc>
          <w:tcPr>
            <w:tcW w:w="580" w:type="dxa"/>
            <w:vAlign w:val="bottom"/>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5,050</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720" w:type="dxa"/>
            <w:vAlign w:val="bottom"/>
          </w:tcPr>
          <w:p>
            <w:pPr>
              <w:jc w:val="right"/>
              <w:spacing w:after="0"/>
              <w:rPr>
                <w:sz w:val="20"/>
                <w:szCs w:val="20"/>
                <w:color w:val="auto"/>
              </w:rPr>
            </w:pPr>
            <w:r>
              <w:rPr>
                <w:rFonts w:ascii="Arial" w:cs="Arial" w:eastAsia="Arial" w:hAnsi="Arial"/>
                <w:sz w:val="18"/>
                <w:szCs w:val="18"/>
                <w:color w:val="auto"/>
              </w:rPr>
              <w:t>3,244</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Express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Star</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Middlesex-</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Shop Rite</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Kohl’s / Michaels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Somerset-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Toys R Us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Hunterdon, 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39,855</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Brunswick</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Middlesex-</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A&amp;P</w:t>
            </w:r>
          </w:p>
        </w:tc>
        <w:tc>
          <w:tcPr>
            <w:tcW w:w="1480" w:type="dxa"/>
            <w:vAlign w:val="bottom"/>
          </w:tcPr>
          <w:p>
            <w:pPr>
              <w:ind w:left="40"/>
              <w:spacing w:after="0"/>
              <w:rPr>
                <w:sz w:val="20"/>
                <w:szCs w:val="20"/>
                <w:color w:val="auto"/>
              </w:rPr>
            </w:pPr>
            <w:r>
              <w:rPr>
                <w:rFonts w:ascii="Arial" w:cs="Arial" w:eastAsia="Arial" w:hAnsi="Arial"/>
                <w:sz w:val="18"/>
                <w:szCs w:val="18"/>
                <w:color w:val="auto"/>
              </w:rPr>
              <w:t>A.J. Wright / 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Somerset-</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Fitness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Hunterdon, NJ</w:t>
            </w:r>
          </w:p>
        </w:tc>
        <w:tc>
          <w:tcPr>
            <w:tcW w:w="580" w:type="dxa"/>
            <w:vAlign w:val="bottom"/>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23,670</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303,000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720" w:type="dxa"/>
            <w:vAlign w:val="bottom"/>
          </w:tcPr>
          <w:p>
            <w:pPr>
              <w:jc w:val="right"/>
              <w:spacing w:after="0"/>
              <w:rPr>
                <w:sz w:val="20"/>
                <w:szCs w:val="20"/>
                <w:color w:val="auto"/>
              </w:rPr>
            </w:pPr>
            <w:r>
              <w:rPr>
                <w:rFonts w:ascii="Arial" w:cs="Arial" w:eastAsia="Arial" w:hAnsi="Arial"/>
                <w:sz w:val="18"/>
                <w:szCs w:val="18"/>
                <w:color w:val="auto"/>
              </w:rPr>
              <w:t>11,084</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55,000</w:t>
            </w: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Rutgers</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Middlesex-</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Stop &amp; Shop</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Kmart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Somerset-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Hunterdon, 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15,985</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Brick Plaza</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Monmouth-</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A&amp;P</w:t>
            </w:r>
          </w:p>
        </w:tc>
        <w:tc>
          <w:tcPr>
            <w:tcW w:w="1480" w:type="dxa"/>
            <w:vAlign w:val="bottom"/>
          </w:tcPr>
          <w:p>
            <w:pPr>
              <w:ind w:left="40"/>
              <w:spacing w:after="0"/>
              <w:rPr>
                <w:sz w:val="20"/>
                <w:szCs w:val="20"/>
                <w:color w:val="auto"/>
              </w:rPr>
            </w:pPr>
            <w:r>
              <w:rPr>
                <w:rFonts w:ascii="Arial" w:cs="Arial" w:eastAsia="Arial" w:hAnsi="Arial"/>
                <w:sz w:val="18"/>
                <w:szCs w:val="18"/>
                <w:color w:val="auto"/>
              </w:rPr>
              <w:t>Loews Theatre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Ocean,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1989</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55,272</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409,000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720" w:type="dxa"/>
            <w:vAlign w:val="bottom"/>
          </w:tcPr>
          <w:p>
            <w:pPr>
              <w:jc w:val="right"/>
              <w:spacing w:after="0"/>
              <w:rPr>
                <w:sz w:val="20"/>
                <w:szCs w:val="20"/>
                <w:color w:val="auto"/>
              </w:rPr>
            </w:pPr>
            <w:r>
              <w:rPr>
                <w:rFonts w:ascii="Arial" w:cs="Arial" w:eastAsia="Arial" w:hAnsi="Arial"/>
                <w:sz w:val="18"/>
                <w:szCs w:val="18"/>
                <w:color w:val="auto"/>
              </w:rPr>
              <w:t>32,533</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66,000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Sports Authority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Greenlawn Plaza</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Nassau-Suffolk,</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Waldbaum’s</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Hauppauge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Nassau-Suffolk,</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Shop Rite</w:t>
            </w:r>
          </w:p>
        </w:tc>
        <w:tc>
          <w:tcPr>
            <w:tcW w:w="1480" w:type="dxa"/>
            <w:vAlign w:val="bottom"/>
          </w:tcPr>
          <w:p>
            <w:pPr>
              <w:ind w:left="40"/>
              <w:spacing w:after="0"/>
              <w:rPr>
                <w:sz w:val="20"/>
                <w:szCs w:val="20"/>
                <w:color w:val="auto"/>
              </w:rPr>
            </w:pPr>
            <w:r>
              <w:rPr>
                <w:rFonts w:ascii="Arial" w:cs="Arial" w:eastAsia="Arial" w:hAnsi="Arial"/>
                <w:sz w:val="18"/>
                <w:szCs w:val="18"/>
                <w:color w:val="auto"/>
              </w:rPr>
              <w:t>AC Moore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NY</w:t>
            </w:r>
          </w:p>
        </w:tc>
        <w:tc>
          <w:tcPr>
            <w:tcW w:w="580" w:type="dxa"/>
            <w:vAlign w:val="bottom"/>
          </w:tcPr>
          <w:p>
            <w:pPr>
              <w:jc w:val="right"/>
              <w:spacing w:after="0"/>
              <w:rPr>
                <w:sz w:val="20"/>
                <w:szCs w:val="20"/>
                <w:color w:val="auto"/>
              </w:rPr>
            </w:pPr>
            <w:r>
              <w:rPr>
                <w:rFonts w:ascii="Arial" w:cs="Arial" w:eastAsia="Arial" w:hAnsi="Arial"/>
                <w:sz w:val="18"/>
                <w:szCs w:val="18"/>
                <w:color w:val="auto"/>
              </w:rPr>
              <w:t>1998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26,602</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rPr>
              <w:t>16,484</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61,000</w:t>
            </w: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Huntington</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Nassau-Suffolk,</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Buy Buy Baby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NY</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Toys R Us / Bed,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Bath &amp; Beyond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22,683</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Barnes &amp; Noble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Forest Hills</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New York, NY</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Midway Theatre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1997</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23,980</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88"/>
              </w:rPr>
              <w:t>Duane Reade / Gap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Fresh Meadows</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New York, NY</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Filene’s Basement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Kohl’s / Cineplex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65,183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Odeon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Troy</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Newark,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Pathmark</w:t>
            </w:r>
          </w:p>
        </w:tc>
        <w:tc>
          <w:tcPr>
            <w:tcW w:w="1480" w:type="dxa"/>
            <w:vAlign w:val="bottom"/>
          </w:tcPr>
          <w:p>
            <w:pPr>
              <w:ind w:left="40"/>
              <w:spacing w:after="0"/>
              <w:rPr>
                <w:sz w:val="20"/>
                <w:szCs w:val="20"/>
                <w:color w:val="auto"/>
              </w:rPr>
            </w:pPr>
            <w:r>
              <w:rPr>
                <w:rFonts w:ascii="Arial" w:cs="Arial" w:eastAsia="Arial" w:hAnsi="Arial"/>
                <w:sz w:val="18"/>
                <w:szCs w:val="18"/>
                <w:color w:val="auto"/>
                <w:w w:val="98"/>
              </w:rPr>
              <w:t>AC Moore / 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20,545</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64,000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USA / Toys R 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Hamilton</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Trenton, NJ</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Shop Rite</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 Moore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8,395</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Stevens Furniture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Mercer Mall</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Trenton,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Shop Rite</w:t>
            </w:r>
          </w:p>
        </w:tc>
        <w:tc>
          <w:tcPr>
            <w:tcW w:w="1480" w:type="dxa"/>
            <w:vAlign w:val="bottom"/>
          </w:tcPr>
          <w:p>
            <w:pPr>
              <w:ind w:left="4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2"/>
              </w:rPr>
              <w:t>Beyond / DSW / 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5"/>
              </w:rPr>
              <w:t>Maxx / Raymour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87,240</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493,000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720" w:type="dxa"/>
            <w:vAlign w:val="bottom"/>
          </w:tcPr>
          <w:p>
            <w:pPr>
              <w:jc w:val="right"/>
              <w:spacing w:after="0"/>
              <w:rPr>
                <w:sz w:val="20"/>
                <w:szCs w:val="20"/>
                <w:color w:val="auto"/>
              </w:rPr>
            </w:pPr>
            <w:r>
              <w:rPr>
                <w:rFonts w:ascii="Arial" w:cs="Arial" w:eastAsia="Arial" w:hAnsi="Arial"/>
                <w:sz w:val="18"/>
                <w:szCs w:val="18"/>
                <w:color w:val="auto"/>
              </w:rPr>
              <w:t>59,780</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75,000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Flanigan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Total New York</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 New Jersey</w:t>
            </w:r>
          </w:p>
        </w:tc>
        <w:tc>
          <w:tcPr>
            <w:tcW w:w="5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410,724</w:t>
            </w:r>
          </w:p>
        </w:tc>
        <w:tc>
          <w:tcPr>
            <w:tcW w:w="9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3,404,000</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Boston</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Dedham Plaza</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Boston-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243,000</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80,000</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Star Market</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Pier 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Worcester-</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Lawrence-</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5" w:name="page26"/>
    <w:bookmarkEnd w:id="25"/>
    <w:p>
      <w:pPr>
        <w:ind w:left="1540"/>
        <w:spacing w:after="0"/>
        <w:rPr>
          <w:sz w:val="20"/>
          <w:szCs w:val="20"/>
          <w:color w:val="auto"/>
        </w:rPr>
      </w:pPr>
      <w:r>
        <w:rPr>
          <w:rFonts w:ascii="Arial" w:cs="Arial" w:eastAsia="Arial" w:hAnsi="Arial"/>
          <w:sz w:val="18"/>
          <w:szCs w:val="18"/>
          <w:color w:val="auto"/>
        </w:rPr>
        <w:t>Lowell-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8"/>
          <w:szCs w:val="18"/>
          <w:color w:val="auto"/>
        </w:rPr>
        <w:t>Brockton, MA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20"/>
                <w:szCs w:val="20"/>
                <w:color w:val="auto"/>
              </w:rPr>
            </w:pPr>
            <w:r>
              <w:rPr>
                <w:rFonts w:ascii="Arial" w:cs="Arial" w:eastAsia="Arial" w:hAnsi="Arial"/>
                <w:sz w:val="18"/>
                <w:szCs w:val="18"/>
                <w:color w:val="auto"/>
                <w:w w:val="93"/>
              </w:rPr>
              <w:t>Queen Anne Plaza</w:t>
            </w:r>
          </w:p>
        </w:tc>
        <w:tc>
          <w:tcPr>
            <w:tcW w:w="1360" w:type="dxa"/>
            <w:vAlign w:val="bottom"/>
          </w:tcPr>
          <w:p>
            <w:pPr>
              <w:ind w:left="100"/>
              <w:spacing w:after="0"/>
              <w:rPr>
                <w:sz w:val="20"/>
                <w:szCs w:val="20"/>
                <w:color w:val="auto"/>
              </w:rPr>
            </w:pPr>
            <w:r>
              <w:rPr>
                <w:rFonts w:ascii="Arial" w:cs="Arial" w:eastAsia="Arial" w:hAnsi="Arial"/>
                <w:sz w:val="18"/>
                <w:szCs w:val="18"/>
                <w:color w:val="auto"/>
              </w:rPr>
              <w:t>Boston-</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Victory</w:t>
            </w:r>
          </w:p>
        </w:tc>
        <w:tc>
          <w:tcPr>
            <w:tcW w:w="1620" w:type="dxa"/>
            <w:vAlign w:val="bottom"/>
          </w:tcPr>
          <w:p>
            <w:pPr>
              <w:ind w:left="180"/>
              <w:spacing w:after="0"/>
              <w:rPr>
                <w:sz w:val="20"/>
                <w:szCs w:val="20"/>
                <w:color w:val="auto"/>
              </w:rPr>
            </w:pPr>
            <w:r>
              <w:rPr>
                <w:rFonts w:ascii="Arial" w:cs="Arial" w:eastAsia="Arial" w:hAnsi="Arial"/>
                <w:sz w:val="18"/>
                <w:szCs w:val="18"/>
                <w:color w:val="auto"/>
              </w:rPr>
              <w:t>TJ Maxx</w:t>
            </w: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Worcester-</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Supermarket</w:t>
            </w: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Lawrence-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Lowell-</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Brockton, MA</w:t>
            </w:r>
          </w:p>
        </w:tc>
        <w:tc>
          <w:tcPr>
            <w:tcW w:w="660" w:type="dxa"/>
            <w:vAlign w:val="bottom"/>
          </w:tcPr>
          <w:p>
            <w:pPr>
              <w:jc w:val="right"/>
              <w:spacing w:after="0"/>
              <w:rPr>
                <w:sz w:val="20"/>
                <w:szCs w:val="20"/>
                <w:color w:val="auto"/>
              </w:rPr>
            </w:pPr>
            <w:r>
              <w:rPr>
                <w:rFonts w:ascii="Arial" w:cs="Arial" w:eastAsia="Arial" w:hAnsi="Arial"/>
                <w:sz w:val="18"/>
                <w:szCs w:val="18"/>
                <w:color w:val="auto"/>
              </w:rPr>
              <w:t>1994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14,805</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149,000</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2160" w:type="dxa"/>
            <w:vAlign w:val="bottom"/>
          </w:tcPr>
          <w:p>
            <w:pPr>
              <w:ind w:left="480"/>
              <w:spacing w:after="0"/>
              <w:rPr>
                <w:sz w:val="20"/>
                <w:szCs w:val="20"/>
                <w:color w:val="auto"/>
              </w:rPr>
            </w:pPr>
            <w:r>
              <w:rPr>
                <w:rFonts w:ascii="Arial" w:cs="Arial" w:eastAsia="Arial" w:hAnsi="Arial"/>
                <w:sz w:val="18"/>
                <w:szCs w:val="18"/>
                <w:color w:val="auto"/>
              </w:rPr>
              <w:t>50,000</w:t>
            </w:r>
          </w:p>
        </w:tc>
        <w:tc>
          <w:tcPr>
            <w:tcW w:w="1620" w:type="dxa"/>
            <w:vAlign w:val="bottom"/>
          </w:tcPr>
          <w:p>
            <w:pPr>
              <w:spacing w:after="0"/>
              <w:rPr>
                <w:sz w:val="19"/>
                <w:szCs w:val="19"/>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Saugus Plaza</w:t>
            </w: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Boston-</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Super Stop &amp;</w:t>
            </w:r>
          </w:p>
        </w:tc>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Kmart</w:t>
            </w:r>
          </w:p>
        </w:tc>
      </w:tr>
      <w:tr>
        <w:trPr>
          <w:trHeight w:val="216"/>
        </w:trPr>
        <w:tc>
          <w:tcPr>
            <w:tcW w:w="1440" w:type="dxa"/>
            <w:vAlign w:val="bottom"/>
            <w:shd w:val="clear" w:color="auto" w:fill="CCEEFF"/>
          </w:tcPr>
          <w:p>
            <w:pPr>
              <w:spacing w:after="0"/>
              <w:rPr>
                <w:sz w:val="18"/>
                <w:szCs w:val="18"/>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Worcester-</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Shop</w:t>
            </w:r>
          </w:p>
        </w:tc>
        <w:tc>
          <w:tcPr>
            <w:tcW w:w="1620" w:type="dxa"/>
            <w:vAlign w:val="bottom"/>
            <w:shd w:val="clear" w:color="auto" w:fill="CCEEFF"/>
          </w:tcPr>
          <w:p>
            <w:pPr>
              <w:spacing w:after="0"/>
              <w:rPr>
                <w:sz w:val="18"/>
                <w:szCs w:val="18"/>
                <w:color w:val="auto"/>
              </w:rPr>
            </w:pPr>
          </w:p>
        </w:tc>
      </w:tr>
      <w:tr>
        <w:trPr>
          <w:trHeight w:val="216"/>
        </w:trPr>
        <w:tc>
          <w:tcPr>
            <w:tcW w:w="1440" w:type="dxa"/>
            <w:vAlign w:val="bottom"/>
            <w:shd w:val="clear" w:color="auto" w:fill="CCEEFF"/>
          </w:tcPr>
          <w:p>
            <w:pPr>
              <w:spacing w:after="0"/>
              <w:rPr>
                <w:sz w:val="18"/>
                <w:szCs w:val="18"/>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Lawrence-</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440" w:type="dxa"/>
            <w:vAlign w:val="bottom"/>
            <w:shd w:val="clear" w:color="auto" w:fill="CCEEFF"/>
          </w:tcPr>
          <w:p>
            <w:pPr>
              <w:spacing w:after="0"/>
              <w:rPr>
                <w:sz w:val="18"/>
                <w:szCs w:val="18"/>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Lowell-</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4"/>
        </w:trPr>
        <w:tc>
          <w:tcPr>
            <w:tcW w:w="1440" w:type="dxa"/>
            <w:vAlign w:val="bottom"/>
            <w:shd w:val="clear" w:color="auto" w:fill="CCEEFF"/>
          </w:tcPr>
          <w:p>
            <w:pPr>
              <w:spacing w:after="0"/>
              <w:rPr>
                <w:sz w:val="19"/>
                <w:szCs w:val="19"/>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Brockton, MA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55,000</w:t>
            </w:r>
          </w:p>
        </w:tc>
        <w:tc>
          <w:tcPr>
            <w:tcW w:w="1620" w:type="dxa"/>
            <w:vAlign w:val="bottom"/>
            <w:shd w:val="clear" w:color="auto" w:fill="CCEEFF"/>
          </w:tcPr>
          <w:p>
            <w:pPr>
              <w:spacing w:after="0"/>
              <w:rPr>
                <w:sz w:val="19"/>
                <w:szCs w:val="19"/>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Shaw’s Plaza</w:t>
            </w:r>
          </w:p>
        </w:tc>
        <w:tc>
          <w:tcPr>
            <w:tcW w:w="1360" w:type="dxa"/>
            <w:vAlign w:val="bottom"/>
          </w:tcPr>
          <w:p>
            <w:pPr>
              <w:ind w:left="100"/>
              <w:spacing w:after="0"/>
              <w:rPr>
                <w:sz w:val="20"/>
                <w:szCs w:val="20"/>
                <w:color w:val="auto"/>
              </w:rPr>
            </w:pPr>
            <w:r>
              <w:rPr>
                <w:rFonts w:ascii="Arial" w:cs="Arial" w:eastAsia="Arial" w:hAnsi="Arial"/>
                <w:sz w:val="18"/>
                <w:szCs w:val="18"/>
                <w:color w:val="auto"/>
              </w:rPr>
              <w:t>Boston-</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Shaw’s</w:t>
            </w: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Worcester-</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Supermarket</w:t>
            </w: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Lawrence-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Lowell-</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Brockton, MA</w:t>
            </w:r>
          </w:p>
        </w:tc>
        <w:tc>
          <w:tcPr>
            <w:tcW w:w="660" w:type="dxa"/>
            <w:vAlign w:val="bottom"/>
          </w:tcPr>
          <w:p>
            <w:pPr>
              <w:jc w:val="right"/>
              <w:spacing w:after="0"/>
              <w:rPr>
                <w:sz w:val="20"/>
                <w:szCs w:val="20"/>
                <w:color w:val="auto"/>
              </w:rPr>
            </w:pPr>
            <w:r>
              <w:rPr>
                <w:rFonts w:ascii="Arial" w:cs="Arial" w:eastAsia="Arial" w:hAnsi="Arial"/>
                <w:sz w:val="18"/>
                <w:szCs w:val="18"/>
                <w:color w:val="auto"/>
              </w:rPr>
              <w:t>2004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4,023</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2160" w:type="dxa"/>
            <w:vAlign w:val="bottom"/>
          </w:tcPr>
          <w:p>
            <w:pPr>
              <w:ind w:left="480"/>
              <w:spacing w:after="0"/>
              <w:rPr>
                <w:sz w:val="20"/>
                <w:szCs w:val="20"/>
                <w:color w:val="auto"/>
              </w:rPr>
            </w:pPr>
            <w:r>
              <w:rPr>
                <w:rFonts w:ascii="Arial" w:cs="Arial" w:eastAsia="Arial" w:hAnsi="Arial"/>
                <w:sz w:val="18"/>
                <w:szCs w:val="18"/>
                <w:color w:val="auto"/>
              </w:rPr>
              <w:t>43,000</w:t>
            </w:r>
          </w:p>
        </w:tc>
        <w:tc>
          <w:tcPr>
            <w:tcW w:w="1620" w:type="dxa"/>
            <w:vAlign w:val="bottom"/>
          </w:tcPr>
          <w:p>
            <w:pPr>
              <w:spacing w:after="0"/>
              <w:rPr>
                <w:sz w:val="19"/>
                <w:szCs w:val="19"/>
                <w:color w:val="auto"/>
              </w:rPr>
            </w:pPr>
          </w:p>
        </w:tc>
      </w:tr>
      <w:tr>
        <w:trPr>
          <w:trHeight w:val="110"/>
        </w:trPr>
        <w:tc>
          <w:tcPr>
            <w:tcW w:w="1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02"/>
        </w:trPr>
        <w:tc>
          <w:tcPr>
            <w:tcW w:w="1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6"/>
        </w:trPr>
        <w:tc>
          <w:tcPr>
            <w:tcW w:w="1440" w:type="dxa"/>
            <w:vAlign w:val="bottom"/>
            <w:shd w:val="clear" w:color="auto" w:fill="CCEEFF"/>
          </w:tcPr>
          <w:p>
            <w:pPr>
              <w:spacing w:after="0"/>
              <w:rPr>
                <w:sz w:val="18"/>
                <w:szCs w:val="18"/>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Boston</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61,984</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98%</w:t>
            </w:r>
          </w:p>
        </w:tc>
        <w:tc>
          <w:tcPr>
            <w:tcW w:w="2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363"/>
        </w:trPr>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26" w:name="page27"/>
    <w:bookmarkEnd w:id="2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Mortgage or</w:t>
            </w: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5"/>
              </w:rPr>
              <w:t>Grocery</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Ownership</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60" w:type="dxa"/>
            <w:vAlign w:val="bottom"/>
          </w:tcPr>
          <w:p>
            <w:pPr>
              <w:spacing w:after="0"/>
              <w:rPr>
                <w:sz w:val="12"/>
                <w:szCs w:val="12"/>
                <w:color w:val="auto"/>
              </w:rPr>
            </w:pPr>
          </w:p>
        </w:tc>
        <w:tc>
          <w:tcPr>
            <w:tcW w:w="4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9"/>
              </w:rPr>
              <w:t>Anchor</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Grocery</w:t>
            </w: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00" w:type="dxa"/>
            <w:vAlign w:val="bottom"/>
            <w:gridSpan w:val="8"/>
          </w:tcPr>
          <w:p>
            <w:pPr>
              <w:spacing w:after="0"/>
              <w:rPr>
                <w:sz w:val="20"/>
                <w:szCs w:val="20"/>
                <w:color w:val="auto"/>
              </w:rPr>
            </w:pPr>
            <w:r>
              <w:rPr>
                <w:rFonts w:ascii="Arial" w:cs="Arial" w:eastAsia="Arial" w:hAnsi="Arial"/>
                <w:sz w:val="14"/>
                <w:szCs w:val="14"/>
                <w:b w:val="1"/>
                <w:bCs w:val="1"/>
                <w:color w:val="auto"/>
              </w:rPr>
              <w:t>Property Name</w:t>
            </w: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MSA Description</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Investment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Percentage</w:t>
            </w: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rPr>
              <w:t>GLA (1)</w:t>
            </w: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 Leased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6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GLA (2)</w:t>
            </w: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Anchor (2)</w:t>
            </w:r>
          </w:p>
        </w:tc>
        <w:tc>
          <w:tcPr>
            <w:tcW w:w="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b w:val="1"/>
                <w:bCs w:val="1"/>
                <w:color w:val="auto"/>
                <w:w w:val="87"/>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Chicago</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Crossroads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Comp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5"/>
              </w:rPr>
              <w:t>/Golfsmith / Guitar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Chicago, IL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22,285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173,000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Center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Finley Square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Beyond / Sports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Chicago, IL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28,886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Authority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Garden Market</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Chicago, IL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11,164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140,000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93"/>
              </w:rPr>
              <w:t>63,000 Dominick’s</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Walgreens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North Lake Commons</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Chicago, IL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13,042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77,000 Dominick’s</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7"/>
              </w:rPr>
              <w:t>Total Chicago</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75,377</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00" w:type="dxa"/>
            <w:vAlign w:val="bottom"/>
            <w:gridSpan w:val="8"/>
          </w:tcPr>
          <w:p>
            <w:pPr>
              <w:spacing w:after="0"/>
              <w:rPr>
                <w:sz w:val="20"/>
                <w:szCs w:val="20"/>
                <w:color w:val="auto"/>
              </w:rPr>
            </w:pPr>
            <w:r>
              <w:rPr>
                <w:rFonts w:ascii="Arial" w:cs="Arial" w:eastAsia="Arial" w:hAnsi="Arial"/>
                <w:sz w:val="18"/>
                <w:szCs w:val="18"/>
                <w:b w:val="1"/>
                <w:bCs w:val="1"/>
                <w:color w:val="auto"/>
              </w:rPr>
              <w:t>East Region - Other</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Governor Plaza</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Bally’s / Comp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USA / Office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Baltimore, MD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18,913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Depot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Perring Plaza</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Home Depot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Shoppers</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Burlington Coat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Food</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Factory / Jo-Ann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Baltimore, MD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26,075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780" w:type="dxa"/>
            <w:vAlign w:val="bottom"/>
          </w:tcPr>
          <w:p>
            <w:pPr>
              <w:jc w:val="right"/>
              <w:spacing w:after="0"/>
              <w:rPr>
                <w:sz w:val="20"/>
                <w:szCs w:val="20"/>
                <w:color w:val="auto"/>
              </w:rPr>
            </w:pPr>
            <w:r>
              <w:rPr>
                <w:rFonts w:ascii="Arial" w:cs="Arial" w:eastAsia="Arial" w:hAnsi="Arial"/>
                <w:sz w:val="18"/>
                <w:szCs w:val="18"/>
                <w:color w:val="auto"/>
              </w:rPr>
              <w:t>401,000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90"/>
              </w:rPr>
              <w:t>58,000 Warehouse</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Barracks Road</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Harris</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8"/>
              </w:rPr>
              <w:t>Charlottesville,</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Teeter</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Beyond / Barnes &amp;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VA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40,221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22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43,727 91,000 /Kroger</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Noble / Old Navy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Gratiot Plaza</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Farmer</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3"/>
              </w:rPr>
              <w:t>Beyond / Best Buy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Detroit, MI</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1973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18,016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217,000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69,000 Jack’s</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 DSW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Bristol Plaza</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Stop &amp;</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Hartford, CT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22,155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74,000 Shop</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TJ Maxx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Lancaster</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Lancaster, PA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10,752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107,000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2280" w:type="dxa"/>
            <w:vAlign w:val="bottom"/>
            <w:gridSpan w:val="5"/>
          </w:tcPr>
          <w:p>
            <w:pPr>
              <w:ind w:left="420"/>
              <w:spacing w:after="0"/>
              <w:rPr>
                <w:sz w:val="20"/>
                <w:szCs w:val="20"/>
                <w:color w:val="auto"/>
              </w:rPr>
            </w:pPr>
            <w:r>
              <w:rPr>
                <w:rFonts w:ascii="Arial" w:cs="Arial" w:eastAsia="Arial" w:hAnsi="Arial"/>
                <w:sz w:val="18"/>
                <w:szCs w:val="18"/>
                <w:color w:val="auto"/>
                <w:w w:val="92"/>
              </w:rPr>
              <w:t>4,907 39,000 Giant Food</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Greenwich Avenue</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New Haven-</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Bridgeport-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Stamford-</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Waterbury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Saks Fifth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Winter Park</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Orlando, FL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7,169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28,000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Eastgate</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Raleigh-</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Durham-Chapel</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Hill, NC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16,714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23,000 Earth Fare</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Stein Mart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Shops at Willow Lawn</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Richmond-</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9"/>
              </w:rPr>
              <w:t>Old Navy / Tower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94"/>
              </w:rPr>
              <w:t>Petersburg, VA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61,265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780" w:type="dxa"/>
            <w:vAlign w:val="bottom"/>
          </w:tcPr>
          <w:p>
            <w:pPr>
              <w:jc w:val="right"/>
              <w:spacing w:after="0"/>
              <w:rPr>
                <w:sz w:val="20"/>
                <w:szCs w:val="20"/>
                <w:color w:val="auto"/>
              </w:rPr>
            </w:pPr>
            <w:r>
              <w:rPr>
                <w:rFonts w:ascii="Arial" w:cs="Arial" w:eastAsia="Arial" w:hAnsi="Arial"/>
                <w:sz w:val="18"/>
                <w:szCs w:val="18"/>
                <w:color w:val="auto"/>
              </w:rPr>
              <w:t>488,000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60,000 Kroger</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Records / Staples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b w:val="1"/>
                <w:bCs w:val="1"/>
                <w:color w:val="auto"/>
              </w:rPr>
              <w:t>Total East</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2"/>
              </w:rPr>
              <w:t>Region - Other</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237,276</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2,471,000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East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Region</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1,742,678</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14,482,000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West Region</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980" w:type="dxa"/>
            <w:vAlign w:val="bottom"/>
            <w:gridSpan w:val="7"/>
          </w:tcPr>
          <w:p>
            <w:pPr>
              <w:ind w:left="420"/>
              <w:spacing w:after="0"/>
              <w:rPr>
                <w:sz w:val="20"/>
                <w:szCs w:val="20"/>
                <w:color w:val="auto"/>
              </w:rPr>
            </w:pPr>
            <w:r>
              <w:rPr>
                <w:rFonts w:ascii="Arial" w:cs="Arial" w:eastAsia="Arial" w:hAnsi="Arial"/>
                <w:sz w:val="18"/>
                <w:szCs w:val="18"/>
                <w:b w:val="1"/>
                <w:bCs w:val="1"/>
                <w:color w:val="auto"/>
              </w:rPr>
              <w:t>California</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Colorado Blvd</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 Angeles-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Pottery Barn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Long Beach,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16,582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Banana Republic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Hermosa Ave</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Los Angeles-</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88"/>
              </w:rPr>
              <w:t>Long Beach, 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4,722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780" w:type="dxa"/>
            <w:vAlign w:val="bottom"/>
          </w:tcPr>
          <w:p>
            <w:pPr>
              <w:jc w:val="right"/>
              <w:spacing w:after="0"/>
              <w:rPr>
                <w:sz w:val="20"/>
                <w:szCs w:val="20"/>
                <w:color w:val="auto"/>
              </w:rPr>
            </w:pPr>
            <w:r>
              <w:rPr>
                <w:rFonts w:ascii="Arial" w:cs="Arial" w:eastAsia="Arial" w:hAnsi="Arial"/>
                <w:sz w:val="18"/>
                <w:szCs w:val="18"/>
                <w:color w:val="auto"/>
              </w:rPr>
              <w:t>23,000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Hollywood Blvd</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Hollywood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 Angeles-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Entertainment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Long Beach,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24,896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Museum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Third St Promenade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9"/>
              </w:rPr>
              <w:t>J. Crew / Banana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Republic /Old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Los Angeles-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0"/>
              </w:rPr>
              <w:t>Navy /Abercrombie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88"/>
              </w:rPr>
              <w:t>Long Beach, 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75,141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80" w:type="dxa"/>
            <w:vAlign w:val="bottom"/>
          </w:tcPr>
          <w:p>
            <w:pPr>
              <w:jc w:val="right"/>
              <w:spacing w:after="0"/>
              <w:rPr>
                <w:sz w:val="20"/>
                <w:szCs w:val="20"/>
                <w:color w:val="auto"/>
              </w:rPr>
            </w:pPr>
            <w:r>
              <w:rPr>
                <w:rFonts w:ascii="Arial" w:cs="Arial" w:eastAsia="Arial" w:hAnsi="Arial"/>
                <w:sz w:val="18"/>
                <w:szCs w:val="18"/>
                <w:color w:val="auto"/>
              </w:rPr>
              <w:t>209,000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&amp; Fitch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Escondido</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 Plus / TJ</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San Diego,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25,094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Maxx / Toys R 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Fifth Ave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97"/>
              </w:rPr>
              <w:t>San Diego, 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12,346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tcPr>
          <w:p>
            <w:pPr>
              <w:jc w:val="right"/>
              <w:spacing w:after="0"/>
              <w:rPr>
                <w:sz w:val="20"/>
                <w:szCs w:val="20"/>
                <w:color w:val="auto"/>
              </w:rPr>
            </w:pPr>
            <w:r>
              <w:rPr>
                <w:rFonts w:ascii="Arial" w:cs="Arial" w:eastAsia="Arial" w:hAnsi="Arial"/>
                <w:sz w:val="18"/>
                <w:szCs w:val="18"/>
                <w:color w:val="auto"/>
              </w:rPr>
              <w:t>51,000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Urban Outfitters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150 Post Street</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San Francisco,</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33,412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Brooks Brothers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Kings Court</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Lunardi’s</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Super</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San Jose, 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11,718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79,000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98%</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25,000 Market</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Longs Drug Store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Old Town Center</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San Jose,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33,787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Borders / Gap Kids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 Banana Republic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Westgate</w:t>
            </w: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3"/>
              </w:rPr>
              <w:t>Target / Burlington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Coat Factory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San Jose, CA</w:t>
            </w:r>
          </w:p>
        </w:tc>
        <w:tc>
          <w:tcPr>
            <w:tcW w:w="580" w:type="dxa"/>
            <w:vAlign w:val="bottom"/>
          </w:tcPr>
          <w:p>
            <w:pPr>
              <w:jc w:val="right"/>
              <w:spacing w:after="0"/>
              <w:rPr>
                <w:sz w:val="20"/>
                <w:szCs w:val="20"/>
                <w:color w:val="auto"/>
              </w:rPr>
            </w:pPr>
            <w:r>
              <w:rPr>
                <w:rFonts w:ascii="Arial" w:cs="Arial" w:eastAsia="Arial" w:hAnsi="Arial"/>
                <w:sz w:val="18"/>
                <w:szCs w:val="18"/>
                <w:color w:val="auto"/>
              </w:rPr>
              <w:t>2004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113,748</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640,000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9"/>
                <w:szCs w:val="19"/>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rPr>
              <w:t>38,000 Safeway</w:t>
            </w:r>
          </w:p>
        </w:tc>
        <w:tc>
          <w:tcPr>
            <w:tcW w:w="1560" w:type="dxa"/>
            <w:vAlign w:val="bottom"/>
          </w:tcPr>
          <w:p>
            <w:pPr>
              <w:ind w:left="160"/>
              <w:spacing w:after="0"/>
              <w:rPr>
                <w:sz w:val="20"/>
                <w:szCs w:val="20"/>
                <w:color w:val="auto"/>
              </w:rPr>
            </w:pPr>
            <w:r>
              <w:rPr>
                <w:rFonts w:ascii="Arial" w:cs="Arial" w:eastAsia="Arial" w:hAnsi="Arial"/>
                <w:sz w:val="18"/>
                <w:szCs w:val="18"/>
                <w:color w:val="auto"/>
              </w:rPr>
              <w:t>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Santana Row (Phase I, II &amp; III)</w:t>
            </w: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Crate &amp; Barrel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Container Store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Best Buy / Borders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San Jose, CA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 CineArts Theatre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California</w:t>
            </w: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854,500</w:t>
            </w: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2,198,000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gridSpan w:val="3"/>
          </w:tcPr>
          <w:p>
            <w:pPr>
              <w:ind w:left="420"/>
              <w:spacing w:after="0" w:line="176" w:lineRule="exact"/>
              <w:rPr>
                <w:sz w:val="20"/>
                <w:szCs w:val="20"/>
                <w:color w:val="auto"/>
              </w:rPr>
            </w:pPr>
            <w:r>
              <w:rPr>
                <w:rFonts w:ascii="Arial" w:cs="Arial" w:eastAsia="Arial" w:hAnsi="Arial"/>
                <w:sz w:val="18"/>
                <w:szCs w:val="18"/>
                <w:b w:val="1"/>
                <w:bCs w:val="1"/>
                <w:color w:val="auto"/>
              </w:rPr>
              <w:t>West Region - Other</w:t>
            </w: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Mill Avenue (10)</w:t>
            </w: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Phoenix-Mesa,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AZ</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Gordon Biersch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Houston St</w:t>
            </w:r>
          </w:p>
        </w:tc>
        <w:tc>
          <w:tcPr>
            <w:tcW w:w="1360" w:type="dxa"/>
            <w:vAlign w:val="bottom"/>
          </w:tcPr>
          <w:p>
            <w:pPr>
              <w:ind w:left="80"/>
              <w:spacing w:after="0"/>
              <w:rPr>
                <w:sz w:val="20"/>
                <w:szCs w:val="20"/>
                <w:color w:val="auto"/>
              </w:rPr>
            </w:pPr>
            <w:r>
              <w:rPr>
                <w:rFonts w:ascii="Arial" w:cs="Arial" w:eastAsia="Arial" w:hAnsi="Arial"/>
                <w:sz w:val="18"/>
                <w:szCs w:val="18"/>
                <w:color w:val="auto"/>
              </w:rPr>
              <w:t>San Antonio,</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Houston Street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TX</w:t>
            </w:r>
          </w:p>
        </w:tc>
        <w:tc>
          <w:tcPr>
            <w:tcW w:w="580" w:type="dxa"/>
            <w:vAlign w:val="bottom"/>
          </w:tcPr>
          <w:p>
            <w:pPr>
              <w:jc w:val="right"/>
              <w:spacing w:after="0"/>
              <w:rPr>
                <w:sz w:val="20"/>
                <w:szCs w:val="20"/>
                <w:color w:val="auto"/>
              </w:rPr>
            </w:pPr>
            <w:r>
              <w:rPr>
                <w:rFonts w:ascii="Arial" w:cs="Arial" w:eastAsia="Arial" w:hAnsi="Arial"/>
                <w:sz w:val="18"/>
                <w:szCs w:val="18"/>
                <w:color w:val="auto"/>
              </w:rPr>
              <w:t>1998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63,217</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171,000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80%</w:t>
            </w: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138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Station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Total West</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Region - Other</w:t>
            </w: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74,281</w:t>
            </w: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ind w:left="80"/>
              <w:spacing w:after="0" w:line="201" w:lineRule="exact"/>
              <w:rPr>
                <w:sz w:val="20"/>
                <w:szCs w:val="20"/>
                <w:color w:val="auto"/>
              </w:rPr>
            </w:pPr>
            <w:r>
              <w:rPr>
                <w:rFonts w:ascii="Arial" w:cs="Arial" w:eastAsia="Arial" w:hAnsi="Arial"/>
                <w:sz w:val="18"/>
                <w:szCs w:val="18"/>
                <w:b w:val="1"/>
                <w:bCs w:val="1"/>
                <w:color w:val="auto"/>
              </w:rPr>
              <w:t>Total West</w:t>
            </w: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b w:val="1"/>
                <w:bCs w:val="1"/>
                <w:color w:val="auto"/>
              </w:rPr>
              <w:t>Region</w:t>
            </w:r>
          </w:p>
        </w:tc>
        <w:tc>
          <w:tcPr>
            <w:tcW w:w="5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928,781</w:t>
            </w: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2,408,000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93%</w:t>
            </w:r>
          </w:p>
        </w:tc>
        <w:tc>
          <w:tcPr>
            <w:tcW w:w="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2,671,459</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16,890,000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410,885</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740" w:hanging="364"/>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redevelopment square footage not yet in service, Santana Row residential, future phases of Santana Row, Rollingwood and The Crest at Congressional Apartments.</w:t>
      </w: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investment includes dollars associated with the 146 units of The Crest at Congressional.</w:t>
      </w:r>
    </w:p>
    <w:p>
      <w:pPr>
        <w:spacing w:after="0" w:line="9" w:lineRule="exact"/>
        <w:rPr>
          <w:rFonts w:ascii="Arial" w:cs="Arial" w:eastAsia="Arial" w:hAnsi="Arial"/>
          <w:sz w:val="18"/>
          <w:szCs w:val="18"/>
          <w:color w:val="auto"/>
        </w:rPr>
      </w:pPr>
    </w:p>
    <w:p>
      <w:pPr>
        <w:ind w:left="460" w:right="180" w:hanging="364"/>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Currently under contract to acquire the retail square footage upon completion of development.</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nine properties, eight at 100% and one at 90%.</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four properties, three at 100% and one at 90%.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February 15, 2005, the Trust sold the two Mill Avenue properties.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 by Metropolitan Area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03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7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7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Washington Metro</w:t>
            </w:r>
          </w:p>
        </w:tc>
        <w:tc>
          <w:tcPr>
            <w:tcW w:w="275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California (2)</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51,231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New York / New Jersey</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Philadelphia</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29,640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(3)</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Operating Income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1,506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030" w:type="dxa"/>
            <w:vAlign w:val="bottom"/>
            <w:gridSpan w:val="2"/>
          </w:tcPr>
          <w:p>
            <w:pPr>
              <w:jc w:val="right"/>
              <w:ind w:right="20"/>
              <w:spacing w:after="0"/>
              <w:rPr>
                <w:sz w:val="20"/>
                <w:szCs w:val="20"/>
                <w:color w:val="auto"/>
              </w:rPr>
            </w:pPr>
            <w:r>
              <w:rPr>
                <w:rFonts w:ascii="Arial" w:cs="Arial" w:eastAsia="Arial" w:hAnsi="Arial"/>
                <w:sz w:val="18"/>
                <w:szCs w:val="18"/>
                <w:color w:val="auto"/>
              </w:rPr>
              <w:t>(85,058)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030" w:type="dxa"/>
            <w:vAlign w:val="bottom"/>
            <w:gridSpan w:val="2"/>
          </w:tcPr>
          <w:p>
            <w:pPr>
              <w:jc w:val="right"/>
              <w:ind w:right="20"/>
              <w:spacing w:after="0"/>
              <w:rPr>
                <w:sz w:val="20"/>
                <w:szCs w:val="20"/>
                <w:color w:val="auto"/>
              </w:rPr>
            </w:pPr>
            <w:r>
              <w:rPr>
                <w:rFonts w:ascii="Arial" w:cs="Arial" w:eastAsia="Arial" w:hAnsi="Arial"/>
                <w:sz w:val="18"/>
                <w:szCs w:val="18"/>
                <w:color w:val="auto"/>
              </w:rPr>
              <w:t>(89,709)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Results From Discontinued Operations</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15,182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7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750" w:type="dxa"/>
            <w:vAlign w:val="bottom"/>
            <w:gridSpan w:val="3"/>
            <w:shd w:val="clear" w:color="auto" w:fill="CCEEFF"/>
          </w:tcPr>
          <w:p>
            <w:pPr>
              <w:ind w:left="2600"/>
              <w:spacing w:after="0"/>
              <w:rPr>
                <w:sz w:val="20"/>
                <w:szCs w:val="20"/>
                <w:color w:val="auto"/>
              </w:rPr>
            </w:pPr>
            <w:r>
              <w:rPr>
                <w:rFonts w:ascii="Arial" w:cs="Arial" w:eastAsia="Arial" w:hAnsi="Arial"/>
                <w:sz w:val="18"/>
                <w:szCs w:val="18"/>
                <w:b w:val="1"/>
                <w:bCs w:val="1"/>
                <w:color w:val="auto"/>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7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Property Operating Income consists of rental income, other property income and mortgage interest income, less rental expenses and real estate taxes. The amounts exclude the operating results from discontinued operations.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Santanta Row fire insurance proceeds of approximately $3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Comprised of properties located in regions that have fewer than five properties.</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274"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 - Comparable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Renewal Lease Summary - Comparable (2) (7)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of Total</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Cash Basis</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 Increase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Basis % Increase</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86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Tenant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Signed</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GLA Signed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w w:val="86"/>
              </w:rPr>
              <w:t>Per Sq. Ft.</w:t>
            </w: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5"/>
              </w:rPr>
              <w:t>Increase in Rent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Over Prior Rent</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Term (5)</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Improvements (6)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212,409</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533,083</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392,568</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183,428</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24.44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893,800</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190,135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219,919</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544,693</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529,924</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102,220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252,272</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70,000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717,976</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2,223,848</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1,182,627</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3620" w:type="dxa"/>
            <w:vAlign w:val="bottom"/>
            <w:gridSpan w:val="11"/>
          </w:tcPr>
          <w:p>
            <w:pPr>
              <w:spacing w:after="0"/>
              <w:rPr>
                <w:sz w:val="20"/>
                <w:szCs w:val="20"/>
                <w:color w:val="auto"/>
              </w:rPr>
            </w:pPr>
            <w:r>
              <w:rPr>
                <w:rFonts w:ascii="Arial" w:cs="Arial" w:eastAsia="Arial" w:hAnsi="Arial"/>
                <w:sz w:val="18"/>
                <w:szCs w:val="18"/>
                <w:b w:val="1"/>
                <w:bCs w:val="1"/>
                <w:color w:val="auto"/>
              </w:rPr>
              <w:t>New Lease Summary - Comparable (2)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of Total</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Cash Basis %</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GLA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Increase Over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Basis % Increase</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86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Tenant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Signed</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Signed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w w:val="86"/>
              </w:rPr>
              <w:t>Per Sq. Ft.</w:t>
            </w: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5"/>
              </w:rPr>
              <w:t>Increase in Rent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Prior Rent</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Over Prior Rent</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Term (5)</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Improvements (6)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185,703</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830,620</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3,616,757</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225,497</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791,958</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5,302,465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261,186</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617,736</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3,694,856</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272,835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948,063</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2,754,080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945,221</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3,188,377</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15,368,158</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3620" w:type="dxa"/>
            <w:vAlign w:val="bottom"/>
            <w:gridSpan w:val="11"/>
          </w:tcPr>
          <w:p>
            <w:pPr>
              <w:spacing w:after="0"/>
              <w:rPr>
                <w:sz w:val="20"/>
                <w:szCs w:val="20"/>
                <w:color w:val="auto"/>
              </w:rPr>
            </w:pPr>
            <w:r>
              <w:rPr>
                <w:rFonts w:ascii="Arial" w:cs="Arial" w:eastAsia="Arial" w:hAnsi="Arial"/>
                <w:sz w:val="18"/>
                <w:szCs w:val="18"/>
                <w:b w:val="1"/>
                <w:bCs w:val="1"/>
                <w:color w:val="auto"/>
              </w:rPr>
              <w:t>Total Lease Summary - Comparable (2)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of Total</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Cash Basis %</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GLA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Increase Over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Basis % Increase</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86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Tenant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Signed</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Signed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w w:val="86"/>
              </w:rPr>
              <w:t>Per Sq. Ft.</w:t>
            </w: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5"/>
              </w:rPr>
              <w:t>Increase in Rent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Prior Rent</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Over Prior Rent</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Term (5)</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Improvements (6)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398,112</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1,363,703</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4,009,325</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408,925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1,685,758</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5,492,600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481,105</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1,162,429</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4,224,780</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375,055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1,200,335</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2,824,080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1,663,197</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5,412,225</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16,550,785</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-5249545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-5249545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-5249545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-5249545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-5249545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-5249545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-5249545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-5249545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-5249545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-5249545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-5249545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-5249545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-5249545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-5249545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-5249545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-5249545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-5249545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-5249545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-5249545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-5249545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-5249545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-5249545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-5249545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-5249545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-5249545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-5249545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-5249545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-2711450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-2711450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-2711450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-2711450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-2711450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-2711450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-2711450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-2711450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-2711450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-2711450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-2711450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-2711450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-2711450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-2711450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-2711450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-2711450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-2711450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-2711450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-2711450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-2711450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-2711450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-2711450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-2711450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-2711450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-2711450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-2711450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-2711450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-172720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-172720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-172720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-172720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-172720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-172720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-172720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-172720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-172720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-172720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-172720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-172720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-172720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-172720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-172720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-172720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-172720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-172720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-172720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-172720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All other leases are categorized as new.</w:t>
      </w:r>
    </w:p>
    <w:p>
      <w:pPr>
        <w:sectPr>
          <w:pgSz w:w="11900" w:h="16838" w:orient="portrait"/>
          <w:cols w:equalWidth="0" w:num="1">
            <w:col w:w="11420"/>
          </w:cols>
          <w:pgMar w:left="240" w:top="274" w:right="239" w:bottom="1089"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74" w:right="239" w:bottom="1089"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 - Non-Comparable Basis (cash, non-straight-lined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Non-Comparable (2)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Contractual</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Number of</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74"/>
        </w:trPr>
        <w:tc>
          <w:tcPr>
            <w:tcW w:w="45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79"/>
              </w:rPr>
              <w:t>Leases Signed</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GLA Signed</w:t>
            </w:r>
          </w:p>
        </w:tc>
        <w:tc>
          <w:tcPr>
            <w:tcW w:w="3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Lease Term (4)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Improvements (5)</w:t>
            </w: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56,078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1,178,515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3rd Quarter 2004</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8,609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5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14,816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1st Quarter 2004</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78,843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5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158,346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-172720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-172720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-172720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-172720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-172720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-172720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-172720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-172720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15"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Non-comparable leases represent those leases signed on spaces for which there was no former tenant, or expansion square footage for leases rolling over for which there was no former tenant.</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w w:val="92"/>
              </w:rPr>
              <w:t>Anchor Tenants (1)</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Small Shop Tenants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70" w:type="dxa"/>
            <w:vAlign w:val="bottom"/>
          </w:tcPr>
          <w:p>
            <w:pPr>
              <w:spacing w:after="0"/>
              <w:rPr>
                <w:sz w:val="15"/>
                <w:szCs w:val="15"/>
                <w:color w:val="auto"/>
              </w:rPr>
            </w:pPr>
          </w:p>
        </w:tc>
        <w:tc>
          <w:tcPr>
            <w:tcW w:w="7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 of Anchor</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Minimum Rent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 of Small</w:t>
            </w:r>
          </w:p>
        </w:tc>
        <w:tc>
          <w:tcPr>
            <w:tcW w:w="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Minimum Rent</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 of Total</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Expiring SF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Expiring SF</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Expiring SF</w:t>
            </w:r>
          </w:p>
        </w:tc>
        <w:tc>
          <w:tcPr>
            <w:tcW w:w="300" w:type="dxa"/>
            <w:vAlign w:val="bottom"/>
          </w:tcPr>
          <w:p>
            <w:pPr>
              <w:spacing w:after="0"/>
              <w:rPr>
                <w:sz w:val="15"/>
                <w:szCs w:val="15"/>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70" w:type="dxa"/>
            <w:vAlign w:val="bottom"/>
          </w:tcPr>
          <w:p>
            <w:pPr>
              <w:spacing w:after="0"/>
              <w:rPr>
                <w:sz w:val="15"/>
                <w:szCs w:val="15"/>
                <w:color w:val="auto"/>
              </w:rPr>
            </w:pPr>
          </w:p>
        </w:tc>
        <w:tc>
          <w:tcPr>
            <w:tcW w:w="750" w:type="dxa"/>
            <w:vAlign w:val="bottom"/>
            <w:gridSpan w:val="2"/>
          </w:tcPr>
          <w:p>
            <w:pPr>
              <w:ind w:left="7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2005</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2006</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820,000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1,324,000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2007</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1,879,000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2008</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900,000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13%</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1,646,000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2009</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1,167,000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2,096,000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2010</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566,000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1,073,000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2011</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415,000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2013</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18.06</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277,000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21.89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2,747,000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3,122,000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9,031,000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6,746,000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15,777,000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84"/>
              </w:rPr>
              <w:t>Assumes lease options are exercised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w w:val="92"/>
              </w:rPr>
              <w:t>Anchor Tenants (1)</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Small Shop Tenants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7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7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Anchor</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Minimum Rent</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 of Small</w:t>
            </w:r>
          </w:p>
        </w:tc>
        <w:tc>
          <w:tcPr>
            <w:tcW w:w="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Minimum Rent</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 of Total</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Expiring SF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Expiring SF</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Expiring SF</w:t>
            </w:r>
          </w:p>
        </w:tc>
        <w:tc>
          <w:tcPr>
            <w:tcW w:w="300" w:type="dxa"/>
            <w:vAlign w:val="bottom"/>
          </w:tcPr>
          <w:p>
            <w:pPr>
              <w:spacing w:after="0"/>
              <w:rPr>
                <w:sz w:val="15"/>
                <w:szCs w:val="15"/>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70" w:type="dxa"/>
            <w:vAlign w:val="bottom"/>
          </w:tcPr>
          <w:p>
            <w:pPr>
              <w:spacing w:after="0"/>
              <w:rPr>
                <w:sz w:val="15"/>
                <w:szCs w:val="15"/>
                <w:color w:val="auto"/>
              </w:rPr>
            </w:pPr>
          </w:p>
        </w:tc>
        <w:tc>
          <w:tcPr>
            <w:tcW w:w="750" w:type="dxa"/>
            <w:vAlign w:val="bottom"/>
            <w:gridSpan w:val="2"/>
          </w:tcPr>
          <w:p>
            <w:pPr>
              <w:ind w:left="7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2005</w:t>
            </w:r>
          </w:p>
        </w:tc>
        <w:tc>
          <w:tcPr>
            <w:tcW w:w="8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2006</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11.08</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485,000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24.08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2007</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2008</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546,000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2009</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2010</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13.42</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399,000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21.83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2011</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433,000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2013</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13.26</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394,000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27.11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20.67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7,352,000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2,024,000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9,375,000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9,031,000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6,746,000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15,777,000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-3208655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-3208655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-3208655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-3208655</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-3208655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-3208655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-3208655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-3208655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-3208655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-3208655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-3208655</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-3208655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-3208655</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-3208655</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-3208655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-3208655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-3208655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-3208655</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-3208655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-3208655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-3208655</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-172720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-172720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-172720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-172720</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-172720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-172720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-172720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-172720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-172720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-172720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-172720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-172720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-172720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-172720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-172720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-172720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Minimum Rent reflects in-place contractual rent as of December 31,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occupied square footage as of December 31,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w w:val="88"/>
              </w:rPr>
              <w:t>At December 31, 2004</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w w:val="88"/>
              </w:rPr>
              <w:t>At December 31, 2003</w:t>
            </w:r>
          </w:p>
        </w:tc>
        <w:tc>
          <w:tcPr>
            <w:tcW w:w="620" w:type="dxa"/>
            <w:vAlign w:val="bottom"/>
          </w:tcPr>
          <w:p>
            <w:pPr>
              <w:spacing w:after="0"/>
              <w:rPr>
                <w:sz w:val="15"/>
                <w:szCs w:val="15"/>
                <w:color w:val="auto"/>
              </w:rPr>
            </w:pPr>
          </w:p>
        </w:tc>
      </w:tr>
      <w:tr>
        <w:trPr>
          <w:trHeight w:val="95"/>
        </w:trPr>
        <w:tc>
          <w:tcPr>
            <w:tcW w:w="56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568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w w:val="99"/>
              </w:rPr>
              <w:t>Size</w:t>
            </w:r>
          </w:p>
        </w:tc>
        <w:tc>
          <w:tcPr>
            <w:tcW w:w="1380" w:type="dxa"/>
            <w:vAlign w:val="bottom"/>
          </w:tcPr>
          <w:p>
            <w:pPr>
              <w:ind w:left="620"/>
              <w:spacing w:after="0"/>
              <w:rPr>
                <w:sz w:val="20"/>
                <w:szCs w:val="20"/>
                <w:color w:val="auto"/>
              </w:rPr>
            </w:pPr>
            <w:r>
              <w:rPr>
                <w:rFonts w:ascii="Arial" w:cs="Arial" w:eastAsia="Arial" w:hAnsi="Arial"/>
                <w:sz w:val="14"/>
                <w:szCs w:val="14"/>
                <w:b w:val="1"/>
                <w:bCs w:val="1"/>
                <w:color w:val="auto"/>
              </w:rPr>
              <w:t>Leased</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86"/>
              </w:rPr>
              <w:t>Leased %</w:t>
            </w:r>
          </w:p>
        </w:tc>
        <w:tc>
          <w:tcPr>
            <w:tcW w:w="36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w w:val="99"/>
              </w:rPr>
              <w:t>Size</w:t>
            </w:r>
          </w:p>
        </w:tc>
        <w:tc>
          <w:tcPr>
            <w:tcW w:w="1380" w:type="dxa"/>
            <w:vAlign w:val="bottom"/>
          </w:tcPr>
          <w:p>
            <w:pPr>
              <w:ind w:left="600"/>
              <w:spacing w:after="0"/>
              <w:rPr>
                <w:sz w:val="20"/>
                <w:szCs w:val="20"/>
                <w:color w:val="auto"/>
              </w:rPr>
            </w:pPr>
            <w:r>
              <w:rPr>
                <w:rFonts w:ascii="Arial" w:cs="Arial" w:eastAsia="Arial" w:hAnsi="Arial"/>
                <w:sz w:val="14"/>
                <w:szCs w:val="14"/>
                <w:b w:val="1"/>
                <w:bCs w:val="1"/>
                <w:color w:val="auto"/>
              </w:rPr>
              <w:t>Leased</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86"/>
              </w:rPr>
              <w:t>Leased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9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60325</wp:posOffset>
            </wp:positionV>
            <wp:extent cx="350774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16,890,000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16,069,000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16,234,000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15,120,000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Residential Properties (3)</w:t>
            </w:r>
          </w:p>
        </w:tc>
        <w:tc>
          <w:tcPr>
            <w:tcW w:w="800" w:type="dxa"/>
            <w:vAlign w:val="bottom"/>
          </w:tcPr>
          <w:p>
            <w:pPr>
              <w:jc w:val="right"/>
              <w:spacing w:after="0"/>
              <w:rPr>
                <w:sz w:val="20"/>
                <w:szCs w:val="20"/>
                <w:color w:val="auto"/>
              </w:rPr>
            </w:pPr>
            <w:r>
              <w:rPr>
                <w:rFonts w:ascii="Arial" w:cs="Arial" w:eastAsia="Arial" w:hAnsi="Arial"/>
                <w:sz w:val="18"/>
                <w:szCs w:val="18"/>
                <w:color w:val="auto"/>
              </w:rPr>
              <w:t>683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780" w:type="dxa"/>
            <w:vAlign w:val="bottom"/>
          </w:tcPr>
          <w:p>
            <w:pPr>
              <w:jc w:val="right"/>
              <w:spacing w:after="0"/>
              <w:rPr>
                <w:sz w:val="20"/>
                <w:szCs w:val="20"/>
                <w:color w:val="auto"/>
              </w:rPr>
            </w:pPr>
            <w:r>
              <w:rPr>
                <w:rFonts w:ascii="Arial" w:cs="Arial" w:eastAsia="Arial" w:hAnsi="Arial"/>
                <w:sz w:val="18"/>
                <w:szCs w:val="18"/>
                <w:color w:val="auto"/>
              </w:rPr>
              <w:t>683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385"/>
        </w:trPr>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2000" w:type="dxa"/>
            <w:vAlign w:val="bottom"/>
            <w:gridSpan w:val="4"/>
          </w:tcPr>
          <w:p>
            <w:pPr>
              <w:ind w:left="660"/>
              <w:spacing w:after="0"/>
              <w:rPr>
                <w:sz w:val="20"/>
                <w:szCs w:val="20"/>
                <w:color w:val="auto"/>
              </w:rPr>
            </w:pPr>
            <w:r>
              <w:rPr>
                <w:rFonts w:ascii="Arial" w:cs="Arial" w:eastAsia="Arial" w:hAnsi="Arial"/>
                <w:sz w:val="14"/>
                <w:szCs w:val="14"/>
                <w:b w:val="1"/>
                <w:bCs w:val="1"/>
                <w:color w:val="auto"/>
                <w:w w:val="91"/>
              </w:rPr>
              <w:t>At December 31, 2004</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4"/>
          </w:tcPr>
          <w:p>
            <w:pPr>
              <w:ind w:left="660"/>
              <w:spacing w:after="0"/>
              <w:rPr>
                <w:sz w:val="20"/>
                <w:szCs w:val="20"/>
                <w:color w:val="auto"/>
              </w:rPr>
            </w:pPr>
            <w:r>
              <w:rPr>
                <w:rFonts w:ascii="Arial" w:cs="Arial" w:eastAsia="Arial" w:hAnsi="Arial"/>
                <w:sz w:val="14"/>
                <w:szCs w:val="14"/>
                <w:b w:val="1"/>
                <w:bCs w:val="1"/>
                <w:color w:val="auto"/>
                <w:w w:val="91"/>
              </w:rPr>
              <w:t>At December 31, 2003</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gridSpan w:val="2"/>
          </w:tcPr>
          <w:p>
            <w:pPr>
              <w:spacing w:after="0"/>
              <w:rPr>
                <w:sz w:val="8"/>
                <w:szCs w:val="8"/>
                <w:color w:val="auto"/>
              </w:rPr>
            </w:pPr>
          </w:p>
        </w:tc>
        <w:tc>
          <w:tcPr>
            <w:tcW w:w="1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80" w:type="dxa"/>
            <w:vAlign w:val="bottom"/>
            <w:gridSpan w:val="4"/>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22"/>
                <w:szCs w:val="22"/>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Leased %</w:t>
            </w:r>
          </w:p>
        </w:tc>
        <w:tc>
          <w:tcPr>
            <w:tcW w:w="78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22"/>
                <w:szCs w:val="22"/>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Leased</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Leased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12,282,000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11,889,000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12,197,000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11,719,000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Residential Properties (3)</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Rollingwood, Santana Row residential and The Crest at Congressional Apartments for overall portfolio. Does not include Santana Row residential for Same Center.</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Percentage of</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Annualized Base</w:t>
            </w: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74"/>
        </w:trPr>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Rank</w:t>
            </w:r>
          </w:p>
        </w:tc>
        <w:tc>
          <w:tcPr>
            <w:tcW w:w="4920" w:type="dxa"/>
            <w:vAlign w:val="bottom"/>
            <w:gridSpan w:val="4"/>
          </w:tcPr>
          <w:p>
            <w:pPr>
              <w:ind w:left="140"/>
              <w:spacing w:after="0"/>
              <w:rPr>
                <w:sz w:val="20"/>
                <w:szCs w:val="20"/>
                <w:color w:val="auto"/>
              </w:rPr>
            </w:pPr>
            <w:r>
              <w:rPr>
                <w:rFonts w:ascii="Arial" w:cs="Arial" w:eastAsia="Arial" w:hAnsi="Arial"/>
                <w:sz w:val="14"/>
                <w:szCs w:val="14"/>
                <w:b w:val="1"/>
                <w:bCs w:val="1"/>
                <w:color w:val="auto"/>
              </w:rPr>
              <w:t>Tenant Name</w:t>
            </w:r>
          </w:p>
        </w:tc>
        <w:tc>
          <w:tcPr>
            <w:tcW w:w="80" w:type="dxa"/>
            <w:vAlign w:val="bottom"/>
          </w:tcPr>
          <w:p>
            <w:pPr>
              <w:spacing w:after="0"/>
              <w:rPr>
                <w:sz w:val="15"/>
                <w:szCs w:val="15"/>
                <w:color w:val="auto"/>
              </w:rPr>
            </w:pPr>
          </w:p>
        </w:tc>
        <w:tc>
          <w:tcPr>
            <w:tcW w:w="13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Rent</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Base Rent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Tenant GLA</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Safeway,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6,510,000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Gap,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6,271,000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800" w:type="dxa"/>
            <w:vAlign w:val="bottom"/>
          </w:tcPr>
          <w:p>
            <w:pPr>
              <w:jc w:val="right"/>
              <w:spacing w:after="0"/>
              <w:rPr>
                <w:sz w:val="20"/>
                <w:szCs w:val="20"/>
                <w:color w:val="auto"/>
              </w:rPr>
            </w:pPr>
            <w:r>
              <w:rPr>
                <w:rFonts w:ascii="Arial" w:cs="Arial" w:eastAsia="Arial" w:hAnsi="Arial"/>
                <w:sz w:val="18"/>
                <w:szCs w:val="18"/>
                <w:color w:val="auto"/>
              </w:rPr>
              <w:t>224,000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Ahold USA,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6,133,000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Bed, Bath &amp; Beyond,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5,619,000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800" w:type="dxa"/>
            <w:vAlign w:val="bottom"/>
          </w:tcPr>
          <w:p>
            <w:pPr>
              <w:jc w:val="right"/>
              <w:spacing w:after="0"/>
              <w:rPr>
                <w:sz w:val="20"/>
                <w:szCs w:val="20"/>
                <w:color w:val="auto"/>
              </w:rPr>
            </w:pPr>
            <w:r>
              <w:rPr>
                <w:rFonts w:ascii="Arial" w:cs="Arial" w:eastAsia="Arial" w:hAnsi="Arial"/>
                <w:sz w:val="18"/>
                <w:szCs w:val="18"/>
                <w:color w:val="auto"/>
              </w:rPr>
              <w:t>396,000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TJX Companies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4,202,000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Barnes &amp; Noble,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3,697,000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800" w:type="dxa"/>
            <w:vAlign w:val="bottom"/>
          </w:tcPr>
          <w:p>
            <w:pPr>
              <w:jc w:val="right"/>
              <w:spacing w:after="0"/>
              <w:rPr>
                <w:sz w:val="20"/>
                <w:szCs w:val="20"/>
                <w:color w:val="auto"/>
              </w:rPr>
            </w:pPr>
            <w:r>
              <w:rPr>
                <w:rFonts w:ascii="Arial" w:cs="Arial" w:eastAsia="Arial" w:hAnsi="Arial"/>
                <w:sz w:val="18"/>
                <w:szCs w:val="18"/>
                <w:color w:val="auto"/>
              </w:rPr>
              <w:t>174,000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CVS Corporation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3,597,000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Best Buy Stores, L.P.</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3,484,000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800" w:type="dxa"/>
            <w:vAlign w:val="bottom"/>
          </w:tcPr>
          <w:p>
            <w:pPr>
              <w:jc w:val="right"/>
              <w:spacing w:after="0"/>
              <w:rPr>
                <w:sz w:val="20"/>
                <w:szCs w:val="20"/>
                <w:color w:val="auto"/>
              </w:rPr>
            </w:pPr>
            <w:r>
              <w:rPr>
                <w:rFonts w:ascii="Arial" w:cs="Arial" w:eastAsia="Arial" w:hAnsi="Arial"/>
                <w:sz w:val="18"/>
                <w:szCs w:val="18"/>
                <w:color w:val="auto"/>
              </w:rPr>
              <w:t>101,000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0.60%</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Wakefern Food Corporation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3,077,000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Retail Ventures (DSW/Filene’s Basement)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2,994,000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800" w:type="dxa"/>
            <w:vAlign w:val="bottom"/>
          </w:tcPr>
          <w:p>
            <w:pPr>
              <w:jc w:val="right"/>
              <w:spacing w:after="0"/>
              <w:rPr>
                <w:sz w:val="20"/>
                <w:szCs w:val="20"/>
                <w:color w:val="auto"/>
              </w:rPr>
            </w:pPr>
            <w:r>
              <w:rPr>
                <w:rFonts w:ascii="Arial" w:cs="Arial" w:eastAsia="Arial" w:hAnsi="Arial"/>
                <w:sz w:val="18"/>
                <w:szCs w:val="18"/>
                <w:color w:val="auto"/>
              </w:rPr>
              <w:t>155,000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Borders Group,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2,780,000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Michaels Stores,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2,480,000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0.86%</w:t>
            </w:r>
          </w:p>
        </w:tc>
        <w:tc>
          <w:tcPr>
            <w:tcW w:w="800" w:type="dxa"/>
            <w:vAlign w:val="bottom"/>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0.98%</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OPNET Technologies,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2,478,000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MTS, Inc. (Tower Records)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2,399,000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800" w:type="dxa"/>
            <w:vAlign w:val="bottom"/>
          </w:tcPr>
          <w:p>
            <w:pPr>
              <w:jc w:val="right"/>
              <w:spacing w:after="0"/>
              <w:rPr>
                <w:sz w:val="20"/>
                <w:szCs w:val="20"/>
                <w:color w:val="auto"/>
              </w:rPr>
            </w:pPr>
            <w:r>
              <w:rPr>
                <w:rFonts w:ascii="Arial" w:cs="Arial" w:eastAsia="Arial" w:hAnsi="Arial"/>
                <w:sz w:val="18"/>
                <w:szCs w:val="18"/>
                <w:color w:val="auto"/>
              </w:rPr>
              <w:t>91,000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Great Atlantic &amp; Pacific Tea Co</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CompUSA,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2,371,000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0.82%</w:t>
            </w:r>
          </w:p>
        </w:tc>
        <w:tc>
          <w:tcPr>
            <w:tcW w:w="800" w:type="dxa"/>
            <w:vAlign w:val="bottom"/>
          </w:tcPr>
          <w:p>
            <w:pPr>
              <w:jc w:val="right"/>
              <w:spacing w:after="0"/>
              <w:rPr>
                <w:sz w:val="20"/>
                <w:szCs w:val="20"/>
                <w:color w:val="auto"/>
              </w:rPr>
            </w:pPr>
            <w:r>
              <w:rPr>
                <w:rFonts w:ascii="Arial" w:cs="Arial" w:eastAsia="Arial" w:hAnsi="Arial"/>
                <w:sz w:val="18"/>
                <w:szCs w:val="18"/>
                <w:color w:val="auto"/>
              </w:rPr>
              <w:t>134,000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The Container Store,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Home Depot,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2,207,000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0.76%</w:t>
            </w:r>
          </w:p>
        </w:tc>
        <w:tc>
          <w:tcPr>
            <w:tcW w:w="800" w:type="dxa"/>
            <w:vAlign w:val="bottom"/>
          </w:tcPr>
          <w:p>
            <w:pPr>
              <w:jc w:val="right"/>
              <w:spacing w:after="0"/>
              <w:rPr>
                <w:sz w:val="20"/>
                <w:szCs w:val="20"/>
                <w:color w:val="auto"/>
              </w:rPr>
            </w:pPr>
            <w:r>
              <w:rPr>
                <w:rFonts w:ascii="Arial" w:cs="Arial" w:eastAsia="Arial" w:hAnsi="Arial"/>
                <w:sz w:val="18"/>
                <w:szCs w:val="18"/>
                <w:color w:val="auto"/>
              </w:rPr>
              <w:t>218,000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Albertsons,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2,147,000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Dress Barn,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2,125,000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800" w:type="dxa"/>
            <w:vAlign w:val="bottom"/>
          </w:tcPr>
          <w:p>
            <w:pPr>
              <w:jc w:val="right"/>
              <w:spacing w:after="0"/>
              <w:rPr>
                <w:sz w:val="20"/>
                <w:szCs w:val="20"/>
                <w:color w:val="auto"/>
              </w:rPr>
            </w:pPr>
            <w:r>
              <w:rPr>
                <w:rFonts w:ascii="Arial" w:cs="Arial" w:eastAsia="Arial" w:hAnsi="Arial"/>
                <w:sz w:val="18"/>
                <w:szCs w:val="18"/>
                <w:color w:val="auto"/>
              </w:rPr>
              <w:t>109,000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0.65%</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Bally’s Health &amp; Tennis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2,095,000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Toys R Us,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2,079,000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0.72%</w:t>
            </w:r>
          </w:p>
        </w:tc>
        <w:tc>
          <w:tcPr>
            <w:tcW w:w="800" w:type="dxa"/>
            <w:vAlign w:val="bottom"/>
          </w:tcPr>
          <w:p>
            <w:pPr>
              <w:jc w:val="right"/>
              <w:spacing w:after="0"/>
              <w:rPr>
                <w:sz w:val="20"/>
                <w:szCs w:val="20"/>
                <w:color w:val="auto"/>
              </w:rPr>
            </w:pPr>
            <w:r>
              <w:rPr>
                <w:rFonts w:ascii="Arial" w:cs="Arial" w:eastAsia="Arial" w:hAnsi="Arial"/>
                <w:sz w:val="18"/>
                <w:szCs w:val="18"/>
                <w:color w:val="auto"/>
              </w:rPr>
              <w:t>259,000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Dollar Tree Stores,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2,059,000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Office Depot,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2,050,000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0.71%</w:t>
            </w:r>
          </w:p>
        </w:tc>
        <w:tc>
          <w:tcPr>
            <w:tcW w:w="800" w:type="dxa"/>
            <w:vAlign w:val="bottom"/>
          </w:tcPr>
          <w:p>
            <w:pPr>
              <w:jc w:val="right"/>
              <w:spacing w:after="0"/>
              <w:rPr>
                <w:sz w:val="20"/>
                <w:szCs w:val="20"/>
                <w:color w:val="auto"/>
              </w:rPr>
            </w:pPr>
            <w:r>
              <w:rPr>
                <w:rFonts w:ascii="Arial" w:cs="Arial" w:eastAsia="Arial" w:hAnsi="Arial"/>
                <w:sz w:val="18"/>
                <w:szCs w:val="18"/>
                <w:color w:val="auto"/>
              </w:rPr>
              <w:t>142,000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0.84%</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Staples,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2,004,000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Totals - Top 25 Tenants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79,517,000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5,126,000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8"/>
              </w:rPr>
              <w:t>289,199,000(1)</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16,890,000(2)</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-309880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-309880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-309880</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-309880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-309880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-309880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-309880</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-309880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-309880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-309880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-309880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annual in-place contractual rent as of December 31, 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2005 EPS to 2005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millions except per share amounts)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Forecast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2"/>
              </w:rPr>
              <w:t>Depreciation and amortization of real estate &amp; joint venture assets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to</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89"/>
              </w:rPr>
              <w:t>Funds from operations available for common shareholders per share</w:t>
            </w:r>
          </w:p>
        </w:tc>
        <w:tc>
          <w:tcPr>
            <w:tcW w:w="3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3.01</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600" w:type="dxa"/>
            <w:vAlign w:val="bottom"/>
          </w:tcPr>
          <w:p>
            <w:pPr>
              <w:jc w:val="right"/>
              <w:ind w:right="32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-600710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-600710</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-600710</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-600710</wp:posOffset>
            </wp:positionV>
            <wp:extent cx="31305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ectPr>
          <w:pgSz w:w="11900" w:h="16838" w:orient="portrait"/>
          <w:cols w:equalWidth="0" w:num="1">
            <w:col w:w="10860"/>
          </w:cols>
          <w:pgMar w:left="240" w:top="274" w:right="7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Clarion Lion Properties Fund</w:t>
      </w:r>
    </w:p>
    <w:p>
      <w:pPr>
        <w:spacing w:after="0" w:line="18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274"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 and Balance Sheet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OPERATING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2"/>
              </w:rPr>
              <w:t>Inception (July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05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99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5550" w:type="dxa"/>
            <w:vAlign w:val="bottom"/>
            <w:gridSpan w:val="2"/>
          </w:tcPr>
          <w:p>
            <w:pPr>
              <w:ind w:left="5400"/>
              <w:spacing w:after="0"/>
              <w:rPr>
                <w:sz w:val="20"/>
                <w:szCs w:val="20"/>
                <w:color w:val="auto"/>
              </w:rPr>
            </w:pPr>
            <w:r>
              <w:rPr>
                <w:rFonts w:ascii="Arial" w:cs="Arial" w:eastAsia="Arial" w:hAnsi="Arial"/>
                <w:sz w:val="18"/>
                <w:szCs w:val="18"/>
                <w:color w:val="auto"/>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2,476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54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Real estate taxes</w:t>
            </w:r>
          </w:p>
        </w:tc>
        <w:tc>
          <w:tcPr>
            <w:tcW w:w="54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5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w:t>
            </w:r>
          </w:p>
        </w:tc>
        <w:tc>
          <w:tcPr>
            <w:tcW w:w="54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4820" w:type="dxa"/>
            <w:vAlign w:val="bottom"/>
            <w:gridSpan w:val="3"/>
            <w:vMerge w:val="continue"/>
          </w:tcPr>
          <w:p>
            <w:pPr>
              <w:spacing w:after="0"/>
              <w:rPr>
                <w:sz w:val="24"/>
                <w:szCs w:val="24"/>
                <w:color w:val="auto"/>
              </w:rPr>
            </w:pP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5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99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20" w:type="dxa"/>
            <w:vAlign w:val="bottom"/>
            <w:gridSpan w:val="3"/>
          </w:tcPr>
          <w:p>
            <w:pPr>
              <w:spacing w:after="0"/>
              <w:rPr>
                <w:sz w:val="20"/>
                <w:szCs w:val="20"/>
                <w:color w:val="auto"/>
              </w:rPr>
            </w:pPr>
            <w:r>
              <w:rPr>
                <w:rFonts w:ascii="Arial" w:cs="Arial" w:eastAsia="Arial" w:hAnsi="Arial"/>
                <w:sz w:val="18"/>
                <w:szCs w:val="18"/>
                <w:color w:val="auto"/>
              </w:rPr>
              <w:t>Real estate, at cost</w:t>
            </w:r>
          </w:p>
        </w:tc>
        <w:tc>
          <w:tcPr>
            <w:tcW w:w="5550" w:type="dxa"/>
            <w:vAlign w:val="bottom"/>
            <w:gridSpan w:val="2"/>
          </w:tcPr>
          <w:p>
            <w:pPr>
              <w:ind w:left="5400"/>
              <w:spacing w:after="0"/>
              <w:rPr>
                <w:sz w:val="20"/>
                <w:szCs w:val="20"/>
                <w:color w:val="auto"/>
              </w:rPr>
            </w:pPr>
            <w:r>
              <w:rPr>
                <w:rFonts w:ascii="Arial" w:cs="Arial" w:eastAsia="Arial" w:hAnsi="Arial"/>
                <w:sz w:val="18"/>
                <w:szCs w:val="18"/>
                <w:color w:val="auto"/>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80,970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4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55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Pr>
          <w:p>
            <w:pPr>
              <w:spacing w:after="0"/>
              <w:rPr>
                <w:sz w:val="9"/>
                <w:szCs w:val="9"/>
                <w:color w:val="auto"/>
              </w:rPr>
            </w:pPr>
          </w:p>
        </w:tc>
        <w:tc>
          <w:tcPr>
            <w:tcW w:w="9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2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Mortgages</w:t>
            </w:r>
          </w:p>
        </w:tc>
        <w:tc>
          <w:tcPr>
            <w:tcW w:w="555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54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6,544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Partners’ Capital</w:t>
            </w: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32,103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555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400" w:type="dxa"/>
            <w:vAlign w:val="bottom"/>
            <w:vMerge w:val="restart"/>
          </w:tcPr>
          <w:p>
            <w:pPr>
              <w:ind w:left="800"/>
              <w:spacing w:after="0"/>
              <w:rPr>
                <w:sz w:val="20"/>
                <w:szCs w:val="20"/>
                <w:color w:val="auto"/>
              </w:rPr>
            </w:pPr>
            <w:r>
              <w:rPr>
                <w:rFonts w:ascii="Arial" w:cs="Arial" w:eastAsia="Arial" w:hAnsi="Arial"/>
                <w:sz w:val="18"/>
                <w:szCs w:val="18"/>
                <w:color w:val="auto"/>
              </w:rPr>
              <w:t>27</w:t>
            </w: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-4313555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-4313555</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-4313555</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-1878330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-1878330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-1878330</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as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4"/>
        </w:trPr>
        <w:tc>
          <w:tcPr>
            <w:tcW w:w="12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320" w:type="dxa"/>
            <w:vAlign w:val="bottom"/>
            <w:gridSpan w:val="3"/>
          </w:tcPr>
          <w:p>
            <w:pPr>
              <w:ind w:left="580"/>
              <w:spacing w:after="0"/>
              <w:rPr>
                <w:sz w:val="20"/>
                <w:szCs w:val="20"/>
                <w:color w:val="auto"/>
              </w:rPr>
            </w:pPr>
            <w:r>
              <w:rPr>
                <w:rFonts w:ascii="Arial" w:cs="Arial" w:eastAsia="Arial" w:hAnsi="Arial"/>
                <w:sz w:val="14"/>
                <w:szCs w:val="14"/>
                <w:b w:val="1"/>
                <w:bCs w:val="1"/>
                <w:color w:val="auto"/>
              </w:rPr>
              <w:t>December 31, 2004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Balance</w:t>
            </w:r>
          </w:p>
        </w:tc>
      </w:tr>
      <w:tr>
        <w:trPr>
          <w:trHeight w:val="95"/>
        </w:trPr>
        <w:tc>
          <w:tcPr>
            <w:tcW w:w="12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r>
      <w:tr>
        <w:trPr>
          <w:trHeight w:val="250"/>
        </w:trPr>
        <w:tc>
          <w:tcPr>
            <w:tcW w:w="124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w:t>
            </w:r>
          </w:p>
        </w:tc>
        <w:tc>
          <w:tcPr>
            <w:tcW w:w="49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Secured Fixed Rate</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Campus Plaza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12/01/09</w:t>
            </w:r>
          </w:p>
        </w:tc>
        <w:tc>
          <w:tcPr>
            <w:tcW w:w="5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4.530%(a)</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Pleasant Shops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12/01/09</w:t>
            </w:r>
          </w:p>
        </w:tc>
        <w:tc>
          <w:tcPr>
            <w:tcW w:w="580" w:type="dxa"/>
            <w:vAlign w:val="bottom"/>
          </w:tcPr>
          <w:p>
            <w:pPr>
              <w:spacing w:after="0"/>
              <w:rPr>
                <w:sz w:val="18"/>
                <w:szCs w:val="18"/>
                <w:color w:val="auto"/>
              </w:rPr>
            </w:pP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4.530%(a)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12,400</w:t>
            </w: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07/05/14</w:t>
            </w:r>
          </w:p>
        </w:tc>
        <w:tc>
          <w:tcPr>
            <w:tcW w:w="5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5.770%(b)</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r>
      <w:tr>
        <w:trPr>
          <w:trHeight w:val="222"/>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Atlantic Plaza</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12/01/14</w:t>
            </w:r>
          </w:p>
        </w:tc>
        <w:tc>
          <w:tcPr>
            <w:tcW w:w="580" w:type="dxa"/>
            <w:vAlign w:val="bottom"/>
          </w:tcPr>
          <w:p>
            <w:pPr>
              <w:spacing w:after="0"/>
              <w:rPr>
                <w:sz w:val="19"/>
                <w:szCs w:val="19"/>
                <w:color w:val="auto"/>
              </w:rPr>
            </w:pP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5.120%(a)</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102"/>
        </w:trPr>
        <w:tc>
          <w:tcPr>
            <w:tcW w:w="12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12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62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Fixed Rate Debt</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r>
      <w:tr>
        <w:trPr>
          <w:trHeight w:val="129"/>
        </w:trPr>
        <w:tc>
          <w:tcPr>
            <w:tcW w:w="12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-27305</wp:posOffset>
            </wp:positionV>
            <wp:extent cx="52705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Scheduled</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74"/>
        </w:trPr>
        <w:tc>
          <w:tcPr>
            <w:tcW w:w="3160" w:type="dxa"/>
            <w:vAlign w:val="bottom"/>
            <w:gridSpan w:val="4"/>
          </w:tcPr>
          <w:p>
            <w:pPr>
              <w:ind w:left="580"/>
              <w:spacing w:after="0"/>
              <w:rPr>
                <w:sz w:val="20"/>
                <w:szCs w:val="20"/>
                <w:color w:val="auto"/>
              </w:rPr>
            </w:pPr>
            <w:r>
              <w:rPr>
                <w:rFonts w:ascii="Arial" w:cs="Arial" w:eastAsia="Arial" w:hAnsi="Arial"/>
                <w:sz w:val="14"/>
                <w:szCs w:val="14"/>
                <w:b w:val="1"/>
                <w:bCs w:val="1"/>
                <w:color w:val="auto"/>
              </w:rPr>
              <w:t>Year</w:t>
            </w:r>
          </w:p>
        </w:tc>
        <w:tc>
          <w:tcPr>
            <w:tcW w:w="17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Debt Maturing</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Debt Maturing</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2004</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2005</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2007</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740" w:type="dxa"/>
            <w:vAlign w:val="bottom"/>
            <w:gridSpan w:val="4"/>
          </w:tcPr>
          <w:p>
            <w:pPr>
              <w:jc w:val="right"/>
              <w:ind w:right="240"/>
              <w:spacing w:after="0"/>
              <w:rPr>
                <w:sz w:val="20"/>
                <w:szCs w:val="20"/>
                <w:color w:val="auto"/>
              </w:rPr>
            </w:pPr>
            <w:r>
              <w:rPr>
                <w:rFonts w:ascii="Arial" w:cs="Arial" w:eastAsia="Arial" w:hAnsi="Arial"/>
                <w:sz w:val="18"/>
                <w:szCs w:val="18"/>
                <w:color w:val="auto"/>
              </w:rPr>
              <w:t>0.2%</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2008</w:t>
            </w:r>
          </w:p>
        </w:tc>
        <w:tc>
          <w:tcPr>
            <w:tcW w:w="258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86"/>
              </w:rPr>
              <w:t>175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2009</w:t>
            </w:r>
          </w:p>
        </w:tc>
        <w:tc>
          <w:tcPr>
            <w:tcW w:w="2580" w:type="dxa"/>
            <w:vAlign w:val="bottom"/>
            <w:gridSpan w:val="3"/>
          </w:tcPr>
          <w:p>
            <w:pPr>
              <w:ind w:left="2300"/>
              <w:spacing w:after="0"/>
              <w:rPr>
                <w:sz w:val="20"/>
                <w:szCs w:val="20"/>
                <w:color w:val="auto"/>
              </w:rPr>
            </w:pPr>
            <w:r>
              <w:rPr>
                <w:rFonts w:ascii="Arial" w:cs="Arial" w:eastAsia="Arial" w:hAnsi="Arial"/>
                <w:sz w:val="18"/>
                <w:szCs w:val="18"/>
                <w:color w:val="auto"/>
                <w:w w:val="86"/>
              </w:rPr>
              <w:t>185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23,400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23,585</w:t>
            </w:r>
          </w:p>
        </w:tc>
        <w:tc>
          <w:tcPr>
            <w:tcW w:w="1740" w:type="dxa"/>
            <w:vAlign w:val="bottom"/>
            <w:gridSpan w:val="4"/>
          </w:tcPr>
          <w:p>
            <w:pPr>
              <w:jc w:val="right"/>
              <w:ind w:right="240"/>
              <w:spacing w:after="0"/>
              <w:rPr>
                <w:sz w:val="20"/>
                <w:szCs w:val="20"/>
                <w:color w:val="auto"/>
              </w:rPr>
            </w:pPr>
            <w:r>
              <w:rPr>
                <w:rFonts w:ascii="Arial" w:cs="Arial" w:eastAsia="Arial" w:hAnsi="Arial"/>
                <w:sz w:val="18"/>
                <w:szCs w:val="18"/>
                <w:color w:val="auto"/>
              </w:rPr>
              <w:t>49.9%</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2010</w:t>
            </w:r>
          </w:p>
        </w:tc>
        <w:tc>
          <w:tcPr>
            <w:tcW w:w="258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86"/>
              </w:rPr>
              <w:t>196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2011</w:t>
            </w:r>
          </w:p>
        </w:tc>
        <w:tc>
          <w:tcPr>
            <w:tcW w:w="2580" w:type="dxa"/>
            <w:vAlign w:val="bottom"/>
            <w:gridSpan w:val="3"/>
          </w:tcPr>
          <w:p>
            <w:pPr>
              <w:ind w:left="2300"/>
              <w:spacing w:after="0"/>
              <w:rPr>
                <w:sz w:val="20"/>
                <w:szCs w:val="20"/>
                <w:color w:val="auto"/>
              </w:rPr>
            </w:pPr>
            <w:r>
              <w:rPr>
                <w:rFonts w:ascii="Arial" w:cs="Arial" w:eastAsia="Arial" w:hAnsi="Arial"/>
                <w:sz w:val="18"/>
                <w:szCs w:val="18"/>
                <w:color w:val="auto"/>
                <w:w w:val="86"/>
              </w:rPr>
              <w:t>208</w:t>
            </w:r>
          </w:p>
        </w:tc>
        <w:tc>
          <w:tcPr>
            <w:tcW w:w="4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740" w:type="dxa"/>
            <w:vAlign w:val="bottom"/>
            <w:gridSpan w:val="4"/>
          </w:tcPr>
          <w:p>
            <w:pPr>
              <w:jc w:val="right"/>
              <w:ind w:right="240"/>
              <w:spacing w:after="0"/>
              <w:rPr>
                <w:sz w:val="20"/>
                <w:szCs w:val="20"/>
                <w:color w:val="auto"/>
              </w:rPr>
            </w:pPr>
            <w:r>
              <w:rPr>
                <w:rFonts w:ascii="Arial" w:cs="Arial" w:eastAsia="Arial" w:hAnsi="Arial"/>
                <w:sz w:val="18"/>
                <w:szCs w:val="18"/>
                <w:color w:val="auto"/>
              </w:rPr>
              <w:t>0.4%</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2012</w:t>
            </w:r>
          </w:p>
        </w:tc>
        <w:tc>
          <w:tcPr>
            <w:tcW w:w="258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86"/>
              </w:rPr>
              <w:t>220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2013</w:t>
            </w:r>
          </w:p>
        </w:tc>
        <w:tc>
          <w:tcPr>
            <w:tcW w:w="2580" w:type="dxa"/>
            <w:vAlign w:val="bottom"/>
            <w:gridSpan w:val="3"/>
          </w:tcPr>
          <w:p>
            <w:pPr>
              <w:ind w:left="2300"/>
              <w:spacing w:after="0"/>
              <w:rPr>
                <w:sz w:val="20"/>
                <w:szCs w:val="20"/>
                <w:color w:val="auto"/>
              </w:rPr>
            </w:pPr>
            <w:r>
              <w:rPr>
                <w:rFonts w:ascii="Arial" w:cs="Arial" w:eastAsia="Arial" w:hAnsi="Arial"/>
                <w:sz w:val="18"/>
                <w:szCs w:val="18"/>
                <w:color w:val="auto"/>
                <w:w w:val="86"/>
              </w:rPr>
              <w:t>233</w:t>
            </w:r>
          </w:p>
        </w:tc>
        <w:tc>
          <w:tcPr>
            <w:tcW w:w="4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740" w:type="dxa"/>
            <w:vAlign w:val="bottom"/>
            <w:gridSpan w:val="4"/>
          </w:tcPr>
          <w:p>
            <w:pPr>
              <w:jc w:val="right"/>
              <w:ind w:right="240"/>
              <w:spacing w:after="0"/>
              <w:rPr>
                <w:sz w:val="20"/>
                <w:szCs w:val="20"/>
                <w:color w:val="auto"/>
              </w:rPr>
            </w:pPr>
            <w:r>
              <w:rPr>
                <w:rFonts w:ascii="Arial" w:cs="Arial" w:eastAsia="Arial" w:hAnsi="Arial"/>
                <w:sz w:val="18"/>
                <w:szCs w:val="18"/>
                <w:color w:val="auto"/>
              </w:rPr>
              <w:t>0.5%</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258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86"/>
              </w:rPr>
              <w:t>142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1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47.7%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$1,429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$ 45,796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1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-172720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-172720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-172720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-172720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-172720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-172720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-172720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-172720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-172720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-172720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Loan is interest only until July 5, 2007, after which principal and interest payments are due based on a 30-year amortization schedule.</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60"/>
          </w:cols>
          <w:pgMar w:left="240" w:top="274" w:right="7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Acquisitions and Dispositions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2300" w:type="dxa"/>
            <w:vAlign w:val="bottom"/>
            <w:gridSpan w:val="3"/>
          </w:tcPr>
          <w:p>
            <w:pPr>
              <w:ind w:left="180"/>
              <w:spacing w:after="0"/>
              <w:rPr>
                <w:sz w:val="20"/>
                <w:szCs w:val="20"/>
                <w:color w:val="auto"/>
              </w:rPr>
            </w:pPr>
            <w:r>
              <w:rPr>
                <w:rFonts w:ascii="Arial" w:cs="Arial" w:eastAsia="Arial" w:hAnsi="Arial"/>
                <w:sz w:val="14"/>
                <w:szCs w:val="14"/>
                <w:b w:val="1"/>
                <w:bCs w:val="1"/>
                <w:color w:val="auto"/>
              </w:rPr>
              <w:t>Property</w:t>
            </w:r>
          </w:p>
        </w:tc>
        <w:tc>
          <w:tcPr>
            <w:tcW w:w="3240" w:type="dxa"/>
            <w:vAlign w:val="bottom"/>
            <w:gridSpan w:val="3"/>
          </w:tcPr>
          <w:p>
            <w:pPr>
              <w:ind w:left="560"/>
              <w:spacing w:after="0"/>
              <w:rPr>
                <w:sz w:val="20"/>
                <w:szCs w:val="20"/>
                <w:color w:val="auto"/>
              </w:rPr>
            </w:pPr>
            <w:r>
              <w:rPr>
                <w:rFonts w:ascii="Arial" w:cs="Arial" w:eastAsia="Arial" w:hAnsi="Arial"/>
                <w:sz w:val="14"/>
                <w:szCs w:val="14"/>
                <w:b w:val="1"/>
                <w:bCs w:val="1"/>
                <w:color w:val="auto"/>
              </w:rPr>
              <w:t>City / State</w:t>
            </w: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Purchase price</w:t>
            </w:r>
          </w:p>
        </w:tc>
        <w:tc>
          <w:tcPr>
            <w:tcW w:w="2480" w:type="dxa"/>
            <w:vAlign w:val="bottom"/>
            <w:gridSpan w:val="3"/>
          </w:tcPr>
          <w:p>
            <w:pPr>
              <w:ind w:left="100"/>
              <w:spacing w:after="0"/>
              <w:rPr>
                <w:sz w:val="20"/>
                <w:szCs w:val="20"/>
                <w:color w:val="auto"/>
              </w:rPr>
            </w:pPr>
            <w:r>
              <w:rPr>
                <w:rFonts w:ascii="Arial" w:cs="Arial" w:eastAsia="Arial" w:hAnsi="Arial"/>
                <w:sz w:val="14"/>
                <w:szCs w:val="14"/>
                <w:b w:val="1"/>
                <w:bCs w:val="1"/>
                <w:color w:val="auto"/>
              </w:rPr>
              <w:t>Anchor tenants</w:t>
            </w:r>
          </w:p>
        </w:tc>
      </w:tr>
      <w:tr>
        <w:trPr>
          <w:trHeight w:val="95"/>
        </w:trPr>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r>
      <w:tr>
        <w:trPr>
          <w:trHeight w:val="250"/>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2004</w:t>
            </w:r>
          </w:p>
        </w:tc>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Plaza del Mercado (1)</w:t>
            </w:r>
          </w:p>
        </w:tc>
        <w:tc>
          <w:tcPr>
            <w:tcW w:w="3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Silver Spring, MD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20,578</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Giant Food, CVS</w:t>
            </w:r>
          </w:p>
        </w:tc>
      </w:tr>
      <w:tr>
        <w:trPr>
          <w:trHeight w:val="208"/>
        </w:trPr>
        <w:tc>
          <w:tcPr>
            <w:tcW w:w="1620" w:type="dxa"/>
            <w:vAlign w:val="bottom"/>
            <w:gridSpan w:val="3"/>
          </w:tcPr>
          <w:p>
            <w:pPr>
              <w:spacing w:after="0"/>
              <w:rPr>
                <w:sz w:val="20"/>
                <w:szCs w:val="20"/>
                <w:color w:val="auto"/>
              </w:rPr>
            </w:pPr>
            <w:r>
              <w:rPr>
                <w:rFonts w:ascii="Arial" w:cs="Arial" w:eastAsia="Arial" w:hAnsi="Arial"/>
                <w:sz w:val="18"/>
                <w:szCs w:val="18"/>
                <w:color w:val="auto"/>
                <w:w w:val="98"/>
              </w:rPr>
              <w:t>September 20, 2004</w:t>
            </w:r>
          </w:p>
        </w:tc>
        <w:tc>
          <w:tcPr>
            <w:tcW w:w="2300" w:type="dxa"/>
            <w:vAlign w:val="bottom"/>
            <w:gridSpan w:val="3"/>
          </w:tcPr>
          <w:p>
            <w:pPr>
              <w:ind w:left="180"/>
              <w:spacing w:after="0"/>
              <w:rPr>
                <w:sz w:val="20"/>
                <w:szCs w:val="20"/>
                <w:color w:val="auto"/>
              </w:rPr>
            </w:pPr>
            <w:r>
              <w:rPr>
                <w:rFonts w:ascii="Arial" w:cs="Arial" w:eastAsia="Arial" w:hAnsi="Arial"/>
                <w:sz w:val="18"/>
                <w:szCs w:val="18"/>
                <w:color w:val="auto"/>
              </w:rPr>
              <w:t>Campus Plaza (2)</w:t>
            </w:r>
          </w:p>
        </w:tc>
        <w:tc>
          <w:tcPr>
            <w:tcW w:w="3240" w:type="dxa"/>
            <w:vAlign w:val="bottom"/>
            <w:gridSpan w:val="3"/>
          </w:tcPr>
          <w:p>
            <w:pPr>
              <w:ind w:left="560"/>
              <w:spacing w:after="0"/>
              <w:rPr>
                <w:sz w:val="20"/>
                <w:szCs w:val="20"/>
                <w:color w:val="auto"/>
              </w:rPr>
            </w:pPr>
            <w:r>
              <w:rPr>
                <w:rFonts w:ascii="Arial" w:cs="Arial" w:eastAsia="Arial" w:hAnsi="Arial"/>
                <w:sz w:val="18"/>
                <w:szCs w:val="18"/>
                <w:color w:val="auto"/>
              </w:rPr>
              <w:t>Bridgewater, MA</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w w:val="99"/>
              </w:rPr>
              <w:t>Roche Brothers Supermarket,</w:t>
            </w: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18,450</w:t>
            </w: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Burlington Coat Factory</w:t>
            </w:r>
          </w:p>
        </w:tc>
      </w:tr>
      <w:tr>
        <w:trPr>
          <w:trHeight w:val="210"/>
        </w:trPr>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September 20, 2004</w:t>
            </w:r>
          </w:p>
        </w:tc>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Pleasant Shops</w:t>
            </w:r>
          </w:p>
        </w:tc>
        <w:tc>
          <w:tcPr>
            <w:tcW w:w="3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Weymouth, MA</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Foodmaster Supermarket,</w:t>
            </w: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128,000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20,275</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Marshalls</w:t>
            </w:r>
          </w:p>
        </w:tc>
      </w:tr>
      <w:tr>
        <w:trPr>
          <w:trHeight w:val="208"/>
        </w:trPr>
        <w:tc>
          <w:tcPr>
            <w:tcW w:w="1620" w:type="dxa"/>
            <w:vAlign w:val="bottom"/>
            <w:gridSpan w:val="3"/>
          </w:tcPr>
          <w:p>
            <w:pPr>
              <w:spacing w:after="0"/>
              <w:rPr>
                <w:sz w:val="20"/>
                <w:szCs w:val="20"/>
                <w:color w:val="auto"/>
              </w:rPr>
            </w:pPr>
            <w:r>
              <w:rPr>
                <w:rFonts w:ascii="Arial" w:cs="Arial" w:eastAsia="Arial" w:hAnsi="Arial"/>
                <w:sz w:val="18"/>
                <w:szCs w:val="18"/>
                <w:color w:val="auto"/>
              </w:rPr>
              <w:t>December 1, 2004</w:t>
            </w:r>
          </w:p>
        </w:tc>
        <w:tc>
          <w:tcPr>
            <w:tcW w:w="2300" w:type="dxa"/>
            <w:vAlign w:val="bottom"/>
            <w:gridSpan w:val="3"/>
          </w:tcPr>
          <w:p>
            <w:pPr>
              <w:ind w:left="180"/>
              <w:spacing w:after="0"/>
              <w:rPr>
                <w:sz w:val="20"/>
                <w:szCs w:val="20"/>
                <w:color w:val="auto"/>
              </w:rPr>
            </w:pPr>
            <w:r>
              <w:rPr>
                <w:rFonts w:ascii="Arial" w:cs="Arial" w:eastAsia="Arial" w:hAnsi="Arial"/>
                <w:sz w:val="18"/>
                <w:szCs w:val="18"/>
                <w:color w:val="auto"/>
              </w:rPr>
              <w:t>Atlantic Plaza</w:t>
            </w:r>
          </w:p>
        </w:tc>
        <w:tc>
          <w:tcPr>
            <w:tcW w:w="3240" w:type="dxa"/>
            <w:vAlign w:val="bottom"/>
            <w:gridSpan w:val="3"/>
          </w:tcPr>
          <w:p>
            <w:pPr>
              <w:ind w:left="560"/>
              <w:spacing w:after="0"/>
              <w:rPr>
                <w:sz w:val="20"/>
                <w:szCs w:val="20"/>
                <w:color w:val="auto"/>
              </w:rPr>
            </w:pPr>
            <w:r>
              <w:rPr>
                <w:rFonts w:ascii="Arial" w:cs="Arial" w:eastAsia="Arial" w:hAnsi="Arial"/>
                <w:sz w:val="18"/>
                <w:szCs w:val="18"/>
                <w:color w:val="auto"/>
              </w:rPr>
              <w:t>North Reading, MA</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Shaw’s Supermarket, Sears</w:t>
            </w: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16,500</w:t>
            </w: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Hardware</w:t>
            </w:r>
          </w:p>
        </w:tc>
      </w:tr>
      <w:tr>
        <w:trPr>
          <w:trHeight w:val="110"/>
        </w:trPr>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02"/>
        </w:trPr>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75,803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32"/>
        </w:trPr>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13"/>
        </w:trPr>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-172720</wp:posOffset>
            </wp:positionV>
            <wp:extent cx="105918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5918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1, 2004, we contributed Plaza del Mercado to a newly formed joint venture in which we own 30% of the equity.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price includes $725,000 paid on December 22, 2004 for a 1.5 acre vacant land parcel adjacent to the shopping center.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Mortgage or</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89"/>
              </w:rPr>
              <w:t>Grocery</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Year</w:t>
            </w:r>
          </w:p>
        </w:tc>
        <w:tc>
          <w:tcPr>
            <w:tcW w:w="82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3"/>
              </w:rPr>
              <w:t>Anchor</w:t>
            </w:r>
          </w:p>
        </w:tc>
        <w:tc>
          <w:tcPr>
            <w:tcW w:w="220" w:type="dxa"/>
            <w:vAlign w:val="bottom"/>
          </w:tcPr>
          <w:p>
            <w:pPr>
              <w:spacing w:after="0"/>
              <w:rPr>
                <w:sz w:val="12"/>
                <w:szCs w:val="12"/>
                <w:color w:val="auto"/>
              </w:rPr>
            </w:pPr>
          </w:p>
        </w:tc>
        <w:tc>
          <w:tcPr>
            <w:tcW w:w="124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Grocery</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 Principal</w:t>
            </w:r>
          </w:p>
        </w:tc>
        <w:tc>
          <w:tcPr>
            <w:tcW w:w="0" w:type="dxa"/>
            <w:vAlign w:val="bottom"/>
          </w:tcPr>
          <w:p>
            <w:pPr>
              <w:spacing w:after="0"/>
              <w:rPr>
                <w:sz w:val="1"/>
                <w:szCs w:val="1"/>
                <w:color w:val="auto"/>
              </w:rPr>
            </w:pPr>
          </w:p>
        </w:tc>
      </w:tr>
      <w:tr>
        <w:trPr>
          <w:trHeight w:val="174"/>
        </w:trPr>
        <w:tc>
          <w:tcPr>
            <w:tcW w:w="1920" w:type="dxa"/>
            <w:vAlign w:val="bottom"/>
            <w:gridSpan w:val="10"/>
          </w:tcPr>
          <w:p>
            <w:pPr>
              <w:spacing w:after="0"/>
              <w:rPr>
                <w:sz w:val="20"/>
                <w:szCs w:val="20"/>
                <w:color w:val="auto"/>
              </w:rPr>
            </w:pPr>
            <w:r>
              <w:rPr>
                <w:rFonts w:ascii="Arial" w:cs="Arial" w:eastAsia="Arial" w:hAnsi="Arial"/>
                <w:sz w:val="14"/>
                <w:szCs w:val="14"/>
                <w:b w:val="1"/>
                <w:bCs w:val="1"/>
                <w:color w:val="auto"/>
              </w:rPr>
              <w:t>Property Name</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w w:val="96"/>
              </w:rPr>
              <w:t>MSA Description</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Acquired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7"/>
              </w:rPr>
              <w:t>Investment</w:t>
            </w:r>
          </w:p>
        </w:tc>
        <w:tc>
          <w:tcPr>
            <w:tcW w:w="22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 Leased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Obligation</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4"/>
              </w:rPr>
              <w:t>GLA (1)</w:t>
            </w:r>
          </w:p>
        </w:tc>
        <w:tc>
          <w:tcPr>
            <w:tcW w:w="220" w:type="dxa"/>
            <w:vAlign w:val="bottom"/>
          </w:tcPr>
          <w:p>
            <w:pPr>
              <w:spacing w:after="0"/>
              <w:rPr>
                <w:sz w:val="15"/>
                <w:szCs w:val="15"/>
                <w:color w:val="auto"/>
              </w:rPr>
            </w:pPr>
          </w:p>
        </w:tc>
        <w:tc>
          <w:tcPr>
            <w:tcW w:w="1240" w:type="dxa"/>
            <w:vAlign w:val="bottom"/>
          </w:tcPr>
          <w:p>
            <w:pPr>
              <w:ind w:left="300"/>
              <w:spacing w:after="0"/>
              <w:rPr>
                <w:sz w:val="20"/>
                <w:szCs w:val="20"/>
                <w:color w:val="auto"/>
              </w:rPr>
            </w:pPr>
            <w:r>
              <w:rPr>
                <w:rFonts w:ascii="Arial" w:cs="Arial" w:eastAsia="Arial" w:hAnsi="Arial"/>
                <w:sz w:val="14"/>
                <w:szCs w:val="14"/>
                <w:b w:val="1"/>
                <w:bCs w:val="1"/>
                <w:color w:val="auto"/>
              </w:rPr>
              <w:t>Anchor (1)</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1"/>
              </w:rPr>
              <w:t>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1000" w:type="dxa"/>
            <w:vAlign w:val="bottom"/>
            <w:tcBorders>
              <w:bottom w:val="single" w:sz="8" w:color="CCEEFF"/>
            </w:tcBorders>
            <w:gridSpan w:val="5"/>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920" w:type="dxa"/>
            <w:vAlign w:val="bottom"/>
            <w:gridSpan w:val="10"/>
          </w:tcPr>
          <w:p>
            <w:pPr>
              <w:spacing w:after="0"/>
              <w:rPr>
                <w:sz w:val="20"/>
                <w:szCs w:val="20"/>
                <w:color w:val="auto"/>
              </w:rPr>
            </w:pPr>
            <w:r>
              <w:rPr>
                <w:rFonts w:ascii="Arial" w:cs="Arial" w:eastAsia="Arial" w:hAnsi="Arial"/>
                <w:sz w:val="18"/>
                <w:szCs w:val="18"/>
                <w:b w:val="1"/>
                <w:bCs w:val="1"/>
                <w:color w:val="auto"/>
              </w:rPr>
              <w:t>Washington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8"/>
          </w:tcPr>
          <w:p>
            <w:pPr>
              <w:spacing w:after="0" w:line="196" w:lineRule="exact"/>
              <w:rPr>
                <w:sz w:val="20"/>
                <w:szCs w:val="20"/>
                <w:color w:val="auto"/>
              </w:rPr>
            </w:pPr>
            <w:r>
              <w:rPr>
                <w:rFonts w:ascii="Arial" w:cs="Arial" w:eastAsia="Arial" w:hAnsi="Arial"/>
                <w:sz w:val="18"/>
                <w:szCs w:val="18"/>
                <w:b w:val="1"/>
                <w:bCs w:val="1"/>
                <w:color w:val="auto"/>
              </w:rPr>
              <w:t>Metropolitan Area</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Plaza del Mercado</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88"/>
              </w:rPr>
              <w:t>Washington, DC-</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MD-VA</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13,325</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25,000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Washington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Metropolitan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Area</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920" w:type="dxa"/>
            <w:vAlign w:val="bottom"/>
            <w:gridSpan w:val="10"/>
          </w:tcPr>
          <w:p>
            <w:pPr>
              <w:spacing w:after="0"/>
              <w:rPr>
                <w:sz w:val="20"/>
                <w:szCs w:val="20"/>
                <w:color w:val="auto"/>
              </w:rPr>
            </w:pPr>
            <w:r>
              <w:rPr>
                <w:rFonts w:ascii="Arial" w:cs="Arial" w:eastAsia="Arial" w:hAnsi="Arial"/>
                <w:sz w:val="18"/>
                <w:szCs w:val="18"/>
                <w:b w:val="1"/>
                <w:bCs w:val="1"/>
                <w:color w:val="auto"/>
              </w:rPr>
              <w:t>New England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Boston-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Worcester-</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Lawrence-</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Lowell-</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Shaw’s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Brockton, MA</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10,500</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63,000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Supermarket</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00" w:type="dxa"/>
            <w:vAlign w:val="bottom"/>
            <w:gridSpan w:val="9"/>
          </w:tcPr>
          <w:p>
            <w:pPr>
              <w:spacing w:after="0"/>
              <w:rPr>
                <w:sz w:val="20"/>
                <w:szCs w:val="20"/>
                <w:color w:val="auto"/>
              </w:rPr>
            </w:pPr>
            <w:r>
              <w:rPr>
                <w:rFonts w:ascii="Arial" w:cs="Arial" w:eastAsia="Arial" w:hAnsi="Arial"/>
                <w:sz w:val="18"/>
                <w:szCs w:val="18"/>
                <w:color w:val="auto"/>
              </w:rPr>
              <w:t>Campus Plaza</w:t>
            </w:r>
          </w:p>
        </w:tc>
        <w:tc>
          <w:tcPr>
            <w:tcW w:w="1240" w:type="dxa"/>
            <w:vAlign w:val="bottom"/>
          </w:tcPr>
          <w:p>
            <w:pPr>
              <w:spacing w:after="0"/>
              <w:rPr>
                <w:sz w:val="20"/>
                <w:szCs w:val="20"/>
                <w:color w:val="auto"/>
              </w:rPr>
            </w:pPr>
            <w:r>
              <w:rPr>
                <w:rFonts w:ascii="Arial" w:cs="Arial" w:eastAsia="Arial" w:hAnsi="Arial"/>
                <w:sz w:val="18"/>
                <w:szCs w:val="18"/>
                <w:color w:val="auto"/>
              </w:rPr>
              <w:t>Boston-</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Worcester-</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Lawrence-</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Lowell-</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w w:val="98"/>
              </w:rPr>
              <w:t>Burlington Coat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Brockton, MA</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2004</w:t>
            </w:r>
          </w:p>
        </w:tc>
        <w:tc>
          <w:tcPr>
            <w:tcW w:w="820" w:type="dxa"/>
            <w:vAlign w:val="bottom"/>
          </w:tcPr>
          <w:p>
            <w:pPr>
              <w:jc w:val="right"/>
              <w:spacing w:after="0"/>
              <w:rPr>
                <w:sz w:val="20"/>
                <w:szCs w:val="20"/>
                <w:color w:val="auto"/>
              </w:rPr>
            </w:pPr>
            <w:r>
              <w:rPr>
                <w:rFonts w:ascii="Arial" w:cs="Arial" w:eastAsia="Arial" w:hAnsi="Arial"/>
                <w:sz w:val="18"/>
                <w:szCs w:val="18"/>
                <w:color w:val="auto"/>
              </w:rPr>
              <w:t>21,610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46,000</w:t>
            </w:r>
          </w:p>
        </w:tc>
        <w:tc>
          <w:tcPr>
            <w:tcW w:w="2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7"/>
              </w:rPr>
              <w:t>Roche Brothers</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Factory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Boston-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Worcester-</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Lawrence-</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Lowell-</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Brockton, MA</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12,400</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38,000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Foodmaster</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New</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England</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Total East</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Region</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80,969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460,000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47,225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920" w:type="dxa"/>
            <w:vAlign w:val="bottom"/>
            <w:gridSpan w:val="10"/>
          </w:tcPr>
          <w:p>
            <w:pPr>
              <w:spacing w:after="0"/>
              <w:rPr>
                <w:sz w:val="20"/>
                <w:szCs w:val="20"/>
                <w:color w:val="auto"/>
              </w:rPr>
            </w:pPr>
            <w:r>
              <w:rPr>
                <w:rFonts w:ascii="Arial" w:cs="Arial" w:eastAsia="Arial" w:hAnsi="Arial"/>
                <w:sz w:val="18"/>
                <w:szCs w:val="18"/>
                <w:color w:val="auto"/>
              </w:rPr>
              <w:t>Notes: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620" w:right="5260" w:hanging="5612"/>
        <w:spacing w:after="0" w:line="408"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30</w:t>
      </w:r>
    </w:p>
    <w:p>
      <w:pPr>
        <w:sectPr>
          <w:pgSz w:w="11900" w:h="16838" w:orient="portrait"/>
          <w:cols w:equalWidth="0" w:num="1">
            <w:col w:w="11420"/>
          </w:cols>
          <w:pgMar w:left="240" w:top="274"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58"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 EBITDA is a non-GAAP measure that means net income or loss plus interest expense, income taxes, depreciation and amortization; 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for gain or loss on sale of assets, impairment provisions, provision for loss on equity securities and other nonrecurring expenses. EBITDA is presented because it provides useful information regarding our ability to service debt. Adjusted EBITDA should not be considered an alternative measure of operating results or cash flow from operations as determined in accordance with GAAP. The reconciliation of EBITDA, adjusted for discontinued operations, to net income for the twelve months ended December 31, 2004 and 2003 is as follows:</w:t>
      </w:r>
    </w:p>
    <w:p>
      <w:pPr>
        <w:spacing w:after="0" w:line="96"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For the Twelve Months Ended</w:t>
      </w:r>
    </w:p>
    <w:p>
      <w:pPr>
        <w:spacing w:after="0" w:line="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60325</wp:posOffset>
            </wp:positionV>
            <wp:extent cx="129476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350" w:type="dxa"/>
            <w:vAlign w:val="bottom"/>
            <w:gridSpan w:val="5"/>
          </w:tcPr>
          <w:p>
            <w:pPr>
              <w:ind w:left="510"/>
              <w:spacing w:after="0"/>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jc w:val="right"/>
              <w:ind w:right="19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5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89,709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4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gridSpan w:val="2"/>
          </w:tcPr>
          <w:p>
            <w:pPr>
              <w:jc w:val="right"/>
              <w:ind w:right="180"/>
              <w:spacing w:after="0"/>
              <w:rPr>
                <w:sz w:val="20"/>
                <w:szCs w:val="20"/>
                <w:color w:val="auto"/>
              </w:rPr>
            </w:pPr>
            <w:r>
              <w:rPr>
                <w:rFonts w:ascii="Arial" w:cs="Arial" w:eastAsia="Arial" w:hAnsi="Arial"/>
                <w:sz w:val="18"/>
                <w:szCs w:val="18"/>
                <w:color w:val="auto"/>
              </w:rPr>
              <w:t>(14,052)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(20,053)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55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55308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Gross revenues, including interest income, less rental expenses and real estate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Portfolio</w:t>
      </w:r>
      <w:r>
        <w:rPr>
          <w:rFonts w:ascii="Arial" w:cs="Arial" w:eastAsia="Arial" w:hAnsi="Arial"/>
          <w:sz w:val="18"/>
          <w:szCs w:val="18"/>
          <w:color w:val="auto"/>
        </w:rPr>
        <w:t>: Includes all operating properties owned in reporting period.</w:t>
      </w:r>
    </w:p>
    <w:p>
      <w:pPr>
        <w:spacing w:after="0" w:line="15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19"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b w:val="1"/>
          <w:bCs w:val="1"/>
          <w:color w:val="auto"/>
        </w:rPr>
        <w:t>Tenant improvements</w:t>
      </w:r>
      <w:r>
        <w:rPr>
          <w:rFonts w:ascii="Arial" w:cs="Arial" w:eastAsia="Arial" w:hAnsi="Arial"/>
          <w:sz w:val="16"/>
          <w:szCs w:val="16"/>
          <w:color w:val="auto"/>
        </w:rPr>
        <w:t>: Represents not only the total dollars committed for the improvement (fit-out) of a space as it relates to a specific lease but may also</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base building costs (i.e. expansion, escalators or new entrances) which are required to make the space leasable.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3"/>
    </w:lvl>
  </w:abstractNum>
  <w:abstractNum w:abstractNumId="2">
    <w:nsid w:val="7FDCC233"/>
    <w:multiLevelType w:val="hybridMultilevel"/>
    <w:lvl w:ilvl="0">
      <w:lvlJc w:val="left"/>
      <w:lvlText w:val="%1."/>
      <w:numFmt w:val="decimal"/>
      <w:start w:val="8"/>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lvl w:ilvl="1">
      <w:lvlJc w:val="left"/>
      <w:lvlText w:val="\endash "/>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lvl w:ilvl="1">
      <w:lvlJc w:val="left"/>
      <w:lvlText w:val="\endash "/>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2019-12-13T00:46:12Z</dcterms:created>
  <dcterms:modified xsi:type="dcterms:W3CDTF">2019-12-13T00:46:12Z</dcterms:modified>
</cp:coreProperties>
</file>