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No.1 )</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29, 2006</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3380" w:right="5059" w:hanging="1"/>
        <w:spacing w:after="0" w:line="547" w:lineRule="auto"/>
        <w:tabs>
          <w:tab w:leader="none" w:pos="38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Deutsche Bank AG*</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536"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Federal Republic of Germany</w:t>
      </w:r>
    </w:p>
    <w:tbl>
      <w:tblPr>
        <w:tblLayout w:type="fixed"/>
        <w:tblInd w:w="0" w:type="dxa"/>
        <w:tblCellMar>
          <w:top w:w="0" w:type="dxa"/>
          <w:left w:w="0" w:type="dxa"/>
          <w:bottom w:w="0" w:type="dxa"/>
          <w:right w:w="0" w:type="dxa"/>
        </w:tblCellMar>
      </w:tblPr>
      <w:tr>
        <w:trPr>
          <w:trHeight w:val="199"/>
        </w:trPr>
        <w:tc>
          <w:tcPr>
            <w:tcW w:w="1580" w:type="dxa"/>
            <w:vAlign w:val="bottom"/>
          </w:tcPr>
          <w:p>
            <w:pPr>
              <w:spacing w:after="0" w:line="199" w:lineRule="exact"/>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line="199" w:lineRule="exact"/>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1,808,023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3,233,560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420" w:right="347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3,233,560%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5.85%</w:t>
      </w:r>
    </w:p>
    <w:p>
      <w:pPr>
        <w:sectPr>
          <w:pgSz w:w="11900" w:h="17023" w:orient="portrait"/>
          <w:cols w:equalWidth="0" w:num="1">
            <w:col w:w="10219"/>
          </w:cols>
          <w:pgMar w:left="240" w:top="447" w:right="1440" w:bottom="0" w:gutter="0" w:footer="0" w:header="0"/>
        </w:sectPr>
      </w:pPr>
    </w:p>
    <w:bookmarkStart w:id="1" w:name="page2"/>
    <w:bookmarkEnd w:id="1"/>
    <w:p>
      <w:pPr>
        <w:ind w:left="412" w:right="7259" w:hanging="412"/>
        <w:spacing w:after="0" w:line="470" w:lineRule="auto"/>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 BK</w:t>
      </w:r>
    </w:p>
    <w:p>
      <w:pPr>
        <w:spacing w:after="0" w:line="11" w:lineRule="exact"/>
        <w:rPr>
          <w:rFonts w:ascii="Courier New" w:cs="Courier New" w:eastAsia="Courier New" w:hAnsi="Courier New"/>
          <w:sz w:val="18"/>
          <w:szCs w:val="18"/>
          <w:color w:val="auto"/>
        </w:rPr>
      </w:pPr>
    </w:p>
    <w:p>
      <w:pPr>
        <w:ind w:left="412"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Securities Exchange Act Release No. 39538 (January 12, 1998), this filing reflects the securities beneficially owned by the Corporate and Investment Banking business group and the Corporate Investments business group (collectively, "CIB") of Deutsche Bank AG and its subsidiaries and affiliates (collectively, "DBAG"). This filing does not reflect securities, if any, beneficially owned by any other business group of DBAG. Consistent with Rule 13d-4 under the Securities Exchange Act of 1934 ("Act"), this filing shall not be construed as an admission that CIB is, for purposes of Section 13(d) under the Act, the beneficial owner of any securities covered by the filing. Furthermore, CIB disclaims beneficial ownership of the securities beneficially owned by (i) any client accounts with respect to which CIB or its employees have voting or investment discretion, or both, and (ii) certain investment entities, of which CIB is the general partner, managing general partner, or other manager, to the extent interests in such entities are held by persons other than CIB.</w:t>
      </w:r>
    </w:p>
    <w:p>
      <w:pPr>
        <w:sectPr>
          <w:pgSz w:w="11900" w:h="16838" w:orient="portrait"/>
          <w:cols w:equalWidth="0" w:num="1">
            <w:col w:w="10211"/>
          </w:cols>
          <w:pgMar w:left="248" w:top="344" w:right="1440" w:bottom="1440" w:gutter="0" w:footer="0" w:header="0"/>
        </w:sectPr>
      </w:pPr>
    </w:p>
    <w:bookmarkStart w:id="2" w:name="page3"/>
    <w:bookmarkEnd w:id="2"/>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RREEF America, L.L.C.</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1,768,823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3,190,260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3,190,260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5.77%</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919" w:right="1440" w:bottom="1440" w:gutter="0" w:footer="0" w:header="0"/>
        </w:sectPr>
      </w:pPr>
    </w:p>
    <w:bookmarkStart w:id="3" w:name="page4"/>
    <w:bookmarkEnd w:id="3"/>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Asset Management, Inc.</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39,200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42,400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42,400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0.08%</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919" w:right="1440" w:bottom="1440" w:gutter="0" w:footer="0" w:header="0"/>
        </w:sectPr>
      </w:pPr>
    </w:p>
    <w:bookmarkStart w:id="4" w:name="page5"/>
    <w:bookmarkEnd w:id="4"/>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Bank Trust Company Americas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0.00%</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 CO</w:t>
      </w:r>
    </w:p>
    <w:p>
      <w:pPr>
        <w:sectPr>
          <w:pgSz w:w="11900" w:h="16838" w:orient="portrait"/>
          <w:cols w:equalWidth="0" w:num="1">
            <w:col w:w="10219"/>
          </w:cols>
          <w:pgMar w:left="240" w:top="919" w:right="1440" w:bottom="1440" w:gutter="0" w:footer="0" w:header="0"/>
        </w:sectPr>
      </w:pPr>
    </w:p>
    <w:bookmarkStart w:id="5" w:name="page6"/>
    <w:bookmarkEnd w:id="5"/>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Investment Management Americas</w:t>
      </w:r>
    </w:p>
    <w:p>
      <w:pPr>
        <w:spacing w:after="0" w:line="201"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0.00%</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9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Federal</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Realty Investment Trust (the "Issuer")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1626 East Jefferson Street</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Rockville, MD 20852</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This statement is filed on behalf of Deutsche Bank AG</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("Reporting Person").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of Principal Business Office or, if none, Residence:</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Taunusanlage 12</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D-60325</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Frankfurt am Main</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Federal</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Republic of Germany</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The citizenship of the Reporting Person is set forth on the</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cover page.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The title of the securities is common stock, ("Common Stock").</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The CUSIP number of the Common Stock is set forth on the cover</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page.</w:t>
            </w:r>
          </w:p>
        </w:tc>
        <w:tc>
          <w:tcPr>
            <w:tcW w:w="57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If this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statement is filed pursuant to Rules 13d-1(b), or</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13d-2(b) or (c), check whether the person filing is a:</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 [ ]</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Broker or dealer registered under section 15 of the</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(b) [ ]</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405"/>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Deutsche Bank Trust Company Americas</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(c) [ ]</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Insurance Company as defined in section 3(a)(19)</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Act;</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(d) [ ]</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Investment Company registered under section 8</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Investment Company Act of 1940;</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(e) [X]</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An investment adviser in accordance with Rule</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13d- 1(b)(1)(ii)(E);</w:t>
            </w:r>
          </w:p>
        </w:tc>
      </w:tr>
      <w:tr>
        <w:trPr>
          <w:trHeight w:val="405"/>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RREEF America, L.L.C</w:t>
            </w:r>
          </w:p>
        </w:tc>
      </w:tr>
      <w:tr>
        <w:trPr>
          <w:trHeight w:val="405"/>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Deutsche Asset Management, Inc</w:t>
            </w:r>
          </w:p>
        </w:tc>
      </w:tr>
      <w:tr>
        <w:trPr>
          <w:trHeight w:val="405"/>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Deutsche Investment Management Americas Inc.</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(f) [ ]</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 with Rule 13d-1 (b)(1)(ii)(F);</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(g) [X]</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Parent holding company or control person in</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 with Rule 13d-1 (b)(1)(ii)(G);</w:t>
            </w:r>
          </w:p>
        </w:tc>
      </w:tr>
      <w:tr>
        <w:trPr>
          <w:trHeight w:val="405"/>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Deutsche Bank AG</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(h) [ ]</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 savings association as defined in section 3(b) of</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Federal Deposit Insurance Act;</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(i) [ ]</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(j) [ ]</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Group, in accordance with Rule 13d-1 (b)(1)(ii)(J).</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Ownership.</w:t>
            </w:r>
          </w:p>
        </w:tc>
      </w:tr>
    </w:tbl>
    <w:p>
      <w:pPr>
        <w:sectPr>
          <w:pgSz w:w="11900" w:h="16838" w:orient="portrait"/>
          <w:cols w:equalWidth="0" w:num="1">
            <w:col w:w="10219"/>
          </w:cols>
          <w:pgMar w:left="240" w:top="919" w:right="1440" w:bottom="0" w:gutter="0" w:footer="0" w:header="0"/>
        </w:sectPr>
      </w:pPr>
    </w:p>
    <w:bookmarkStart w:id="7" w:name="page8"/>
    <w:bookmarkEnd w:id="7"/>
    <w:p>
      <w:pPr>
        <w:ind w:left="2320" w:hanging="416"/>
        <w:spacing w:after="0"/>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232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owns the amount of the Common Stock as set forth on the cover page.</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32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owns the percentage of the Common Stock as set forth on the cover page.</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960" w:hanging="634"/>
        <w:spacing w:after="0"/>
        <w:tabs>
          <w:tab w:leader="none" w:pos="29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29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vote or direct the vote of the Common Stock as set forth on the cover page.</w:t>
      </w:r>
    </w:p>
    <w:p>
      <w:pPr>
        <w:spacing w:after="0" w:line="203" w:lineRule="exact"/>
        <w:rPr>
          <w:rFonts w:ascii="Courier New" w:cs="Courier New" w:eastAsia="Courier New" w:hAnsi="Courier New"/>
          <w:sz w:val="18"/>
          <w:szCs w:val="18"/>
          <w:color w:val="auto"/>
        </w:rPr>
      </w:pPr>
    </w:p>
    <w:p>
      <w:pPr>
        <w:ind w:left="2960" w:hanging="634"/>
        <w:spacing w:after="0"/>
        <w:tabs>
          <w:tab w:leader="none" w:pos="29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6" w:lineRule="exact"/>
        <w:rPr>
          <w:rFonts w:ascii="Courier New" w:cs="Courier New" w:eastAsia="Courier New" w:hAnsi="Courier New"/>
          <w:sz w:val="18"/>
          <w:szCs w:val="18"/>
          <w:color w:val="auto"/>
        </w:rPr>
      </w:pPr>
    </w:p>
    <w:p>
      <w:pPr>
        <w:ind w:left="2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shared power to vote or direct the vote of the Common Stock as set forth on the cover page.</w:t>
      </w:r>
    </w:p>
    <w:p>
      <w:pPr>
        <w:spacing w:after="0" w:line="208" w:lineRule="exact"/>
        <w:rPr>
          <w:rFonts w:ascii="Courier New" w:cs="Courier New" w:eastAsia="Courier New" w:hAnsi="Courier New"/>
          <w:sz w:val="18"/>
          <w:szCs w:val="18"/>
          <w:color w:val="auto"/>
        </w:rPr>
      </w:pPr>
    </w:p>
    <w:p>
      <w:pPr>
        <w:ind w:left="2960" w:right="1999" w:hanging="634"/>
        <w:spacing w:after="0" w:line="235" w:lineRule="auto"/>
        <w:tabs>
          <w:tab w:leader="none" w:pos="29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8" w:lineRule="exact"/>
        <w:rPr>
          <w:rFonts w:ascii="Courier New" w:cs="Courier New" w:eastAsia="Courier New" w:hAnsi="Courier New"/>
          <w:sz w:val="18"/>
          <w:szCs w:val="18"/>
          <w:color w:val="auto"/>
        </w:rPr>
      </w:pPr>
    </w:p>
    <w:p>
      <w:pPr>
        <w:ind w:left="2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dispose or direct the disposition of the Common Stock as set forth on the cover page.</w:t>
      </w:r>
    </w:p>
    <w:p>
      <w:pPr>
        <w:spacing w:after="0" w:line="208" w:lineRule="exact"/>
        <w:rPr>
          <w:rFonts w:ascii="Courier New" w:cs="Courier New" w:eastAsia="Courier New" w:hAnsi="Courier New"/>
          <w:sz w:val="18"/>
          <w:szCs w:val="18"/>
          <w:color w:val="auto"/>
        </w:rPr>
      </w:pPr>
    </w:p>
    <w:p>
      <w:pPr>
        <w:ind w:left="2960" w:right="1779" w:hanging="634"/>
        <w:spacing w:after="0" w:line="235" w:lineRule="auto"/>
        <w:tabs>
          <w:tab w:leader="none" w:pos="29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8" w:lineRule="exact"/>
        <w:rPr>
          <w:rFonts w:ascii="Courier New" w:cs="Courier New" w:eastAsia="Courier New" w:hAnsi="Courier New"/>
          <w:sz w:val="18"/>
          <w:szCs w:val="18"/>
          <w:color w:val="auto"/>
        </w:rPr>
      </w:pPr>
    </w:p>
    <w:p>
      <w:pPr>
        <w:jc w:val="both"/>
        <w:ind w:left="2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shared power to dispose or direct the disposition of the Common Stock as set forth on the cover page.</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000" w:type="dxa"/>
            <w:vAlign w:val="bottom"/>
          </w:tcPr>
          <w:p>
            <w:pPr>
              <w:ind w:left="520"/>
              <w:spacing w:after="0"/>
              <w:rPr>
                <w:sz w:val="20"/>
                <w:szCs w:val="20"/>
                <w:color w:val="auto"/>
              </w:rPr>
            </w:pPr>
            <w:r>
              <w:rPr>
                <w:rFonts w:ascii="Courier New" w:cs="Courier New" w:eastAsia="Courier New" w:hAnsi="Courier New"/>
                <w:sz w:val="18"/>
                <w:szCs w:val="18"/>
                <w:color w:val="auto"/>
              </w:rPr>
              <w:t>Not applicable.</w:t>
            </w:r>
          </w:p>
        </w:tc>
        <w:tc>
          <w:tcPr>
            <w:tcW w:w="8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480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8"/>
              </w:rPr>
              <w:t>Identification and Classification of the</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Subsidiary Which</w:t>
            </w:r>
          </w:p>
        </w:tc>
      </w:tr>
      <w:tr>
        <w:trPr>
          <w:trHeight w:val="203"/>
        </w:trPr>
        <w:tc>
          <w:tcPr>
            <w:tcW w:w="1380" w:type="dxa"/>
            <w:vAlign w:val="bottom"/>
          </w:tcPr>
          <w:p>
            <w:pPr>
              <w:spacing w:after="0"/>
              <w:rPr>
                <w:sz w:val="17"/>
                <w:szCs w:val="17"/>
                <w:color w:val="auto"/>
              </w:rPr>
            </w:pPr>
          </w:p>
        </w:tc>
        <w:tc>
          <w:tcPr>
            <w:tcW w:w="69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 Parent Holding</w:t>
            </w:r>
          </w:p>
        </w:tc>
      </w:tr>
      <w:tr>
        <w:trPr>
          <w:trHeight w:val="203"/>
        </w:trPr>
        <w:tc>
          <w:tcPr>
            <w:tcW w:w="1380" w:type="dxa"/>
            <w:vAlign w:val="bottom"/>
          </w:tcPr>
          <w:p>
            <w:pPr>
              <w:spacing w:after="0"/>
              <w:rPr>
                <w:sz w:val="17"/>
                <w:szCs w:val="17"/>
                <w:color w:val="auto"/>
              </w:rPr>
            </w:pPr>
          </w:p>
        </w:tc>
        <w:tc>
          <w:tcPr>
            <w:tcW w:w="4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w:t>
            </w:r>
          </w:p>
        </w:tc>
        <w:tc>
          <w:tcPr>
            <w:tcW w:w="8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4000" w:type="dxa"/>
            <w:vAlign w:val="bottom"/>
          </w:tcPr>
          <w:p>
            <w:pPr>
              <w:ind w:left="520"/>
              <w:spacing w:after="0"/>
              <w:rPr>
                <w:sz w:val="20"/>
                <w:szCs w:val="20"/>
                <w:color w:val="auto"/>
              </w:rPr>
            </w:pPr>
            <w:r>
              <w:rPr>
                <w:rFonts w:ascii="Courier New" w:cs="Courier New" w:eastAsia="Courier New" w:hAnsi="Courier New"/>
                <w:sz w:val="18"/>
                <w:szCs w:val="18"/>
                <w:color w:val="auto"/>
              </w:rPr>
              <w:t>Subsidiary</w:t>
            </w:r>
          </w:p>
        </w:tc>
        <w:tc>
          <w:tcPr>
            <w:tcW w:w="29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3 Classification</w:t>
            </w:r>
          </w:p>
        </w:tc>
      </w:tr>
      <w:tr>
        <w:trPr>
          <w:trHeight w:val="405"/>
        </w:trPr>
        <w:tc>
          <w:tcPr>
            <w:tcW w:w="1380" w:type="dxa"/>
            <w:vAlign w:val="bottom"/>
          </w:tcPr>
          <w:p>
            <w:pPr>
              <w:spacing w:after="0"/>
              <w:rPr>
                <w:sz w:val="24"/>
                <w:szCs w:val="24"/>
                <w:color w:val="auto"/>
              </w:rPr>
            </w:pPr>
          </w:p>
        </w:tc>
        <w:tc>
          <w:tcPr>
            <w:tcW w:w="4000" w:type="dxa"/>
            <w:vAlign w:val="bottom"/>
          </w:tcPr>
          <w:p>
            <w:pPr>
              <w:ind w:left="520"/>
              <w:spacing w:after="0"/>
              <w:rPr>
                <w:sz w:val="20"/>
                <w:szCs w:val="20"/>
                <w:color w:val="auto"/>
              </w:rPr>
            </w:pPr>
            <w:r>
              <w:rPr>
                <w:rFonts w:ascii="Courier New" w:cs="Courier New" w:eastAsia="Courier New" w:hAnsi="Courier New"/>
                <w:sz w:val="18"/>
                <w:szCs w:val="18"/>
                <w:color w:val="auto"/>
              </w:rPr>
              <w:t>RREEF America, L.L.C.</w:t>
            </w:r>
          </w:p>
        </w:tc>
        <w:tc>
          <w:tcPr>
            <w:tcW w:w="80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Investment Advisors</w:t>
            </w:r>
          </w:p>
        </w:tc>
      </w:tr>
      <w:tr>
        <w:trPr>
          <w:trHeight w:val="405"/>
        </w:trPr>
        <w:tc>
          <w:tcPr>
            <w:tcW w:w="1380" w:type="dxa"/>
            <w:vAlign w:val="bottom"/>
          </w:tcPr>
          <w:p>
            <w:pPr>
              <w:spacing w:after="0"/>
              <w:rPr>
                <w:sz w:val="24"/>
                <w:szCs w:val="24"/>
                <w:color w:val="auto"/>
              </w:rPr>
            </w:pPr>
          </w:p>
        </w:tc>
        <w:tc>
          <w:tcPr>
            <w:tcW w:w="4000" w:type="dxa"/>
            <w:vAlign w:val="bottom"/>
          </w:tcPr>
          <w:p>
            <w:pPr>
              <w:ind w:left="520"/>
              <w:spacing w:after="0"/>
              <w:rPr>
                <w:sz w:val="20"/>
                <w:szCs w:val="20"/>
                <w:color w:val="auto"/>
              </w:rPr>
            </w:pPr>
            <w:r>
              <w:rPr>
                <w:rFonts w:ascii="Courier New" w:cs="Courier New" w:eastAsia="Courier New" w:hAnsi="Courier New"/>
                <w:sz w:val="18"/>
                <w:szCs w:val="18"/>
                <w:color w:val="auto"/>
              </w:rPr>
              <w:t>Deutsche Asset Management, Inc.</w:t>
            </w:r>
          </w:p>
        </w:tc>
        <w:tc>
          <w:tcPr>
            <w:tcW w:w="80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Investment Advisors</w:t>
            </w:r>
          </w:p>
        </w:tc>
      </w:tr>
      <w:tr>
        <w:trPr>
          <w:trHeight w:val="405"/>
        </w:trPr>
        <w:tc>
          <w:tcPr>
            <w:tcW w:w="1380" w:type="dxa"/>
            <w:vAlign w:val="bottom"/>
          </w:tcPr>
          <w:p>
            <w:pPr>
              <w:spacing w:after="0"/>
              <w:rPr>
                <w:sz w:val="24"/>
                <w:szCs w:val="24"/>
                <w:color w:val="auto"/>
              </w:rPr>
            </w:pPr>
          </w:p>
        </w:tc>
        <w:tc>
          <w:tcPr>
            <w:tcW w:w="48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Deutsche Bank Trust Company Americas</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Bank</w:t>
            </w:r>
          </w:p>
        </w:tc>
      </w:tr>
      <w:tr>
        <w:trPr>
          <w:trHeight w:val="405"/>
        </w:trPr>
        <w:tc>
          <w:tcPr>
            <w:tcW w:w="1380" w:type="dxa"/>
            <w:vAlign w:val="bottom"/>
          </w:tcPr>
          <w:p>
            <w:pPr>
              <w:spacing w:after="0"/>
              <w:rPr>
                <w:sz w:val="24"/>
                <w:szCs w:val="24"/>
                <w:color w:val="auto"/>
              </w:rPr>
            </w:pPr>
          </w:p>
        </w:tc>
        <w:tc>
          <w:tcPr>
            <w:tcW w:w="48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Deutsche Investment Mgmt Americas Inc.</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Investment Advisor</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80" w:type="dxa"/>
            <w:vAlign w:val="bottom"/>
          </w:tcPr>
          <w:p>
            <w:pPr>
              <w:spacing w:after="0"/>
              <w:rPr>
                <w:sz w:val="24"/>
                <w:szCs w:val="24"/>
                <w:color w:val="auto"/>
              </w:rPr>
            </w:pPr>
          </w:p>
        </w:tc>
        <w:tc>
          <w:tcPr>
            <w:tcW w:w="4000" w:type="dxa"/>
            <w:vAlign w:val="bottom"/>
          </w:tcPr>
          <w:p>
            <w:pPr>
              <w:ind w:left="520"/>
              <w:spacing w:after="0"/>
              <w:rPr>
                <w:sz w:val="20"/>
                <w:szCs w:val="20"/>
                <w:color w:val="auto"/>
              </w:rPr>
            </w:pPr>
            <w:r>
              <w:rPr>
                <w:rFonts w:ascii="Courier New" w:cs="Courier New" w:eastAsia="Courier New" w:hAnsi="Courier New"/>
                <w:sz w:val="18"/>
                <w:szCs w:val="18"/>
                <w:color w:val="auto"/>
              </w:rPr>
              <w:t>Not applicable.</w:t>
            </w: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000" w:type="dxa"/>
            <w:vAlign w:val="bottom"/>
          </w:tcPr>
          <w:p>
            <w:pPr>
              <w:ind w:left="520"/>
              <w:spacing w:after="0"/>
              <w:rPr>
                <w:sz w:val="20"/>
                <w:szCs w:val="20"/>
                <w:color w:val="auto"/>
              </w:rPr>
            </w:pPr>
            <w:r>
              <w:rPr>
                <w:rFonts w:ascii="Courier New" w:cs="Courier New" w:eastAsia="Courier New" w:hAnsi="Courier New"/>
                <w:sz w:val="18"/>
                <w:szCs w:val="18"/>
                <w:color w:val="auto"/>
              </w:rPr>
              <w:t>Notice of Dissolution of Group.</w:t>
            </w: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4000" w:type="dxa"/>
            <w:vAlign w:val="bottom"/>
          </w:tcPr>
          <w:p>
            <w:pPr>
              <w:ind w:left="520"/>
              <w:spacing w:after="0"/>
              <w:rPr>
                <w:sz w:val="20"/>
                <w:szCs w:val="20"/>
                <w:color w:val="auto"/>
              </w:rPr>
            </w:pPr>
            <w:r>
              <w:rPr>
                <w:rFonts w:ascii="Courier New" w:cs="Courier New" w:eastAsia="Courier New" w:hAnsi="Courier New"/>
                <w:sz w:val="18"/>
                <w:szCs w:val="18"/>
                <w:color w:val="auto"/>
              </w:rPr>
              <w:t>Not applicable.</w:t>
            </w: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4000" w:type="dxa"/>
            <w:vAlign w:val="bottom"/>
          </w:tcPr>
          <w:p>
            <w:pPr>
              <w:ind w:left="520"/>
              <w:spacing w:after="0"/>
              <w:rPr>
                <w:sz w:val="20"/>
                <w:szCs w:val="20"/>
                <w:color w:val="auto"/>
              </w:rPr>
            </w:pPr>
            <w:r>
              <w:rPr>
                <w:rFonts w:ascii="Courier New" w:cs="Courier New" w:eastAsia="Courier New" w:hAnsi="Courier New"/>
                <w:sz w:val="18"/>
                <w:szCs w:val="18"/>
                <w:color w:val="auto"/>
              </w:rPr>
              <w:t>Certification.</w:t>
            </w: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39" w:right="1440" w:bottom="0" w:gutter="0" w:footer="0" w:header="0"/>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Deutsche Bank AG</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Ruiz</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Ruiz</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pacing w:after="0" w:line="200"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Pasquale Antolino</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Pasquale Antolino</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Vice President</w:t>
      </w:r>
    </w:p>
    <w:p>
      <w:pPr>
        <w:sectPr>
          <w:pgSz w:w="11900" w:h="16838" w:orient="portrait"/>
          <w:cols w:equalWidth="0" w:num="1">
            <w:col w:w="10219"/>
          </w:cols>
          <w:pgMar w:left="240" w:top="919" w:right="1440" w:bottom="1440" w:gutter="0" w:footer="0" w:header="0"/>
        </w:sectPr>
      </w:pPr>
    </w:p>
    <w:bookmarkStart w:id="10" w:name="page11"/>
    <w:bookmarkEnd w:id="10"/>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RREEF America L.L.C.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Peter Pages</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Pages</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ectPr>
          <w:pgSz w:w="11900" w:h="16838" w:orient="portrait"/>
          <w:cols w:equalWidth="0" w:num="1">
            <w:col w:w="10219"/>
          </w:cols>
          <w:pgMar w:left="240" w:top="919" w:right="1440" w:bottom="1440" w:gutter="0" w:footer="0" w:header="0"/>
        </w:sectPr>
      </w:pPr>
    </w:p>
    <w:bookmarkStart w:id="11" w:name="page12"/>
    <w:bookmarkEnd w:id="1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Deutsche Asset Management, Inc.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Ruiz</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Ruiz</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ectPr>
          <w:pgSz w:w="11900" w:h="16838" w:orient="portrait"/>
          <w:cols w:equalWidth="0" w:num="1">
            <w:col w:w="10219"/>
          </w:cols>
          <w:pgMar w:left="240" w:top="919" w:right="1440" w:bottom="1440" w:gutter="0" w:footer="0" w:header="0"/>
        </w:sectPr>
      </w:pPr>
    </w:p>
    <w:bookmarkStart w:id="12" w:name="page13"/>
    <w:bookmarkEnd w:id="1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Deutsche Investment Mgmt Americas</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Ruiz</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Ruiz</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ectPr>
          <w:pgSz w:w="11900" w:h="16838" w:orient="portrait"/>
          <w:cols w:equalWidth="0" w:num="1">
            <w:col w:w="10219"/>
          </w:cols>
          <w:pgMar w:left="240" w:top="919" w:right="1440" w:bottom="1440" w:gutter="0" w:footer="0" w:header="0"/>
        </w:sectPr>
      </w:pPr>
    </w:p>
    <w:bookmarkStart w:id="13" w:name="page14"/>
    <w:bookmarkEnd w:id="13"/>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Deutsche Bank Trust Company Americas</w:t>
      </w:r>
    </w:p>
    <w:p>
      <w:pPr>
        <w:spacing w:after="0" w:line="201" w:lineRule="exact"/>
        <w:rPr>
          <w:sz w:val="20"/>
          <w:szCs w:val="20"/>
          <w:color w:val="auto"/>
        </w:rPr>
      </w:pPr>
    </w:p>
    <w:p>
      <w:pPr>
        <w:ind w:left="45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Ruiz</w:t>
      </w:r>
    </w:p>
    <w:p>
      <w:pPr>
        <w:ind w:left="4540"/>
        <w:spacing w:after="0" w:line="238" w:lineRule="auto"/>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Ruiz</w:t>
      </w:r>
    </w:p>
    <w:p>
      <w:pPr>
        <w:ind w:left="4540"/>
        <w:spacing w:after="0"/>
        <w:tabs>
          <w:tab w:leader="none" w:pos="5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Roman"/>
      <w:start w:val="10"/>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lvl w:ilvl="1">
      <w:lvlJc w:val="left"/>
      <w:lvlText w:val="(%2)"/>
      <w:numFmt w:val="upperLetter"/>
      <w:start w:val="1"/>
    </w:lvl>
  </w:abstractNum>
  <w:abstractNum w:abstractNumId="3">
    <w:nsid w:val="1F16E9E8"/>
    <w:multiLevelType w:val="hybridMultilevel"/>
    <w:lvl w:ilvl="0">
      <w:lvlJc w:val="left"/>
      <w:lvlText w:val="%1."/>
      <w:numFmt w:val="decimal"/>
      <w:start w:val="9"/>
    </w:lvl>
  </w:abstractNum>
  <w:abstractNum w:abstractNumId="4">
    <w:nsid w:val="1190CDE7"/>
    <w:multiLevelType w:val="hybridMultilevel"/>
    <w:lvl w:ilvl="0">
      <w:lvlJc w:val="left"/>
      <w:lvlText w:val="%1."/>
      <w:numFmt w:val="decimal"/>
      <w:start w:val="12"/>
    </w:lvl>
    <w:lvl w:ilvl="1">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lvl w:ilvl="1">
      <w:lvlJc w:val="left"/>
      <w:lvlText w:val="(%2)"/>
      <w:numFmt w:val="upperLetter"/>
      <w:start w:val="1"/>
    </w:lvl>
  </w:abstractNum>
  <w:abstractNum w:abstractNumId="7">
    <w:nsid w:val="3352255A"/>
    <w:multiLevelType w:val="hybridMultilevel"/>
    <w:lvl w:ilvl="0">
      <w:lvlJc w:val="left"/>
      <w:lvlText w:val="%1."/>
      <w:numFmt w:val="decimal"/>
      <w:start w:val="9"/>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lvl w:ilvl="1">
      <w:lvlJc w:val="left"/>
      <w:lvlText w:val="(%2)"/>
      <w:numFmt w:val="upperLetter"/>
      <w:start w:val="1"/>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2"/>
    </w:lvl>
    <w:lvl w:ilvl="1">
      <w:lvlJc w:val="left"/>
      <w:lvlText w:val="(%2)"/>
      <w:numFmt w:val="upperLetter"/>
      <w:start w:val="1"/>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2"/>
    </w:lvl>
    <w:lvl w:ilvl="1">
      <w:lvlJc w:val="left"/>
      <w:lvlText w:val="(%2)"/>
      <w:numFmt w:val="upperLetter"/>
      <w:start w:val="1"/>
    </w:lvl>
  </w:abstractNum>
  <w:abstractNum w:abstractNumId="16">
    <w:nsid w:val="519B500D"/>
    <w:multiLevelType w:val="hybridMultilevel"/>
    <w:lvl w:ilvl="0">
      <w:lvlJc w:val="left"/>
      <w:lvlText w:val="%1."/>
      <w:numFmt w:val="decimal"/>
      <w:start w:val="9"/>
    </w:lvl>
  </w:abstractNum>
  <w:abstractNum w:abstractNumId="17">
    <w:nsid w:val="431BD7B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2019-12-13T00:49:58Z</dcterms:created>
  <dcterms:modified xsi:type="dcterms:W3CDTF">2019-12-13T00:49:58Z</dcterms:modified>
</cp:coreProperties>
</file>