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August 5,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right="220" w:firstLine="648"/>
        <w:spacing w:after="0" w:line="247" w:lineRule="auto"/>
        <w:rPr>
          <w:sz w:val="20"/>
          <w:szCs w:val="20"/>
          <w:color w:val="auto"/>
        </w:rPr>
      </w:pPr>
      <w:r>
        <w:rPr>
          <w:rFonts w:ascii="Arial" w:cs="Arial" w:eastAsia="Arial" w:hAnsi="Arial"/>
          <w:sz w:val="22"/>
          <w:szCs w:val="22"/>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3"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On August 5, 2020, Federal Realty Investment Trust issued supplemental data pertaining to its operations, as well as a press release, to report its financial results for the quarter ended June 30, 2020. The supplemental data and press release are furnished as Exhibit 99.1 hereto.</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2020 (including press release dated August 5, 2020)</w:t>
      </w:r>
    </w:p>
    <w:p>
      <w:pPr>
        <w:spacing w:after="0" w:line="274" w:lineRule="exact"/>
        <w:rPr>
          <w:sz w:val="20"/>
          <w:szCs w:val="20"/>
          <w:color w:val="auto"/>
        </w:rPr>
      </w:pPr>
    </w:p>
    <w:p>
      <w:pPr>
        <w:ind w:left="1300" w:firstLine="652"/>
        <w:spacing w:after="0" w:line="263" w:lineRule="auto"/>
        <w:tabs>
          <w:tab w:leader="none" w:pos="2488" w:val="left"/>
        </w:tabs>
        <w:numPr>
          <w:ilvl w:val="0"/>
          <w:numId w:val="2"/>
        </w:numPr>
        <w:rPr>
          <w:rFonts w:ascii="Arial" w:cs="Arial" w:eastAsia="Arial" w:hAnsi="Arial"/>
          <w:sz w:val="22"/>
          <w:szCs w:val="22"/>
          <w:color w:val="auto"/>
        </w:rPr>
      </w:pPr>
      <w:r>
        <w:rPr>
          <w:rFonts w:ascii="Arial" w:cs="Arial" w:eastAsia="Arial" w:hAnsi="Arial"/>
          <w:sz w:val="22"/>
          <w:szCs w:val="22"/>
          <w:color w:val="auto"/>
        </w:rPr>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040"/>
        <w:spacing w:after="0"/>
        <w:tabs>
          <w:tab w:leader="none" w:pos="1700" w:val="left"/>
          <w:tab w:leader="none" w:pos="4860" w:val="left"/>
        </w:tabs>
        <w:rPr>
          <w:sz w:val="20"/>
          <w:szCs w:val="20"/>
          <w:color w:val="auto"/>
        </w:rPr>
      </w:pPr>
      <w:r>
        <w:rPr>
          <w:rFonts w:ascii="Arial" w:cs="Arial" w:eastAsia="Arial" w:hAnsi="Arial"/>
          <w:sz w:val="22"/>
          <w:szCs w:val="22"/>
          <w:color w:val="auto"/>
        </w:rPr>
        <w:t>Date:</w:t>
        <w:tab/>
        <w:t>August 5, 2020</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220"/>
          </w:cols>
          <w:pgMar w:left="320" w:top="55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2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800"/>
        </w:trPr>
        <w:tc>
          <w:tcPr>
            <w:tcW w:w="19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Number</w:t>
            </w:r>
          </w:p>
        </w:tc>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00" w:type="dxa"/>
            <w:vAlign w:val="bottom"/>
          </w:tcPr>
          <w:p>
            <w:pPr>
              <w:spacing w:after="0"/>
              <w:rPr>
                <w:sz w:val="20"/>
                <w:szCs w:val="20"/>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Supplemental Information at June 30, 2020</w:t>
            </w:r>
          </w:p>
        </w:tc>
      </w:tr>
      <w:tr>
        <w:trPr>
          <w:trHeight w:val="392"/>
        </w:trPr>
        <w:tc>
          <w:tcPr>
            <w:tcW w:w="18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ectPr>
          <w:pgSz w:w="11900" w:h="16838" w:orient="portrait"/>
          <w:cols w:equalWidth="0" w:num="1">
            <w:col w:w="11240"/>
          </w:cols>
          <w:pgMar w:left="320" w:top="5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Second Quarter 2020 Earnings Press Release</w:t>
            </w:r>
          </w:p>
        </w:tc>
        <w:tc>
          <w:tcPr>
            <w:tcW w:w="18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50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Highlights</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Consolidated Income Statements</w:t>
            </w:r>
          </w:p>
        </w:tc>
        <w:tc>
          <w:tcPr>
            <w:tcW w:w="186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Consolidated Balance Sheets</w:t>
            </w:r>
          </w:p>
        </w:tc>
        <w:tc>
          <w:tcPr>
            <w:tcW w:w="18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Funds From Operations / Other Supplemental Information</w:t>
            </w:r>
          </w:p>
        </w:tc>
        <w:tc>
          <w:tcPr>
            <w:tcW w:w="186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COVID-19 Related Impacts</w:t>
            </w:r>
          </w:p>
        </w:tc>
        <w:tc>
          <w:tcPr>
            <w:tcW w:w="18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Components of Rental Income</w:t>
            </w:r>
          </w:p>
        </w:tc>
        <w:tc>
          <w:tcPr>
            <w:tcW w:w="186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Comparable Property Information</w:t>
            </w:r>
          </w:p>
        </w:tc>
        <w:tc>
          <w:tcPr>
            <w:tcW w:w="18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43"/>
        </w:trPr>
        <w:tc>
          <w:tcPr>
            <w:tcW w:w="500" w:type="dxa"/>
            <w:vAlign w:val="bottom"/>
          </w:tcPr>
          <w:p>
            <w:pPr>
              <w:spacing w:after="0"/>
              <w:rPr>
                <w:sz w:val="21"/>
                <w:szCs w:val="21"/>
                <w:color w:val="auto"/>
              </w:rPr>
            </w:pPr>
          </w:p>
        </w:tc>
        <w:tc>
          <w:tcPr>
            <w:tcW w:w="6960" w:type="dxa"/>
            <w:vAlign w:val="bottom"/>
          </w:tcPr>
          <w:p>
            <w:pPr>
              <w:ind w:left="1120"/>
              <w:spacing w:after="0"/>
              <w:rPr>
                <w:sz w:val="20"/>
                <w:szCs w:val="20"/>
                <w:color w:val="auto"/>
              </w:rPr>
            </w:pPr>
            <w:r>
              <w:rPr>
                <w:rFonts w:ascii="Arial" w:cs="Arial" w:eastAsia="Arial" w:hAnsi="Arial"/>
                <w:sz w:val="18"/>
                <w:szCs w:val="18"/>
                <w:color w:val="auto"/>
              </w:rPr>
              <w:t>Market Data</w:t>
            </w:r>
          </w:p>
        </w:tc>
        <w:tc>
          <w:tcPr>
            <w:tcW w:w="186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13</w:t>
              </w:r>
            </w:hyperlink>
          </w:p>
        </w:tc>
      </w:tr>
      <w:tr>
        <w:trPr>
          <w:trHeight w:val="27"/>
        </w:trPr>
        <w:tc>
          <w:tcPr>
            <w:tcW w:w="5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4"/>
        </w:trPr>
        <w:tc>
          <w:tcPr>
            <w:tcW w:w="50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880" w:hanging="84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 w:type="dxa"/>
            <w:vAlign w:val="bottom"/>
            <w:shd w:val="clear" w:color="auto" w:fill="CCEEFF"/>
          </w:tcPr>
          <w:p>
            <w:pPr>
              <w:spacing w:after="0"/>
              <w:rPr>
                <w:sz w:val="23"/>
                <w:szCs w:val="23"/>
                <w:color w:val="auto"/>
              </w:rPr>
            </w:pPr>
          </w:p>
        </w:tc>
        <w:tc>
          <w:tcPr>
            <w:tcW w:w="6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Summary of Outstanding Debt</w:t>
            </w:r>
          </w:p>
        </w:tc>
        <w:tc>
          <w:tcPr>
            <w:tcW w:w="252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14</w:t>
              </w:r>
            </w:hyperlink>
          </w:p>
        </w:tc>
      </w:tr>
      <w:tr>
        <w:trPr>
          <w:trHeight w:val="243"/>
        </w:trPr>
        <w:tc>
          <w:tcPr>
            <w:tcW w:w="540" w:type="dxa"/>
            <w:vAlign w:val="bottom"/>
          </w:tcPr>
          <w:p>
            <w:pPr>
              <w:spacing w:after="0"/>
              <w:rPr>
                <w:sz w:val="21"/>
                <w:szCs w:val="21"/>
                <w:color w:val="auto"/>
              </w:rPr>
            </w:pPr>
          </w:p>
        </w:tc>
        <w:tc>
          <w:tcPr>
            <w:tcW w:w="6260" w:type="dxa"/>
            <w:vAlign w:val="bottom"/>
          </w:tcPr>
          <w:p>
            <w:pPr>
              <w:ind w:left="1080"/>
              <w:spacing w:after="0"/>
              <w:rPr>
                <w:sz w:val="20"/>
                <w:szCs w:val="20"/>
                <w:color w:val="auto"/>
              </w:rPr>
            </w:pPr>
            <w:r>
              <w:rPr>
                <w:rFonts w:ascii="Arial" w:cs="Arial" w:eastAsia="Arial" w:hAnsi="Arial"/>
                <w:sz w:val="18"/>
                <w:szCs w:val="18"/>
                <w:color w:val="auto"/>
              </w:rPr>
              <w:t>Summary of Debt Maturities</w:t>
            </w:r>
          </w:p>
        </w:tc>
        <w:tc>
          <w:tcPr>
            <w:tcW w:w="25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4</w:t>
            </w:r>
          </w:p>
        </w:tc>
        <w:tc>
          <w:tcPr>
            <w:tcW w:w="6260" w:type="dxa"/>
            <w:vAlign w:val="bottom"/>
          </w:tcPr>
          <w:p>
            <w:pPr>
              <w:ind w:left="340"/>
              <w:spacing w:after="0"/>
              <w:rPr>
                <w:sz w:val="20"/>
                <w:szCs w:val="20"/>
                <w:color w:val="auto"/>
              </w:rPr>
            </w:pPr>
            <w:r>
              <w:rPr>
                <w:rFonts w:ascii="Arial" w:cs="Arial" w:eastAsia="Arial" w:hAnsi="Arial"/>
                <w:sz w:val="18"/>
                <w:szCs w:val="18"/>
                <w:color w:val="auto"/>
              </w:rPr>
              <w:t>Summary of Redevelopment Opportunities</w:t>
            </w:r>
          </w:p>
        </w:tc>
        <w:tc>
          <w:tcPr>
            <w:tcW w:w="252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5</w:t>
            </w:r>
          </w:p>
        </w:tc>
        <w:tc>
          <w:tcPr>
            <w:tcW w:w="6260" w:type="dxa"/>
            <w:vAlign w:val="bottom"/>
          </w:tcPr>
          <w:p>
            <w:pPr>
              <w:ind w:left="340"/>
              <w:spacing w:after="0"/>
              <w:rPr>
                <w:sz w:val="20"/>
                <w:szCs w:val="20"/>
                <w:color w:val="auto"/>
              </w:rPr>
            </w:pPr>
            <w:r>
              <w:rPr>
                <w:rFonts w:ascii="Arial" w:cs="Arial" w:eastAsia="Arial" w:hAnsi="Arial"/>
                <w:sz w:val="18"/>
                <w:szCs w:val="18"/>
                <w:color w:val="auto"/>
              </w:rPr>
              <w:t>Assembly Row, Pike &amp; Rose, and Santana Row</w:t>
            </w:r>
          </w:p>
        </w:tc>
        <w:tc>
          <w:tcPr>
            <w:tcW w:w="25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32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6</w:t>
            </w:r>
          </w:p>
        </w:tc>
        <w:tc>
          <w:tcPr>
            <w:tcW w:w="6260" w:type="dxa"/>
            <w:vAlign w:val="bottom"/>
          </w:tcPr>
          <w:p>
            <w:pPr>
              <w:ind w:left="340"/>
              <w:spacing w:after="0"/>
              <w:rPr>
                <w:sz w:val="20"/>
                <w:szCs w:val="20"/>
                <w:color w:val="auto"/>
              </w:rPr>
            </w:pPr>
            <w:r>
              <w:rPr>
                <w:rFonts w:ascii="Arial" w:cs="Arial" w:eastAsia="Arial" w:hAnsi="Arial"/>
                <w:sz w:val="18"/>
                <w:szCs w:val="18"/>
                <w:color w:val="auto"/>
              </w:rPr>
              <w:t>Future Redevelopment Opportunities</w:t>
            </w:r>
          </w:p>
        </w:tc>
        <w:tc>
          <w:tcPr>
            <w:tcW w:w="25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7</w:t>
            </w:r>
          </w:p>
        </w:tc>
        <w:tc>
          <w:tcPr>
            <w:tcW w:w="6260" w:type="dxa"/>
            <w:vAlign w:val="bottom"/>
          </w:tcPr>
          <w:p>
            <w:pPr>
              <w:ind w:left="340"/>
              <w:spacing w:after="0"/>
              <w:rPr>
                <w:sz w:val="20"/>
                <w:szCs w:val="20"/>
                <w:color w:val="auto"/>
              </w:rPr>
            </w:pPr>
            <w:r>
              <w:rPr>
                <w:rFonts w:ascii="Arial" w:cs="Arial" w:eastAsia="Arial" w:hAnsi="Arial"/>
                <w:sz w:val="18"/>
                <w:szCs w:val="18"/>
                <w:color w:val="auto"/>
              </w:rPr>
              <w:t>Significant Property Acquisitions and Disposition</w:t>
            </w:r>
          </w:p>
        </w:tc>
        <w:tc>
          <w:tcPr>
            <w:tcW w:w="252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8</w:t>
            </w:r>
          </w:p>
        </w:tc>
        <w:tc>
          <w:tcPr>
            <w:tcW w:w="6260" w:type="dxa"/>
            <w:vAlign w:val="bottom"/>
          </w:tcPr>
          <w:p>
            <w:pPr>
              <w:ind w:left="340"/>
              <w:spacing w:after="0"/>
              <w:rPr>
                <w:sz w:val="20"/>
                <w:szCs w:val="20"/>
                <w:color w:val="auto"/>
              </w:rPr>
            </w:pPr>
            <w:r>
              <w:rPr>
                <w:rFonts w:ascii="Arial" w:cs="Arial" w:eastAsia="Arial" w:hAnsi="Arial"/>
                <w:sz w:val="18"/>
                <w:szCs w:val="18"/>
                <w:color w:val="auto"/>
              </w:rPr>
              <w:t>Real Estate Status Report</w:t>
            </w:r>
          </w:p>
        </w:tc>
        <w:tc>
          <w:tcPr>
            <w:tcW w:w="25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21</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9</w:t>
            </w:r>
          </w:p>
        </w:tc>
        <w:tc>
          <w:tcPr>
            <w:tcW w:w="6260" w:type="dxa"/>
            <w:vAlign w:val="bottom"/>
          </w:tcPr>
          <w:p>
            <w:pPr>
              <w:ind w:left="340"/>
              <w:spacing w:after="0"/>
              <w:rPr>
                <w:sz w:val="20"/>
                <w:szCs w:val="20"/>
                <w:color w:val="auto"/>
              </w:rPr>
            </w:pPr>
            <w:r>
              <w:rPr>
                <w:rFonts w:ascii="Arial" w:cs="Arial" w:eastAsia="Arial" w:hAnsi="Arial"/>
                <w:sz w:val="18"/>
                <w:szCs w:val="18"/>
                <w:color w:val="auto"/>
              </w:rPr>
              <w:t>Retail Leasing Summary</w:t>
            </w:r>
          </w:p>
        </w:tc>
        <w:tc>
          <w:tcPr>
            <w:tcW w:w="252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10</w:t>
            </w:r>
          </w:p>
        </w:tc>
        <w:tc>
          <w:tcPr>
            <w:tcW w:w="6260" w:type="dxa"/>
            <w:vAlign w:val="bottom"/>
          </w:tcPr>
          <w:p>
            <w:pPr>
              <w:ind w:left="340"/>
              <w:spacing w:after="0"/>
              <w:rPr>
                <w:sz w:val="20"/>
                <w:szCs w:val="20"/>
                <w:color w:val="auto"/>
              </w:rPr>
            </w:pPr>
            <w:r>
              <w:rPr>
                <w:rFonts w:ascii="Arial" w:cs="Arial" w:eastAsia="Arial" w:hAnsi="Arial"/>
                <w:sz w:val="18"/>
                <w:szCs w:val="18"/>
                <w:color w:val="auto"/>
              </w:rPr>
              <w:t>Lease Expirations</w:t>
            </w:r>
          </w:p>
        </w:tc>
        <w:tc>
          <w:tcPr>
            <w:tcW w:w="252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26</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11</w:t>
            </w:r>
          </w:p>
        </w:tc>
        <w:tc>
          <w:tcPr>
            <w:tcW w:w="6260" w:type="dxa"/>
            <w:vAlign w:val="bottom"/>
          </w:tcPr>
          <w:p>
            <w:pPr>
              <w:ind w:left="340"/>
              <w:spacing w:after="0"/>
              <w:rPr>
                <w:sz w:val="20"/>
                <w:szCs w:val="20"/>
                <w:color w:val="auto"/>
              </w:rPr>
            </w:pPr>
            <w:r>
              <w:rPr>
                <w:rFonts w:ascii="Arial" w:cs="Arial" w:eastAsia="Arial" w:hAnsi="Arial"/>
                <w:sz w:val="18"/>
                <w:szCs w:val="18"/>
                <w:color w:val="auto"/>
              </w:rPr>
              <w:t>Portfolio Leased Statistics</w:t>
            </w:r>
          </w:p>
        </w:tc>
        <w:tc>
          <w:tcPr>
            <w:tcW w:w="252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27</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12</w:t>
            </w:r>
          </w:p>
        </w:tc>
        <w:tc>
          <w:tcPr>
            <w:tcW w:w="6260" w:type="dxa"/>
            <w:vAlign w:val="bottom"/>
          </w:tcPr>
          <w:p>
            <w:pPr>
              <w:ind w:left="340"/>
              <w:spacing w:after="0"/>
              <w:rPr>
                <w:sz w:val="20"/>
                <w:szCs w:val="20"/>
                <w:color w:val="auto"/>
              </w:rPr>
            </w:pPr>
            <w:r>
              <w:rPr>
                <w:rFonts w:ascii="Arial" w:cs="Arial" w:eastAsia="Arial" w:hAnsi="Arial"/>
                <w:sz w:val="18"/>
                <w:szCs w:val="18"/>
                <w:color w:val="auto"/>
              </w:rPr>
              <w:t>Summary of Top 25 Tenants</w:t>
            </w:r>
          </w:p>
        </w:tc>
        <w:tc>
          <w:tcPr>
            <w:tcW w:w="252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28</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3"/>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13</w:t>
            </w:r>
          </w:p>
        </w:tc>
        <w:tc>
          <w:tcPr>
            <w:tcW w:w="6260" w:type="dxa"/>
            <w:vAlign w:val="bottom"/>
          </w:tcPr>
          <w:p>
            <w:pPr>
              <w:ind w:left="340"/>
              <w:spacing w:after="0"/>
              <w:rPr>
                <w:sz w:val="20"/>
                <w:szCs w:val="20"/>
                <w:color w:val="auto"/>
              </w:rPr>
            </w:pPr>
            <w:r>
              <w:rPr>
                <w:rFonts w:ascii="Arial" w:cs="Arial" w:eastAsia="Arial" w:hAnsi="Arial"/>
                <w:sz w:val="18"/>
                <w:szCs w:val="18"/>
                <w:color w:val="auto"/>
              </w:rPr>
              <w:t>Tenant Diversification by Category</w:t>
            </w:r>
          </w:p>
        </w:tc>
        <w:tc>
          <w:tcPr>
            <w:tcW w:w="2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32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color w:val="auto"/>
              </w:rPr>
              <w:t>14</w:t>
            </w:r>
          </w:p>
        </w:tc>
        <w:tc>
          <w:tcPr>
            <w:tcW w:w="6260" w:type="dxa"/>
            <w:vAlign w:val="bottom"/>
          </w:tcPr>
          <w:p>
            <w:pPr>
              <w:ind w:left="340"/>
              <w:spacing w:after="0"/>
              <w:rPr>
                <w:sz w:val="20"/>
                <w:szCs w:val="20"/>
                <w:color w:val="auto"/>
              </w:rPr>
            </w:pPr>
            <w:r>
              <w:rPr>
                <w:rFonts w:ascii="Arial" w:cs="Arial" w:eastAsia="Arial" w:hAnsi="Arial"/>
                <w:sz w:val="18"/>
                <w:szCs w:val="18"/>
                <w:color w:val="auto"/>
              </w:rPr>
              <w:t>Glossary of Terms</w:t>
            </w:r>
          </w:p>
        </w:tc>
        <w:tc>
          <w:tcPr>
            <w:tcW w:w="252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30</w:t>
              </w:r>
            </w:hyperlink>
          </w:p>
        </w:tc>
      </w:tr>
      <w:tr>
        <w:trPr>
          <w:trHeight w:val="27"/>
        </w:trPr>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84"/>
        </w:trPr>
        <w:tc>
          <w:tcPr>
            <w:tcW w:w="54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59150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1502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1502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320"/>
          </w:cols>
          <w:pgMar w:left="1280" w:top="715" w:right="12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320"/>
          </w:cols>
          <w:pgMar w:left="1280" w:top="715" w:right="1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subsequent quarterly reports on Form 10-Q, and include the following:</w:t>
      </w:r>
    </w:p>
    <w:p>
      <w:pPr>
        <w:spacing w:after="0" w:line="1" w:lineRule="exact"/>
        <w:rPr>
          <w:sz w:val="20"/>
          <w:szCs w:val="20"/>
          <w:color w:val="auto"/>
        </w:rPr>
      </w:pPr>
    </w:p>
    <w:p>
      <w:pPr>
        <w:ind w:left="980" w:right="1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ind w:left="980" w:right="80" w:hanging="324"/>
        <w:spacing w:after="0" w:line="26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right="320" w:hanging="324"/>
        <w:spacing w:after="0" w:line="28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0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8"/>
          <w:szCs w:val="18"/>
          <w:color w:val="auto"/>
        </w:rPr>
      </w:pPr>
    </w:p>
    <w:p>
      <w:pPr>
        <w:ind w:left="980" w:right="20" w:hanging="324"/>
        <w:spacing w:after="0" w:line="253"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53"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drawing>
          <wp:anchor simplePos="0" relativeHeight="251657728" behindDoc="1" locked="0" layoutInCell="0" allowOverlap="1">
            <wp:simplePos x="0" y="0"/>
            <wp:positionH relativeFrom="page">
              <wp:posOffset>2548255</wp:posOffset>
            </wp:positionH>
            <wp:positionV relativeFrom="page">
              <wp:posOffset>542925</wp:posOffset>
            </wp:positionV>
            <wp:extent cx="2451735"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700" w:type="dxa"/>
            <w:vAlign w:val="bottom"/>
          </w:tcPr>
          <w:p>
            <w:pPr>
              <w:spacing w:after="0"/>
              <w:rPr>
                <w:sz w:val="24"/>
                <w:szCs w:val="24"/>
                <w:color w:val="auto"/>
              </w:rPr>
            </w:pPr>
          </w:p>
        </w:tc>
      </w:tr>
      <w:tr>
        <w:trPr>
          <w:trHeight w:val="499"/>
        </w:trPr>
        <w:tc>
          <w:tcPr>
            <w:tcW w:w="510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70"/>
        </w:trPr>
        <w:tc>
          <w:tcPr>
            <w:tcW w:w="510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70"/>
        </w:trPr>
        <w:tc>
          <w:tcPr>
            <w:tcW w:w="510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70"/>
        </w:trPr>
        <w:tc>
          <w:tcPr>
            <w:tcW w:w="510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70"/>
        </w:trPr>
        <w:tc>
          <w:tcPr>
            <w:tcW w:w="510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Second Quarter 2020 Operating Results</w:t>
      </w:r>
    </w:p>
    <w:p>
      <w:pPr>
        <w:spacing w:after="0" w:line="301" w:lineRule="exact"/>
        <w:rPr>
          <w:sz w:val="20"/>
          <w:szCs w:val="20"/>
          <w:color w:val="auto"/>
        </w:rPr>
      </w:pPr>
    </w:p>
    <w:p>
      <w:pPr>
        <w:ind w:right="340"/>
        <w:spacing w:after="0" w:line="371" w:lineRule="auto"/>
        <w:rPr>
          <w:sz w:val="20"/>
          <w:szCs w:val="20"/>
          <w:color w:val="auto"/>
        </w:rPr>
      </w:pPr>
      <w:r>
        <w:rPr>
          <w:rFonts w:ascii="Arial" w:cs="Arial" w:eastAsia="Arial" w:hAnsi="Arial"/>
          <w:sz w:val="18"/>
          <w:szCs w:val="18"/>
          <w:color w:val="auto"/>
        </w:rPr>
        <w:t xml:space="preserve">ROCKVILLE, Md. (August 5, 2020)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second quarter ended June 30, 2020.</w:t>
      </w:r>
    </w:p>
    <w:p>
      <w:pPr>
        <w:spacing w:after="0" w:line="200" w:lineRule="exact"/>
        <w:rPr>
          <w:sz w:val="20"/>
          <w:szCs w:val="20"/>
          <w:color w:val="auto"/>
        </w:rPr>
      </w:pPr>
    </w:p>
    <w:p>
      <w:pPr>
        <w:spacing w:after="0" w:line="227" w:lineRule="exact"/>
        <w:rPr>
          <w:sz w:val="20"/>
          <w:szCs w:val="20"/>
          <w:color w:val="auto"/>
        </w:rPr>
      </w:pPr>
    </w:p>
    <w:p>
      <w:pPr>
        <w:ind w:right="160"/>
        <w:spacing w:after="0" w:line="35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62626"/>
        </w:rPr>
        <w:t>We remain confident in our ability to weather this pandemic and come out on the other side an even stronger and further differentiated</w:t>
      </w:r>
      <w:r>
        <w:rPr>
          <w:rFonts w:ascii="Arial" w:cs="Arial" w:eastAsia="Arial" w:hAnsi="Arial"/>
          <w:sz w:val="18"/>
          <w:szCs w:val="18"/>
          <w:color w:val="auto"/>
        </w:rPr>
        <w:t xml:space="preserve"> </w:t>
      </w:r>
      <w:r>
        <w:rPr>
          <w:rFonts w:ascii="Arial" w:cs="Arial" w:eastAsia="Arial" w:hAnsi="Arial"/>
          <w:sz w:val="18"/>
          <w:szCs w:val="18"/>
          <w:color w:val="262626"/>
        </w:rPr>
        <w:t>company,</w:t>
      </w:r>
      <w:r>
        <w:rPr>
          <w:rFonts w:ascii="Arial" w:cs="Arial" w:eastAsia="Arial" w:hAnsi="Arial"/>
          <w:sz w:val="18"/>
          <w:szCs w:val="18"/>
          <w:color w:val="000000"/>
        </w:rPr>
        <w:t>” said Donald C. Wood, President and Chief Executive Officer.</w:t>
      </w:r>
      <w:r>
        <w:rPr>
          <w:rFonts w:ascii="Arial" w:cs="Arial" w:eastAsia="Arial" w:hAnsi="Arial"/>
          <w:sz w:val="18"/>
          <w:szCs w:val="18"/>
          <w:color w:val="262626"/>
        </w:rPr>
        <w:t xml:space="preserve"> “Continued positive trends in our collections, our fortress balance sheet built for times like these and, most importantly, the continued desirability of our locations, as evidenced by current tenant discussions, gave us the confidence this quarter to increase our dividend for the 53</w:t>
      </w:r>
      <w:r>
        <w:rPr>
          <w:rFonts w:ascii="Arial" w:cs="Arial" w:eastAsia="Arial" w:hAnsi="Arial"/>
          <w:sz w:val="21"/>
          <w:szCs w:val="21"/>
          <w:color w:val="262626"/>
          <w:vertAlign w:val="superscript"/>
        </w:rPr>
        <w:t>rd</w:t>
      </w:r>
      <w:r>
        <w:rPr>
          <w:rFonts w:ascii="Arial" w:cs="Arial" w:eastAsia="Arial" w:hAnsi="Arial"/>
          <w:sz w:val="18"/>
          <w:szCs w:val="18"/>
          <w:color w:val="262626"/>
        </w:rPr>
        <w:t xml:space="preserve"> year, an industry record and a coveted aspect of Federal Realty’s history</w:t>
      </w:r>
      <w:r>
        <w:rPr>
          <w:rFonts w:ascii="Arial" w:cs="Arial" w:eastAsia="Arial" w:hAnsi="Arial"/>
          <w:sz w:val="18"/>
          <w:szCs w:val="18"/>
          <w:color w:val="000000"/>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0" w:lineRule="exact"/>
        <w:rPr>
          <w:sz w:val="20"/>
          <w:szCs w:val="20"/>
          <w:color w:val="auto"/>
        </w:rPr>
      </w:pPr>
    </w:p>
    <w:p>
      <w:pPr>
        <w:ind w:right="260"/>
        <w:spacing w:after="0" w:line="371" w:lineRule="auto"/>
        <w:rPr>
          <w:sz w:val="20"/>
          <w:szCs w:val="20"/>
          <w:color w:val="auto"/>
        </w:rPr>
      </w:pPr>
      <w:r>
        <w:rPr>
          <w:rFonts w:ascii="Arial" w:cs="Arial" w:eastAsia="Arial" w:hAnsi="Arial"/>
          <w:sz w:val="18"/>
          <w:szCs w:val="18"/>
          <w:color w:val="auto"/>
        </w:rPr>
        <w:t>Net income available for common shareholders was $8.5 million and earnings per diluted share was $0.11 for second quarter 2020 versus $78.9 million and $1.05, respectively, for second quarter 2019.</w:t>
      </w:r>
    </w:p>
    <w:p>
      <w:pPr>
        <w:spacing w:after="0" w:line="116" w:lineRule="exact"/>
        <w:rPr>
          <w:sz w:val="20"/>
          <w:szCs w:val="20"/>
          <w:color w:val="auto"/>
        </w:rPr>
      </w:pPr>
    </w:p>
    <w:p>
      <w:pPr>
        <w:ind w:right="260"/>
        <w:spacing w:after="0" w:line="371" w:lineRule="auto"/>
        <w:rPr>
          <w:sz w:val="20"/>
          <w:szCs w:val="20"/>
          <w:color w:val="auto"/>
        </w:rPr>
      </w:pPr>
      <w:r>
        <w:rPr>
          <w:rFonts w:ascii="Arial" w:cs="Arial" w:eastAsia="Arial" w:hAnsi="Arial"/>
          <w:sz w:val="18"/>
          <w:szCs w:val="18"/>
          <w:color w:val="auto"/>
        </w:rPr>
        <w:t>In the second quarter 2020, Federal Realty generated funds from operations available for common shareholders (FFO) of $58.0 million, or $0.77 per diluted share. This compares to FFO of $121.0 million, or $1.60 per diluted share, in the second quarter 2019.</w:t>
      </w:r>
    </w:p>
    <w:p>
      <w:pPr>
        <w:spacing w:after="0" w:line="11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year-over-year decrease in net income and FFO was attributable to the impacts of the COVID-19 pandemic with the primary driver being collectibility related adjustment impacts during the second quarter totaling $55.2 million, or $0.73 per share, which included a $9.4 million impact to straight-line rent.</w:t>
      </w:r>
    </w:p>
    <w:p>
      <w:pPr>
        <w:spacing w:after="0" w:line="122" w:lineRule="exact"/>
        <w:rPr>
          <w:sz w:val="20"/>
          <w:szCs w:val="20"/>
          <w:color w:val="auto"/>
        </w:rPr>
      </w:pPr>
    </w:p>
    <w:p>
      <w:pPr>
        <w:ind w:right="6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Portfolio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93.0% leased as of June 30, 2020, and the comparable portfolio was 93.7% leased.</w:t>
      </w:r>
    </w:p>
    <w:p>
      <w:pPr>
        <w:spacing w:after="0" w:line="239"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auto"/>
        </w:rPr>
        <w:t>During the second quarter 2020, Federal Realty signed 50 leases for 314,679 square feet of retail space. On a comparable space basis (i.e., spaces for which there was a former tenant), Federal Realty leased 277,681 square feet at an average rent of $28.55 per square foot compared to the average contractual rent of $25.64 per square foot for the last year of the prior leases, representing a cash basis rollover growth on those comparable spaces of 11%, 23% on a straight-line basis. Additionally, Federal Realty signed 15 leases for 94,805 square feet of office space during the second quarter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Operational Update</w:t>
      </w:r>
    </w:p>
    <w:p>
      <w:pPr>
        <w:spacing w:after="0" w:line="261" w:lineRule="exact"/>
        <w:rPr>
          <w:sz w:val="20"/>
          <w:szCs w:val="20"/>
          <w:color w:val="auto"/>
        </w:rPr>
      </w:pPr>
    </w:p>
    <w:p>
      <w:pPr>
        <w:ind w:right="140"/>
        <w:spacing w:after="0" w:line="363" w:lineRule="auto"/>
        <w:rPr>
          <w:sz w:val="20"/>
          <w:szCs w:val="20"/>
          <w:color w:val="auto"/>
        </w:rPr>
      </w:pPr>
      <w:r>
        <w:rPr>
          <w:rFonts w:ascii="Arial" w:cs="Arial" w:eastAsia="Arial" w:hAnsi="Arial"/>
          <w:sz w:val="18"/>
          <w:szCs w:val="18"/>
          <w:color w:val="auto"/>
        </w:rPr>
        <w:t xml:space="preserve">All 104 properties remain open and operating. </w:t>
      </w:r>
      <w:r>
        <w:rPr>
          <w:rFonts w:ascii="Arial" w:cs="Arial" w:eastAsia="Arial" w:hAnsi="Arial"/>
          <w:sz w:val="18"/>
          <w:szCs w:val="18"/>
          <w:color w:val="262626"/>
        </w:rPr>
        <w:t>Approximately 87% of our commercial tenants are open and operating as of July 31, 2020</w:t>
      </w:r>
      <w:r>
        <w:rPr>
          <w:rFonts w:ascii="Arial" w:cs="Arial" w:eastAsia="Arial" w:hAnsi="Arial"/>
          <w:sz w:val="18"/>
          <w:szCs w:val="18"/>
          <w:color w:val="auto"/>
        </w:rPr>
        <w:t xml:space="preserve"> </w:t>
      </w:r>
      <w:r>
        <w:rPr>
          <w:rFonts w:ascii="Arial" w:cs="Arial" w:eastAsia="Arial" w:hAnsi="Arial"/>
          <w:sz w:val="18"/>
          <w:szCs w:val="18"/>
          <w:color w:val="262626"/>
        </w:rPr>
        <w:t xml:space="preserve">based on annualized base rent compared to 47% on May 1, 2020. Annualized base rent reflects </w:t>
      </w:r>
      <w:r>
        <w:rPr>
          <w:rFonts w:ascii="Arial" w:cs="Arial" w:eastAsia="Arial" w:hAnsi="Arial"/>
          <w:sz w:val="18"/>
          <w:szCs w:val="18"/>
          <w:color w:val="000000"/>
        </w:rPr>
        <w:t>t</w:t>
      </w:r>
      <w:r>
        <w:rPr>
          <w:rFonts w:ascii="Arial" w:cs="Arial" w:eastAsia="Arial" w:hAnsi="Arial"/>
          <w:sz w:val="18"/>
          <w:szCs w:val="18"/>
          <w:color w:val="262626"/>
        </w:rPr>
        <w:t>he aggregate, annualized in-place contractual (defined as rents billed on a cash basis without taking the impact of rent abatements into account) minimum rent for all occupied spaces.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262626"/>
        </w:rPr>
        <w:t>As of July 31, 2020, the Company has collected approximately 68% of total second quarter 2020 billed recurring rents and 76% of July 2020.</w:t>
      </w:r>
    </w:p>
    <w:p>
      <w:pPr>
        <w:spacing w:after="0" w:line="239" w:lineRule="exact"/>
        <w:rPr>
          <w:sz w:val="20"/>
          <w:szCs w:val="20"/>
          <w:color w:val="auto"/>
        </w:rPr>
      </w:pPr>
    </w:p>
    <w:p>
      <w:pPr>
        <w:spacing w:after="0" w:line="371" w:lineRule="auto"/>
        <w:rPr>
          <w:sz w:val="20"/>
          <w:szCs w:val="20"/>
          <w:color w:val="auto"/>
        </w:rPr>
      </w:pPr>
      <w:r>
        <w:rPr>
          <w:rFonts w:ascii="Arial" w:cs="Arial" w:eastAsia="Arial" w:hAnsi="Arial"/>
          <w:sz w:val="18"/>
          <w:szCs w:val="18"/>
          <w:color w:val="262626"/>
        </w:rPr>
        <w:t>As of July 31, 2020, deferral agreements have been executed for $21 million, or 10%, of billed recurring rents for April through June 2020 and have a weighted average repayment period of 9 months.</w:t>
      </w:r>
    </w:p>
    <w:p>
      <w:pPr>
        <w:spacing w:after="0" w:line="116"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262626"/>
        </w:rPr>
        <w:t>With $980.0 million of cash and cash equivalents as of June 30, 2020, Federal Realty has approximately $2.0 billion of liquidity in cash and undrawn availability under its $1.0 billion revolving credit facility.</w:t>
      </w:r>
    </w:p>
    <w:p>
      <w:pPr>
        <w:spacing w:after="0" w:line="116" w:lineRule="exact"/>
        <w:rPr>
          <w:sz w:val="20"/>
          <w:szCs w:val="20"/>
          <w:color w:val="auto"/>
        </w:rPr>
      </w:pPr>
    </w:p>
    <w:p>
      <w:pPr>
        <w:spacing w:after="0" w:line="371" w:lineRule="auto"/>
        <w:rPr>
          <w:sz w:val="20"/>
          <w:szCs w:val="20"/>
          <w:color w:val="auto"/>
        </w:rPr>
      </w:pPr>
      <w:r>
        <w:rPr>
          <w:rFonts w:ascii="Arial" w:cs="Arial" w:eastAsia="Arial" w:hAnsi="Arial"/>
          <w:sz w:val="18"/>
          <w:szCs w:val="18"/>
          <w:color w:val="262626"/>
        </w:rPr>
        <w:t xml:space="preserve">Additional information on the impact of the COVID-19 pandemic on the Company’s business to date is available in a </w:t>
      </w:r>
      <w:r>
        <w:rPr>
          <w:rFonts w:ascii="Arial" w:cs="Arial" w:eastAsia="Arial" w:hAnsi="Arial"/>
          <w:sz w:val="18"/>
          <w:szCs w:val="18"/>
          <w:color w:val="000000"/>
        </w:rPr>
        <w:t>presentation</w:t>
      </w:r>
      <w:r>
        <w:rPr>
          <w:rFonts w:ascii="Arial" w:cs="Arial" w:eastAsia="Arial" w:hAnsi="Arial"/>
          <w:sz w:val="18"/>
          <w:szCs w:val="18"/>
          <w:color w:val="262626"/>
        </w:rPr>
        <w:t xml:space="preserve"> posted on the </w:t>
      </w:r>
      <w:r>
        <w:rPr>
          <w:rFonts w:ascii="Arial" w:cs="Arial" w:eastAsia="Arial" w:hAnsi="Arial"/>
          <w:sz w:val="18"/>
          <w:szCs w:val="18"/>
          <w:color w:val="000000"/>
        </w:rPr>
        <w:t>Investor section of Federal Realty’s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61"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262626"/>
        </w:rPr>
        <w:t>Federal Realty announced today that its Board of Trustees increased the regular dividend rate on its common shares, declaring a regular quarterly cash dividend of $1.06 per share</w:t>
      </w:r>
      <w:r>
        <w:rPr>
          <w:rFonts w:ascii="Arial" w:cs="Arial" w:eastAsia="Arial" w:hAnsi="Arial"/>
          <w:sz w:val="18"/>
          <w:szCs w:val="18"/>
          <w:color w:val="000000"/>
        </w:rPr>
        <w:t>, resulting in an indicated annual rate of $4.24 per share. The regular common dividend will be</w:t>
      </w:r>
      <w:r>
        <w:rPr>
          <w:rFonts w:ascii="Arial" w:cs="Arial" w:eastAsia="Arial" w:hAnsi="Arial"/>
          <w:sz w:val="18"/>
          <w:szCs w:val="18"/>
          <w:color w:val="262626"/>
        </w:rPr>
        <w:t xml:space="preserve"> </w:t>
      </w:r>
      <w:r>
        <w:rPr>
          <w:rFonts w:ascii="Arial" w:cs="Arial" w:eastAsia="Arial" w:hAnsi="Arial"/>
          <w:sz w:val="18"/>
          <w:szCs w:val="18"/>
          <w:color w:val="000000"/>
        </w:rPr>
        <w:t xml:space="preserve">payable on October 15, 2020, to common shareholders of record on September 22, 2020. This increase represents the 53rd consecutive year that Federal Realty has increased its common dividend, the longest record of consecutive annual dividend increases in the REIT sector, and solidifies its position as 1 of only 30 companies in any sector to be considered a </w:t>
      </w:r>
      <w:r>
        <w:rPr>
          <w:rFonts w:ascii="Arial" w:cs="Arial" w:eastAsia="Arial" w:hAnsi="Arial"/>
          <w:sz w:val="18"/>
          <w:szCs w:val="18"/>
          <w:color w:val="262626"/>
        </w:rPr>
        <w:t>‘</w:t>
      </w:r>
      <w:r>
        <w:rPr>
          <w:rFonts w:ascii="Arial" w:cs="Arial" w:eastAsia="Arial" w:hAnsi="Arial"/>
          <w:sz w:val="18"/>
          <w:szCs w:val="18"/>
          <w:color w:val="000000"/>
        </w:rPr>
        <w:t>Dividend King</w:t>
      </w:r>
      <w:r>
        <w:rPr>
          <w:rFonts w:ascii="Arial" w:cs="Arial" w:eastAsia="Arial" w:hAnsi="Arial"/>
          <w:sz w:val="18"/>
          <w:szCs w:val="18"/>
          <w:color w:val="262626"/>
        </w:rPr>
        <w:t>'.</w:t>
      </w:r>
    </w:p>
    <w:p>
      <w:pPr>
        <w:spacing w:after="0" w:line="126" w:lineRule="exact"/>
        <w:rPr>
          <w:sz w:val="20"/>
          <w:szCs w:val="20"/>
          <w:color w:val="auto"/>
        </w:rPr>
      </w:pPr>
    </w:p>
    <w:p>
      <w:pPr>
        <w:jc w:val="both"/>
        <w:ind w:right="160"/>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2020 to common shareholders of record as of October 1, 2020.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3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Summary of Other Quarterly Activities and Recent Developments</w:t>
      </w:r>
    </w:p>
    <w:p>
      <w:pPr>
        <w:spacing w:after="0" w:line="261"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May 6, 2020 - Federal Realty closed on a new $400.0 million unsecured term loan. Proceeds were used to repay balances outstanding under the Company’s $1.0 billion unsecured credit facility. The term loan bears interest at LIBOR plus 135 basis points and will mature in May 2021, with an option to extend the loan until May 2022.</w:t>
      </w:r>
    </w:p>
    <w:p>
      <w:pPr>
        <w:spacing w:after="0" w:line="122"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May 11, 2020 - Federal Realty closed on its public offering of $400.0 million aggregate principal amount of 3.50% senior notes due 2030 at an effective yield of 3.630% and reopened their 3.95% senior notes due 2024 for an additional $300.0 million aggregate principal amount at an effective yield of 2.944%. The 3.95% senior notes have the same terms and are of the same series as the $300.0 million senior notes issued on December 9, 2013. Federal Realty used the net proceeds from this offering to reduce amounts outstanding under its revolving credit facility and for general corporate purposes.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spacing w:after="0" w:line="362" w:lineRule="auto"/>
        <w:rPr>
          <w:sz w:val="20"/>
          <w:szCs w:val="20"/>
          <w:color w:val="auto"/>
        </w:rPr>
      </w:pPr>
      <w:r>
        <w:rPr>
          <w:rFonts w:ascii="Arial" w:cs="Arial" w:eastAsia="Arial" w:hAnsi="Arial"/>
          <w:sz w:val="18"/>
          <w:szCs w:val="18"/>
          <w:color w:val="262626"/>
        </w:rPr>
        <w:t>Federal Realty’s management team will present an in-depth discussion of Federal Realty’s operating performance on its second quarter 2020 earnings conference call, which is scheduled for Thursday, August 6, 2020 at 10:00AM ET. To participate, please call 877.407.9208 five to ten minutes prior to the call start time and use the passcode 13705851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20, 2020 by dialing 844.512.2921; Passcode: 13705851</w:t>
      </w:r>
      <w:r>
        <w:rPr>
          <w:rFonts w:ascii="Arial" w:cs="Arial" w:eastAsia="Arial" w:hAnsi="Arial"/>
          <w:sz w:val="18"/>
          <w:szCs w:val="18"/>
          <w:color w:val="000000"/>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2,900 tenants, in 24 million square feet, and approximately 2,800 residential units.</w:t>
      </w:r>
    </w:p>
    <w:p>
      <w:pPr>
        <w:spacing w:after="0" w:line="129"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53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give no assurance that its expectations will be attained. These factors include, but are not limited to, the risk factors described in our Annual Report on Form 10-K filed 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February 10, 2020 and subsequent quarterly reports on Form 10-Q, and include the following:</w:t>
      </w:r>
    </w:p>
    <w:p>
      <w:pPr>
        <w:spacing w:after="0" w:line="16" w:lineRule="exact"/>
        <w:rPr>
          <w:sz w:val="20"/>
          <w:szCs w:val="20"/>
          <w:color w:val="auto"/>
        </w:rPr>
      </w:pPr>
    </w:p>
    <w:p>
      <w:pPr>
        <w:ind w:left="980" w:right="6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200" w:hanging="324"/>
        <w:spacing w:after="0" w:line="25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right="360" w:hanging="324"/>
        <w:spacing w:after="0" w:line="24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4"/>
          <w:szCs w:val="14"/>
          <w:i w:val="1"/>
          <w:iCs w:val="1"/>
          <w:color w:val="auto"/>
        </w:rPr>
      </w:pPr>
    </w:p>
    <w:p>
      <w:pPr>
        <w:ind w:left="980" w:hanging="324"/>
        <w:spacing w:after="0" w:line="24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980" w:right="320" w:hanging="324"/>
        <w:spacing w:after="0" w:line="24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41"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 w:lineRule="exact"/>
        <w:rPr>
          <w:rFonts w:ascii="Arial" w:cs="Arial" w:eastAsia="Arial" w:hAnsi="Arial"/>
          <w:sz w:val="14"/>
          <w:szCs w:val="14"/>
          <w:i w:val="1"/>
          <w:iCs w:val="1"/>
          <w:color w:val="auto"/>
        </w:rPr>
      </w:pPr>
    </w:p>
    <w:p>
      <w:pPr>
        <w:ind w:left="980" w:right="40" w:hanging="324"/>
        <w:spacing w:after="0" w:line="247" w:lineRule="auto"/>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 and subsequent quarterly reports on Form 10-Q.</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46"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24"/>
                <w:szCs w:val="24"/>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40" w:type="dxa"/>
            <w:vAlign w:val="bottom"/>
          </w:tcPr>
          <w:p>
            <w:pPr>
              <w:ind w:left="40"/>
              <w:spacing w:after="0"/>
              <w:rPr>
                <w:sz w:val="20"/>
                <w:szCs w:val="20"/>
                <w:color w:val="auto"/>
              </w:rPr>
            </w:pPr>
            <w:r>
              <w:rPr>
                <w:rFonts w:ascii="Arial" w:cs="Arial" w:eastAsia="Arial" w:hAnsi="Arial"/>
                <w:sz w:val="18"/>
                <w:szCs w:val="18"/>
                <w:color w:val="auto"/>
              </w:rPr>
              <w:t>REVENUE</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175,479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461,223</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230,465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407,784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462,692</w:t>
            </w:r>
          </w:p>
        </w:tc>
        <w:tc>
          <w:tcPr>
            <w:tcW w:w="0" w:type="dxa"/>
            <w:vAlign w:val="bottom"/>
          </w:tcPr>
          <w:p>
            <w:pPr>
              <w:spacing w:after="0"/>
              <w:rPr>
                <w:sz w:val="1"/>
                <w:szCs w:val="1"/>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EXPENSES</w:t>
            </w:r>
          </w:p>
        </w:tc>
        <w:tc>
          <w:tcPr>
            <w:tcW w:w="7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85,698</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30,599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59,663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52,853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62,784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59,057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124,972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118,679</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139,614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278,217</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 net of tax</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200,672</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(55,515)</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(Loss) income from partnerships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144,470</w:t>
            </w:r>
          </w:p>
        </w:tc>
        <w:tc>
          <w:tcPr>
            <w:tcW w:w="0" w:type="dxa"/>
            <w:vAlign w:val="bottom"/>
          </w:tcPr>
          <w:p>
            <w:pPr>
              <w:spacing w:after="0"/>
              <w:rPr>
                <w:sz w:val="1"/>
                <w:szCs w:val="1"/>
                <w:color w:val="auto"/>
              </w:rPr>
            </w:pPr>
          </w:p>
        </w:tc>
      </w:tr>
      <w:tr>
        <w:trPr>
          <w:trHeight w:val="243"/>
        </w:trPr>
        <w:tc>
          <w:tcPr>
            <w:tcW w:w="524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141,046</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78,891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137,025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4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74,458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2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2580" w:type="dxa"/>
            <w:vAlign w:val="bottom"/>
            <w:gridSpan w:val="5"/>
          </w:tcPr>
          <w:p>
            <w:pPr>
              <w:ind w:left="40"/>
              <w:spacing w:after="0" w:line="153" w:lineRule="exact"/>
              <w:rPr>
                <w:sz w:val="20"/>
                <w:szCs w:val="20"/>
                <w:color w:val="auto"/>
              </w:rPr>
            </w:pPr>
            <w:r>
              <w:rPr>
                <w:rFonts w:ascii="Arial" w:cs="Arial" w:eastAsia="Arial" w:hAnsi="Arial"/>
                <w:sz w:val="14"/>
                <w:szCs w:val="14"/>
                <w:b w:val="1"/>
                <w:bCs w:val="1"/>
                <w:color w:val="auto"/>
                <w:w w:val="89"/>
              </w:rPr>
              <w:t>(in thousands, except share and per share</w:t>
            </w:r>
          </w:p>
        </w:tc>
        <w:tc>
          <w:tcPr>
            <w:tcW w:w="0" w:type="dxa"/>
            <w:vAlign w:val="bottom"/>
          </w:tcPr>
          <w:p>
            <w:pPr>
              <w:spacing w:after="0"/>
              <w:rPr>
                <w:sz w:val="1"/>
                <w:szCs w:val="1"/>
                <w:color w:val="auto"/>
              </w:rPr>
            </w:pPr>
          </w:p>
        </w:tc>
      </w:t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66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w w:val="96"/>
              </w:rPr>
              <w:t>Operating (including $1,754,540 and $1,676,866 of consolidated variable interest entities, respectively)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7,790,025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7,535,983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$93,067 and $102,583 of consolidated variable interest entities,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754,787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8,545,897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w w:val="92"/>
              </w:rPr>
              <w:t>Less accumulated depreciation and amortization (including $317,925 and $296,165 of consolidated variable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(2,308,403)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6,237,494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6,082,719</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980,039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206,293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7,789,930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rPr>
              <w:t>Mortgages payable, net (including $475,757 and $469,184 of consolidated variable interest entities,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551,034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 net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Senior notes and debentures, net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3,508,461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2,807,134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81,915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73,527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Finance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146,372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5,099,246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4,019,102</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820"/>
              <w:spacing w:after="0"/>
              <w:rPr>
                <w:sz w:val="20"/>
                <w:szCs w:val="20"/>
                <w:color w:val="auto"/>
              </w:rPr>
            </w:pPr>
            <w:r>
              <w:rPr>
                <w:rFonts w:ascii="Arial" w:cs="Arial" w:eastAsia="Arial" w:hAnsi="Arial"/>
                <w:sz w:val="18"/>
                <w:szCs w:val="18"/>
                <w:color w:val="auto"/>
                <w:w w:val="95"/>
              </w:rPr>
              <w:t>5.0% Series C Cumulative Redeemable Preferred Shares, (stated at liquidation preference $25,000 per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820"/>
              <w:spacing w:after="0"/>
              <w:rPr>
                <w:sz w:val="20"/>
                <w:szCs w:val="20"/>
                <w:color w:val="auto"/>
              </w:rPr>
            </w:pPr>
            <w:r>
              <w:rPr>
                <w:rFonts w:ascii="Arial" w:cs="Arial" w:eastAsia="Arial" w:hAnsi="Arial"/>
                <w:sz w:val="18"/>
                <w:szCs w:val="18"/>
                <w:color w:val="auto"/>
              </w:rPr>
              <w:t>share), 6,000 shares issued and outstanding</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399,896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660" w:type="dxa"/>
            <w:vAlign w:val="bottom"/>
          </w:tcPr>
          <w:p>
            <w:pPr>
              <w:ind w:left="720"/>
              <w:spacing w:after="0"/>
              <w:rPr>
                <w:sz w:val="20"/>
                <w:szCs w:val="20"/>
                <w:color w:val="auto"/>
              </w:rPr>
            </w:pPr>
            <w:r>
              <w:rPr>
                <w:rFonts w:ascii="Arial" w:cs="Arial" w:eastAsia="Arial" w:hAnsi="Arial"/>
                <w:sz w:val="18"/>
                <w:szCs w:val="18"/>
                <w:color w:val="auto"/>
                <w:w w:val="91"/>
              </w:rPr>
              <w:t>Common shares of beneficial interest, $.01 par, 100,000,000 shares authorized, 75,633,140 and 75,540,804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3,166,522</w:t>
            </w:r>
          </w:p>
        </w:tc>
        <w:tc>
          <w:tcPr>
            <w:tcW w:w="0" w:type="dxa"/>
            <w:vAlign w:val="bottom"/>
          </w:tcPr>
          <w:p>
            <w:pPr>
              <w:spacing w:after="0"/>
              <w:rPr>
                <w:sz w:val="1"/>
                <w:szCs w:val="1"/>
                <w:color w:val="auto"/>
              </w:rPr>
            </w:pPr>
          </w:p>
        </w:tc>
      </w:tr>
      <w:tr>
        <w:trPr>
          <w:trHeight w:val="243"/>
        </w:trPr>
        <w:tc>
          <w:tcPr>
            <w:tcW w:w="866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2,434,284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2,535,341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2,531,101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2,636,132</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7,789,930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15" w:right="339" w:bottom="42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715" w:right="339" w:bottom="42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0"/>
              </w:rPr>
              <w:t>Funds from Operations available for common shareholders (FFO) (1) (2)</w:t>
            </w: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10,859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67,300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144,470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(3,424)</w:t>
            </w: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Gain on sale of real estate, net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(11,682)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(16,197)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106,812</w:t>
            </w: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9,287</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240,948</w:t>
            </w: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Dividends on preferred shares (3)</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(3,750)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 (4)</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1,390</w:t>
            </w: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(690)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57,982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121,005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172,961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237,898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Weighted average number of common shares, diluted (3)(4)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75,394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75,456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76,126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75,235</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3.16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24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146,255</w:t>
            </w:r>
          </w:p>
        </w:tc>
      </w:tr>
      <w:tr>
        <w:trPr>
          <w:trHeight w:val="243"/>
        </w:trPr>
        <w:tc>
          <w:tcPr>
            <w:tcW w:w="20" w:type="dxa"/>
            <w:vAlign w:val="bottom"/>
          </w:tcPr>
          <w:p>
            <w:pPr>
              <w:spacing w:after="0"/>
              <w:rPr>
                <w:sz w:val="21"/>
                <w:szCs w:val="21"/>
                <w:color w:val="auto"/>
              </w:rPr>
            </w:pPr>
          </w:p>
        </w:tc>
        <w:tc>
          <w:tcPr>
            <w:tcW w:w="5700" w:type="dxa"/>
            <w:vAlign w:val="bottom"/>
            <w:gridSpan w:val="5"/>
          </w:tcPr>
          <w:p>
            <w:pPr>
              <w:ind w:left="36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19,683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22,649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25,475</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102,541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171,730</w:t>
            </w:r>
          </w:p>
        </w:tc>
      </w:tr>
      <w:tr>
        <w:trPr>
          <w:trHeight w:val="243"/>
        </w:trPr>
        <w:tc>
          <w:tcPr>
            <w:tcW w:w="20" w:type="dxa"/>
            <w:vAlign w:val="bottom"/>
          </w:tcPr>
          <w:p>
            <w:pPr>
              <w:spacing w:after="0"/>
              <w:rPr>
                <w:sz w:val="21"/>
                <w:szCs w:val="21"/>
                <w:color w:val="auto"/>
              </w:rPr>
            </w:pPr>
          </w:p>
        </w:tc>
        <w:tc>
          <w:tcPr>
            <w:tcW w:w="5700" w:type="dxa"/>
            <w:vAlign w:val="bottom"/>
            <w:gridSpan w:val="5"/>
          </w:tcPr>
          <w:p>
            <w:pPr>
              <w:ind w:left="36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4,875</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105,794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108,934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235,982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176,605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3600" w:type="dxa"/>
            <w:vAlign w:val="bottom"/>
            <w:tcBorders>
              <w:bottom w:val="single" w:sz="8" w:color="CCEEFF"/>
            </w:tcBorders>
            <w:gridSpan w:val="4"/>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79,407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76,449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158,810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152,555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8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5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 Supplemental Information (2)</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Property operating income (1)</w:t>
            </w:r>
          </w:p>
        </w:tc>
        <w:tc>
          <w:tcPr>
            <w:tcW w:w="176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rPr>
              <w:t>1,653</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3,138</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4,580</w:t>
            </w: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6,194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(2,987)</w:t>
            </w:r>
          </w:p>
        </w:tc>
      </w:tr>
      <w:tr>
        <w:trPr>
          <w:trHeight w:val="243"/>
        </w:trPr>
        <w:tc>
          <w:tcPr>
            <w:tcW w:w="20" w:type="dxa"/>
            <w:vAlign w:val="bottom"/>
          </w:tcPr>
          <w:p>
            <w:pPr>
              <w:spacing w:after="0"/>
              <w:rPr>
                <w:sz w:val="21"/>
                <w:szCs w:val="21"/>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(1,173)</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2,034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8"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excludes "income attributable to operating partnership units."</w:t>
      </w:r>
    </w:p>
    <w:p>
      <w:pPr>
        <w:spacing w:after="0" w:line="84" w:lineRule="exact"/>
        <w:rPr>
          <w:rFonts w:ascii="Arial" w:cs="Arial" w:eastAsia="Arial" w:hAnsi="Arial"/>
          <w:sz w:val="15"/>
          <w:szCs w:val="15"/>
          <w:color w:val="auto"/>
        </w:rPr>
      </w:pPr>
    </w:p>
    <w:p>
      <w:pPr>
        <w:ind w:left="660" w:right="32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six months ended June 30, 2019, dividends on our Series 1 preferred stock were not deducted in the calculation of FFO available to common shareholders, as the related shares were dilutive and included in "weighted average common shares, diluted."</w:t>
      </w:r>
    </w:p>
    <w:p>
      <w:pPr>
        <w:spacing w:after="0" w:line="23" w:lineRule="exact"/>
        <w:rPr>
          <w:rFonts w:ascii="Arial" w:cs="Arial" w:eastAsia="Arial" w:hAnsi="Arial"/>
          <w:sz w:val="16"/>
          <w:szCs w:val="16"/>
          <w:color w:val="auto"/>
        </w:rPr>
      </w:pPr>
    </w:p>
    <w:p>
      <w:pPr>
        <w:ind w:left="660" w:right="60" w:hanging="652"/>
        <w:spacing w:after="0" w:line="274"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three months ended June 30, 2020, income attributable to operating partnership units is not added back in the calculation of FFO available to common shareholders, as the related shares are not dilutive and are not included in "weighted average common shares, diluted" for this period. For the six months ended June 30, 2020 and the three and six months ended June 30, 2019, 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931" w:right="3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 Related Impacts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provides supplemental information regarding our collectibility related impacts for the three months ended June 30, 2020. The primary drivers of our collectibility impacts in the quarter are from tenants who we account for on a cash basis or converted to a cash basis of accounting during the quarter, as we did not receive full contractual rent payments as a direct result of the COVID-19 pandemic.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June 30, 2020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Collectibility Impacts for the Quarter Ended June 30, 2020</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Accounts Receivable</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Straight-Line Rent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Type</w:t>
            </w:r>
          </w:p>
        </w:tc>
        <w:tc>
          <w:tcPr>
            <w:tcW w:w="3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6"/>
              </w:rPr>
              <w:t>Impact</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Receivable Impact</w:t>
            </w:r>
          </w:p>
        </w:tc>
        <w:tc>
          <w:tcPr>
            <w:tcW w:w="34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6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Tenants recognized on a cash basis prior to Q2 2020 (1)</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16,966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w w:val="93"/>
              </w:rPr>
              <w:t>Changes in our collectibility assumptions in Q2 2020 and COVID-19 related disputes</w:t>
            </w:r>
          </w:p>
        </w:tc>
        <w:tc>
          <w:tcPr>
            <w:tcW w:w="3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28,810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38,257</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collectibility impact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45,776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9,447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55,223</w:t>
            </w:r>
          </w:p>
        </w:tc>
      </w:tr>
      <w:tr>
        <w:trPr>
          <w:trHeight w:val="27"/>
        </w:trPr>
        <w:tc>
          <w:tcPr>
            <w:tcW w:w="6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720" w:hanging="68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85% of this impact is from restaurant tenants.</w:t>
      </w:r>
    </w:p>
    <w:p>
      <w:pPr>
        <w:spacing w:after="0" w:line="63" w:lineRule="exact"/>
        <w:rPr>
          <w:rFonts w:ascii="Arial" w:cs="Arial" w:eastAsia="Arial" w:hAnsi="Arial"/>
          <w:sz w:val="18"/>
          <w:szCs w:val="18"/>
          <w:color w:val="auto"/>
        </w:rPr>
      </w:pPr>
    </w:p>
    <w:p>
      <w:pPr>
        <w:ind w:left="720" w:right="160" w:hanging="685"/>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changes in assumptions of collectibility primarily due to the impacts of COVID-19. Approximately 50% of the impact is from fitness and entertainment tenants. Most of the remaining impact is due to tenants that have filed for bankruptcy or that we expect to file for bankruptcy, and/or tenants where we do not believe it is probable we will collect the remaining contractual lease payments. This balance also includes any rent abatements we may grant.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on Cash Basis Tenants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jc w:val="right"/>
              <w:ind w:right="851"/>
              <w:spacing w:after="0"/>
              <w:rPr>
                <w:sz w:val="20"/>
                <w:szCs w:val="20"/>
                <w:color w:val="auto"/>
              </w:rPr>
            </w:pPr>
            <w:r>
              <w:rPr>
                <w:rFonts w:ascii="Arial" w:cs="Arial" w:eastAsia="Arial" w:hAnsi="Arial"/>
                <w:sz w:val="16"/>
                <w:szCs w:val="16"/>
                <w:b w:val="1"/>
                <w:bCs w:val="1"/>
                <w:color w:val="auto"/>
              </w:rPr>
              <w:t>As of June 30, 2020</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 Recognized on 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Cash Basis</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commercial tenant leases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88"/>
              </w:rPr>
              <w:t>32%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Annualized base rent from commercial tenants (in millions) (1)</w:t>
            </w:r>
          </w:p>
        </w:tc>
        <w:tc>
          <w:tcPr>
            <w:tcW w:w="380" w:type="dxa"/>
            <w:vAlign w:val="bottom"/>
            <w:gridSpan w:val="2"/>
          </w:tcPr>
          <w:p>
            <w:pPr>
              <w:jc w:val="right"/>
              <w:ind w:right="175"/>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center"/>
              <w:ind w:right="171"/>
              <w:spacing w:after="0"/>
              <w:rPr>
                <w:sz w:val="20"/>
                <w:szCs w:val="20"/>
                <w:color w:val="auto"/>
              </w:rPr>
            </w:pPr>
            <w:r>
              <w:rPr>
                <w:rFonts w:ascii="Arial" w:cs="Arial" w:eastAsia="Arial" w:hAnsi="Arial"/>
                <w:sz w:val="18"/>
                <w:szCs w:val="18"/>
                <w:color w:val="auto"/>
                <w:w w:val="88"/>
              </w:rPr>
              <w:t>26%</w:t>
            </w:r>
          </w:p>
        </w:tc>
        <w:tc>
          <w:tcPr>
            <w:tcW w:w="20" w:type="dxa"/>
            <w:vAlign w:val="bottom"/>
          </w:tcPr>
          <w:p>
            <w:pPr>
              <w:spacing w:after="0"/>
              <w:rPr>
                <w:sz w:val="21"/>
                <w:szCs w:val="21"/>
                <w:color w:val="auto"/>
              </w:rPr>
            </w:pPr>
          </w:p>
        </w:tc>
      </w:tr>
      <w:tr>
        <w:trPr>
          <w:trHeight w:val="40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Components of Accounts Receivable, net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June 30, 2020</w:t>
            </w:r>
          </w:p>
        </w:tc>
        <w:tc>
          <w:tcPr>
            <w:tcW w:w="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As of March 31, 2020</w:t>
            </w: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jc w:val="right"/>
              <w:ind w:right="1011"/>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accounts receivable, net</w:t>
            </w:r>
          </w:p>
        </w:tc>
        <w:tc>
          <w:tcPr>
            <w:tcW w:w="38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Straight-line rent receivable, net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100,673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104,440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Total accounts receivable, net</w:t>
            </w: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167,641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153,243</w:t>
            </w:r>
          </w:p>
        </w:tc>
        <w:tc>
          <w:tcPr>
            <w:tcW w:w="20" w:type="dxa"/>
            <w:vAlign w:val="bottom"/>
            <w:tcBorders>
              <w:top w:val="single" w:sz="8" w:color="auto"/>
            </w:tcBorders>
          </w:tcPr>
          <w:p>
            <w:pPr>
              <w:spacing w:after="0"/>
              <w:rPr>
                <w:sz w:val="20"/>
                <w:szCs w:val="20"/>
                <w:color w:val="auto"/>
              </w:rPr>
            </w:pPr>
          </w:p>
        </w:tc>
      </w:tr>
      <w:tr>
        <w:trPr>
          <w:trHeight w:val="40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Rent Deferrals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rent deferred (in millions) (2)</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Weighted average repayment period (3)</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 months</w:t>
            </w:r>
          </w:p>
        </w:tc>
        <w:tc>
          <w:tcPr>
            <w:tcW w:w="20" w:type="dxa"/>
            <w:vAlign w:val="bottom"/>
          </w:tcPr>
          <w:p>
            <w:pPr>
              <w:spacing w:after="0"/>
              <w:rPr>
                <w:sz w:val="21"/>
                <w:szCs w:val="2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0" w:lineRule="exact"/>
        <w:rPr>
          <w:sz w:val="20"/>
          <w:szCs w:val="20"/>
          <w:color w:val="auto"/>
        </w:rPr>
      </w:pP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7"/>
          <w:szCs w:val="17"/>
          <w:color w:val="auto"/>
        </w:rPr>
        <w:t>See page 30 for discussion of the Annualized Base Rent (ABR) calculation.</w:t>
      </w:r>
    </w:p>
    <w:p>
      <w:pPr>
        <w:spacing w:after="0" w:line="63" w:lineRule="exact"/>
        <w:rPr>
          <w:rFonts w:ascii="Arial" w:cs="Arial" w:eastAsia="Arial" w:hAnsi="Arial"/>
          <w:sz w:val="18"/>
          <w:szCs w:val="18"/>
          <w:color w:val="auto"/>
        </w:rPr>
      </w:pPr>
    </w:p>
    <w:p>
      <w:pPr>
        <w:ind w:left="720" w:right="260" w:hanging="685"/>
        <w:spacing w:after="0" w:line="26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7"/>
          <w:szCs w:val="17"/>
          <w:color w:val="auto"/>
        </w:rPr>
        <w:t>Total contractual rent for April through June 2020 that has been deferred pursuant to an executed modification agreement as of July 31, 2020. Accrual basis tenants comprise approximately 64% of the deferred rent for executed agreements in place as of July 31, 2020.</w:t>
      </w:r>
    </w:p>
    <w:p>
      <w:pPr>
        <w:spacing w:after="0" w:line="23" w:lineRule="exact"/>
        <w:rPr>
          <w:rFonts w:ascii="Arial" w:cs="Arial" w:eastAsia="Arial" w:hAnsi="Arial"/>
          <w:sz w:val="18"/>
          <w:szCs w:val="18"/>
          <w:color w:val="auto"/>
        </w:rPr>
      </w:pP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7"/>
          <w:szCs w:val="17"/>
          <w:color w:val="auto"/>
        </w:rPr>
        <w:t>92% of the deferral arrangements are to be repaid by December 31, 2021.</w:t>
      </w:r>
    </w:p>
    <w:p>
      <w:pPr>
        <w:sectPr>
          <w:pgSz w:w="11900" w:h="16838" w:orient="portrait"/>
          <w:cols w:equalWidth="0" w:num="1">
            <w:col w:w="11240"/>
          </w:cols>
          <w:pgMar w:left="320" w:top="715" w:right="339" w:bottom="144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15" w:right="33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2019</w:t>
            </w:r>
          </w:p>
        </w:tc>
      </w:tr>
      <w:tr>
        <w:trPr>
          <w:trHeight w:val="244"/>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5"/>
        </w:trPr>
        <w:tc>
          <w:tcPr>
            <w:tcW w:w="5080" w:type="dxa"/>
            <w:vAlign w:val="bottom"/>
          </w:tcPr>
          <w:p>
            <w:pPr>
              <w:ind w:left="40"/>
              <w:spacing w:after="0"/>
              <w:rPr>
                <w:sz w:val="20"/>
                <w:szCs w:val="20"/>
                <w:color w:val="auto"/>
              </w:rPr>
            </w:pPr>
            <w:r>
              <w:rPr>
                <w:rFonts w:ascii="Arial" w:cs="Arial" w:eastAsia="Arial" w:hAnsi="Arial"/>
                <w:sz w:val="18"/>
                <w:szCs w:val="18"/>
                <w:color w:val="auto"/>
              </w:rPr>
              <w:t>Minimum rents (2)</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310,379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313,128</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40,990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38,737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85,585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84,559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Percentage rents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4,029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Collectibility related impact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(48,815)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175,479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229,731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406,277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461,223</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jc w:val="both"/>
        <w:ind w:left="660" w:right="100" w:hanging="652"/>
        <w:spacing w:after="0" w:line="26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income from tenant leases is reported as a single line item called "rental income." We have provided above supplemental information with a breakout of the contractual components of the rental income line, however, these breakouts are provided for informational purposes only and should be considered a non-GAAP presentation.</w:t>
      </w:r>
    </w:p>
    <w:p>
      <w:pPr>
        <w:spacing w:after="0" w:line="23" w:lineRule="exact"/>
        <w:rPr>
          <w:rFonts w:ascii="Arial" w:cs="Arial" w:eastAsia="Arial" w:hAnsi="Arial"/>
          <w:sz w:val="17"/>
          <w:szCs w:val="17"/>
          <w:color w:val="auto"/>
        </w:rPr>
      </w:pPr>
    </w:p>
    <w:p>
      <w:pPr>
        <w:ind w:left="660" w:right="280" w:hanging="652"/>
        <w:spacing w:after="0" w:line="27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Minimum rent for the three and six months ended June 30, 2020 includes a $9.4 million charge related to the impacts of the COVID-19 pandemic (See discussion on page 10). In total, minimum rents include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6"/>
                <w:szCs w:val="16"/>
                <w:color w:val="auto"/>
              </w:rPr>
            </w:pPr>
          </w:p>
        </w:tc>
      </w:tr>
      <w:tr>
        <w:trPr>
          <w:trHeight w:val="276"/>
        </w:trPr>
        <w:tc>
          <w:tcPr>
            <w:tcW w:w="5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r>
      <w:tr>
        <w:trPr>
          <w:trHeight w:val="263"/>
        </w:trPr>
        <w:tc>
          <w:tcPr>
            <w:tcW w:w="52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2019</w:t>
            </w:r>
          </w:p>
        </w:tc>
      </w:tr>
      <w:tr>
        <w:trPr>
          <w:trHeight w:val="244"/>
        </w:trPr>
        <w:tc>
          <w:tcPr>
            <w:tcW w:w="5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39"/>
        </w:trPr>
        <w:tc>
          <w:tcPr>
            <w:tcW w:w="5200" w:type="dxa"/>
            <w:vAlign w:val="bottom"/>
          </w:tcPr>
          <w:p>
            <w:pPr>
              <w:ind w:left="40"/>
              <w:spacing w:after="0"/>
              <w:rPr>
                <w:sz w:val="20"/>
                <w:szCs w:val="20"/>
                <w:color w:val="auto"/>
              </w:rPr>
            </w:pPr>
            <w:r>
              <w:rPr>
                <w:rFonts w:ascii="Arial" w:cs="Arial" w:eastAsia="Arial" w:hAnsi="Arial"/>
                <w:sz w:val="18"/>
                <w:szCs w:val="18"/>
                <w:color w:val="auto"/>
              </w:rPr>
              <w:t>Straight-line rents</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104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4.3</w:t>
            </w:r>
          </w:p>
        </w:tc>
      </w:tr>
      <w:tr>
        <w:trPr>
          <w:trHeight w:val="27"/>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in-place leases</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689"/>
        </w:trPr>
        <w:tc>
          <w:tcPr>
            <w:tcW w:w="520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47" w:lineRule="exact"/>
        <w:rPr>
          <w:sz w:val="20"/>
          <w:szCs w:val="20"/>
          <w:color w:val="auto"/>
        </w:rPr>
      </w:pPr>
    </w:p>
    <w:p>
      <w:pPr>
        <w:ind w:left="40" w:right="40"/>
        <w:spacing w:after="0" w:line="289"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 Phase 2 Retail and Phase 3, Cocowalk, Darien, Pike &amp; Rose Phase 2 Retail and Phase 3, The Shops at Sunset Place, 700 Santana Row, Freedom Plaza, a portion of Graham Park Plaza, and all properties acquired or disposed of from Q2 2019 to Q2 2020.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16"/>
                <w:szCs w:val="16"/>
                <w:color w:val="auto"/>
              </w:rPr>
            </w:pPr>
          </w:p>
        </w:tc>
      </w:tr>
      <w:tr>
        <w:trPr>
          <w:trHeight w:val="276"/>
        </w:trPr>
        <w:tc>
          <w:tcPr>
            <w:tcW w:w="7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2019</w:t>
            </w:r>
          </w:p>
        </w:tc>
        <w:tc>
          <w:tcPr>
            <w:tcW w:w="1220" w:type="dxa"/>
            <w:vAlign w:val="bottom"/>
          </w:tcPr>
          <w:p>
            <w:pPr>
              <w:spacing w:after="0"/>
              <w:rPr>
                <w:sz w:val="22"/>
                <w:szCs w:val="22"/>
                <w:color w:val="auto"/>
              </w:rPr>
            </w:pP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Operating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48,295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1"/>
              </w:rPr>
              <w:t>109,579</w:t>
            </w:r>
          </w:p>
        </w:tc>
        <w:tc>
          <w:tcPr>
            <w:tcW w:w="1220" w:type="dxa"/>
            <w:vAlign w:val="bottom"/>
            <w:tcBorders>
              <w:bottom w:val="single" w:sz="8" w:color="CCEEFF"/>
            </w:tcBorders>
            <w:shd w:val="clear" w:color="auto" w:fill="CCEEFF"/>
          </w:tcPr>
          <w:p>
            <w:pPr>
              <w:spacing w:after="0"/>
              <w:rPr>
                <w:sz w:val="22"/>
                <w:szCs w:val="22"/>
                <w:color w:val="auto"/>
              </w:rPr>
            </w:pPr>
          </w:p>
        </w:tc>
      </w:tr>
      <w:tr>
        <w:trPr>
          <w:trHeight w:val="239"/>
        </w:trPr>
        <w:tc>
          <w:tcPr>
            <w:tcW w:w="7540" w:type="dxa"/>
            <w:vAlign w:val="bottom"/>
          </w:tcPr>
          <w:p>
            <w:pPr>
              <w:ind w:left="4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62,784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59,057</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540" w:type="dxa"/>
            <w:vAlign w:val="bottom"/>
          </w:tcPr>
          <w:p>
            <w:pPr>
              <w:ind w:left="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7"/>
                <w:szCs w:val="17"/>
                <w:color w:val="auto"/>
              </w:rPr>
              <w:t>9,814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11,422</w:t>
            </w:r>
          </w:p>
        </w:tc>
        <w:tc>
          <w:tcPr>
            <w:tcW w:w="1220" w:type="dxa"/>
            <w:vAlign w:val="bottom"/>
          </w:tcPr>
          <w:p>
            <w:pPr>
              <w:spacing w:after="0"/>
              <w:rPr>
                <w:sz w:val="20"/>
                <w:szCs w:val="20"/>
                <w:color w:val="auto"/>
              </w:rPr>
            </w:pPr>
          </w:p>
        </w:tc>
      </w:tr>
      <w:tr>
        <w:trPr>
          <w:trHeight w:val="31"/>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(11,682)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7"/>
              </w:rPr>
              <w:t>(16,197)</w:t>
            </w:r>
          </w:p>
        </w:tc>
        <w:tc>
          <w:tcPr>
            <w:tcW w:w="1220" w:type="dxa"/>
            <w:vAlign w:val="bottom"/>
            <w:tcBorders>
              <w:bottom w:val="single" w:sz="8" w:color="CCEEFF"/>
            </w:tcBorders>
            <w:shd w:val="clear" w:color="auto" w:fill="CCEEFF"/>
          </w:tcPr>
          <w:p>
            <w:pPr>
              <w:spacing w:after="0"/>
              <w:rPr>
                <w:sz w:val="23"/>
                <w:szCs w:val="23"/>
                <w:color w:val="auto"/>
              </w:rPr>
            </w:pPr>
          </w:p>
        </w:tc>
      </w:tr>
      <w:tr>
        <w:trPr>
          <w:trHeight w:val="219"/>
        </w:trPr>
        <w:tc>
          <w:tcPr>
            <w:tcW w:w="7540" w:type="dxa"/>
            <w:vAlign w:val="bottom"/>
          </w:tcPr>
          <w:p>
            <w:pPr>
              <w:ind w:left="40"/>
              <w:spacing w:after="0"/>
              <w:rPr>
                <w:sz w:val="20"/>
                <w:szCs w:val="20"/>
                <w:color w:val="auto"/>
              </w:rPr>
            </w:pPr>
            <w:r>
              <w:rPr>
                <w:rFonts w:ascii="Arial" w:cs="Arial" w:eastAsia="Arial" w:hAnsi="Arial"/>
                <w:sz w:val="17"/>
                <w:szCs w:val="17"/>
                <w:color w:val="auto"/>
              </w:rPr>
              <w:t>Property operating income (POI)</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7"/>
                <w:szCs w:val="17"/>
                <w:color w:val="auto"/>
              </w:rPr>
              <w:t>109,211</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91"/>
              </w:rPr>
              <w:t>163,861</w:t>
            </w:r>
          </w:p>
        </w:tc>
        <w:tc>
          <w:tcPr>
            <w:tcW w:w="1220" w:type="dxa"/>
            <w:vAlign w:val="bottom"/>
          </w:tcPr>
          <w:p>
            <w:pPr>
              <w:spacing w:after="0"/>
              <w:rPr>
                <w:sz w:val="19"/>
                <w:szCs w:val="19"/>
                <w:color w:val="auto"/>
              </w:rPr>
            </w:pPr>
          </w:p>
        </w:tc>
      </w:tr>
      <w:tr>
        <w:trPr>
          <w:trHeight w:val="31"/>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Less: Non-comparable POI -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(2,616)</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540" w:type="dxa"/>
            <w:vAlign w:val="bottom"/>
          </w:tcPr>
          <w:p>
            <w:pPr>
              <w:ind w:left="40"/>
              <w:spacing w:after="0"/>
              <w:rPr>
                <w:sz w:val="20"/>
                <w:szCs w:val="20"/>
                <w:color w:val="auto"/>
              </w:rPr>
            </w:pPr>
            <w:r>
              <w:rPr>
                <w:rFonts w:ascii="Arial" w:cs="Arial" w:eastAsia="Arial" w:hAnsi="Arial"/>
                <w:sz w:val="17"/>
                <w:szCs w:val="17"/>
                <w:color w:val="auto"/>
              </w:rPr>
              <w:t>Less: Non-comparable POI - redevelopment, development &amp; other</w:t>
            </w:r>
          </w:p>
        </w:tc>
        <w:tc>
          <w:tcPr>
            <w:tcW w:w="2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(2,908)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(5,596)</w:t>
            </w:r>
          </w:p>
        </w:tc>
        <w:tc>
          <w:tcPr>
            <w:tcW w:w="1220" w:type="dxa"/>
            <w:vAlign w:val="bottom"/>
          </w:tcPr>
          <w:p>
            <w:pPr>
              <w:spacing w:after="0"/>
              <w:rPr>
                <w:sz w:val="20"/>
                <w:szCs w:val="20"/>
                <w:color w:val="auto"/>
              </w:rPr>
            </w:pPr>
          </w:p>
        </w:tc>
      </w:tr>
      <w:tr>
        <w:trPr>
          <w:trHeight w:val="31"/>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Comparable property POI</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102,970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1"/>
              </w:rPr>
              <w:t>155,649</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401"/>
        </w:trPr>
        <w:tc>
          <w:tcPr>
            <w:tcW w:w="7540" w:type="dxa"/>
            <w:vAlign w:val="bottom"/>
          </w:tcPr>
          <w:p>
            <w:pPr>
              <w:ind w:left="40"/>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r>
      <w:tr>
        <w:trPr>
          <w:trHeight w:val="276"/>
        </w:trPr>
        <w:tc>
          <w:tcPr>
            <w:tcW w:w="7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63"/>
        </w:trPr>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2019</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Rental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163,776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1"/>
              </w:rPr>
              <w:t>217,279</w:t>
            </w:r>
          </w:p>
        </w:tc>
        <w:tc>
          <w:tcPr>
            <w:tcW w:w="1220" w:type="dxa"/>
            <w:vAlign w:val="bottom"/>
            <w:tcBorders>
              <w:bottom w:val="single" w:sz="8" w:color="CCEEFF"/>
            </w:tcBorders>
            <w:shd w:val="clear" w:color="auto" w:fill="CCEEFF"/>
          </w:tcPr>
          <w:p>
            <w:pPr>
              <w:spacing w:after="0"/>
              <w:rPr>
                <w:sz w:val="22"/>
                <w:szCs w:val="22"/>
                <w:color w:val="auto"/>
              </w:rPr>
            </w:pPr>
          </w:p>
        </w:tc>
      </w:tr>
      <w:tr>
        <w:trPr>
          <w:trHeight w:val="189"/>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(32,732)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7"/>
              </w:rPr>
              <w:t>(37,964)</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54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2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(28,074)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w w:val="97"/>
              </w:rPr>
              <w:t>(23,666)</w:t>
            </w:r>
          </w:p>
        </w:tc>
        <w:tc>
          <w:tcPr>
            <w:tcW w:w="1220" w:type="dxa"/>
            <w:vAlign w:val="bottom"/>
          </w:tcPr>
          <w:p>
            <w:pPr>
              <w:spacing w:after="0"/>
              <w:rPr>
                <w:sz w:val="20"/>
                <w:szCs w:val="20"/>
                <w:color w:val="auto"/>
              </w:rPr>
            </w:pPr>
          </w:p>
        </w:tc>
      </w:tr>
      <w:tr>
        <w:trPr>
          <w:trHeight w:val="31"/>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(60,806)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7"/>
              </w:rPr>
              <w:t>(61,630)</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Comparable property POI</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102,970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1"/>
              </w:rPr>
              <w:t>155,649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w:t>
            </w:r>
          </w:p>
        </w:tc>
      </w:tr>
      <w:tr>
        <w:trPr>
          <w:trHeight w:val="401"/>
        </w:trPr>
        <w:tc>
          <w:tcPr>
            <w:tcW w:w="7540" w:type="dxa"/>
            <w:vAlign w:val="bottom"/>
          </w:tcPr>
          <w:p>
            <w:pPr>
              <w:ind w:left="40"/>
              <w:spacing w:after="0"/>
              <w:rPr>
                <w:sz w:val="20"/>
                <w:szCs w:val="20"/>
                <w:color w:val="auto"/>
              </w:rPr>
            </w:pPr>
            <w:r>
              <w:rPr>
                <w:rFonts w:ascii="Arial" w:cs="Arial" w:eastAsia="Arial" w:hAnsi="Arial"/>
                <w:sz w:val="17"/>
                <w:szCs w:val="17"/>
                <w:i w:val="1"/>
                <w:iCs w:val="1"/>
                <w:color w:val="auto"/>
              </w:rPr>
              <w:t>Supplemental information:</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Collectibility related impacts included in rental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49,152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645</w:t>
            </w:r>
          </w:p>
        </w:tc>
        <w:tc>
          <w:tcPr>
            <w:tcW w:w="1220" w:type="dxa"/>
            <w:vAlign w:val="bottom"/>
            <w:tcBorders>
              <w:bottom w:val="single" w:sz="8" w:color="CCEEFF"/>
            </w:tcBorders>
            <w:shd w:val="clear" w:color="auto" w:fill="CCEEFF"/>
          </w:tcPr>
          <w:p>
            <w:pPr>
              <w:spacing w:after="0"/>
              <w:rPr>
                <w:sz w:val="23"/>
                <w:szCs w:val="23"/>
                <w:color w:val="auto"/>
              </w:rPr>
            </w:pPr>
          </w:p>
        </w:tc>
      </w:tr>
      <w:tr>
        <w:trPr>
          <w:trHeight w:val="219"/>
        </w:trPr>
        <w:tc>
          <w:tcPr>
            <w:tcW w:w="7540" w:type="dxa"/>
            <w:vAlign w:val="bottom"/>
          </w:tcPr>
          <w:p>
            <w:pPr>
              <w:ind w:left="40"/>
              <w:spacing w:after="0"/>
              <w:rPr>
                <w:sz w:val="20"/>
                <w:szCs w:val="20"/>
                <w:color w:val="auto"/>
              </w:rPr>
            </w:pPr>
            <w:r>
              <w:rPr>
                <w:rFonts w:ascii="Arial" w:cs="Arial" w:eastAsia="Arial" w:hAnsi="Arial"/>
                <w:sz w:val="17"/>
                <w:szCs w:val="17"/>
                <w:color w:val="auto"/>
              </w:rPr>
              <w:t>Comparable property POI excluding collectibility related impacts</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7"/>
                <w:szCs w:val="17"/>
                <w:color w:val="auto"/>
              </w:rPr>
              <w:t>152,122</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91"/>
              </w:rPr>
              <w:t>156,294</w:t>
            </w:r>
          </w:p>
        </w:tc>
        <w:tc>
          <w:tcPr>
            <w:tcW w:w="122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Comparable Property - Summary of Capital Expenditures (1)</w:t>
      </w:r>
    </w:p>
    <w:p>
      <w:pPr>
        <w:sectPr>
          <w:pgSz w:w="11900" w:h="16838" w:orient="portrait"/>
          <w:cols w:equalWidth="0" w:num="1">
            <w:col w:w="11240"/>
          </w:cols>
          <w:pgMar w:left="320" w:top="71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920"/>
        <w:spacing w:after="0" w:line="357" w:lineRule="auto"/>
        <w:rPr>
          <w:sz w:val="20"/>
          <w:szCs w:val="20"/>
          <w:color w:val="auto"/>
        </w:rPr>
      </w:pPr>
      <w:r>
        <w:rPr>
          <w:rFonts w:ascii="Arial" w:cs="Arial" w:eastAsia="Arial" w:hAnsi="Arial"/>
          <w:sz w:val="17"/>
          <w:szCs w:val="17"/>
          <w:color w:val="auto"/>
          <w:shd w:val="clear" w:color="auto" w:fill="CCEEFF"/>
        </w:rPr>
        <w:t xml:space="preserve">Redevelopment and tenant improvements and incentives </w:t>
      </w:r>
      <w:r>
        <w:rPr>
          <w:rFonts w:ascii="Arial" w:cs="Arial" w:eastAsia="Arial" w:hAnsi="Arial"/>
          <w:sz w:val="17"/>
          <w:szCs w:val="17"/>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Comparable Property - Occupancy Statistics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GLA - comparable commercial properties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Leased % - comparable commercial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color w:val="auto"/>
          <w:shd w:val="clear" w:color="auto" w:fill="CCEEFF"/>
        </w:rPr>
        <w:t>Occupancy % - comparable commercial properties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page 9 for "Summary of Capital Expenditures" for our entire portfolio.</w:t>
      </w:r>
    </w:p>
    <w:p>
      <w:pPr>
        <w:spacing w:after="0" w:line="95" w:lineRule="exact"/>
        <w:rPr>
          <w:rFonts w:ascii="Arial" w:cs="Arial" w:eastAsia="Arial" w:hAnsi="Arial"/>
          <w:sz w:val="14"/>
          <w:szCs w:val="14"/>
          <w:color w:val="auto"/>
        </w:rPr>
      </w:pPr>
    </w:p>
    <w:p>
      <w:pPr>
        <w:ind w:left="720" w:hanging="685"/>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27 for entire portfolio occupancy statistics.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577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r>
      <w:tr>
        <w:trPr>
          <w:trHeight w:val="244"/>
        </w:trPr>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r>
      <w:tr>
        <w:trPr>
          <w:trHeight w:val="251"/>
        </w:trPr>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80"/>
              <w:spacing w:after="0"/>
              <w:rPr>
                <w:sz w:val="20"/>
                <w:szCs w:val="20"/>
                <w:color w:val="auto"/>
              </w:rPr>
            </w:pPr>
            <w:r>
              <w:rPr>
                <w:rFonts w:ascii="Arial" w:cs="Arial" w:eastAsia="Arial" w:hAnsi="Arial"/>
                <w:sz w:val="17"/>
                <w:szCs w:val="17"/>
                <w:color w:val="auto"/>
              </w:rPr>
              <w:t>28,455</w:t>
            </w:r>
          </w:p>
        </w:tc>
        <w:tc>
          <w:tcPr>
            <w:tcW w:w="120" w:type="dxa"/>
            <w:vAlign w:val="bottom"/>
          </w:tcPr>
          <w:p>
            <w:pPr>
              <w:spacing w:after="0"/>
              <w:rPr>
                <w:sz w:val="21"/>
                <w:szCs w:val="21"/>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31,100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7"/>
                <w:szCs w:val="17"/>
                <w:color w:val="auto"/>
              </w:rPr>
              <w:t>3,222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3,221</w:t>
            </w:r>
          </w:p>
        </w:tc>
      </w:tr>
      <w:tr>
        <w:trPr>
          <w:trHeight w:val="31"/>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9"/>
        </w:trPr>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80"/>
              <w:spacing w:after="0"/>
              <w:rPr>
                <w:sz w:val="20"/>
                <w:szCs w:val="20"/>
                <w:color w:val="auto"/>
              </w:rPr>
            </w:pPr>
            <w:r>
              <w:rPr>
                <w:rFonts w:ascii="Arial" w:cs="Arial" w:eastAsia="Arial" w:hAnsi="Arial"/>
                <w:sz w:val="17"/>
                <w:szCs w:val="17"/>
                <w:color w:val="auto"/>
              </w:rPr>
              <w:t>31,677</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34,321</w:t>
            </w:r>
          </w:p>
        </w:tc>
      </w:tr>
    </w:tbl>
    <w:p>
      <w:pPr>
        <w:spacing w:after="0" w:line="200" w:lineRule="exact"/>
        <w:rPr>
          <w:sz w:val="20"/>
          <w:szCs w:val="20"/>
          <w:color w:val="auto"/>
        </w:rPr>
      </w:pPr>
    </w:p>
    <w:p>
      <w:pPr>
        <w:spacing w:after="0" w:line="335"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577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03"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60"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7"/>
          <w:szCs w:val="17"/>
          <w:color w:val="auto"/>
        </w:rPr>
        <w:t>22,137,000</w:t>
      </w:r>
      <w:r>
        <w:rPr>
          <w:sz w:val="20"/>
          <w:szCs w:val="20"/>
          <w:color w:val="auto"/>
        </w:rPr>
        <w:tab/>
      </w:r>
      <w:r>
        <w:rPr>
          <w:rFonts w:ascii="Arial" w:cs="Arial" w:eastAsia="Arial" w:hAnsi="Arial"/>
          <w:sz w:val="17"/>
          <w:szCs w:val="17"/>
          <w:color w:val="auto"/>
        </w:rPr>
        <w:t>22,338,000</w:t>
      </w:r>
    </w:p>
    <w:p>
      <w:pPr>
        <w:spacing w:after="0" w:line="75" w:lineRule="exact"/>
        <w:rPr>
          <w:sz w:val="20"/>
          <w:szCs w:val="20"/>
          <w:color w:val="auto"/>
        </w:rPr>
      </w:pPr>
    </w:p>
    <w:p>
      <w:pPr>
        <w:ind w:left="720"/>
        <w:spacing w:after="0"/>
        <w:tabs>
          <w:tab w:leader="none" w:pos="2000" w:val="left"/>
        </w:tabs>
        <w:rPr>
          <w:sz w:val="20"/>
          <w:szCs w:val="20"/>
          <w:color w:val="auto"/>
        </w:rPr>
      </w:pPr>
      <w:r>
        <w:rPr>
          <w:rFonts w:ascii="Arial" w:cs="Arial" w:eastAsia="Arial" w:hAnsi="Arial"/>
          <w:sz w:val="17"/>
          <w:szCs w:val="17"/>
          <w:color w:val="auto"/>
        </w:rPr>
        <w:t>93.7%</w:t>
      </w:r>
      <w:r>
        <w:rPr>
          <w:sz w:val="20"/>
          <w:szCs w:val="20"/>
          <w:color w:val="auto"/>
        </w:rPr>
        <w:tab/>
      </w:r>
      <w:r>
        <w:rPr>
          <w:rFonts w:ascii="Arial" w:cs="Arial" w:eastAsia="Arial" w:hAnsi="Arial"/>
          <w:sz w:val="15"/>
          <w:szCs w:val="15"/>
          <w:color w:val="auto"/>
        </w:rPr>
        <w:t>94.7%</w:t>
      </w:r>
    </w:p>
    <w:p>
      <w:pPr>
        <w:spacing w:after="0" w:line="75" w:lineRule="exact"/>
        <w:rPr>
          <w:sz w:val="20"/>
          <w:szCs w:val="20"/>
          <w:color w:val="auto"/>
        </w:rPr>
      </w:pPr>
    </w:p>
    <w:p>
      <w:pPr>
        <w:ind w:left="720"/>
        <w:spacing w:after="0"/>
        <w:tabs>
          <w:tab w:leader="none" w:pos="2000" w:val="left"/>
        </w:tabs>
        <w:rPr>
          <w:sz w:val="20"/>
          <w:szCs w:val="20"/>
          <w:color w:val="auto"/>
        </w:rPr>
      </w:pPr>
      <w:r>
        <w:rPr>
          <w:rFonts w:ascii="Arial" w:cs="Arial" w:eastAsia="Arial" w:hAnsi="Arial"/>
          <w:sz w:val="17"/>
          <w:szCs w:val="17"/>
          <w:color w:val="auto"/>
        </w:rPr>
        <w:t>91.4%</w:t>
      </w:r>
      <w:r>
        <w:rPr>
          <w:sz w:val="20"/>
          <w:szCs w:val="20"/>
          <w:color w:val="auto"/>
        </w:rPr>
        <w:tab/>
      </w:r>
      <w:r>
        <w:rPr>
          <w:rFonts w:ascii="Arial" w:cs="Arial" w:eastAsia="Arial" w:hAnsi="Arial"/>
          <w:sz w:val="15"/>
          <w:szCs w:val="15"/>
          <w:color w:val="auto"/>
        </w:rPr>
        <w:t>93.9%</w:t>
      </w:r>
    </w:p>
    <w:p>
      <w:pPr>
        <w:sectPr>
          <w:pgSz w:w="11900" w:h="16838" w:orient="portrait"/>
          <w:cols w:equalWidth="0" w:num="2">
            <w:col w:w="6820" w:space="720"/>
            <w:col w:w="3700"/>
          </w:cols>
          <w:pgMar w:left="320" w:top="715" w:right="3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263"/>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50"/>
        </w:trPr>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7"/>
              </w:rPr>
              <w:t>(in thousands, except per share data)</w:t>
            </w: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76,378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75,577</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128.76</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6,508,169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9,731,295</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6,668,169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9,891,295</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4,461,972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3,157,783</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(980,039)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(105,903)</w:t>
            </w:r>
          </w:p>
        </w:tc>
      </w:tr>
      <w:tr>
        <w:trPr>
          <w:trHeight w:val="237"/>
        </w:trPr>
        <w:tc>
          <w:tcPr>
            <w:tcW w:w="8060" w:type="dxa"/>
            <w:vAlign w:val="bottom"/>
          </w:tcPr>
          <w:p>
            <w:pPr>
              <w:ind w:left="500"/>
              <w:spacing w:after="0"/>
              <w:rPr>
                <w:sz w:val="20"/>
                <w:szCs w:val="20"/>
                <w:color w:val="auto"/>
              </w:rPr>
            </w:pPr>
            <w:r>
              <w:rPr>
                <w:rFonts w:ascii="Arial" w:cs="Arial" w:eastAsia="Arial" w:hAnsi="Arial"/>
                <w:sz w:val="18"/>
                <w:szCs w:val="18"/>
                <w:color w:val="auto"/>
              </w:rPr>
              <w:t>Total net debt (3)</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3,481,933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3,051,880</w:t>
            </w: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0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10,150,102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12,943,175</w:t>
            </w:r>
          </w:p>
        </w:tc>
      </w:tr>
      <w:tr>
        <w:trPr>
          <w:trHeight w:val="271"/>
        </w:trPr>
        <w:tc>
          <w:tcPr>
            <w:tcW w:w="8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3"/>
        </w:trPr>
        <w:tc>
          <w:tcPr>
            <w:tcW w:w="8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060" w:type="dxa"/>
            <w:vAlign w:val="bottom"/>
          </w:tcPr>
          <w:p>
            <w:pPr>
              <w:ind w:left="140"/>
              <w:spacing w:after="0"/>
              <w:rPr>
                <w:sz w:val="20"/>
                <w:szCs w:val="20"/>
                <w:color w:val="auto"/>
              </w:rPr>
            </w:pPr>
            <w:r>
              <w:rPr>
                <w:rFonts w:ascii="Arial" w:cs="Arial" w:eastAsia="Arial" w:hAnsi="Arial"/>
                <w:sz w:val="18"/>
                <w:szCs w:val="18"/>
                <w:color w:val="auto"/>
              </w:rPr>
              <w:t>Total net debt to market capitalization at a constant common share price of $128.76</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include 744,617 and 627,171 operating partnership units outstanding at June 30, 2020 and 2019,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15"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June 30, 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5"/>
              </w:rPr>
              <w:t>Stated maturity date</w:t>
            </w:r>
          </w:p>
        </w:tc>
        <w:tc>
          <w:tcPr>
            <w:tcW w:w="12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20" w:type="dxa"/>
            <w:vAlign w:val="bottom"/>
            <w:tcBorders>
              <w:bottom w:val="single" w:sz="8" w:color="CCEEFF"/>
            </w:tcBorders>
            <w:gridSpan w:val="3"/>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Shops at Sunset Place</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60,995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29th Place</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3,754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Sylmar Towne Center</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6/6/2021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Plaza Del Sol</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12/1/2021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8,136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Montrose Crossing</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66,554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Azalea</w:t>
            </w:r>
          </w:p>
        </w:tc>
        <w:tc>
          <w:tcPr>
            <w:tcW w:w="16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11/1/2025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Bell Gardens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12,544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6/5/2027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The Grove at Shrewsbury (East)</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9/1/2027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Brook 35</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Hoboken (24 Buildings) (2)</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12/15/2029</w:t>
            </w:r>
          </w:p>
        </w:tc>
        <w:tc>
          <w:tcPr>
            <w:tcW w:w="12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+ 1.95%</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 Hoboken (14 Buildings)</w:t>
            </w: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1"/>
              </w:rPr>
              <w:t>Various through 2029</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Various (3)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Chelsea</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Hoboken (1 Building) (4)</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7/1/2042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16,719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552,941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00"/>
              <w:spacing w:after="0"/>
              <w:rPr>
                <w:sz w:val="20"/>
                <w:szCs w:val="20"/>
                <w:color w:val="auto"/>
              </w:rPr>
            </w:pPr>
            <w:r>
              <w:rPr>
                <w:rFonts w:ascii="Arial" w:cs="Arial" w:eastAsia="Arial" w:hAnsi="Arial"/>
                <w:sz w:val="16"/>
                <w:szCs w:val="16"/>
                <w:color w:val="auto"/>
                <w:w w:val="91"/>
              </w:rPr>
              <w:t>Net unamortized premium and debt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551,034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3.99%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Arial" w:cs="Arial" w:eastAsia="Arial" w:hAnsi="Arial"/>
                <w:sz w:val="16"/>
                <w:szCs w:val="16"/>
                <w:color w:val="auto"/>
              </w:rPr>
              <w:t>Notes payable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Term loan</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5/6/2021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+ 1.35%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Revolving credit facility (5)</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1/19/2024</w:t>
            </w: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+ 0.775%</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w:t>
            </w:r>
          </w:p>
        </w:tc>
        <w:tc>
          <w:tcPr>
            <w:tcW w:w="17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1"/>
              </w:rPr>
              <w:t>Various through 2028</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403,609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Total notes payable,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402,477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2.01%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Arial" w:cs="Arial" w:eastAsia="Arial" w:hAnsi="Arial"/>
                <w:sz w:val="16"/>
                <w:szCs w:val="16"/>
                <w:color w:val="auto"/>
              </w:rPr>
              <w:t>Senior notes and debentures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2.55%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3.00%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2.75%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3.95%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7.48% debentures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3.25%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6.82% medium term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3.20%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6/15/2029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3.50%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6/1/2030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4.50% notes</w:t>
            </w:r>
          </w:p>
        </w:tc>
        <w:tc>
          <w:tcPr>
            <w:tcW w:w="162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3.625% notes</w:t>
            </w:r>
          </w:p>
        </w:tc>
        <w:tc>
          <w:tcPr>
            <w:tcW w:w="162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3,519,200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ind w:left="900"/>
              <w:spacing w:after="0"/>
              <w:rPr>
                <w:sz w:val="20"/>
                <w:szCs w:val="20"/>
                <w:color w:val="auto"/>
              </w:rPr>
            </w:pPr>
            <w:r>
              <w:rPr>
                <w:rFonts w:ascii="Arial" w:cs="Arial" w:eastAsia="Arial" w:hAnsi="Arial"/>
                <w:sz w:val="16"/>
                <w:szCs w:val="16"/>
                <w:color w:val="auto"/>
                <w:w w:val="91"/>
              </w:rPr>
              <w:t>Net unamortized discount and debt issuance costs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(10,739)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3,508,461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4,461,972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91"/>
              </w:rPr>
              <w:t>(6)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fixed rate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4,063,046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3.69%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6"/>
                <w:szCs w:val="16"/>
                <w:color w:val="auto"/>
              </w:rPr>
              <w:t>Total variable rate debt, net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398,926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1.92%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net</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4,461,972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3.53%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720"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40" w:top="720" w:right="339" w:bottom="0" w:gutter="0" w:footer="0" w:header="0"/>
          <w:type w:val="continuous"/>
        </w:sectPr>
      </w:pPr>
    </w:p>
    <w:bookmarkStart w:id="18" w:name="page19"/>
    <w:bookmarkEnd w:id="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96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Trailing Twelve</w:t>
            </w:r>
          </w:p>
        </w:tc>
      </w:tr>
      <w:tr>
        <w:trPr>
          <w:trHeight w:val="27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Months Ended</w:t>
            </w:r>
          </w:p>
        </w:tc>
      </w:tr>
      <w:tr>
        <w:trPr>
          <w:trHeight w:val="264"/>
        </w:trPr>
        <w:tc>
          <w:tcPr>
            <w:tcW w:w="4920" w:type="dxa"/>
            <w:vAlign w:val="bottom"/>
            <w:gridSpan w:val="3"/>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202"/>
        </w:trPr>
        <w:tc>
          <w:tcPr>
            <w:tcW w:w="2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6"/>
                <w:szCs w:val="16"/>
                <w:color w:val="auto"/>
              </w:rPr>
              <w:t>Operational Statistics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Ratio of EBITDAre to combined fixed charges and preferred share</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dividends (9)</w:t>
            </w:r>
          </w:p>
        </w:tc>
        <w:tc>
          <w:tcPr>
            <w:tcW w:w="1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2.24x</w:t>
            </w:r>
          </w:p>
        </w:tc>
        <w:tc>
          <w:tcPr>
            <w:tcW w:w="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4.37x</w:t>
            </w:r>
          </w:p>
        </w:tc>
        <w:tc>
          <w:tcPr>
            <w:tcW w:w="15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3.03x</w:t>
            </w:r>
          </w:p>
        </w:tc>
        <w:tc>
          <w:tcPr>
            <w:tcW w:w="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4.27x</w:t>
            </w:r>
          </w:p>
        </w:tc>
        <w:tc>
          <w:tcPr>
            <w:tcW w:w="13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w w:val="96"/>
              </w:rPr>
              <w:t>3.51x</w:t>
            </w:r>
          </w:p>
        </w:tc>
      </w:tr>
      <w:tr>
        <w:trPr>
          <w:trHeight w:val="237"/>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6"/>
                <w:szCs w:val="16"/>
                <w:color w:val="auto"/>
              </w:rPr>
              <w:t>Excluding lease buyout charge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Ratio of EBITDAre to combined fixed charges and preferred share</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dividends (9) (10)</w:t>
            </w:r>
          </w:p>
        </w:tc>
        <w:tc>
          <w:tcPr>
            <w:tcW w:w="1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2.24x</w:t>
            </w: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4.37x</w:t>
            </w:r>
          </w:p>
        </w:tc>
        <w:tc>
          <w:tcPr>
            <w:tcW w:w="152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3.03x</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4.27x</w:t>
            </w:r>
          </w:p>
        </w:tc>
        <w:tc>
          <w:tcPr>
            <w:tcW w:w="1340" w:type="dxa"/>
            <w:vAlign w:val="bottom"/>
            <w:shd w:val="clear" w:color="auto" w:fill="CCEEFF"/>
          </w:tcPr>
          <w:p>
            <w:pPr>
              <w:ind w:left="940"/>
              <w:spacing w:after="0"/>
              <w:rPr>
                <w:sz w:val="20"/>
                <w:szCs w:val="20"/>
                <w:color w:val="auto"/>
              </w:rPr>
            </w:pPr>
            <w:r>
              <w:rPr>
                <w:rFonts w:ascii="Arial" w:cs="Arial" w:eastAsia="Arial" w:hAnsi="Arial"/>
                <w:sz w:val="16"/>
                <w:szCs w:val="16"/>
                <w:color w:val="auto"/>
                <w:w w:val="96"/>
              </w:rPr>
              <w:t>3.59x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30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June 30, 2020, our share was approximately $53.7 million. At June 30, 2020, our noncontrolling interests share of mortgages payable was $59.4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hanging="652"/>
        <w:spacing w:after="0" w:line="249"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March 2020, in order to strengthen our financial position and balance sheet, maximize liquidity, and provide maximum flexibility to continue our business initiatives as the effects of the COVID-19 pandemic continue to evolve, we borrowed $990.0 million under our revolving credit facility, representing a draw-down of almost the entirety of our $1.0 billion credit facility. This balance was subsequently repaid in May 2020, resulting in no balance on our revolving credit facility as of June 30, 2020. The maximum amount drawn under our revolving credit facility during the three and six months ended June 30, 2020 was $990.0 million. The weighted average interest rate on borrowings under our revolving credit facility, before amortization of debt fees, for the three and six months ended June 30, 2020 was 1.4% and 1.5%, respectively.</w:t>
      </w:r>
    </w:p>
    <w:p>
      <w:pPr>
        <w:spacing w:after="0" w:line="28"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9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8.</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0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11" w:lineRule="exact"/>
        <w:rPr>
          <w:rFonts w:ascii="Arial" w:cs="Arial" w:eastAsia="Arial" w:hAnsi="Arial"/>
          <w:sz w:val="14"/>
          <w:szCs w:val="14"/>
          <w:color w:val="auto"/>
        </w:rPr>
      </w:pPr>
    </w:p>
    <w:p>
      <w:pPr>
        <w:ind w:left="660" w:right="20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ratio of EBITDAre to combined fixed charges and preferred share dividends for the trailing twelve months ended June 30, 2020 excludes the $11.9 million charge related to the buyout of the Kmart lease at Assembly Square Marketplace.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78" w:right="3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6"/>
                <w:szCs w:val="16"/>
                <w:b w:val="1"/>
                <w:bCs w:val="1"/>
                <w:color w:val="auto"/>
                <w:w w:val="98"/>
              </w:rPr>
              <w:t>Percent of Debt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r>
      <w:tr>
        <w:trPr>
          <w:trHeight w:val="21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right"/>
              <w:ind w:right="211"/>
              <w:spacing w:after="0"/>
              <w:rPr>
                <w:sz w:val="20"/>
                <w:szCs w:val="20"/>
                <w:color w:val="auto"/>
              </w:rPr>
            </w:pPr>
            <w:r>
              <w:rPr>
                <w:rFonts w:ascii="Arial" w:cs="Arial" w:eastAsia="Arial" w:hAnsi="Arial"/>
                <w:sz w:val="16"/>
                <w:szCs w:val="16"/>
                <w:b w:val="1"/>
                <w:bCs w:val="1"/>
                <w:color w:val="auto"/>
              </w:rPr>
              <w:t>Maturing</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r>
      <w:tr>
        <w:trPr>
          <w:trHeight w:val="33"/>
        </w:trPr>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8"/>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6"/>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60,593</w:t>
            </w:r>
          </w:p>
        </w:tc>
        <w:tc>
          <w:tcPr>
            <w:tcW w:w="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63,630</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tcBorders>
              <w:bottom w:val="single" w:sz="8" w:color="CCEEFF"/>
            </w:tcBorders>
            <w:shd w:val="clear" w:color="auto" w:fill="CCEEFF"/>
          </w:tcPr>
          <w:p>
            <w:pPr>
              <w:spacing w:after="0"/>
              <w:rPr>
                <w:sz w:val="22"/>
                <w:szCs w:val="22"/>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4,890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677,546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w w:val="91"/>
              </w:rPr>
              <w:t>(1)</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682,436</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366,323</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370,462</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275,000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279,324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600,000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604,353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3,996</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44,298</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48,294</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52,450</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55,906</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690,570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693,631</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2,770</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458,099</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460,869</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72.9%</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r>
      <w:tr>
        <w:trPr>
          <w:trHeight w:val="27"/>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8,012</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1,205,899</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1,213,911</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2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44,972</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4,430,778</w:t>
            </w:r>
          </w:p>
        </w:tc>
        <w:tc>
          <w:tcPr>
            <w:tcW w:w="5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4,475,750  </w:t>
            </w:r>
            <w:r>
              <w:rPr>
                <w:rFonts w:ascii="Arial" w:cs="Arial" w:eastAsia="Arial" w:hAnsi="Arial"/>
                <w:sz w:val="16"/>
                <w:szCs w:val="16"/>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wp:posOffset>
            </wp:positionV>
            <wp:extent cx="425196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1960" cy="2540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May 6, 2020, we entered into a $400.0 million unsecured term loan, which matures on May 6, 2021. We have the option to extend the loan maturity one year to May 6, 2022.</w:t>
      </w:r>
    </w:p>
    <w:p>
      <w:pPr>
        <w:spacing w:after="0" w:line="10" w:lineRule="exact"/>
        <w:rPr>
          <w:rFonts w:ascii="Arial" w:cs="Arial" w:eastAsia="Arial" w:hAnsi="Arial"/>
          <w:sz w:val="16"/>
          <w:szCs w:val="16"/>
          <w:color w:val="auto"/>
        </w:rPr>
      </w:pPr>
    </w:p>
    <w:p>
      <w:pPr>
        <w:ind w:left="660" w:right="1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June 30, 2020.</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400" w:hanging="652"/>
        <w:spacing w:after="0" w:line="310"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weighted average rate excludes $0.6 million in quarterly financing fees and quarterly debt fee amortization on our revolving credit facility, which had no balance outstanding at June 30, 2020. Our revolving credit facility matures on January 19, 2024, plus two six month extensions at our option.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15"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Impacts of COVID-19 Pandemic:</w:t>
      </w:r>
    </w:p>
    <w:p>
      <w:pPr>
        <w:spacing w:after="0" w:line="77" w:lineRule="exact"/>
        <w:rPr>
          <w:sz w:val="20"/>
          <w:szCs w:val="20"/>
          <w:color w:val="auto"/>
        </w:rPr>
      </w:pPr>
    </w:p>
    <w:p>
      <w:pPr>
        <w:ind w:left="40" w:right="140"/>
        <w:spacing w:after="0" w:line="278" w:lineRule="auto"/>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will be dependent upon the duration of governmental restrictions and the duration and severity of the economic impacts of COVID-19 which are highly uncertain at this time.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1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Property</w:t>
            </w: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Location</w:t>
            </w:r>
          </w:p>
        </w:tc>
        <w:tc>
          <w:tcPr>
            <w:tcW w:w="484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8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1460" w:type="dxa"/>
            <w:vAlign w:val="bottom"/>
          </w:tcPr>
          <w:p>
            <w:pPr>
              <w:ind w:left="40"/>
              <w:spacing w:after="0"/>
              <w:rPr>
                <w:sz w:val="20"/>
                <w:szCs w:val="20"/>
                <w:color w:val="auto"/>
              </w:rPr>
            </w:pPr>
            <w:r>
              <w:rPr>
                <w:rFonts w:ascii="Arial" w:cs="Arial" w:eastAsia="Arial" w:hAnsi="Arial"/>
                <w:sz w:val="14"/>
                <w:szCs w:val="14"/>
                <w:color w:val="auto"/>
              </w:rPr>
              <w:t>Darien</w:t>
            </w:r>
          </w:p>
        </w:tc>
        <w:tc>
          <w:tcPr>
            <w:tcW w:w="1480" w:type="dxa"/>
            <w:vAlign w:val="bottom"/>
          </w:tcPr>
          <w:p>
            <w:pPr>
              <w:ind w:left="160"/>
              <w:spacing w:after="0"/>
              <w:rPr>
                <w:sz w:val="20"/>
                <w:szCs w:val="20"/>
                <w:color w:val="auto"/>
              </w:rPr>
            </w:pPr>
            <w:r>
              <w:rPr>
                <w:rFonts w:ascii="Arial" w:cs="Arial" w:eastAsia="Arial" w:hAnsi="Arial"/>
                <w:sz w:val="14"/>
                <w:szCs w:val="14"/>
                <w:color w:val="auto"/>
              </w:rPr>
              <w:t>Darien, CT</w:t>
            </w:r>
          </w:p>
        </w:tc>
        <w:tc>
          <w:tcPr>
            <w:tcW w:w="4840" w:type="dxa"/>
            <w:vAlign w:val="bottom"/>
          </w:tcPr>
          <w:p>
            <w:pPr>
              <w:ind w:left="140"/>
              <w:spacing w:after="0"/>
              <w:rPr>
                <w:sz w:val="20"/>
                <w:szCs w:val="20"/>
                <w:color w:val="auto"/>
              </w:rPr>
            </w:pPr>
            <w:r>
              <w:rPr>
                <w:rFonts w:ascii="Arial" w:cs="Arial" w:eastAsia="Arial" w:hAnsi="Arial"/>
                <w:sz w:val="14"/>
                <w:szCs w:val="14"/>
                <w:color w:val="auto"/>
                <w:w w:val="93"/>
              </w:rPr>
              <w:t>Demolition of a 45,000 square foot anchor space to construct 75,000 square feet</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$110 - $120</w:t>
            </w: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of new retail space, 122 rental apartments, and 720 parking spaces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Cocowalk</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Coconut Grove, FL</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Entire shopping center redevelopment to include: demolition of three story east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 $90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wing of the property and construction of a 106,000 square foot 5-story</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4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office/retail building with 24,000 square feet of retail; complete renovation of</w:t>
            </w:r>
          </w:p>
        </w:tc>
        <w:tc>
          <w:tcPr>
            <w:tcW w:w="8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west wing.</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Freedom Plaza (5)</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Los Angeles, CA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$31</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neighborhood shopping 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 Cynwyd, PA</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New 87 unit residential apartment building to be constructed on underutilized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land behind our existing shopping center</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7021 Hollywood Blvd</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Los Angeles, CA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w w:val="92"/>
              </w:rPr>
              <w:t>Renovation of the center and three vacant spaces to accommodate a new 39,000</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$19</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$15</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square foot anchor tenant</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Huntington, NY</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Development of a new 15,000 square foot pad site consisting of two multi-</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tenant retail buildings</w:t>
            </w: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ind w:left="40"/>
              <w:spacing w:after="0" w:line="157" w:lineRule="exact"/>
              <w:rPr>
                <w:sz w:val="20"/>
                <w:szCs w:val="20"/>
                <w:color w:val="auto"/>
              </w:rPr>
            </w:pPr>
            <w:r>
              <w:rPr>
                <w:rFonts w:ascii="Arial" w:cs="Arial" w:eastAsia="Arial" w:hAnsi="Arial"/>
                <w:sz w:val="14"/>
                <w:szCs w:val="14"/>
                <w:color w:val="auto"/>
              </w:rPr>
              <w:t>Lawrence Park</w:t>
            </w: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Broomall, PA</w:t>
            </w:r>
          </w:p>
        </w:tc>
        <w:tc>
          <w:tcPr>
            <w:tcW w:w="4840" w:type="dxa"/>
            <w:vAlign w:val="bottom"/>
          </w:tcPr>
          <w:p>
            <w:pPr>
              <w:ind w:left="140"/>
              <w:spacing w:after="0" w:line="157" w:lineRule="exact"/>
              <w:rPr>
                <w:sz w:val="20"/>
                <w:szCs w:val="20"/>
                <w:color w:val="auto"/>
              </w:rPr>
            </w:pPr>
            <w:r>
              <w:rPr>
                <w:rFonts w:ascii="Arial" w:cs="Arial" w:eastAsia="Arial" w:hAnsi="Arial"/>
                <w:sz w:val="14"/>
                <w:szCs w:val="14"/>
                <w:color w:val="auto"/>
                <w:w w:val="97"/>
              </w:rPr>
              <w:t>Full shopping center redevelopment to include expansion of Main Line Health</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Arial" w:cs="Arial" w:eastAsia="Arial" w:hAnsi="Arial"/>
                <w:sz w:val="14"/>
                <w:szCs w:val="14"/>
                <w:color w:val="auto"/>
                <w:w w:val="93"/>
              </w:rPr>
              <w:t>into vacant lower level space, creation of 17,800 square feet of small shop space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40" w:type="dxa"/>
            <w:vAlign w:val="bottom"/>
          </w:tcPr>
          <w:p>
            <w:pPr>
              <w:ind w:left="140"/>
              <w:spacing w:after="0" w:line="149" w:lineRule="exact"/>
              <w:rPr>
                <w:sz w:val="20"/>
                <w:szCs w:val="20"/>
                <w:color w:val="auto"/>
              </w:rPr>
            </w:pPr>
            <w:r>
              <w:rPr>
                <w:rFonts w:ascii="Arial" w:cs="Arial" w:eastAsia="Arial" w:hAnsi="Arial"/>
                <w:sz w:val="14"/>
                <w:szCs w:val="14"/>
                <w:color w:val="auto"/>
                <w:w w:val="98"/>
              </w:rPr>
              <w:t>converted from vacated anchor space, and a façade renovation for the entire</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Arial" w:cs="Arial" w:eastAsia="Arial" w:hAnsi="Arial"/>
                <w:sz w:val="14"/>
                <w:szCs w:val="14"/>
                <w:color w:val="auto"/>
              </w:rPr>
              <w:t>center</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Bethesda, MD</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96"/>
        </w:trPr>
        <w:tc>
          <w:tcPr>
            <w:tcW w:w="1460" w:type="dxa"/>
            <w:vAlign w:val="bottom"/>
          </w:tcPr>
          <w:p>
            <w:pPr>
              <w:ind w:left="40"/>
              <w:spacing w:after="0"/>
              <w:rPr>
                <w:sz w:val="20"/>
                <w:szCs w:val="20"/>
                <w:color w:val="auto"/>
              </w:rPr>
            </w:pPr>
            <w:r>
              <w:rPr>
                <w:rFonts w:ascii="Arial" w:cs="Arial" w:eastAsia="Arial" w:hAnsi="Arial"/>
                <w:sz w:val="14"/>
                <w:szCs w:val="14"/>
                <w:color w:val="auto"/>
              </w:rPr>
              <w:t>Flourtown</w:t>
            </w:r>
          </w:p>
        </w:tc>
        <w:tc>
          <w:tcPr>
            <w:tcW w:w="1480" w:type="dxa"/>
            <w:vAlign w:val="bottom"/>
          </w:tcPr>
          <w:p>
            <w:pPr>
              <w:ind w:left="160"/>
              <w:spacing w:after="0"/>
              <w:rPr>
                <w:sz w:val="20"/>
                <w:szCs w:val="20"/>
                <w:color w:val="auto"/>
              </w:rPr>
            </w:pPr>
            <w:r>
              <w:rPr>
                <w:rFonts w:ascii="Arial" w:cs="Arial" w:eastAsia="Arial" w:hAnsi="Arial"/>
                <w:sz w:val="14"/>
                <w:szCs w:val="14"/>
                <w:color w:val="auto"/>
              </w:rPr>
              <w:t>Flourtown, PA</w:t>
            </w:r>
          </w:p>
        </w:tc>
        <w:tc>
          <w:tcPr>
            <w:tcW w:w="4840" w:type="dxa"/>
            <w:vAlign w:val="bottom"/>
          </w:tcPr>
          <w:p>
            <w:pPr>
              <w:ind w:left="140"/>
              <w:spacing w:after="0"/>
              <w:rPr>
                <w:sz w:val="20"/>
                <w:szCs w:val="20"/>
                <w:color w:val="auto"/>
              </w:rPr>
            </w:pPr>
            <w:r>
              <w:rPr>
                <w:rFonts w:ascii="Arial" w:cs="Arial" w:eastAsia="Arial" w:hAnsi="Arial"/>
                <w:sz w:val="14"/>
                <w:szCs w:val="14"/>
                <w:color w:val="auto"/>
              </w:rPr>
              <w:t>Development of a new 4,550 square foot two-tenant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Sylmar Towne Center</w:t>
            </w: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Sylmar, CA</w:t>
            </w:r>
          </w:p>
        </w:tc>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Development of a new 3,800 square foot two-tenant pad building</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203"/>
        </w:trPr>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Total Active Redevelopment projects (4)</w:t>
            </w:r>
          </w:p>
        </w:tc>
        <w:tc>
          <w:tcPr>
            <w:tcW w:w="48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$308 - $327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jc w:val="both"/>
        <w:ind w:left="660" w:right="220" w:hanging="652"/>
        <w:spacing w:after="0" w:line="281" w:lineRule="auto"/>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right="180" w:hanging="652"/>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33" w:right="3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Impacts of COVID-19 Pandemic:</w:t>
      </w:r>
    </w:p>
    <w:p>
      <w:pPr>
        <w:spacing w:after="0" w:line="77" w:lineRule="exact"/>
        <w:rPr>
          <w:sz w:val="20"/>
          <w:szCs w:val="20"/>
          <w:color w:val="auto"/>
        </w:rPr>
      </w:pPr>
    </w:p>
    <w:p>
      <w:pPr>
        <w:ind w:left="40" w:right="120"/>
        <w:spacing w:after="0" w:line="278" w:lineRule="auto"/>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timing of stabilization, and POI expected in any one year will be dependent upon the duration of governmental restrictions and the duration and severity of the economic impacts of COVID-19 which are highly uncertain at this time.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Projected</w:t>
            </w:r>
          </w:p>
        </w:tc>
        <w:tc>
          <w:tcPr>
            <w:tcW w:w="84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Pr>
          <w:p>
            <w:pPr>
              <w:jc w:val="center"/>
              <w:ind w:left="29"/>
              <w:spacing w:after="0"/>
              <w:rPr>
                <w:sz w:val="20"/>
                <w:szCs w:val="20"/>
                <w:color w:val="auto"/>
              </w:rPr>
            </w:pPr>
            <w:r>
              <w:rPr>
                <w:rFonts w:ascii="Arial" w:cs="Arial" w:eastAsia="Arial" w:hAnsi="Arial"/>
                <w:sz w:val="14"/>
                <w:szCs w:val="14"/>
                <w:b w:val="1"/>
                <w:bCs w:val="1"/>
                <w:color w:val="auto"/>
                <w:w w:val="89"/>
              </w:rPr>
              <w:t>Costs to</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 (1)</w:t>
            </w:r>
          </w:p>
        </w:tc>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2"/>
              </w:rPr>
              <w:t>Cost (3)</w:t>
            </w:r>
          </w:p>
        </w:tc>
        <w:tc>
          <w:tcPr>
            <w:tcW w:w="68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(in</w:t>
            </w:r>
          </w:p>
        </w:tc>
        <w:tc>
          <w:tcPr>
            <w:tcW w:w="680" w:type="dxa"/>
            <w:vAlign w:val="bottom"/>
          </w:tcPr>
          <w:p>
            <w:pPr>
              <w:jc w:val="center"/>
              <w:ind w:left="29"/>
              <w:spacing w:after="0"/>
              <w:rPr>
                <w:sz w:val="20"/>
                <w:szCs w:val="20"/>
                <w:color w:val="auto"/>
              </w:rPr>
            </w:pPr>
            <w:r>
              <w:rPr>
                <w:rFonts w:ascii="Arial" w:cs="Arial" w:eastAsia="Arial" w:hAnsi="Arial"/>
                <w:sz w:val="13"/>
                <w:szCs w:val="13"/>
                <w:color w:val="auto"/>
                <w:w w:val="96"/>
              </w:rPr>
              <w:t>(in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auto"/>
              </w:rPr>
              <w:t>millions)</w:t>
            </w:r>
          </w:p>
        </w:tc>
        <w:tc>
          <w:tcPr>
            <w:tcW w:w="680" w:type="dxa"/>
            <w:vAlign w:val="bottom"/>
          </w:tcPr>
          <w:p>
            <w:pPr>
              <w:jc w:val="center"/>
              <w:ind w:left="29"/>
              <w:spacing w:after="0"/>
              <w:rPr>
                <w:sz w:val="20"/>
                <w:szCs w:val="20"/>
                <w:color w:val="auto"/>
              </w:rPr>
            </w:pPr>
            <w:r>
              <w:rPr>
                <w:rFonts w:ascii="Arial" w:cs="Arial" w:eastAsia="Arial" w:hAnsi="Arial"/>
                <w:sz w:val="13"/>
                <w:szCs w:val="13"/>
                <w:color w:val="auto"/>
              </w:rPr>
              <w:t>millions)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 xml:space="preserve">Assembly Row, </w:t>
            </w:r>
            <w:r>
              <w:rPr>
                <w:rFonts w:ascii="Arial" w:cs="Arial" w:eastAsia="Arial" w:hAnsi="Arial"/>
                <w:sz w:val="14"/>
                <w:szCs w:val="14"/>
                <w:b w:val="1"/>
                <w:bCs w:val="1"/>
                <w:i w:val="1"/>
                <w:iCs w:val="1"/>
                <w:color w:val="auto"/>
                <w:w w:val="90"/>
              </w:rPr>
              <w:t>Somerville, MA</w:t>
            </w:r>
          </w:p>
        </w:tc>
        <w:tc>
          <w:tcPr>
            <w:tcW w:w="1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Phase III</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- 277,000 SF of office</w:t>
            </w:r>
          </w:p>
        </w:tc>
        <w:tc>
          <w:tcPr>
            <w:tcW w:w="800" w:type="dxa"/>
            <w:vAlign w:val="bottom"/>
            <w:shd w:val="clear" w:color="auto" w:fill="CCEEFF"/>
          </w:tcPr>
          <w:p>
            <w:pPr>
              <w:jc w:val="center"/>
              <w:ind w:left="68"/>
              <w:spacing w:after="0" w:line="157" w:lineRule="exact"/>
              <w:rPr>
                <w:sz w:val="20"/>
                <w:szCs w:val="20"/>
                <w:color w:val="auto"/>
              </w:rPr>
            </w:pPr>
            <w:r>
              <w:rPr>
                <w:rFonts w:ascii="Arial" w:cs="Arial" w:eastAsia="Arial" w:hAnsi="Arial"/>
                <w:sz w:val="14"/>
                <w:szCs w:val="14"/>
                <w:color w:val="auto"/>
                <w:w w:val="88"/>
              </w:rPr>
              <w:t>6%</w:t>
            </w:r>
          </w:p>
        </w:tc>
        <w:tc>
          <w:tcPr>
            <w:tcW w:w="840" w:type="dxa"/>
            <w:vAlign w:val="bottom"/>
            <w:shd w:val="clear" w:color="auto" w:fill="CCEEFF"/>
          </w:tcPr>
          <w:p>
            <w:pPr>
              <w:jc w:val="center"/>
              <w:ind w:left="9"/>
              <w:spacing w:after="0" w:line="157" w:lineRule="exact"/>
              <w:rPr>
                <w:sz w:val="20"/>
                <w:szCs w:val="20"/>
                <w:color w:val="auto"/>
              </w:rPr>
            </w:pPr>
            <w:r>
              <w:rPr>
                <w:rFonts w:ascii="Arial" w:cs="Arial" w:eastAsia="Arial" w:hAnsi="Arial"/>
                <w:sz w:val="14"/>
                <w:szCs w:val="14"/>
                <w:color w:val="auto"/>
                <w:w w:val="90"/>
                <w:shd w:val="clear" w:color="auto" w:fill="CCEEFF"/>
              </w:rPr>
              <w:t>$465 -</w:t>
            </w:r>
          </w:p>
        </w:tc>
        <w:tc>
          <w:tcPr>
            <w:tcW w:w="680" w:type="dxa"/>
            <w:vAlign w:val="bottom"/>
            <w:shd w:val="clear" w:color="auto" w:fill="CCEEFF"/>
          </w:tcPr>
          <w:p>
            <w:pPr>
              <w:jc w:val="center"/>
              <w:ind w:left="9"/>
              <w:spacing w:after="0" w:line="157" w:lineRule="exact"/>
              <w:rPr>
                <w:sz w:val="20"/>
                <w:szCs w:val="20"/>
                <w:color w:val="auto"/>
              </w:rPr>
            </w:pPr>
            <w:r>
              <w:rPr>
                <w:rFonts w:ascii="Arial" w:cs="Arial" w:eastAsia="Arial" w:hAnsi="Arial"/>
                <w:sz w:val="14"/>
                <w:szCs w:val="14"/>
                <w:color w:val="auto"/>
                <w:w w:val="89"/>
                <w:shd w:val="clear" w:color="auto" w:fill="CCEEFF"/>
              </w:rPr>
              <w:t>$263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120" w:type="dxa"/>
            <w:vAlign w:val="bottom"/>
            <w:gridSpan w:val="4"/>
            <w:shd w:val="clear" w:color="auto" w:fill="CCEEFF"/>
          </w:tcPr>
          <w:p>
            <w:pPr>
              <w:ind w:left="20"/>
              <w:spacing w:after="0" w:line="157" w:lineRule="exact"/>
              <w:rPr>
                <w:sz w:val="20"/>
                <w:szCs w:val="20"/>
                <w:color w:val="auto"/>
              </w:rPr>
            </w:pPr>
            <w:r>
              <w:rPr>
                <w:rFonts w:ascii="Arial" w:cs="Arial" w:eastAsia="Arial" w:hAnsi="Arial"/>
                <w:sz w:val="14"/>
                <w:szCs w:val="14"/>
                <w:color w:val="auto"/>
                <w:shd w:val="clear" w:color="auto" w:fill="CCEEFF"/>
              </w:rPr>
              <w:t>150,000 square feet of office space pre-leased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- 500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85"/>
                <w:shd w:val="clear" w:color="auto" w:fill="CCEEFF"/>
              </w:rPr>
              <w:t>485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- 56,000 SF of retail</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Opening projected to begin in 2021</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60" w:type="dxa"/>
            <w:vAlign w:val="bottom"/>
            <w:gridSpan w:val="2"/>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Future Phases</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- 1.5M SF of commercial</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rPr>
              <w:t>TBD</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9"/>
              </w:rPr>
              <w:t>TBD</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- 329 residential units</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 xml:space="preserve">Pike &amp; Rose, </w:t>
            </w:r>
            <w:r>
              <w:rPr>
                <w:rFonts w:ascii="Arial" w:cs="Arial" w:eastAsia="Arial" w:hAnsi="Arial"/>
                <w:sz w:val="14"/>
                <w:szCs w:val="14"/>
                <w:b w:val="1"/>
                <w:bCs w:val="1"/>
                <w:i w:val="1"/>
                <w:iCs w:val="1"/>
                <w:color w:val="auto"/>
              </w:rPr>
              <w:t>North Bethesda, MD</w:t>
            </w:r>
          </w:p>
        </w:tc>
        <w:tc>
          <w:tcPr>
            <w:tcW w:w="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33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Phase III</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- 212,000 SF of office</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w w:val="91"/>
              </w:rPr>
              <w:t>6-7%</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0"/>
              </w:rPr>
              <w:t>$128 -</w:t>
            </w:r>
          </w:p>
        </w:tc>
        <w:tc>
          <w:tcPr>
            <w:tcW w:w="680" w:type="dxa"/>
            <w:vAlign w:val="bottom"/>
          </w:tcPr>
          <w:p>
            <w:pPr>
              <w:jc w:val="center"/>
              <w:ind w:left="29"/>
              <w:spacing w:after="0" w:line="157" w:lineRule="exact"/>
              <w:rPr>
                <w:sz w:val="20"/>
                <w:szCs w:val="20"/>
                <w:color w:val="auto"/>
              </w:rPr>
            </w:pPr>
            <w:r>
              <w:rPr>
                <w:rFonts w:ascii="Arial" w:cs="Arial" w:eastAsia="Arial" w:hAnsi="Arial"/>
                <w:sz w:val="14"/>
                <w:szCs w:val="14"/>
                <w:color w:val="auto"/>
                <w:w w:val="94"/>
              </w:rPr>
              <w:t>$90</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3120" w:type="dxa"/>
            <w:vAlign w:val="bottom"/>
            <w:gridSpan w:val="4"/>
          </w:tcPr>
          <w:p>
            <w:pPr>
              <w:ind w:left="20"/>
              <w:spacing w:after="0" w:line="157" w:lineRule="exact"/>
              <w:rPr>
                <w:sz w:val="20"/>
                <w:szCs w:val="20"/>
                <w:color w:val="auto"/>
              </w:rPr>
            </w:pPr>
            <w:r>
              <w:rPr>
                <w:rFonts w:ascii="Arial" w:cs="Arial" w:eastAsia="Arial" w:hAnsi="Arial"/>
                <w:sz w:val="14"/>
                <w:szCs w:val="14"/>
                <w:color w:val="auto"/>
              </w:rPr>
              <w:t>Opening projected to begin in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- 4,000 SF of retail</w:t>
            </w:r>
          </w:p>
        </w:tc>
        <w:tc>
          <w:tcPr>
            <w:tcW w:w="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135</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- 740,000 SF of commercial</w:t>
            </w:r>
          </w:p>
        </w:tc>
        <w:tc>
          <w:tcPr>
            <w:tcW w:w="80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shd w:val="clear" w:color="auto" w:fill="CCEEFF"/>
              </w:rPr>
              <w:t>TBD</w:t>
            </w:r>
          </w:p>
        </w:tc>
        <w:tc>
          <w:tcPr>
            <w:tcW w:w="84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shd w:val="clear" w:color="auto" w:fill="CCEEFF"/>
              </w:rPr>
              <w:t>TBD</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- 741 residential units</w:t>
            </w: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Santana Row, </w:t>
            </w:r>
            <w:r>
              <w:rPr>
                <w:rFonts w:ascii="Arial" w:cs="Arial" w:eastAsia="Arial" w:hAnsi="Arial"/>
                <w:sz w:val="14"/>
                <w:szCs w:val="14"/>
                <w:b w:val="1"/>
                <w:bCs w:val="1"/>
                <w:i w:val="1"/>
                <w:iCs w:val="1"/>
                <w:color w:val="auto"/>
              </w:rPr>
              <w:t>San Jose, CA</w:t>
            </w: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700 Santana Row</w:t>
            </w:r>
          </w:p>
        </w:tc>
        <w:tc>
          <w:tcPr>
            <w:tcW w:w="22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- 301,000 SF of office</w:t>
            </w:r>
          </w:p>
        </w:tc>
        <w:tc>
          <w:tcPr>
            <w:tcW w:w="800" w:type="dxa"/>
            <w:vAlign w:val="bottom"/>
            <w:shd w:val="clear" w:color="auto" w:fill="CCEEFF"/>
          </w:tcPr>
          <w:p>
            <w:pPr>
              <w:jc w:val="center"/>
              <w:ind w:left="68"/>
              <w:spacing w:after="0" w:line="157" w:lineRule="exact"/>
              <w:rPr>
                <w:sz w:val="20"/>
                <w:szCs w:val="20"/>
                <w:color w:val="auto"/>
              </w:rPr>
            </w:pPr>
            <w:r>
              <w:rPr>
                <w:rFonts w:ascii="Arial" w:cs="Arial" w:eastAsia="Arial" w:hAnsi="Arial"/>
                <w:sz w:val="14"/>
                <w:szCs w:val="14"/>
                <w:color w:val="auto"/>
                <w:w w:val="91"/>
              </w:rPr>
              <w:t>7-8%</w:t>
            </w:r>
          </w:p>
        </w:tc>
        <w:tc>
          <w:tcPr>
            <w:tcW w:w="840" w:type="dxa"/>
            <w:vAlign w:val="bottom"/>
            <w:shd w:val="clear" w:color="auto" w:fill="CCEEFF"/>
          </w:tcPr>
          <w:p>
            <w:pPr>
              <w:jc w:val="center"/>
              <w:ind w:left="9"/>
              <w:spacing w:after="0" w:line="157" w:lineRule="exact"/>
              <w:rPr>
                <w:sz w:val="20"/>
                <w:szCs w:val="20"/>
                <w:color w:val="auto"/>
              </w:rPr>
            </w:pPr>
            <w:r>
              <w:rPr>
                <w:rFonts w:ascii="Arial" w:cs="Arial" w:eastAsia="Arial" w:hAnsi="Arial"/>
                <w:sz w:val="14"/>
                <w:szCs w:val="14"/>
                <w:color w:val="auto"/>
                <w:w w:val="90"/>
                <w:shd w:val="clear" w:color="auto" w:fill="CCEEFF"/>
              </w:rPr>
              <w:t>$210 -</w:t>
            </w:r>
          </w:p>
        </w:tc>
        <w:tc>
          <w:tcPr>
            <w:tcW w:w="680" w:type="dxa"/>
            <w:vAlign w:val="bottom"/>
            <w:shd w:val="clear" w:color="auto" w:fill="CCEEFF"/>
          </w:tcPr>
          <w:p>
            <w:pPr>
              <w:jc w:val="center"/>
              <w:ind w:left="29"/>
              <w:spacing w:after="0" w:line="157" w:lineRule="exact"/>
              <w:rPr>
                <w:sz w:val="20"/>
                <w:szCs w:val="20"/>
                <w:color w:val="auto"/>
              </w:rPr>
            </w:pPr>
            <w:r>
              <w:rPr>
                <w:rFonts w:ascii="Arial" w:cs="Arial" w:eastAsia="Arial" w:hAnsi="Arial"/>
                <w:sz w:val="14"/>
                <w:szCs w:val="14"/>
                <w:color w:val="auto"/>
                <w:w w:val="96"/>
              </w:rPr>
              <w:t>$200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shd w:val="clear" w:color="auto" w:fill="CCEEFF"/>
              </w:rPr>
              <w:t>Office delivered in Q1 2020</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- 20,000 SF of retail &amp; 1,300 parking spaces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85"/>
                <w:shd w:val="clear" w:color="auto" w:fill="CCEEFF"/>
              </w:rPr>
              <w:t>220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 Redevelopment of Santana Row Park including the</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w w:val="90"/>
                <w:shd w:val="clear" w:color="auto" w:fill="CCEEFF"/>
              </w:rPr>
              <w:t>11,000 square feet of retail has opened</w:t>
            </w: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installation of a new retail pavilion</w:t>
            </w:r>
          </w:p>
        </w:tc>
        <w:tc>
          <w:tcPr>
            <w:tcW w:w="8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40" w:type="dxa"/>
            <w:vAlign w:val="bottom"/>
            <w:gridSpan w:val="3"/>
            <w:vMerge w:val="continue"/>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60" w:type="dxa"/>
            <w:vAlign w:val="bottom"/>
            <w:gridSpan w:val="2"/>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2"/>
                <w:shd w:val="clear" w:color="auto" w:fill="CCEEFF"/>
              </w:rPr>
              <w:t>Project stabilized</w:t>
            </w: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100" w:type="dxa"/>
            <w:vAlign w:val="bottom"/>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900" w:type="dxa"/>
            <w:vAlign w:val="bottom"/>
            <w:gridSpan w:val="2"/>
          </w:tcPr>
          <w:p>
            <w:pPr>
              <w:spacing w:after="0" w:line="157" w:lineRule="exact"/>
              <w:rPr>
                <w:sz w:val="20"/>
                <w:szCs w:val="20"/>
                <w:color w:val="auto"/>
              </w:rPr>
            </w:pPr>
            <w:r>
              <w:rPr>
                <w:rFonts w:ascii="Arial" w:cs="Arial" w:eastAsia="Arial" w:hAnsi="Arial"/>
                <w:sz w:val="14"/>
                <w:szCs w:val="14"/>
                <w:color w:val="auto"/>
              </w:rPr>
              <w:t>Santana West - Phase I</w:t>
            </w:r>
          </w:p>
        </w:tc>
        <w:tc>
          <w:tcPr>
            <w:tcW w:w="3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- 376,000 SF of office</w:t>
            </w:r>
          </w:p>
        </w:tc>
        <w:tc>
          <w:tcPr>
            <w:tcW w:w="800" w:type="dxa"/>
            <w:vAlign w:val="bottom"/>
          </w:tcPr>
          <w:p>
            <w:pPr>
              <w:jc w:val="center"/>
              <w:ind w:left="68"/>
              <w:spacing w:after="0" w:line="157" w:lineRule="exact"/>
              <w:rPr>
                <w:sz w:val="20"/>
                <w:szCs w:val="20"/>
                <w:color w:val="auto"/>
              </w:rPr>
            </w:pPr>
            <w:r>
              <w:rPr>
                <w:rFonts w:ascii="Arial" w:cs="Arial" w:eastAsia="Arial" w:hAnsi="Arial"/>
                <w:sz w:val="14"/>
                <w:szCs w:val="14"/>
                <w:color w:val="auto"/>
                <w:w w:val="88"/>
              </w:rPr>
              <w:t>7%</w:t>
            </w:r>
          </w:p>
        </w:tc>
        <w:tc>
          <w:tcPr>
            <w:tcW w:w="840" w:type="dxa"/>
            <w:vAlign w:val="bottom"/>
          </w:tcPr>
          <w:p>
            <w:pPr>
              <w:jc w:val="center"/>
              <w:ind w:left="9"/>
              <w:spacing w:after="0" w:line="157" w:lineRule="exact"/>
              <w:rPr>
                <w:sz w:val="20"/>
                <w:szCs w:val="20"/>
                <w:color w:val="auto"/>
              </w:rPr>
            </w:pPr>
            <w:r>
              <w:rPr>
                <w:rFonts w:ascii="Arial" w:cs="Arial" w:eastAsia="Arial" w:hAnsi="Arial"/>
                <w:sz w:val="14"/>
                <w:szCs w:val="14"/>
                <w:color w:val="auto"/>
                <w:w w:val="90"/>
              </w:rPr>
              <w:t>$250 -</w:t>
            </w:r>
          </w:p>
        </w:tc>
        <w:tc>
          <w:tcPr>
            <w:tcW w:w="680" w:type="dxa"/>
            <w:vAlign w:val="bottom"/>
          </w:tcPr>
          <w:p>
            <w:pPr>
              <w:jc w:val="center"/>
              <w:ind w:left="29"/>
              <w:spacing w:after="0" w:line="157" w:lineRule="exact"/>
              <w:rPr>
                <w:sz w:val="20"/>
                <w:szCs w:val="20"/>
                <w:color w:val="auto"/>
              </w:rPr>
            </w:pPr>
            <w:r>
              <w:rPr>
                <w:rFonts w:ascii="Arial" w:cs="Arial" w:eastAsia="Arial" w:hAnsi="Arial"/>
                <w:sz w:val="14"/>
                <w:szCs w:val="14"/>
                <w:color w:val="auto"/>
                <w:w w:val="94"/>
              </w:rPr>
              <w:t>$92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4"/>
          </w:tcPr>
          <w:p>
            <w:pPr>
              <w:ind w:left="20"/>
              <w:spacing w:after="0" w:line="157" w:lineRule="exact"/>
              <w:rPr>
                <w:sz w:val="20"/>
                <w:szCs w:val="20"/>
                <w:color w:val="auto"/>
              </w:rPr>
            </w:pPr>
            <w:r>
              <w:rPr>
                <w:rFonts w:ascii="Arial" w:cs="Arial" w:eastAsia="Arial" w:hAnsi="Arial"/>
                <w:sz w:val="14"/>
                <w:szCs w:val="14"/>
                <w:color w:val="auto"/>
              </w:rPr>
              <w:t>Opening projected to begin in 2022</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4"/>
                <w:szCs w:val="14"/>
                <w:color w:val="auto"/>
              </w:rPr>
              <w:t>- 1,750 parking spaces</w:t>
            </w:r>
          </w:p>
        </w:tc>
        <w:tc>
          <w:tcPr>
            <w:tcW w:w="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270</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2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-321,000 SF of commercial</w:t>
            </w:r>
          </w:p>
        </w:tc>
        <w:tc>
          <w:tcPr>
            <w:tcW w:w="80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shd w:val="clear" w:color="auto" w:fill="CCEEFF"/>
              </w:rPr>
              <w:t>TBD</w:t>
            </w:r>
          </w:p>
        </w:tc>
        <w:tc>
          <w:tcPr>
            <w:tcW w:w="84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shd w:val="clear" w:color="auto" w:fill="CCEEFF"/>
              </w:rPr>
              <w:t>TBD</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-395 residential units</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-604,000 SF of commercial across from Santana Row</w:t>
            </w: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0" w:lineRule="exact"/>
        <w:rPr>
          <w:sz w:val="20"/>
          <w:szCs w:val="20"/>
          <w:color w:val="auto"/>
        </w:rPr>
      </w:pPr>
    </w:p>
    <w:p>
      <w:pPr>
        <w:ind w:left="500" w:right="200" w:hanging="465"/>
        <w:spacing w:after="0" w:line="281" w:lineRule="auto"/>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Projected costs for Assembly Row and Pike &amp; Rose include an allocation of infrastructure costs for the entire project. Phase I of Santana West includes an allocation of infrastructure for</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Santana West site.</w:t>
      </w:r>
    </w:p>
    <w:p>
      <w:pPr>
        <w:spacing w:after="0" w:line="29" w:lineRule="exact"/>
        <w:rPr>
          <w:rFonts w:ascii="Arial" w:cs="Arial" w:eastAsia="Arial" w:hAnsi="Arial"/>
          <w:sz w:val="14"/>
          <w:szCs w:val="14"/>
          <w:color w:val="auto"/>
        </w:rPr>
      </w:pPr>
    </w:p>
    <w:p>
      <w:pPr>
        <w:ind w:left="500" w:right="480" w:hanging="465"/>
        <w:spacing w:after="0" w:line="253"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to be delivered in 2020. Revenue related to this rent will be eliminated in the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733" w:right="35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374" w:lineRule="exact"/>
        <w:rPr>
          <w:sz w:val="20"/>
          <w:szCs w:val="20"/>
          <w:color w:val="auto"/>
        </w:rPr>
      </w:pPr>
    </w:p>
    <w:p>
      <w:pPr>
        <w:ind w:left="40" w:right="18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80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Escondido Promenade</w:t>
            </w:r>
          </w:p>
        </w:tc>
        <w:tc>
          <w:tcPr>
            <w:tcW w:w="2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Escondido, CA</w:t>
            </w:r>
          </w:p>
        </w:tc>
        <w:tc>
          <w:tcPr>
            <w:tcW w:w="27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3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Lawrenceville, NJ</w:t>
            </w:r>
          </w:p>
        </w:tc>
      </w:tr>
      <w:tr>
        <w:trPr>
          <w:trHeight w:val="237"/>
        </w:trPr>
        <w:tc>
          <w:tcPr>
            <w:tcW w:w="2680" w:type="dxa"/>
            <w:vAlign w:val="bottom"/>
          </w:tcPr>
          <w:p>
            <w:pPr>
              <w:ind w:left="600"/>
              <w:spacing w:after="0"/>
              <w:rPr>
                <w:sz w:val="20"/>
                <w:szCs w:val="20"/>
                <w:color w:val="auto"/>
              </w:rPr>
            </w:pPr>
            <w:r>
              <w:rPr>
                <w:rFonts w:ascii="Arial" w:cs="Arial" w:eastAsia="Arial" w:hAnsi="Arial"/>
                <w:sz w:val="16"/>
                <w:szCs w:val="16"/>
                <w:b w:val="1"/>
                <w:bCs w:val="1"/>
                <w:color w:val="auto"/>
              </w:rPr>
              <w:t>Federal Plaza</w:t>
            </w:r>
          </w:p>
        </w:tc>
        <w:tc>
          <w:tcPr>
            <w:tcW w:w="2140" w:type="dxa"/>
            <w:vAlign w:val="bottom"/>
          </w:tcPr>
          <w:p>
            <w:pPr>
              <w:ind w:left="520"/>
              <w:spacing w:after="0"/>
              <w:rPr>
                <w:sz w:val="20"/>
                <w:szCs w:val="20"/>
                <w:color w:val="auto"/>
              </w:rPr>
            </w:pPr>
            <w:r>
              <w:rPr>
                <w:rFonts w:ascii="Arial" w:cs="Arial" w:eastAsia="Arial" w:hAnsi="Arial"/>
                <w:sz w:val="16"/>
                <w:szCs w:val="16"/>
                <w:color w:val="auto"/>
              </w:rPr>
              <w:t>Rockville, MD</w:t>
            </w:r>
          </w:p>
        </w:tc>
        <w:tc>
          <w:tcPr>
            <w:tcW w:w="272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3700" w:type="dxa"/>
            <w:vAlign w:val="bottom"/>
          </w:tcPr>
          <w:p>
            <w:pPr>
              <w:ind w:left="600"/>
              <w:spacing w:after="0"/>
              <w:rPr>
                <w:sz w:val="20"/>
                <w:szCs w:val="20"/>
                <w:color w:val="auto"/>
              </w:rPr>
            </w:pPr>
            <w:r>
              <w:rPr>
                <w:rFonts w:ascii="Arial" w:cs="Arial" w:eastAsia="Arial" w:hAnsi="Arial"/>
                <w:sz w:val="16"/>
                <w:szCs w:val="16"/>
                <w:color w:val="auto"/>
              </w:rPr>
              <w:t>Fairfax, VA</w:t>
            </w:r>
          </w:p>
        </w:tc>
      </w:tr>
      <w:tr>
        <w:trPr>
          <w:trHeight w:val="33"/>
        </w:trPr>
        <w:tc>
          <w:tcPr>
            <w:tcW w:w="26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37"/>
        </w:trPr>
        <w:tc>
          <w:tcPr>
            <w:tcW w:w="2680" w:type="dxa"/>
            <w:vAlign w:val="bottom"/>
            <w:shd w:val="clear" w:color="auto" w:fill="CCEEFF"/>
          </w:tcPr>
          <w:p>
            <w:pPr>
              <w:ind w:left="600"/>
              <w:spacing w:after="0"/>
              <w:rPr>
                <w:sz w:val="20"/>
                <w:szCs w:val="20"/>
                <w:color w:val="auto"/>
              </w:rPr>
            </w:pPr>
            <w:r>
              <w:rPr>
                <w:rFonts w:ascii="Arial" w:cs="Arial" w:eastAsia="Arial" w:hAnsi="Arial"/>
                <w:sz w:val="16"/>
                <w:szCs w:val="16"/>
                <w:b w:val="1"/>
                <w:bCs w:val="1"/>
                <w:color w:val="auto"/>
              </w:rPr>
              <w:t>Fresh Meadows</w:t>
            </w:r>
          </w:p>
        </w:tc>
        <w:tc>
          <w:tcPr>
            <w:tcW w:w="2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Queens, NY</w:t>
            </w:r>
          </w:p>
        </w:tc>
        <w:tc>
          <w:tcPr>
            <w:tcW w:w="272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Sylmar Towne Center</w:t>
            </w:r>
          </w:p>
        </w:tc>
        <w:tc>
          <w:tcPr>
            <w:tcW w:w="3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Sylmar, CA</w:t>
            </w:r>
          </w:p>
        </w:tc>
      </w:tr>
      <w:tr>
        <w:trPr>
          <w:trHeight w:val="33"/>
        </w:trPr>
        <w:tc>
          <w:tcPr>
            <w:tcW w:w="2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3" w:lineRule="exact"/>
        <w:rPr>
          <w:sz w:val="20"/>
          <w:szCs w:val="20"/>
          <w:color w:val="auto"/>
        </w:rPr>
      </w:pPr>
    </w:p>
    <w:p>
      <w:pPr>
        <w:ind w:left="40" w:right="34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Pr>
          <w:p>
            <w:pPr>
              <w:ind w:left="540"/>
              <w:spacing w:after="0"/>
              <w:rPr>
                <w:sz w:val="20"/>
                <w:szCs w:val="20"/>
                <w:color w:val="auto"/>
              </w:rPr>
            </w:pPr>
            <w:r>
              <w:rPr>
                <w:rFonts w:ascii="Arial" w:cs="Arial" w:eastAsia="Arial" w:hAnsi="Arial"/>
                <w:sz w:val="16"/>
                <w:szCs w:val="16"/>
                <w:color w:val="auto"/>
              </w:rPr>
              <w:t>Charlottesville, VA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3540" w:type="dxa"/>
            <w:vAlign w:val="bottom"/>
          </w:tcPr>
          <w:p>
            <w:pPr>
              <w:ind w:left="440"/>
              <w:spacing w:after="0"/>
              <w:rPr>
                <w:sz w:val="20"/>
                <w:szCs w:val="20"/>
                <w:color w:val="auto"/>
              </w:rPr>
            </w:pPr>
            <w:r>
              <w:rPr>
                <w:rFonts w:ascii="Arial" w:cs="Arial" w:eastAsia="Arial" w:hAnsi="Arial"/>
                <w:sz w:val="16"/>
                <w:szCs w:val="16"/>
                <w:color w:val="auto"/>
              </w:rPr>
              <w:t>Huntington, NY</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Bethesda Row</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Bethesda, MD</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Plaza El Segundo</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El Segundo, CA</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Dedham Plaza</w:t>
            </w:r>
          </w:p>
        </w:tc>
        <w:tc>
          <w:tcPr>
            <w:tcW w:w="2280" w:type="dxa"/>
            <w:vAlign w:val="bottom"/>
          </w:tcPr>
          <w:p>
            <w:pPr>
              <w:ind w:left="540"/>
              <w:spacing w:after="0"/>
              <w:rPr>
                <w:sz w:val="20"/>
                <w:szCs w:val="20"/>
                <w:color w:val="auto"/>
              </w:rPr>
            </w:pPr>
            <w:r>
              <w:rPr>
                <w:rFonts w:ascii="Arial" w:cs="Arial" w:eastAsia="Arial" w:hAnsi="Arial"/>
                <w:sz w:val="16"/>
                <w:szCs w:val="16"/>
                <w:color w:val="auto"/>
              </w:rPr>
              <w:t>Dedham, MA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Riverpoint Center</w:t>
            </w:r>
          </w:p>
        </w:tc>
        <w:tc>
          <w:tcPr>
            <w:tcW w:w="3540" w:type="dxa"/>
            <w:vAlign w:val="bottom"/>
          </w:tcPr>
          <w:p>
            <w:pPr>
              <w:ind w:left="440"/>
              <w:spacing w:after="0"/>
              <w:rPr>
                <w:sz w:val="20"/>
                <w:szCs w:val="20"/>
                <w:color w:val="auto"/>
              </w:rPr>
            </w:pPr>
            <w:r>
              <w:rPr>
                <w:rFonts w:ascii="Arial" w:cs="Arial" w:eastAsia="Arial" w:hAnsi="Arial"/>
                <w:sz w:val="16"/>
                <w:szCs w:val="16"/>
                <w:color w:val="auto"/>
              </w:rPr>
              <w:t>Chicago, IL</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Fairfax Junction</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Fairfax, VA</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The Shops at Sunset Place</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South Miami, FL</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Fourth Street</w:t>
            </w:r>
          </w:p>
        </w:tc>
        <w:tc>
          <w:tcPr>
            <w:tcW w:w="2280" w:type="dxa"/>
            <w:vAlign w:val="bottom"/>
          </w:tcPr>
          <w:p>
            <w:pPr>
              <w:ind w:left="540"/>
              <w:spacing w:after="0"/>
              <w:rPr>
                <w:sz w:val="20"/>
                <w:szCs w:val="20"/>
                <w:color w:val="auto"/>
              </w:rPr>
            </w:pPr>
            <w:r>
              <w:rPr>
                <w:rFonts w:ascii="Arial" w:cs="Arial" w:eastAsia="Arial" w:hAnsi="Arial"/>
                <w:sz w:val="16"/>
                <w:szCs w:val="16"/>
                <w:color w:val="auto"/>
              </w:rPr>
              <w:t>Berkeley, CA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Third Street Promenade</w:t>
            </w:r>
          </w:p>
        </w:tc>
        <w:tc>
          <w:tcPr>
            <w:tcW w:w="3540" w:type="dxa"/>
            <w:vAlign w:val="bottom"/>
          </w:tcPr>
          <w:p>
            <w:pPr>
              <w:ind w:left="440"/>
              <w:spacing w:after="0"/>
              <w:rPr>
                <w:sz w:val="20"/>
                <w:szCs w:val="20"/>
                <w:color w:val="auto"/>
              </w:rPr>
            </w:pPr>
            <w:r>
              <w:rPr>
                <w:rFonts w:ascii="Arial" w:cs="Arial" w:eastAsia="Arial" w:hAnsi="Arial"/>
                <w:sz w:val="16"/>
                <w:szCs w:val="16"/>
                <w:color w:val="auto"/>
              </w:rPr>
              <w:t>Santa Monica, CA</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Fresh Meadows</w:t>
            </w:r>
          </w:p>
        </w:tc>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Wildwood</w:t>
            </w:r>
          </w:p>
        </w:tc>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Bethesda, MD</w:t>
            </w:r>
          </w:p>
        </w:tc>
      </w:tr>
      <w:tr>
        <w:trPr>
          <w:trHeight w:val="237"/>
        </w:trPr>
        <w:tc>
          <w:tcPr>
            <w:tcW w:w="2660" w:type="dxa"/>
            <w:vAlign w:val="bottom"/>
          </w:tcPr>
          <w:p>
            <w:pPr>
              <w:ind w:left="600"/>
              <w:spacing w:after="0"/>
              <w:rPr>
                <w:sz w:val="20"/>
                <w:szCs w:val="20"/>
                <w:color w:val="auto"/>
              </w:rPr>
            </w:pPr>
            <w:r>
              <w:rPr>
                <w:rFonts w:ascii="Arial" w:cs="Arial" w:eastAsia="Arial" w:hAnsi="Arial"/>
                <w:sz w:val="16"/>
                <w:szCs w:val="16"/>
                <w:b w:val="1"/>
                <w:bCs w:val="1"/>
                <w:color w:val="auto"/>
              </w:rPr>
              <w:t>Hastings Ranch Plaza</w:t>
            </w:r>
          </w:p>
        </w:tc>
        <w:tc>
          <w:tcPr>
            <w:tcW w:w="2280" w:type="dxa"/>
            <w:vAlign w:val="bottom"/>
          </w:tcPr>
          <w:p>
            <w:pPr>
              <w:ind w:left="540"/>
              <w:spacing w:after="0"/>
              <w:rPr>
                <w:sz w:val="20"/>
                <w:szCs w:val="20"/>
                <w:color w:val="auto"/>
              </w:rPr>
            </w:pPr>
            <w:r>
              <w:rPr>
                <w:rFonts w:ascii="Arial" w:cs="Arial" w:eastAsia="Arial" w:hAnsi="Arial"/>
                <w:sz w:val="16"/>
                <w:szCs w:val="16"/>
                <w:color w:val="auto"/>
              </w:rPr>
              <w:t>Pasadena, CA</w:t>
            </w:r>
          </w:p>
        </w:tc>
        <w:tc>
          <w:tcPr>
            <w:tcW w:w="2760" w:type="dxa"/>
            <w:vAlign w:val="bottom"/>
          </w:tcPr>
          <w:p>
            <w:pPr>
              <w:ind w:left="500"/>
              <w:spacing w:after="0"/>
              <w:rPr>
                <w:sz w:val="20"/>
                <w:szCs w:val="20"/>
                <w:color w:val="auto"/>
              </w:rPr>
            </w:pPr>
            <w:r>
              <w:rPr>
                <w:rFonts w:ascii="Arial" w:cs="Arial" w:eastAsia="Arial" w:hAnsi="Arial"/>
                <w:sz w:val="16"/>
                <w:szCs w:val="16"/>
                <w:b w:val="1"/>
                <w:bCs w:val="1"/>
                <w:color w:val="auto"/>
              </w:rPr>
              <w:t>Willow Grove</w:t>
            </w:r>
          </w:p>
        </w:tc>
        <w:tc>
          <w:tcPr>
            <w:tcW w:w="3540" w:type="dxa"/>
            <w:vAlign w:val="bottom"/>
          </w:tcPr>
          <w:p>
            <w:pPr>
              <w:ind w:left="440"/>
              <w:spacing w:after="0"/>
              <w:rPr>
                <w:sz w:val="20"/>
                <w:szCs w:val="20"/>
                <w:color w:val="auto"/>
              </w:rPr>
            </w:pPr>
            <w:r>
              <w:rPr>
                <w:rFonts w:ascii="Arial" w:cs="Arial" w:eastAsia="Arial" w:hAnsi="Arial"/>
                <w:sz w:val="16"/>
                <w:szCs w:val="16"/>
                <w:color w:val="auto"/>
              </w:rPr>
              <w:t>Willow Grove, PA</w:t>
            </w:r>
          </w:p>
        </w:tc>
      </w:tr>
      <w:tr>
        <w:trPr>
          <w:trHeight w:val="33"/>
        </w:trPr>
        <w:tc>
          <w:tcPr>
            <w:tcW w:w="2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84"/>
        </w:trPr>
        <w:tc>
          <w:tcPr>
            <w:tcW w:w="26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Barracks Road</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Charlottesville,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Graham Park Plaza</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Falls Church,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Bala Cynwyd</w:t>
            </w:r>
          </w:p>
        </w:tc>
        <w:tc>
          <w:tcPr>
            <w:tcW w:w="1960" w:type="dxa"/>
            <w:vAlign w:val="bottom"/>
          </w:tcPr>
          <w:p>
            <w:pPr>
              <w:ind w:left="2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320" w:type="dxa"/>
            <w:vAlign w:val="bottom"/>
          </w:tcPr>
          <w:p>
            <w:pPr>
              <w:ind w:left="22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560" w:type="dxa"/>
            <w:vAlign w:val="bottom"/>
            <w:gridSpan w:val="2"/>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r>
      <w:tr>
        <w:trPr>
          <w:trHeight w:val="223"/>
        </w:trPr>
        <w:tc>
          <w:tcPr>
            <w:tcW w:w="4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Arial" w:cs="Arial" w:eastAsia="Arial" w:hAnsi="Arial"/>
                <w:sz w:val="16"/>
                <w:szCs w:val="16"/>
                <w:b w:val="1"/>
                <w:bCs w:val="1"/>
                <w:color w:val="auto"/>
              </w:rPr>
              <w:t>Longer Term Mixed-Use Opportunities</w:t>
            </w:r>
          </w:p>
        </w:tc>
        <w:tc>
          <w:tcPr>
            <w:tcW w:w="1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Assembly Row (1)</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Somerville, MA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North Bethesda,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Bala Cynwyd</w:t>
            </w:r>
          </w:p>
        </w:tc>
        <w:tc>
          <w:tcPr>
            <w:tcW w:w="1960" w:type="dxa"/>
            <w:vAlign w:val="bottom"/>
          </w:tcPr>
          <w:p>
            <w:pPr>
              <w:ind w:left="2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320" w:type="dxa"/>
            <w:vAlign w:val="bottom"/>
          </w:tcPr>
          <w:p>
            <w:pPr>
              <w:ind w:left="22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7 Plaza</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Vienna, VA</w:t>
            </w:r>
          </w:p>
        </w:tc>
        <w:tc>
          <w:tcPr>
            <w:tcW w:w="2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Santana Row - Santana West (3)</w:t>
            </w:r>
          </w:p>
        </w:tc>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San Jose, CA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3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8"/>
              </w:rPr>
              <w:t>Notes:</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Assembly Row</w:t>
            </w:r>
          </w:p>
        </w:tc>
        <w:tc>
          <w:tcPr>
            <w:tcW w:w="8260" w:type="dxa"/>
            <w:vAlign w:val="bottom"/>
            <w:gridSpan w:val="3"/>
          </w:tcPr>
          <w:p>
            <w:pPr>
              <w:ind w:left="220"/>
              <w:spacing w:after="0" w:line="157" w:lineRule="exact"/>
              <w:rPr>
                <w:sz w:val="20"/>
                <w:szCs w:val="20"/>
                <w:color w:val="auto"/>
              </w:rPr>
            </w:pPr>
            <w:r>
              <w:rPr>
                <w:rFonts w:ascii="Arial" w:cs="Arial" w:eastAsia="Arial" w:hAnsi="Arial"/>
                <w:sz w:val="14"/>
                <w:szCs w:val="14"/>
                <w:color w:val="auto"/>
                <w:w w:val="98"/>
              </w:rPr>
              <w:t>Remaining entitlements after Phase III include approximately 1.5 million square feet of commercial-use buildings and 329 residential</w:t>
            </w:r>
          </w:p>
        </w:tc>
      </w:tr>
      <w:tr>
        <w:trPr>
          <w:trHeight w:val="188"/>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ind w:left="220"/>
              <w:spacing w:after="0"/>
              <w:rPr>
                <w:sz w:val="20"/>
                <w:szCs w:val="20"/>
                <w:color w:val="auto"/>
              </w:rPr>
            </w:pPr>
            <w:r>
              <w:rPr>
                <w:rFonts w:ascii="Arial" w:cs="Arial" w:eastAsia="Arial" w:hAnsi="Arial"/>
                <w:sz w:val="14"/>
                <w:szCs w:val="14"/>
                <w:color w:val="auto"/>
              </w:rPr>
              <w:t>units.</w:t>
            </w:r>
          </w:p>
        </w:tc>
        <w:tc>
          <w:tcPr>
            <w:tcW w:w="298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08"/>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2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94"/>
              </w:rPr>
              <w:t>Remaining entitlements after Phase III include approximately 740,000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26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260" w:type="dxa"/>
            <w:vAlign w:val="bottom"/>
            <w:gridSpan w:val="3"/>
          </w:tcPr>
          <w:p>
            <w:pPr>
              <w:ind w:left="220"/>
              <w:spacing w:after="0"/>
              <w:rPr>
                <w:sz w:val="20"/>
                <w:szCs w:val="20"/>
                <w:color w:val="auto"/>
              </w:rPr>
            </w:pPr>
            <w:r>
              <w:rPr>
                <w:rFonts w:ascii="Arial" w:cs="Arial" w:eastAsia="Arial" w:hAnsi="Arial"/>
                <w:sz w:val="14"/>
                <w:szCs w:val="14"/>
                <w:color w:val="auto"/>
              </w:rPr>
              <w:t>approximately 604,000 square feet of commercial space on land we control across from Santana Row.</w:t>
            </w:r>
          </w:p>
        </w:tc>
      </w:tr>
      <w:tr>
        <w:trPr>
          <w:trHeight w:val="44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80" w:type="dxa"/>
            <w:vAlign w:val="bottom"/>
          </w:tcPr>
          <w:p>
            <w:pPr>
              <w:ind w:left="600"/>
              <w:spacing w:after="0"/>
              <w:rPr>
                <w:sz w:val="20"/>
                <w:szCs w:val="20"/>
                <w:color w:val="auto"/>
              </w:rPr>
            </w:pPr>
            <w:r>
              <w:rPr>
                <w:rFonts w:ascii="Arial" w:cs="Arial" w:eastAsia="Arial" w:hAnsi="Arial"/>
                <w:sz w:val="18"/>
                <w:szCs w:val="18"/>
                <w:color w:val="auto"/>
              </w:rPr>
              <w:t>19</w:t>
            </w:r>
          </w:p>
        </w:tc>
        <w:tc>
          <w:tcPr>
            <w:tcW w:w="3320" w:type="dxa"/>
            <w:vAlign w:val="bottom"/>
          </w:tcPr>
          <w:p>
            <w:pPr>
              <w:spacing w:after="0"/>
              <w:rPr>
                <w:sz w:val="24"/>
                <w:szCs w:val="24"/>
                <w:color w:val="auto"/>
              </w:rPr>
            </w:pPr>
          </w:p>
        </w:tc>
      </w:tr>
    </w:tbl>
    <w:p>
      <w:pPr>
        <w:sectPr>
          <w:pgSz w:w="11900" w:h="16838" w:orient="portrait"/>
          <w:cols w:equalWidth="0" w:num="1">
            <w:col w:w="11240"/>
          </w:cols>
          <w:pgMar w:left="320" w:top="720" w:right="339"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Property Acquisitions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Acquisitions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Property</w:t>
            </w:r>
          </w:p>
        </w:tc>
        <w:tc>
          <w:tcPr>
            <w:tcW w:w="2220" w:type="dxa"/>
            <w:vAlign w:val="bottom"/>
          </w:tcPr>
          <w:p>
            <w:pPr>
              <w:ind w:left="400"/>
              <w:spacing w:after="0"/>
              <w:rPr>
                <w:sz w:val="20"/>
                <w:szCs w:val="20"/>
                <w:color w:val="auto"/>
              </w:rPr>
            </w:pPr>
            <w:r>
              <w:rPr>
                <w:rFonts w:ascii="Arial" w:cs="Arial" w:eastAsia="Arial" w:hAnsi="Arial"/>
                <w:sz w:val="16"/>
                <w:szCs w:val="16"/>
                <w:b w:val="1"/>
                <w:bCs w:val="1"/>
                <w:color w:val="auto"/>
              </w:rPr>
              <w:t>City/State</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GLA</w:t>
            </w:r>
          </w:p>
        </w:tc>
        <w:tc>
          <w:tcPr>
            <w:tcW w:w="2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Purchase Price</w:t>
            </w:r>
          </w:p>
        </w:tc>
        <w:tc>
          <w:tcPr>
            <w:tcW w:w="1860" w:type="dxa"/>
            <w:vAlign w:val="bottom"/>
          </w:tcPr>
          <w:p>
            <w:pPr>
              <w:ind w:left="440"/>
              <w:spacing w:after="0"/>
              <w:rPr>
                <w:sz w:val="20"/>
                <w:szCs w:val="20"/>
                <w:color w:val="auto"/>
              </w:rPr>
            </w:pPr>
            <w:r>
              <w:rPr>
                <w:rFonts w:ascii="Arial" w:cs="Arial" w:eastAsia="Arial" w:hAnsi="Arial"/>
                <w:sz w:val="16"/>
                <w:szCs w:val="16"/>
                <w:b w:val="1"/>
                <w:bCs w:val="1"/>
                <w:color w:val="auto"/>
              </w:rPr>
              <w:t>Principal Tenants</w:t>
            </w:r>
          </w:p>
        </w:tc>
        <w:tc>
          <w:tcPr>
            <w:tcW w:w="640" w:type="dxa"/>
            <w:vAlign w:val="bottom"/>
          </w:tcPr>
          <w:p>
            <w:pPr>
              <w:spacing w:after="0"/>
              <w:rPr>
                <w:sz w:val="18"/>
                <w:szCs w:val="18"/>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4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(in square feet)</w:t>
            </w:r>
          </w:p>
        </w:tc>
        <w:tc>
          <w:tcPr>
            <w:tcW w:w="20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4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January 10, 2020</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Westfair Shopping Center</w:t>
            </w:r>
          </w:p>
        </w:tc>
        <w:tc>
          <w:tcPr>
            <w:tcW w:w="2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Fairfax, Virginia</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Guitar Center</w:t>
            </w:r>
          </w:p>
        </w:tc>
        <w:tc>
          <w:tcPr>
            <w:tcW w:w="6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r>
      <w:tr>
        <w:trPr>
          <w:trHeight w:val="239"/>
        </w:trPr>
        <w:tc>
          <w:tcPr>
            <w:tcW w:w="1480" w:type="dxa"/>
            <w:vAlign w:val="bottom"/>
          </w:tcPr>
          <w:p>
            <w:pPr>
              <w:ind w:left="20"/>
              <w:spacing w:after="0"/>
              <w:rPr>
                <w:sz w:val="20"/>
                <w:szCs w:val="20"/>
                <w:color w:val="auto"/>
              </w:rPr>
            </w:pPr>
            <w:r>
              <w:rPr>
                <w:rFonts w:ascii="Arial" w:cs="Arial" w:eastAsia="Arial" w:hAnsi="Arial"/>
                <w:sz w:val="17"/>
                <w:szCs w:val="17"/>
                <w:color w:val="auto"/>
              </w:rPr>
              <w:t>February 12, 2020</w:t>
            </w:r>
          </w:p>
        </w:tc>
        <w:tc>
          <w:tcPr>
            <w:tcW w:w="2200" w:type="dxa"/>
            <w:vAlign w:val="bottom"/>
          </w:tcPr>
          <w:p>
            <w:pPr>
              <w:ind w:left="20"/>
              <w:spacing w:after="0"/>
              <w:rPr>
                <w:sz w:val="20"/>
                <w:szCs w:val="20"/>
                <w:color w:val="auto"/>
              </w:rPr>
            </w:pPr>
            <w:r>
              <w:rPr>
                <w:rFonts w:ascii="Arial" w:cs="Arial" w:eastAsia="Arial" w:hAnsi="Arial"/>
                <w:sz w:val="17"/>
                <w:szCs w:val="17"/>
                <w:color w:val="auto"/>
              </w:rPr>
              <w:t>Hoboken (2 buildings)</w:t>
            </w:r>
          </w:p>
        </w:tc>
        <w:tc>
          <w:tcPr>
            <w:tcW w:w="2220" w:type="dxa"/>
            <w:vAlign w:val="bottom"/>
          </w:tcPr>
          <w:p>
            <w:pPr>
              <w:ind w:left="400"/>
              <w:spacing w:after="0"/>
              <w:rPr>
                <w:sz w:val="20"/>
                <w:szCs w:val="20"/>
                <w:color w:val="auto"/>
              </w:rPr>
            </w:pPr>
            <w:r>
              <w:rPr>
                <w:rFonts w:ascii="Arial" w:cs="Arial" w:eastAsia="Arial" w:hAnsi="Arial"/>
                <w:sz w:val="17"/>
                <w:szCs w:val="17"/>
                <w:color w:val="auto"/>
              </w:rPr>
              <w:t>Hoboken, New Jersey</w:t>
            </w:r>
          </w:p>
        </w:tc>
        <w:tc>
          <w:tcPr>
            <w:tcW w:w="1360" w:type="dxa"/>
            <w:vAlign w:val="bottom"/>
          </w:tcPr>
          <w:p>
            <w:pPr>
              <w:jc w:val="right"/>
              <w:spacing w:after="0"/>
              <w:rPr>
                <w:sz w:val="20"/>
                <w:szCs w:val="20"/>
                <w:color w:val="auto"/>
              </w:rPr>
            </w:pPr>
            <w:r>
              <w:rPr>
                <w:rFonts w:ascii="Arial" w:cs="Arial" w:eastAsia="Arial" w:hAnsi="Arial"/>
                <w:sz w:val="17"/>
                <w:szCs w:val="17"/>
                <w:color w:val="auto"/>
              </w:rPr>
              <w:t>12,000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14.3</w:t>
            </w:r>
          </w:p>
        </w:tc>
        <w:tc>
          <w:tcPr>
            <w:tcW w:w="186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color w:val="auto"/>
              </w:rPr>
              <w:t>(2)</w:t>
            </w:r>
          </w:p>
        </w:tc>
      </w:tr>
      <w:tr>
        <w:trPr>
          <w:trHeight w:val="31"/>
        </w:trPr>
        <w:tc>
          <w:tcPr>
            <w:tcW w:w="148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144" w:lineRule="exact"/>
        <w:rPr>
          <w:sz w:val="20"/>
          <w:szCs w:val="20"/>
          <w:color w:val="auto"/>
        </w:rPr>
      </w:pPr>
    </w:p>
    <w:p>
      <w:pPr>
        <w:ind w:left="260" w:right="340" w:hanging="252"/>
        <w:spacing w:after="0" w:line="257"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acquisition was primarily funded by 163,322 downREIT operating partnership units. This property is adjacent to, and is operated as part of our Fairfax Junction property.</w:t>
      </w:r>
    </w:p>
    <w:p>
      <w:pPr>
        <w:ind w:left="260" w:right="80" w:hanging="252"/>
        <w:spacing w:after="0" w:line="252" w:lineRule="auto"/>
        <w:tabs>
          <w:tab w:leader="none" w:pos="2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acquisition is in addition to the 37 buildings previously acquired, and was completed through the joint venture that was formed in 2019, for which we own a 90% interest. The purchase price includes the assumption of $8.9 million of mortgage debt. These buildings include 6 residential units in addition to the commercial GLA listed above.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Disposition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Date</w:t>
            </w:r>
          </w:p>
        </w:tc>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Property</w:t>
            </w:r>
          </w:p>
        </w:tc>
        <w:tc>
          <w:tcPr>
            <w:tcW w:w="2140" w:type="dxa"/>
            <w:vAlign w:val="bottom"/>
          </w:tcPr>
          <w:p>
            <w:pPr>
              <w:ind w:left="380"/>
              <w:spacing w:after="0"/>
              <w:rPr>
                <w:sz w:val="20"/>
                <w:szCs w:val="20"/>
                <w:color w:val="auto"/>
              </w:rPr>
            </w:pPr>
            <w:r>
              <w:rPr>
                <w:rFonts w:ascii="Arial" w:cs="Arial" w:eastAsia="Arial" w:hAnsi="Arial"/>
                <w:sz w:val="16"/>
                <w:szCs w:val="16"/>
                <w:b w:val="1"/>
                <w:bCs w:val="1"/>
                <w:color w:val="auto"/>
              </w:rPr>
              <w:t>City/State</w:t>
            </w:r>
          </w:p>
        </w:tc>
        <w:tc>
          <w:tcPr>
            <w:tcW w:w="1400" w:type="dxa"/>
            <w:vAlign w:val="bottom"/>
          </w:tcPr>
          <w:p>
            <w:pPr>
              <w:jc w:val="center"/>
              <w:ind w:left="181"/>
              <w:spacing w:after="0"/>
              <w:rPr>
                <w:sz w:val="20"/>
                <w:szCs w:val="20"/>
                <w:color w:val="auto"/>
              </w:rPr>
            </w:pPr>
            <w:r>
              <w:rPr>
                <w:rFonts w:ascii="Arial" w:cs="Arial" w:eastAsia="Arial" w:hAnsi="Arial"/>
                <w:sz w:val="16"/>
                <w:szCs w:val="16"/>
                <w:b w:val="1"/>
                <w:bCs w:val="1"/>
                <w:color w:val="auto"/>
              </w:rPr>
              <w:t>GLA (3)</w:t>
            </w:r>
          </w:p>
        </w:tc>
        <w:tc>
          <w:tcPr>
            <w:tcW w:w="28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6"/>
                <w:szCs w:val="16"/>
                <w:b w:val="1"/>
                <w:bCs w:val="1"/>
                <w:color w:val="auto"/>
              </w:rPr>
              <w:t>Sales Price</w:t>
            </w:r>
          </w:p>
        </w:tc>
      </w:tr>
      <w:tr>
        <w:trPr>
          <w:trHeight w:val="33"/>
        </w:trPr>
        <w:tc>
          <w:tcPr>
            <w:tcW w:w="15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58"/>
        </w:trPr>
        <w:tc>
          <w:tcPr>
            <w:tcW w:w="15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3"/>
              </w:rPr>
              <w:t>(in square feet)</w:t>
            </w:r>
          </w:p>
        </w:tc>
        <w:tc>
          <w:tcPr>
            <w:tcW w:w="28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April 21, 2020</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Colorado Blvd (1 building)</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Pasadena, California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580" w:type="dxa"/>
            <w:vAlign w:val="bottom"/>
            <w:tcBorders>
              <w:bottom w:val="single" w:sz="8" w:color="CCEEFF"/>
            </w:tcBorders>
            <w:shd w:val="clear" w:color="auto" w:fill="CCEEFF"/>
          </w:tcPr>
          <w:p>
            <w:pPr>
              <w:jc w:val="right"/>
              <w:ind w:right="2381"/>
              <w:spacing w:after="0"/>
              <w:rPr>
                <w:sz w:val="20"/>
                <w:szCs w:val="20"/>
                <w:color w:val="auto"/>
              </w:rPr>
            </w:pPr>
            <w:r>
              <w:rPr>
                <w:rFonts w:ascii="Arial" w:cs="Arial" w:eastAsia="Arial" w:hAnsi="Arial"/>
                <w:sz w:val="17"/>
                <w:szCs w:val="17"/>
                <w:color w:val="auto"/>
              </w:rPr>
              <w:t>16.1</w:t>
            </w:r>
          </w:p>
        </w:tc>
      </w:tr>
      <w:tr>
        <w:trPr>
          <w:trHeight w:val="20"/>
        </w:trPr>
        <w:tc>
          <w:tcPr>
            <w:tcW w:w="1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144" w:lineRule="exact"/>
        <w:rPr>
          <w:sz w:val="20"/>
          <w:szCs w:val="20"/>
          <w:color w:val="auto"/>
        </w:rPr>
      </w:pPr>
    </w:p>
    <w:p>
      <w:pPr>
        <w:ind w:left="5540" w:right="4740" w:hanging="5532"/>
        <w:spacing w:after="0" w:line="809" w:lineRule="auto"/>
        <w:tabs>
          <w:tab w:leader="none" w:pos="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building included 12 residential units in addition to the commercial GLA listed above. 20</w:t>
      </w:r>
    </w:p>
    <w:p>
      <w:pPr>
        <w:sectPr>
          <w:pgSz w:w="11900" w:h="16838" w:orient="portrait"/>
          <w:cols w:equalWidth="0" w:num="1">
            <w:col w:w="11240"/>
          </w:cols>
          <w:pgMar w:left="320" w:top="715" w:right="339" w:bottom="1440" w:gutter="0" w:footer="0" w:header="0"/>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6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Name</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5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w w:val="95"/>
              </w:rPr>
              <w:t>$  49,422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238,023</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Apple / Equinox / Anthropologie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Congressional</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(4)</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105,909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Buy Buy Baby / Container Store / Ulta</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Plaza</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Courthouse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7,049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5"/>
              </w:rPr>
              <w:t>Fairfax Junction</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(5)</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40,830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Planet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Falls</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15,126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Staples</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Plaza/Falls</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Plaza-East</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Federal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70,489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4"/>
              </w:rPr>
              <w:t>TJ Maxx / Micro Center / Ross Dress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For Less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Friendship</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38,161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Marshalls / Nordstrom Rack / DSW /</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Maggiano's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Gaithersburg</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29,262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Bed, Bath &amp; Beyond / Ross Dress For</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w w:val="95"/>
              </w:rPr>
              <w:t>Less / Ashley Furniture HomeStore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Graham Park</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36,961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Idylwood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17,242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Laurel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59,457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L.A.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7"/>
              </w:rPr>
              <w:t>Leesburg Plaza</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37,263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Petsmart / Office Depot</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Montrose</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162,532</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66,554</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 / Barnes &amp;</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Crossing</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 / Bob's Discount Furniture</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Mount</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(5)</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85,865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3"/>
              </w:rPr>
              <w:t>TJ Maxx / Home Depot / Bed, Bath &amp;</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Vernon/South</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Beyond / Results Fitness</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Valley/7770</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0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Richmond Hwy</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Old Keene Mill</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13,130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 Planet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Pan Am</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29,969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Safeway</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Micro Center / CVS / Michaels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Pentagon Row</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105,427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TJ Maxx / Bed, Bath &amp; Beyond / DSW</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Pike &amp; Rose</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(6)</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642,416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2"/>
              </w:rPr>
              <w:t>iPic Theater / Porsche / Uniqlo / REI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Pinstripes / Multiple Restaurants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Pike 7 Plaza</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49,430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DSW / Crunch Fitness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Staples</w:t>
            </w: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Plaza del</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46,763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Mercado</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Quince Orchard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40,864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HomeGoods / L.A. Fitness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Rockville Town</w:t>
            </w:r>
          </w:p>
        </w:tc>
        <w:tc>
          <w:tcPr>
            <w:tcW w:w="300" w:type="dxa"/>
            <w:vAlign w:val="bottom"/>
          </w:tcPr>
          <w:p>
            <w:pPr>
              <w:ind w:left="80"/>
              <w:spacing w:after="0" w:line="148" w:lineRule="exact"/>
              <w:rPr>
                <w:sz w:val="20"/>
                <w:szCs w:val="20"/>
                <w:color w:val="auto"/>
              </w:rPr>
            </w:pPr>
            <w:r>
              <w:rPr>
                <w:rFonts w:ascii="Arial" w:cs="Arial" w:eastAsia="Arial" w:hAnsi="Arial"/>
                <w:sz w:val="13"/>
                <w:szCs w:val="13"/>
                <w:color w:val="auto"/>
              </w:rPr>
              <w:t>(7)</w:t>
            </w: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49,588</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4,404</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Gold's Gym / Multiple</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060" w:type="dxa"/>
            <w:vAlign w:val="bottom"/>
          </w:tcPr>
          <w:p>
            <w:pPr>
              <w:ind w:left="40"/>
              <w:spacing w:after="0"/>
              <w:rPr>
                <w:sz w:val="20"/>
                <w:szCs w:val="20"/>
                <w:color w:val="auto"/>
              </w:rPr>
            </w:pPr>
            <w:r>
              <w:rPr>
                <w:rFonts w:ascii="Arial" w:cs="Arial" w:eastAsia="Arial" w:hAnsi="Arial"/>
                <w:sz w:val="13"/>
                <w:szCs w:val="13"/>
                <w:color w:val="auto"/>
              </w:rPr>
              <w:t>Restaurants</w:t>
            </w: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Rollingwood</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11,430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Apartments</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Sam's Park &amp;</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14,184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Target</w:t>
            </w:r>
          </w:p>
        </w:tc>
      </w:tr>
      <w:tr>
        <w:trPr>
          <w:trHeight w:val="168"/>
        </w:trPr>
        <w:tc>
          <w:tcPr>
            <w:tcW w:w="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Shop</w:t>
            </w: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Tower</w:t>
            </w:r>
          </w:p>
        </w:tc>
        <w:tc>
          <w:tcPr>
            <w:tcW w:w="3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22,700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 Mart</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Shopping</w:t>
            </w:r>
          </w:p>
        </w:tc>
        <w:tc>
          <w:tcPr>
            <w:tcW w:w="3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w w:val="99"/>
              </w:rPr>
              <w:t>Tyson's Station</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5,533</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Village at</w:t>
            </w:r>
          </w:p>
        </w:tc>
        <w:tc>
          <w:tcPr>
            <w:tcW w:w="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(7)</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Washington-Arlington-Alexandria, DC-VA-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69,832</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6,799</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 Carlyle Grand Café</w:t>
            </w:r>
          </w:p>
        </w:tc>
      </w:tr>
      <w:tr>
        <w:trPr>
          <w:trHeight w:val="176"/>
        </w:trPr>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Shirlington</w:t>
            </w: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Wildwood</w:t>
            </w:r>
          </w:p>
        </w:tc>
        <w:tc>
          <w:tcPr>
            <w:tcW w:w="300" w:type="dxa"/>
            <w:vAlign w:val="bottom"/>
          </w:tcPr>
          <w:p>
            <w:pPr>
              <w:spacing w:after="0"/>
              <w:rPr>
                <w:sz w:val="12"/>
                <w:szCs w:val="12"/>
                <w:color w:val="auto"/>
              </w:rPr>
            </w:pPr>
          </w:p>
        </w:tc>
        <w:tc>
          <w:tcPr>
            <w:tcW w:w="238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3"/>
              </w:rPr>
              <w:t>Washington-Arlington-Alexandria, DC-VA-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26,502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Balducci's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Flower Child</w:t>
            </w:r>
          </w:p>
        </w:tc>
      </w:tr>
      <w:tr>
        <w:trPr>
          <w:trHeight w:val="135"/>
        </w:trPr>
        <w:tc>
          <w:tcPr>
            <w:tcW w:w="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Shopping</w:t>
            </w:r>
          </w:p>
        </w:tc>
        <w:tc>
          <w:tcPr>
            <w:tcW w:w="300" w:type="dxa"/>
            <w:vAlign w:val="bottom"/>
          </w:tcPr>
          <w:p>
            <w:pPr>
              <w:spacing w:after="0"/>
              <w:rPr>
                <w:sz w:val="11"/>
                <w:szCs w:val="11"/>
                <w:color w:val="auto"/>
              </w:rPr>
            </w:pPr>
          </w:p>
        </w:tc>
        <w:tc>
          <w:tcPr>
            <w:tcW w:w="23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Center</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9"/>
              </w:rPr>
              <w:t>2,121,359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5,965,000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color w:val="auto"/>
              </w:rPr>
              <w:t>Azalea</w:t>
            </w:r>
          </w:p>
        </w:tc>
        <w:tc>
          <w:tcPr>
            <w:tcW w:w="26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(4)   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107,332</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40,000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89"/>
              </w:rPr>
              <w:t>Marshalls / Ross Dress for Less / Ulta /</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Michaels</w:t>
            </w: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720" w:right="3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4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Bell Gardens</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111,074</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12,544</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330,000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67,000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Food 4 Less</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Marshalls / Ross Dress for Less / Bob's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Furniture</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Colorado Blvd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13,342</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w w:val="89"/>
              </w:rPr>
              <w:t>Banana Republic / True Foods Kitchen</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Crow Canyon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90,755</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245,000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32,000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Sprouts</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Wine &amp; More / Rite Aid</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Commons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East Bay</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178,965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Home Depot / Target / Nordstrom</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Bridge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Rack</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Escondido</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Diego-Carlsbad,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53,816</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TJ Maxx / Dick’s Sporting Goods /</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Promenade</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Ross Dress For Less / Bob's Discount</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w:t>
            </w: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Fourth Street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San Francisco-Oakland-Hayward, CA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26,340</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78%</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CB2 / Ingram Book Group</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w w:val="92"/>
              </w:rPr>
              <w:t>Freedom 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 (6)</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39,558</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Smart &amp; Final</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Blink Fitness / Ross Dress for Less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w w:val="89"/>
              </w:rPr>
              <w:t>Hastings Ranch</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25,204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0"/>
              </w:rPr>
              <w:t>Marshalls / HomeGoods / CVS / Sears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Hollywood</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61,457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Marshalls / L.A. Fitness / La La Land</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Blvd</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Kings Court</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11,608</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31,000</w:t>
            </w:r>
          </w:p>
        </w:tc>
        <w:tc>
          <w:tcPr>
            <w:tcW w:w="840" w:type="dxa"/>
            <w:vAlign w:val="bottom"/>
          </w:tcPr>
          <w:p>
            <w:pPr>
              <w:ind w:left="80"/>
              <w:spacing w:after="0"/>
              <w:rPr>
                <w:sz w:val="20"/>
                <w:szCs w:val="20"/>
                <w:color w:val="auto"/>
              </w:rPr>
            </w:pPr>
            <w:r>
              <w:rPr>
                <w:rFonts w:ascii="Arial" w:cs="Arial" w:eastAsia="Arial" w:hAnsi="Arial"/>
                <w:sz w:val="13"/>
                <w:szCs w:val="13"/>
                <w:color w:val="auto"/>
              </w:rPr>
              <w:t>Lunardi's</w:t>
            </w:r>
          </w:p>
        </w:tc>
        <w:tc>
          <w:tcPr>
            <w:tcW w:w="2040" w:type="dxa"/>
            <w:vAlign w:val="bottom"/>
          </w:tcPr>
          <w:p>
            <w:pPr>
              <w:ind w:left="2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Old Town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36,399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Anthropologie / Banana Republic /</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Gap</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Olivo at</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80,984</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1"/>
              </w:rPr>
              <w:t>Target / 24 Hour Fitness / Ross Dress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Mission Hills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For Less</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Plaza Del Sol</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17,936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8,136</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4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Plaza El</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293,577</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125,000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89"/>
              </w:rPr>
              <w:t>Nordstrom Rack / HomeGoods / Dick's</w:t>
            </w:r>
          </w:p>
        </w:tc>
      </w:tr>
      <w:tr>
        <w:trPr>
          <w:trHeight w:val="135"/>
        </w:trPr>
        <w:tc>
          <w:tcPr>
            <w:tcW w:w="4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color w:val="auto"/>
                <w:w w:val="96"/>
              </w:rPr>
              <w:t>Segundo / The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40" w:type="dxa"/>
            <w:vAlign w:val="bottom"/>
          </w:tcPr>
          <w:p>
            <w:pPr>
              <w:ind w:left="20"/>
              <w:spacing w:after="0" w:line="135" w:lineRule="exact"/>
              <w:rPr>
                <w:sz w:val="20"/>
                <w:szCs w:val="20"/>
                <w:color w:val="auto"/>
              </w:rPr>
            </w:pPr>
            <w:r>
              <w:rPr>
                <w:rFonts w:ascii="Arial" w:cs="Arial" w:eastAsia="Arial" w:hAnsi="Arial"/>
                <w:sz w:val="13"/>
                <w:szCs w:val="13"/>
                <w:color w:val="auto"/>
                <w:w w:val="91"/>
              </w:rPr>
              <w:t>Sporting Goods / Multiple Restaurants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Point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San Antonio</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46,161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Walmart / 24 Hour Fitness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Santana Row</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rPr>
              <w:t>San Jose-Sunnyvale-Santa Clara,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w w:val="89"/>
              </w:rPr>
              <w:t>1,095,542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1,197,000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662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Crate &amp; Barrel / H&amp;M / Best Buy /</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Multiple Restaurants</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w w:val="98"/>
              </w:rPr>
              <w:t>Sylmar Towne</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Los Angeles-Long Beach-Anaheim,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44,254</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16,436</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43,000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Third Street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9"/>
              </w:rPr>
              <w:t>Los Angeles-Long Beach-Anaheim, CA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79,590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77%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adidas / Old Navy / J. Crew</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Promenade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Westgate</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Jose-Sunnyvale-Santa Clara, CA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157,941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Target / Nordstrom Rack / Nike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Factory / TJ Maxx</w:t>
            </w:r>
          </w:p>
        </w:tc>
      </w:tr>
      <w:tr>
        <w:trPr>
          <w:trHeight w:val="166"/>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Total California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2,571,835</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5,456,000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w w:val="90"/>
              </w:rPr>
              <w:t>NY Metro/New Jersey</w:t>
            </w:r>
          </w:p>
        </w:tc>
        <w:tc>
          <w:tcPr>
            <w:tcW w:w="2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Brick Plaza</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98,259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14,000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AMC / HomeGoods / Ulta / L.A.</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Fitness</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Brook 35</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5"/>
              </w:rPr>
              <w:t>(4) (5)</w:t>
            </w: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48,395</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11,500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Banana Republic / Gap / Williams-</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Darien</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65,474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 / Walgreens</w:t>
            </w:r>
          </w:p>
        </w:tc>
      </w:tr>
      <w:tr>
        <w:trPr>
          <w:trHeight w:val="97"/>
        </w:trPr>
        <w:tc>
          <w:tcPr>
            <w:tcW w:w="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880" w:type="dxa"/>
            <w:vAlign w:val="bottom"/>
            <w:gridSpan w:val="2"/>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w w:val="88"/>
              </w:rPr>
              <w:t>Fresh Meadows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93,440</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410,000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15,000</w:t>
            </w:r>
          </w:p>
        </w:tc>
        <w:tc>
          <w:tcPr>
            <w:tcW w:w="2880" w:type="dxa"/>
            <w:vAlign w:val="bottom"/>
            <w:gridSpan w:val="2"/>
          </w:tcPr>
          <w:p>
            <w:pPr>
              <w:ind w:left="80"/>
              <w:spacing w:after="0"/>
              <w:rPr>
                <w:sz w:val="20"/>
                <w:szCs w:val="20"/>
                <w:color w:val="auto"/>
              </w:rPr>
            </w:pPr>
            <w:r>
              <w:rPr>
                <w:rFonts w:ascii="Arial" w:cs="Arial" w:eastAsia="Arial" w:hAnsi="Arial"/>
                <w:sz w:val="13"/>
                <w:szCs w:val="13"/>
                <w:color w:val="auto"/>
              </w:rPr>
              <w:t>Island of Gold AMC / Kohl's / Michaels</w:t>
            </w: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Georgetowne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81,850</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147,000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Foodway</w:t>
            </w: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Five Below / IHOP</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Shopping</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Greenlawn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31,896</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Farms</w:t>
            </w:r>
          </w:p>
        </w:tc>
        <w:tc>
          <w:tcPr>
            <w:tcW w:w="20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Greenwich</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Bridgeport-Stamford-Norwalk, CT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23,748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Avenue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Hauppauge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29,948</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133,000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0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Hoboken</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(4) (8)</w:t>
            </w:r>
          </w:p>
        </w:tc>
        <w:tc>
          <w:tcPr>
            <w:tcW w:w="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215,555</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106,299</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171,000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129</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CVS / New York Sports Club /</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Sephora / Multiple Restaurants</w:t>
            </w: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46,989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rPr>
              <w:t>Nordstrom Rack / Buy Buy Baby /</w:t>
            </w:r>
          </w:p>
        </w:tc>
      </w:tr>
      <w:tr>
        <w:trPr>
          <w:trHeight w:val="168"/>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3"/>
                <w:szCs w:val="13"/>
                <w:color w:val="auto"/>
              </w:rPr>
              <w:t>Michaels / Ulta</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Huntington</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New York-Newark-Jersey City, NY-NJ-PA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13,411</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3"/>
                <w:szCs w:val="13"/>
                <w:color w:val="auto"/>
              </w:rPr>
              <w:t>Melville Mall</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Pr>
          <w:p>
            <w:pPr>
              <w:ind w:left="20"/>
              <w:spacing w:after="0" w:line="148" w:lineRule="exact"/>
              <w:rPr>
                <w:sz w:val="20"/>
                <w:szCs w:val="20"/>
                <w:color w:val="auto"/>
              </w:rPr>
            </w:pPr>
            <w:r>
              <w:rPr>
                <w:rFonts w:ascii="Arial" w:cs="Arial" w:eastAsia="Arial" w:hAnsi="Arial"/>
                <w:sz w:val="13"/>
                <w:szCs w:val="13"/>
                <w:color w:val="auto"/>
                <w:w w:val="93"/>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103,417</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Uncle</w:t>
            </w:r>
          </w:p>
        </w:tc>
        <w:tc>
          <w:tcPr>
            <w:tcW w:w="2040" w:type="dxa"/>
            <w:vAlign w:val="bottom"/>
          </w:tcPr>
          <w:p>
            <w:pPr>
              <w:ind w:left="20"/>
              <w:spacing w:after="0" w:line="148" w:lineRule="exact"/>
              <w:rPr>
                <w:sz w:val="20"/>
                <w:szCs w:val="20"/>
                <w:color w:val="auto"/>
              </w:rPr>
            </w:pPr>
            <w:r>
              <w:rPr>
                <w:rFonts w:ascii="Arial" w:cs="Arial" w:eastAsia="Arial" w:hAnsi="Arial"/>
                <w:sz w:val="13"/>
                <w:szCs w:val="13"/>
                <w:color w:val="auto"/>
                <w:w w:val="99"/>
              </w:rPr>
              <w:t>Marshalls / Dick's Sporting Goods /</w:t>
            </w:r>
          </w:p>
        </w:tc>
      </w:tr>
      <w:tr>
        <w:trPr>
          <w:trHeight w:val="135"/>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Giuseppe's</w:t>
            </w:r>
          </w:p>
        </w:tc>
        <w:tc>
          <w:tcPr>
            <w:tcW w:w="2040" w:type="dxa"/>
            <w:vAlign w:val="bottom"/>
          </w:tcPr>
          <w:p>
            <w:pPr>
              <w:ind w:left="20"/>
              <w:spacing w:after="0" w:line="135" w:lineRule="exact"/>
              <w:rPr>
                <w:sz w:val="20"/>
                <w:szCs w:val="20"/>
                <w:color w:val="auto"/>
              </w:rPr>
            </w:pPr>
            <w:r>
              <w:rPr>
                <w:rFonts w:ascii="Arial" w:cs="Arial" w:eastAsia="Arial" w:hAnsi="Arial"/>
                <w:sz w:val="13"/>
                <w:szCs w:val="13"/>
                <w:color w:val="auto"/>
                <w:w w:val="99"/>
              </w:rPr>
              <w:t>Field &amp; Stream / Macy's Backstage</w:t>
            </w:r>
          </w:p>
        </w:tc>
      </w:tr>
      <w:tr>
        <w:trPr>
          <w:trHeight w:val="160"/>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Marketplace</w:t>
            </w:r>
          </w:p>
        </w:tc>
        <w:tc>
          <w:tcPr>
            <w:tcW w:w="20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720" w:right="3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40" w:type="dxa"/>
            <w:vAlign w:val="bottom"/>
            <w:gridSpan w:val="4"/>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06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Name</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(3)</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Mercer Mall</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(7)</w:t>
            </w:r>
          </w:p>
        </w:tc>
        <w:tc>
          <w:tcPr>
            <w:tcW w:w="2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129,289</w:t>
            </w:r>
          </w:p>
        </w:tc>
        <w:tc>
          <w:tcPr>
            <w:tcW w:w="1040" w:type="dxa"/>
            <w:vAlign w:val="bottom"/>
            <w:shd w:val="clear" w:color="auto" w:fill="CCEEFF"/>
          </w:tcPr>
          <w:p>
            <w:pPr>
              <w:jc w:val="right"/>
              <w:ind w:right="98"/>
              <w:spacing w:after="0" w:line="148" w:lineRule="exact"/>
              <w:rPr>
                <w:sz w:val="20"/>
                <w:szCs w:val="20"/>
                <w:color w:val="auto"/>
              </w:rPr>
            </w:pPr>
            <w:r>
              <w:rPr>
                <w:rFonts w:ascii="Arial" w:cs="Arial" w:eastAsia="Arial" w:hAnsi="Arial"/>
                <w:sz w:val="13"/>
                <w:szCs w:val="13"/>
                <w:color w:val="auto"/>
              </w:rPr>
              <w:t>55,346</w:t>
            </w: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552,000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8"/>
              </w:rPr>
              <w:t>Ross Dress For Less / Nordstrom Rack</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Bed, Bath &amp; Beyond / REI</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The Grove at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0"/>
              </w:rPr>
              <w:t>(4) (5)</w:t>
            </w: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New York-Newark-Jersey City, NY-NJ-PA</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127,091</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43,600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8"/>
              </w:rPr>
              <w:t>Lululemon / Anthropologie / Pottery</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Shrewsbury</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Barn / Williams-Sonoma</w:t>
            </w: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Troy</w:t>
            </w: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New York-Newark-Jersey City, NY-NJ-PA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40,981</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1,149,743</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3,097,000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3"/>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3580" w:type="dxa"/>
            <w:vAlign w:val="bottom"/>
            <w:gridSpan w:val="7"/>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Andorra</w:t>
            </w:r>
          </w:p>
        </w:tc>
        <w:tc>
          <w:tcPr>
            <w:tcW w:w="4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27,654</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269,000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Kohl's / L.A.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Bala Cynwyd</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63,449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Lord &amp; Taylor / Michaels / L.A.</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tcPr>
          <w:p>
            <w:pPr>
              <w:ind w:left="40"/>
              <w:spacing w:after="0"/>
              <w:rPr>
                <w:sz w:val="20"/>
                <w:szCs w:val="20"/>
                <w:color w:val="auto"/>
              </w:rPr>
            </w:pPr>
            <w:r>
              <w:rPr>
                <w:rFonts w:ascii="Arial" w:cs="Arial" w:eastAsia="Arial" w:hAnsi="Arial"/>
                <w:sz w:val="13"/>
                <w:szCs w:val="13"/>
                <w:color w:val="auto"/>
              </w:rPr>
              <w:t>Fitness</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Ellisburg</w:t>
            </w:r>
          </w:p>
        </w:tc>
        <w:tc>
          <w:tcPr>
            <w:tcW w:w="4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34,980</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Stein 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Flourtown</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17,137</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Movie Tavern</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Langhorne</w:t>
            </w:r>
          </w:p>
        </w:tc>
        <w:tc>
          <w:tcPr>
            <w:tcW w:w="4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22,748</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Redner's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shd w:val="clear" w:color="auto" w:fill="CCEEFF"/>
          </w:tcPr>
          <w:p>
            <w:pPr>
              <w:spacing w:after="0"/>
              <w:rPr>
                <w:sz w:val="11"/>
                <w:szCs w:val="11"/>
                <w:color w:val="auto"/>
              </w:rPr>
            </w:pPr>
          </w:p>
        </w:tc>
        <w:tc>
          <w:tcPr>
            <w:tcW w:w="8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0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4"/>
              </w:rPr>
              <w:t>Lawrence Park</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36,445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363,000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 / Barnes &amp;</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060" w:type="dxa"/>
            <w:vAlign w:val="bottom"/>
          </w:tcPr>
          <w:p>
            <w:pPr>
              <w:ind w:left="40"/>
              <w:spacing w:after="0"/>
              <w:rPr>
                <w:sz w:val="20"/>
                <w:szCs w:val="20"/>
                <w:color w:val="auto"/>
              </w:rPr>
            </w:pPr>
            <w:r>
              <w:rPr>
                <w:rFonts w:ascii="Arial" w:cs="Arial" w:eastAsia="Arial" w:hAnsi="Arial"/>
                <w:sz w:val="13"/>
                <w:szCs w:val="13"/>
                <w:color w:val="auto"/>
              </w:rPr>
              <w:t>Noble</w:t>
            </w: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Northeast</w:t>
            </w:r>
          </w:p>
        </w:tc>
        <w:tc>
          <w:tcPr>
            <w:tcW w:w="4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32,464</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Ulta</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2"/>
              </w:rPr>
              <w:t>Town Center of</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16,420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Rite Aid / Dollar Tree</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New Britain</w:t>
            </w: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Willow Grove</w:t>
            </w:r>
          </w:p>
        </w:tc>
        <w:tc>
          <w:tcPr>
            <w:tcW w:w="4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Philadelphia-Camden-Wilmington, PA-NJ-</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30,239</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Marshalls / HomeGoods / Barnes &amp;</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Wynnewood</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Philadelphia-Camden-Wilmington, PA-NJ-</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42,740</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9</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98,000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Old Navy /</w:t>
            </w:r>
          </w:p>
        </w:tc>
      </w:tr>
      <w:tr>
        <w:trPr>
          <w:trHeight w:val="170"/>
        </w:trPr>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DE-MD</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324,276</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2,377,000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3"/>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175"/>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93"/>
              </w:rPr>
              <w:t>New England</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1"/>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w w:val="95"/>
              </w:rPr>
              <w:t>Assembly Row</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rPr>
              <w:t>(6)</w:t>
            </w: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871,635</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807,000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447</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AMC / LEGOLAND</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3"/>
                <w:szCs w:val="13"/>
                <w:color w:val="auto"/>
              </w:rPr>
              <w:t>/ Assembly</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Discovery Center / Multiple</w:t>
            </w:r>
          </w:p>
        </w:tc>
      </w:tr>
      <w:tr>
        <w:trPr>
          <w:trHeight w:val="135"/>
        </w:trPr>
        <w:tc>
          <w:tcPr>
            <w:tcW w:w="4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ind w:left="40"/>
              <w:spacing w:after="0" w:line="135" w:lineRule="exact"/>
              <w:rPr>
                <w:sz w:val="20"/>
                <w:szCs w:val="20"/>
                <w:color w:val="auto"/>
              </w:rPr>
            </w:pPr>
            <w:r>
              <w:rPr>
                <w:rFonts w:ascii="Arial" w:cs="Arial" w:eastAsia="Arial" w:hAnsi="Arial"/>
                <w:sz w:val="13"/>
                <w:szCs w:val="13"/>
                <w:color w:val="auto"/>
              </w:rPr>
              <w:t>Restaurants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Marketplace</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6"/>
              </w:rPr>
              <w:t>Campus Plaza</w:t>
            </w: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30,440</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Chelsea</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30,543</w:t>
            </w:r>
          </w:p>
        </w:tc>
        <w:tc>
          <w:tcPr>
            <w:tcW w:w="1040" w:type="dxa"/>
            <w:vAlign w:val="bottom"/>
          </w:tcPr>
          <w:p>
            <w:pPr>
              <w:jc w:val="right"/>
              <w:ind w:right="98"/>
              <w:spacing w:after="0" w:line="148" w:lineRule="exact"/>
              <w:rPr>
                <w:sz w:val="20"/>
                <w:szCs w:val="20"/>
                <w:color w:val="auto"/>
              </w:rPr>
            </w:pPr>
            <w:r>
              <w:rPr>
                <w:rFonts w:ascii="Arial" w:cs="Arial" w:eastAsia="Arial" w:hAnsi="Arial"/>
                <w:sz w:val="13"/>
                <w:szCs w:val="13"/>
                <w:color w:val="auto"/>
              </w:rPr>
              <w:t>5,418</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Commons</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6"/>
              </w:rPr>
              <w:t>Dedham Plaza</w:t>
            </w: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47,044</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Planet Fitness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w w:val="96"/>
              </w:rPr>
              <w:t>Linden Square</w:t>
            </w:r>
          </w:p>
        </w:tc>
        <w:tc>
          <w:tcPr>
            <w:tcW w:w="400" w:type="dxa"/>
            <w:vAlign w:val="bottom"/>
          </w:tcPr>
          <w:p>
            <w:pPr>
              <w:spacing w:after="0"/>
              <w:rPr>
                <w:sz w:val="15"/>
                <w:szCs w:val="15"/>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150,230</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220,000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92%</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06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North</w:t>
            </w:r>
          </w:p>
        </w:tc>
        <w:tc>
          <w:tcPr>
            <w:tcW w:w="4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Providence-Warwick, RI-MA</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9,369</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060" w:type="dxa"/>
            <w:vAlign w:val="bottom"/>
            <w:shd w:val="clear" w:color="auto" w:fill="CCEEFF"/>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Dartmouth</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Queen Anne</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18,312</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Big Y Foods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Plaza</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Saugus Plaza</w:t>
            </w:r>
          </w:p>
        </w:tc>
        <w:tc>
          <w:tcPr>
            <w:tcW w:w="4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17,047</w:t>
            </w: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Floor &amp; Décor</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060" w:type="dxa"/>
            <w:vAlign w:val="bottom"/>
            <w:shd w:val="clear" w:color="auto" w:fill="CCEEFF"/>
          </w:tcPr>
          <w:p>
            <w:pPr>
              <w:spacing w:after="0"/>
              <w:rPr>
                <w:sz w:val="15"/>
                <w:szCs w:val="15"/>
                <w:color w:val="auto"/>
              </w:rPr>
            </w:pPr>
          </w:p>
        </w:tc>
      </w:tr>
      <w:tr>
        <w:trPr>
          <w:trHeight w:val="166"/>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89"/>
              </w:rPr>
              <w:t>1,174,620</w:t>
            </w:r>
          </w:p>
        </w:tc>
        <w:tc>
          <w:tcPr>
            <w:tcW w:w="104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1,971,000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148"/>
        </w:trPr>
        <w:tc>
          <w:tcPr>
            <w:tcW w:w="40" w:type="dxa"/>
            <w:vAlign w:val="bottom"/>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3"/>
                <w:szCs w:val="13"/>
                <w:b w:val="1"/>
                <w:bCs w:val="1"/>
                <w:color w:val="auto"/>
                <w:w w:val="90"/>
              </w:rPr>
              <w:t>South Florida</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Cocowalk</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(4) (9)</w:t>
            </w:r>
          </w:p>
        </w:tc>
        <w:tc>
          <w:tcPr>
            <w:tcW w:w="2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170,047</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Club</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Del Mar</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73,479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Winn Dixie</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rPr>
              <w:t>Village</w:t>
            </w:r>
          </w:p>
        </w:tc>
        <w:tc>
          <w:tcPr>
            <w:tcW w:w="40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The Shops at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Miami-Fort Lauderdale-West Palm Beach,</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124,496</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60,995</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AMC / L.A. Fitness / Barnes &amp; Noble</w:t>
            </w:r>
          </w:p>
        </w:tc>
      </w:tr>
      <w:tr>
        <w:trPr>
          <w:trHeight w:val="176"/>
        </w:trPr>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Sunset Place</w:t>
            </w: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Restoration Hardware Outlet</w:t>
            </w:r>
          </w:p>
        </w:tc>
      </w:tr>
      <w:tr>
        <w:trPr>
          <w:trHeight w:val="148"/>
        </w:trPr>
        <w:tc>
          <w:tcPr>
            <w:tcW w:w="40" w:type="dxa"/>
            <w:vAlign w:val="bottom"/>
          </w:tcPr>
          <w:p>
            <w:pPr>
              <w:spacing w:after="0"/>
              <w:rPr>
                <w:sz w:val="12"/>
                <w:szCs w:val="12"/>
                <w:color w:val="auto"/>
              </w:rPr>
            </w:pPr>
          </w:p>
        </w:tc>
        <w:tc>
          <w:tcPr>
            <w:tcW w:w="840" w:type="dxa"/>
            <w:vAlign w:val="bottom"/>
            <w:gridSpan w:val="4"/>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2"/>
                <w:szCs w:val="12"/>
                <w:color w:val="auto"/>
              </w:rPr>
            </w:pPr>
          </w:p>
        </w:tc>
        <w:tc>
          <w:tcPr>
            <w:tcW w:w="2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98,479</w:t>
            </w:r>
          </w:p>
        </w:tc>
        <w:tc>
          <w:tcPr>
            <w:tcW w:w="104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060" w:type="dxa"/>
            <w:vAlign w:val="bottom"/>
          </w:tcPr>
          <w:p>
            <w:pPr>
              <w:ind w:left="40"/>
              <w:spacing w:after="0" w:line="148" w:lineRule="exact"/>
              <w:rPr>
                <w:sz w:val="20"/>
                <w:szCs w:val="20"/>
                <w:color w:val="auto"/>
              </w:rPr>
            </w:pPr>
            <w:r>
              <w:rPr>
                <w:rFonts w:ascii="Arial" w:cs="Arial" w:eastAsia="Arial" w:hAnsi="Arial"/>
                <w:sz w:val="13"/>
                <w:szCs w:val="13"/>
                <w:color w:val="auto"/>
                <w:w w:val="91"/>
              </w:rPr>
              <w:t>TJ Maxx / Ross Dress For Less / Best</w:t>
            </w:r>
          </w:p>
        </w:tc>
      </w:tr>
      <w:tr>
        <w:trPr>
          <w:trHeight w:val="170"/>
        </w:trPr>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FL</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Buy / Ulta</w:t>
            </w: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466,501</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1,300,000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6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3"/>
                <w:szCs w:val="13"/>
                <w:color w:val="auto"/>
                <w:w w:val="90"/>
              </w:rPr>
              <w:t>Governor Plaza</w:t>
            </w:r>
          </w:p>
        </w:tc>
        <w:tc>
          <w:tcPr>
            <w:tcW w:w="400" w:type="dxa"/>
            <w:vAlign w:val="bottom"/>
          </w:tcPr>
          <w:p>
            <w:pPr>
              <w:spacing w:after="0"/>
              <w:rPr>
                <w:sz w:val="15"/>
                <w:szCs w:val="15"/>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Baltimore-Columbia-Towson, MD</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26,970</w:t>
            </w:r>
          </w:p>
        </w:tc>
        <w:tc>
          <w:tcPr>
            <w:tcW w:w="104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242,000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060" w:type="dxa"/>
            <w:vAlign w:val="bottom"/>
          </w:tcPr>
          <w:p>
            <w:pPr>
              <w:ind w:left="40"/>
              <w:spacing w:after="0"/>
              <w:rPr>
                <w:sz w:val="20"/>
                <w:szCs w:val="20"/>
                <w:color w:val="auto"/>
              </w:rPr>
            </w:pPr>
            <w:r>
              <w:rPr>
                <w:rFonts w:ascii="Arial" w:cs="Arial" w:eastAsia="Arial" w:hAnsi="Arial"/>
                <w:sz w:val="13"/>
                <w:szCs w:val="13"/>
                <w:color w:val="auto"/>
              </w:rPr>
              <w:t>Dick's Sporting Goods</w:t>
            </w:r>
          </w:p>
        </w:tc>
      </w:tr>
    </w:tbl>
    <w:p>
      <w:pPr>
        <w:spacing w:after="0" w:line="200" w:lineRule="exact"/>
        <w:rPr>
          <w:sz w:val="20"/>
          <w:szCs w:val="20"/>
          <w:color w:val="auto"/>
        </w:rPr>
      </w:pPr>
    </w:p>
    <w:p>
      <w:pPr>
        <w:sectPr>
          <w:pgSz w:w="11900" w:h="16838" w:orient="portrait"/>
          <w:cols w:equalWidth="0" w:num="1">
            <w:col w:w="11240"/>
          </w:cols>
          <w:pgMar w:left="320" w:top="720" w:right="3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720" w:right="3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Property</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00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Name</w:t>
            </w: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Acreage</w:t>
            </w: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32,676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397,000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58,000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Home Depot / Micro Center /</w:t>
            </w: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20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Burlington</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THE AVENUE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122,281</w:t>
            </w:r>
          </w:p>
        </w:tc>
        <w:tc>
          <w:tcPr>
            <w:tcW w:w="160" w:type="dxa"/>
            <w:vAlign w:val="bottom"/>
          </w:tcPr>
          <w:p>
            <w:pPr>
              <w:spacing w:after="0"/>
              <w:rPr>
                <w:sz w:val="12"/>
                <w:szCs w:val="12"/>
                <w:color w:val="auto"/>
              </w:rPr>
            </w:pPr>
          </w:p>
        </w:tc>
        <w:tc>
          <w:tcPr>
            <w:tcW w:w="880" w:type="dxa"/>
            <w:vAlign w:val="bottom"/>
          </w:tcPr>
          <w:p>
            <w:pPr>
              <w:jc w:val="right"/>
              <w:ind w:right="99"/>
              <w:spacing w:after="0" w:line="148" w:lineRule="exact"/>
              <w:rPr>
                <w:sz w:val="20"/>
                <w:szCs w:val="20"/>
                <w:color w:val="auto"/>
              </w:rPr>
            </w:pPr>
            <w:r>
              <w:rPr>
                <w:rFonts w:ascii="Arial" w:cs="Arial" w:eastAsia="Arial" w:hAnsi="Arial"/>
                <w:sz w:val="13"/>
                <w:szCs w:val="13"/>
                <w:color w:val="auto"/>
              </w:rPr>
              <w:t>52,705</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315,000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AMC / Ulta / Old Navy / Barnes &amp;</w:t>
            </w:r>
          </w:p>
        </w:tc>
      </w:tr>
      <w:tr>
        <w:trPr>
          <w:trHeight w:val="168"/>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w w:val="96"/>
              </w:rPr>
              <w:t>at White Marsh</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Noble</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The Shoppes at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18,130</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Nottingham</w:t>
            </w:r>
          </w:p>
        </w:tc>
        <w:tc>
          <w:tcPr>
            <w:tcW w:w="3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Towson</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22,377</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color w:val="auto"/>
              </w:rPr>
              <w:t>Residential</w:t>
            </w: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(Flats @ 703)</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White Marsh</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26,152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Plaza</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White Marsh</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31,714</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70,000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280,300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1,139,000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83"/>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Crossroads</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35,853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L.A. Fitness / Ulta / Binny's /</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0" w:type="dxa"/>
            <w:vAlign w:val="bottom"/>
          </w:tcPr>
          <w:p>
            <w:pPr>
              <w:ind w:left="40"/>
              <w:spacing w:after="0" w:line="135" w:lineRule="exact"/>
              <w:rPr>
                <w:sz w:val="20"/>
                <w:szCs w:val="20"/>
                <w:color w:val="auto"/>
              </w:rPr>
            </w:pPr>
            <w:r>
              <w:rPr>
                <w:rFonts w:ascii="Arial" w:cs="Arial" w:eastAsia="Arial" w:hAnsi="Arial"/>
                <w:sz w:val="13"/>
                <w:szCs w:val="13"/>
                <w:color w:val="auto"/>
                <w:w w:val="94"/>
              </w:rPr>
              <w:t>Ferguson's Bath, Kitchen &amp; Lighting</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Gallery</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Finley Square</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41,454</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280,000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Bed, Bath &amp; Beyond / Buy Buy Baby</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Michaels / Portillo's</w:t>
            </w: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w w:val="96"/>
              </w:rPr>
              <w:t>Garden Market</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14,847</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Mariano's</w:t>
            </w: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w w:val="91"/>
              </w:rPr>
              <w:t>Fresh Market</w:t>
            </w:r>
          </w:p>
        </w:tc>
        <w:tc>
          <w:tcPr>
            <w:tcW w:w="200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Riverpoint</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122,008</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w:t>
            </w: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214,162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798,000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3"/>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01"/>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97"/>
              </w:rPr>
              <w:t>Barracks Road</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70,229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496,000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2"/>
              </w:rPr>
              <w:t>Harris Teeter</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Anthropologie / Nike / Bed, Bath &amp;</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Kroger</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r>
      <w:tr>
        <w:trPr>
          <w:trHeight w:val="173"/>
        </w:trPr>
        <w:tc>
          <w:tcPr>
            <w:tcW w:w="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3"/>
                <w:szCs w:val="13"/>
                <w:color w:val="auto"/>
              </w:rPr>
              <w:t>Bristol Plaza</w:t>
            </w:r>
          </w:p>
        </w:tc>
        <w:tc>
          <w:tcPr>
            <w:tcW w:w="320" w:type="dxa"/>
            <w:vAlign w:val="bottom"/>
          </w:tcPr>
          <w:p>
            <w:pPr>
              <w:spacing w:after="0"/>
              <w:rPr>
                <w:sz w:val="15"/>
                <w:szCs w:val="15"/>
                <w:color w:val="auto"/>
              </w:rPr>
            </w:pPr>
          </w:p>
        </w:tc>
        <w:tc>
          <w:tcPr>
            <w:tcW w:w="2320" w:type="dxa"/>
            <w:vAlign w:val="bottom"/>
          </w:tcPr>
          <w:p>
            <w:pPr>
              <w:ind w:left="80"/>
              <w:spacing w:after="0"/>
              <w:rPr>
                <w:sz w:val="20"/>
                <w:szCs w:val="20"/>
                <w:color w:val="auto"/>
              </w:rPr>
            </w:pPr>
            <w:r>
              <w:rPr>
                <w:rFonts w:ascii="Arial" w:cs="Arial" w:eastAsia="Arial" w:hAnsi="Arial"/>
                <w:sz w:val="13"/>
                <w:szCs w:val="13"/>
                <w:color w:val="auto"/>
                <w:w w:val="93"/>
              </w:rPr>
              <w:t>Hartford-West Hartford-East Hartford, CT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32,027</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265,000</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820" w:type="dxa"/>
            <w:vAlign w:val="bottom"/>
          </w:tcPr>
          <w:p>
            <w:pPr>
              <w:ind w:left="100"/>
              <w:spacing w:after="0"/>
              <w:rPr>
                <w:sz w:val="20"/>
                <w:szCs w:val="20"/>
                <w:color w:val="auto"/>
              </w:rPr>
            </w:pPr>
            <w:r>
              <w:rPr>
                <w:rFonts w:ascii="Arial" w:cs="Arial" w:eastAsia="Arial" w:hAnsi="Arial"/>
                <w:sz w:val="13"/>
                <w:szCs w:val="13"/>
                <w:color w:val="auto"/>
                <w:w w:val="95"/>
              </w:rPr>
              <w:t>Stop &amp; Shop</w:t>
            </w:r>
          </w:p>
        </w:tc>
        <w:tc>
          <w:tcPr>
            <w:tcW w:w="200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320" w:type="dxa"/>
            <w:vAlign w:val="bottom"/>
            <w:shd w:val="clear" w:color="auto" w:fill="CCEEFF"/>
          </w:tcPr>
          <w:p>
            <w:pPr>
              <w:spacing w:after="0"/>
              <w:rPr>
                <w:sz w:val="12"/>
                <w:szCs w:val="12"/>
                <w:color w:val="auto"/>
              </w:rPr>
            </w:pPr>
          </w:p>
        </w:tc>
        <w:tc>
          <w:tcPr>
            <w:tcW w:w="2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Durham-Chapel Hill, NC</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35,316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158,000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13,000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7"/>
              </w:rPr>
              <w:t>Trader Joe's</w:t>
            </w:r>
          </w:p>
        </w:tc>
        <w:tc>
          <w:tcPr>
            <w:tcW w:w="20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Ulta / Stein Mart / Petco</w:t>
            </w:r>
          </w:p>
        </w:tc>
      </w:tr>
      <w:tr>
        <w:trPr>
          <w:trHeight w:val="176"/>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Crossing</w:t>
            </w: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Gratiot Plaza</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Detroit-Warren-Dearborn, MI</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19,863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215,000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69,000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Kroger</w:t>
            </w: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Best Buy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DSW</w:t>
            </w:r>
          </w:p>
        </w:tc>
      </w:tr>
      <w:tr>
        <w:trPr>
          <w:trHeight w:val="181"/>
        </w:trPr>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Lancaster</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Lancaster, PA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13,126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5,507</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color w:val="auto"/>
              </w:rPr>
              <w:t>29th Place</w:t>
            </w:r>
          </w:p>
        </w:tc>
        <w:tc>
          <w:tcPr>
            <w:tcW w:w="320" w:type="dxa"/>
            <w:vAlign w:val="bottom"/>
          </w:tcPr>
          <w:p>
            <w:pPr>
              <w:spacing w:after="0"/>
              <w:rPr>
                <w:sz w:val="12"/>
                <w:szCs w:val="12"/>
                <w:color w:val="auto"/>
              </w:rPr>
            </w:pPr>
          </w:p>
        </w:tc>
        <w:tc>
          <w:tcPr>
            <w:tcW w:w="2320" w:type="dxa"/>
            <w:vAlign w:val="bottom"/>
          </w:tcPr>
          <w:p>
            <w:pPr>
              <w:ind w:left="8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41,268</w:t>
            </w:r>
          </w:p>
        </w:tc>
        <w:tc>
          <w:tcPr>
            <w:tcW w:w="160" w:type="dxa"/>
            <w:vAlign w:val="bottom"/>
          </w:tcPr>
          <w:p>
            <w:pPr>
              <w:spacing w:after="0"/>
              <w:rPr>
                <w:sz w:val="12"/>
                <w:szCs w:val="12"/>
                <w:color w:val="auto"/>
              </w:rPr>
            </w:pPr>
          </w:p>
        </w:tc>
        <w:tc>
          <w:tcPr>
            <w:tcW w:w="880" w:type="dxa"/>
            <w:vAlign w:val="bottom"/>
          </w:tcPr>
          <w:p>
            <w:pPr>
              <w:jc w:val="right"/>
              <w:ind w:right="99"/>
              <w:spacing w:after="0" w:line="148" w:lineRule="exact"/>
              <w:rPr>
                <w:sz w:val="20"/>
                <w:szCs w:val="20"/>
                <w:color w:val="auto"/>
              </w:rPr>
            </w:pPr>
            <w:r>
              <w:rPr>
                <w:rFonts w:ascii="Arial" w:cs="Arial" w:eastAsia="Arial" w:hAnsi="Arial"/>
                <w:sz w:val="13"/>
                <w:szCs w:val="13"/>
                <w:color w:val="auto"/>
              </w:rPr>
              <w:t>3,754</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70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168,000</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ind w:left="40"/>
              <w:spacing w:after="0" w:line="148" w:lineRule="exact"/>
              <w:rPr>
                <w:sz w:val="20"/>
                <w:szCs w:val="20"/>
                <w:color w:val="auto"/>
              </w:rPr>
            </w:pPr>
            <w:r>
              <w:rPr>
                <w:rFonts w:ascii="Arial" w:cs="Arial" w:eastAsia="Arial" w:hAnsi="Arial"/>
                <w:sz w:val="13"/>
                <w:szCs w:val="13"/>
                <w:color w:val="auto"/>
              </w:rPr>
              <w:t>HomeGoods / DSW / Stein Mart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Staples</w:t>
            </w:r>
          </w:p>
        </w:tc>
      </w:tr>
      <w:tr>
        <w:trPr>
          <w:trHeight w:val="156"/>
        </w:trPr>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Willow Lawn</w:t>
            </w:r>
          </w:p>
        </w:tc>
        <w:tc>
          <w:tcPr>
            <w:tcW w:w="320" w:type="dxa"/>
            <w:vAlign w:val="bottom"/>
            <w:shd w:val="clear" w:color="auto" w:fill="CCEEFF"/>
          </w:tcPr>
          <w:p>
            <w:pPr>
              <w:spacing w:after="0"/>
              <w:rPr>
                <w:sz w:val="13"/>
                <w:szCs w:val="13"/>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Richmond, VA</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103,132</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464,000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Old Navy / Ross Dress For Less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Gold's Gym / Dick's Sporting Goods</w:t>
            </w:r>
          </w:p>
        </w:tc>
      </w:tr>
      <w:tr>
        <w:trPr>
          <w:trHeight w:val="166"/>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Arial" w:cs="Arial" w:eastAsia="Arial" w:hAnsi="Arial"/>
                <w:sz w:val="13"/>
                <w:szCs w:val="13"/>
                <w:b w:val="1"/>
                <w:bCs w:val="1"/>
                <w:color w:val="auto"/>
              </w:rPr>
              <w:t>Total Other</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314,961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1,892,000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0" w:type="dxa"/>
            <w:vAlign w:val="bottom"/>
          </w:tcPr>
          <w:p>
            <w:pPr>
              <w:spacing w:after="0"/>
              <w:rPr>
                <w:sz w:val="7"/>
                <w:szCs w:val="7"/>
                <w:color w:val="auto"/>
              </w:rPr>
            </w:pPr>
          </w:p>
        </w:tc>
      </w:tr>
      <w:tr>
        <w:trPr>
          <w:trHeight w:val="162"/>
        </w:trPr>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spacing w:after="0"/>
              <w:rPr>
                <w:sz w:val="14"/>
                <w:szCs w:val="14"/>
                <w:color w:val="auto"/>
              </w:rPr>
            </w:pPr>
          </w:p>
        </w:tc>
      </w:tr>
      <w:tr>
        <w:trPr>
          <w:trHeight w:val="167"/>
        </w:trPr>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Grand Total</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$ 8,617,757</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ind w:right="99"/>
              <w:spacing w:after="0"/>
              <w:rPr>
                <w:sz w:val="20"/>
                <w:szCs w:val="20"/>
                <w:color w:val="auto"/>
              </w:rPr>
            </w:pPr>
            <w:r>
              <w:rPr>
                <w:rFonts w:ascii="Arial" w:cs="Arial" w:eastAsia="Arial" w:hAnsi="Arial"/>
                <w:sz w:val="13"/>
                <w:szCs w:val="13"/>
                <w:b w:val="1"/>
                <w:bCs w:val="1"/>
                <w:color w:val="auto"/>
              </w:rPr>
              <w:t>624,997</w:t>
            </w: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w w:val="98"/>
              </w:rPr>
              <w:t>1,929</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23,995,000</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93%</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2,782</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Notes:</w:t>
      </w:r>
    </w:p>
    <w:p>
      <w:pPr>
        <w:spacing w:after="0" w:line="49" w:lineRule="exact"/>
        <w:rPr>
          <w:sz w:val="20"/>
          <w:szCs w:val="20"/>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Includes "Finance lease right of use assets."</w:t>
      </w:r>
    </w:p>
    <w:p>
      <w:pPr>
        <w:spacing w:after="0" w:line="41" w:lineRule="exact"/>
        <w:rPr>
          <w:rFonts w:ascii="Arial" w:cs="Arial" w:eastAsia="Arial" w:hAnsi="Arial"/>
          <w:sz w:val="14"/>
          <w:szCs w:val="14"/>
          <w:color w:val="auto"/>
        </w:rPr>
      </w:pPr>
    </w:p>
    <w:p>
      <w:pPr>
        <w:ind w:left="660" w:right="620" w:hanging="571"/>
        <w:spacing w:after="0" w:line="256"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9" w:lineRule="exact"/>
        <w:rPr>
          <w:rFonts w:ascii="Arial" w:cs="Arial" w:eastAsia="Arial" w:hAnsi="Arial"/>
          <w:sz w:val="14"/>
          <w:szCs w:val="14"/>
          <w:color w:val="auto"/>
        </w:rPr>
      </w:pPr>
    </w:p>
    <w:p>
      <w:pPr>
        <w:ind w:left="660" w:right="280" w:hanging="571"/>
        <w:spacing w:after="0" w:line="256"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9"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The Trust has a controlling financial interest in this property.</w:t>
      </w:r>
    </w:p>
    <w:p>
      <w:pPr>
        <w:spacing w:after="0" w:line="41" w:lineRule="exact"/>
        <w:rPr>
          <w:rFonts w:ascii="Arial" w:cs="Arial" w:eastAsia="Arial" w:hAnsi="Arial"/>
          <w:sz w:val="14"/>
          <w:szCs w:val="14"/>
          <w:color w:val="auto"/>
        </w:rPr>
      </w:pPr>
    </w:p>
    <w:p>
      <w:pPr>
        <w:ind w:left="660" w:right="300" w:hanging="571"/>
        <w:spacing w:after="0" w:line="256"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9"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Portion of property is currently under development. See further discussion in the Assembly Row and Pike &amp; Rose schedules and Summary of Redevelopment Opportunities for Freedom Plaza.</w:t>
      </w:r>
    </w:p>
    <w:p>
      <w:pPr>
        <w:spacing w:after="0" w:line="64" w:lineRule="exact"/>
        <w:rPr>
          <w:rFonts w:ascii="Arial" w:cs="Arial" w:eastAsia="Arial" w:hAnsi="Arial"/>
          <w:sz w:val="12"/>
          <w:szCs w:val="12"/>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All or a portion of the property is subject to finance lease liabilities.</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3"/>
          <w:szCs w:val="13"/>
          <w:color w:val="auto"/>
        </w:rPr>
        <w:t>This property includes interests in five buildings in addition to our initial acquisition.</w:t>
      </w:r>
    </w:p>
    <w:p>
      <w:pPr>
        <w:sectPr>
          <w:pgSz w:w="11900" w:h="16838" w:orient="portrait"/>
          <w:cols w:equalWidth="0" w:num="1">
            <w:col w:w="11240"/>
          </w:cols>
          <w:pgMar w:left="320" w:top="720"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720" w:right="339"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June 30, 2020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277,681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28.55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$25.64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805,618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8,590,153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30.94</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466,453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26.78</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$25.58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559,471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14,633,657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31.37</w:t>
            </w:r>
          </w:p>
        </w:tc>
        <w:tc>
          <w:tcPr>
            <w:tcW w:w="680" w:type="dxa"/>
            <w:vAlign w:val="bottom"/>
          </w:tcPr>
          <w:p>
            <w:pPr>
              <w:ind w:left="40"/>
              <w:spacing w:after="0"/>
              <w:rPr>
                <w:sz w:val="20"/>
                <w:szCs w:val="20"/>
                <w:color w:val="auto"/>
              </w:rPr>
            </w:pPr>
            <w:r>
              <w:rPr>
                <w:rFonts w:ascii="Arial" w:cs="Arial" w:eastAsia="Arial" w:hAnsi="Arial"/>
                <w:sz w:val="14"/>
                <w:szCs w:val="14"/>
                <w:color w:val="auto"/>
              </w:rPr>
              <w:t>(7) (10)</w:t>
            </w: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461,952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37.78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$35.41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99"/>
              </w:rPr>
              <w:t>1,091,731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18,521,400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40.09</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468,643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38.93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$36.31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9"/>
              </w:rPr>
              <w:t>1,230,724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21,650,073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46.20</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w:t>
            </w: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1,674,729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33.51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3,687,544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63,395,283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37.85</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New Lease Summary - Comparable (2)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122,726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26.79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$20.36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789,852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8,483,168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69.12</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151,171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32.72</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$30.44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345,686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13,395,793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88.61</w:t>
            </w:r>
          </w:p>
        </w:tc>
        <w:tc>
          <w:tcPr>
            <w:tcW w:w="680" w:type="dxa"/>
            <w:vAlign w:val="bottom"/>
          </w:tcPr>
          <w:p>
            <w:pPr>
              <w:ind w:left="40"/>
              <w:spacing w:after="0"/>
              <w:rPr>
                <w:sz w:val="20"/>
                <w:szCs w:val="20"/>
                <w:color w:val="auto"/>
              </w:rPr>
            </w:pPr>
            <w:r>
              <w:rPr>
                <w:rFonts w:ascii="Arial" w:cs="Arial" w:eastAsia="Arial" w:hAnsi="Arial"/>
                <w:sz w:val="14"/>
                <w:szCs w:val="14"/>
                <w:color w:val="auto"/>
              </w:rPr>
              <w:t>(7) (10)</w:t>
            </w: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212,341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$33.22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753,437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17,786,164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83.76</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316,916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32.74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$30.85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598,230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21,167,910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66.79</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803,154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32.89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$29.80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2,487,205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60,833,035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75.74</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60" w:type="dxa"/>
            <w:vAlign w:val="bottom"/>
            <w:gridSpan w:val="8"/>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 of</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Rent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0"/>
              </w:rPr>
              <w:t>Leases</w:t>
            </w:r>
          </w:p>
        </w:tc>
        <w:tc>
          <w:tcPr>
            <w:tcW w:w="8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Per Sq.</w:t>
            </w: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1"/>
              </w:rPr>
              <w:t>Signed</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3"/>
              </w:rPr>
              <w:t>Leases Signed</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Sq. Ft.</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Ft.</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2020</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154,955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29.93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$29.83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15,766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106,985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0.69</w:t>
            </w:r>
          </w:p>
        </w:tc>
        <w:tc>
          <w:tcPr>
            <w:tcW w:w="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1st Quarter 2020</w:t>
            </w: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315,282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23.93</w:t>
            </w: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w w:val="93"/>
              </w:rPr>
              <w:t>$23.25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213,785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1,237,864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3.93</w:t>
            </w:r>
          </w:p>
        </w:tc>
        <w:tc>
          <w:tcPr>
            <w:tcW w:w="680" w:type="dxa"/>
            <w:vAlign w:val="bottom"/>
          </w:tcPr>
          <w:p>
            <w:pPr>
              <w:ind w:left="40"/>
              <w:spacing w:after="0"/>
              <w:rPr>
                <w:sz w:val="20"/>
                <w:szCs w:val="20"/>
                <w:color w:val="auto"/>
              </w:rPr>
            </w:pPr>
            <w:r>
              <w:rPr>
                <w:rFonts w:ascii="Arial" w:cs="Arial" w:eastAsia="Arial" w:hAnsi="Arial"/>
                <w:sz w:val="14"/>
                <w:szCs w:val="14"/>
                <w:color w:val="auto"/>
              </w:rPr>
              <w:t>(10)</w:t>
            </w: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249,611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38.64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93"/>
              </w:rPr>
              <w:t>$37.28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338,294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735,236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2.95</w:t>
            </w:r>
          </w:p>
        </w:tc>
        <w:tc>
          <w:tcPr>
            <w:tcW w:w="68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151,727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51.87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3"/>
              </w:rPr>
              <w:t>$47.70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632,494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482,163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3.18</w:t>
            </w:r>
          </w:p>
        </w:tc>
        <w:tc>
          <w:tcPr>
            <w:tcW w:w="68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871,575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93"/>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1,200,339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2,562,248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2.94</w:t>
            </w:r>
          </w:p>
        </w:tc>
        <w:tc>
          <w:tcPr>
            <w:tcW w:w="68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gridSpan w:val="11"/>
          </w:tcPr>
          <w:p>
            <w:pPr>
              <w:jc w:val="right"/>
              <w:ind w:right="260"/>
              <w:spacing w:after="0"/>
              <w:rPr>
                <w:sz w:val="20"/>
                <w:szCs w:val="20"/>
                <w:color w:val="auto"/>
              </w:rPr>
            </w:pPr>
            <w:r>
              <w:rPr>
                <w:rFonts w:ascii="Arial" w:cs="Arial" w:eastAsia="Arial" w:hAnsi="Arial"/>
                <w:sz w:val="14"/>
                <w:szCs w:val="14"/>
                <w:b w:val="1"/>
                <w:bCs w:val="1"/>
                <w:color w:val="auto"/>
                <w:w w:val="93"/>
              </w:rPr>
              <w:t>Total Lease Summary - Comparable and Non-comparable (2) (9)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68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8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6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2"/>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0" w:type="dxa"/>
            <w:vAlign w:val="bottom"/>
          </w:tcPr>
          <w:p>
            <w:pPr>
              <w:spacing w:after="0"/>
              <w:rPr>
                <w:sz w:val="10"/>
                <w:szCs w:val="10"/>
                <w:color w:val="auto"/>
              </w:rPr>
            </w:pPr>
          </w:p>
        </w:tc>
        <w:tc>
          <w:tcPr>
            <w:tcW w:w="760" w:type="dxa"/>
            <w:vAlign w:val="bottom"/>
          </w:tcPr>
          <w:p>
            <w:pPr>
              <w:jc w:val="center"/>
              <w:ind w:right="35"/>
              <w:spacing w:after="0" w:line="122" w:lineRule="exact"/>
              <w:rPr>
                <w:sz w:val="20"/>
                <w:szCs w:val="20"/>
                <w:color w:val="auto"/>
              </w:rPr>
            </w:pPr>
            <w:r>
              <w:rPr>
                <w:rFonts w:ascii="Arial" w:cs="Arial" w:eastAsia="Arial" w:hAnsi="Arial"/>
                <w:sz w:val="11"/>
                <w:szCs w:val="11"/>
                <w:b w:val="1"/>
                <w:bCs w:val="1"/>
                <w:color w:val="auto"/>
                <w:w w:val="88"/>
              </w:rPr>
              <w:t>Incentives Per</w:t>
            </w:r>
          </w:p>
        </w:tc>
        <w:tc>
          <w:tcPr>
            <w:tcW w:w="68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420" w:type="dxa"/>
            <w:vAlign w:val="bottom"/>
          </w:tcPr>
          <w:p>
            <w:pPr>
              <w:jc w:val="right"/>
              <w:ind w:right="47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GLA Signed</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Sq. Ft.</w:t>
            </w:r>
          </w:p>
        </w:tc>
        <w:tc>
          <w:tcPr>
            <w:tcW w:w="68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2020</w:t>
            </w: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314,679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26.16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9,314,002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29.60</w:t>
            </w:r>
          </w:p>
        </w:tc>
        <w:tc>
          <w:tcPr>
            <w:tcW w:w="68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1st Quarter 2020</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491,003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17,337,865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35.31</w:t>
            </w:r>
          </w:p>
        </w:tc>
        <w:tc>
          <w:tcPr>
            <w:tcW w:w="68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494,768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38.46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22,021,754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44.51</w:t>
            </w:r>
          </w:p>
        </w:tc>
        <w:tc>
          <w:tcPr>
            <w:tcW w:w="68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491,414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39.73</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22,620,379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46.03</w:t>
            </w:r>
          </w:p>
        </w:tc>
        <w:tc>
          <w:tcPr>
            <w:tcW w:w="68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9"/>
              </w:rPr>
              <w:t>1,791,864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33.64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71,294,000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39.79</w:t>
            </w:r>
          </w:p>
        </w:tc>
        <w:tc>
          <w:tcPr>
            <w:tcW w:w="68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 See Glossary of Terms for further discussion of information included above.</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560" w:right="20" w:hanging="558"/>
        <w:spacing w:after="0" w:line="230"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$2.8 million ($5.37 per square foot) in 1st Quarter 2020, $1.1 million ($1.65 per square foot) in 4th Quarter 2019, and $7.0 million ($3.21 per square foot) in 3rd Quarter 2019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29" w:lineRule="exact"/>
        <w:rPr>
          <w:rFonts w:ascii="Arial" w:cs="Arial" w:eastAsia="Arial" w:hAnsi="Arial"/>
          <w:sz w:val="13"/>
          <w:szCs w:val="13"/>
          <w:color w:val="auto"/>
        </w:rPr>
      </w:pPr>
    </w:p>
    <w:p>
      <w:pPr>
        <w:ind w:left="560" w:hanging="558"/>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560" w:hanging="558"/>
        <w:spacing w:after="0" w:line="319" w:lineRule="auto"/>
        <w:tabs>
          <w:tab w:leader="none" w:pos="5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ind w:left="560" w:right="120" w:hanging="558"/>
        <w:spacing w:after="0" w:line="236"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annual increase over the prior rent calculated on a straight line basis for leases signed during the second and first quarter of 2020 was 23% and 14% for comparable leases, respectively, 52% and 18% for new leases, respectively, and 8% and 12% for renewal leases, respectively.</w:t>
      </w:r>
    </w:p>
    <w:p>
      <w:pPr>
        <w:sectPr>
          <w:pgSz w:w="11900" w:h="16838" w:orient="portrait"/>
          <w:cols w:equalWidth="0" w:num="1">
            <w:col w:w="11100"/>
          </w:cols>
          <w:pgMar w:left="380" w:top="733" w:right="4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00"/>
          </w:cols>
          <w:pgMar w:left="380" w:top="733" w:right="41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77749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749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76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00" w:type="dxa"/>
            <w:vAlign w:val="bottom"/>
            <w:tcBorders>
              <w:top w:val="single" w:sz="8" w:color="auto"/>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407,000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1,296,000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19.93</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841,000</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44.51</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2,138,000</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958,000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26.45</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1,500,000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21.88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905,000</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46.35</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2,405,000</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917,000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1,681,000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20.75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796,000</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43.30</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2,476,000</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418,000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822,000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34.80</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500,000</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48.03</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1,322,000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39.80</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409,000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933,000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25.54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381,000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46.12</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1,313,000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337,000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14,920,000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22.10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6,869,000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45.90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21,789,000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60" w:type="dxa"/>
            <w:vAlign w:val="bottom"/>
            <w:tcBorders>
              <w:left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76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Total SF</w:t>
            </w:r>
          </w:p>
        </w:tc>
        <w:tc>
          <w:tcPr>
            <w:tcW w:w="200" w:type="dxa"/>
            <w:vAlign w:val="bottom"/>
          </w:tcPr>
          <w:p>
            <w:pPr>
              <w:spacing w:after="0"/>
              <w:rPr>
                <w:sz w:val="16"/>
                <w:szCs w:val="16"/>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00" w:type="dxa"/>
            <w:vAlign w:val="bottom"/>
            <w:tcBorders>
              <w:top w:val="single" w:sz="8" w:color="auto"/>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400,000</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663,000</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484,000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17.44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606,000</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45.88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1,090,000</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25.30</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565,000</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42.38</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953,000</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461,000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1,052,000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21.42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430,000</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43.42</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748,000</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296,000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779,000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755,000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22.15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462,000</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47.24</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1,218,000</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418,000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766,000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22.60</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366,000</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44.51</w:t>
            </w:r>
          </w:p>
        </w:tc>
        <w:tc>
          <w:tcPr>
            <w:tcW w:w="2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1,132,000</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Borders>
              <w:left w:val="single" w:sz="8" w:color="CCEEFF"/>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1"/>
                <w:shd w:val="clear" w:color="auto" w:fill="CCEEFF"/>
              </w:rPr>
              <w:t>Thereafter</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2,283,000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12,275,000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14,920,000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22.10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6,869,000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45.90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21,789,000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gridSpan w:val="2"/>
          </w:tcPr>
          <w:p>
            <w:pPr>
              <w:spacing w:after="0"/>
              <w:rPr>
                <w:sz w:val="20"/>
                <w:szCs w:val="20"/>
                <w:color w:val="auto"/>
              </w:rPr>
            </w:pPr>
            <w:r>
              <w:rPr>
                <w:rFonts w:ascii="Arial" w:cs="Arial" w:eastAsia="Arial" w:hAnsi="Arial"/>
                <w:sz w:val="16"/>
                <w:szCs w:val="16"/>
                <w:color w:val="auto"/>
              </w:rPr>
              <w:t>Notes:</w:t>
            </w:r>
          </w:p>
        </w:tc>
        <w:tc>
          <w:tcPr>
            <w:tcW w:w="10420" w:type="dxa"/>
            <w:vAlign w:val="bottom"/>
          </w:tcPr>
          <w:p>
            <w:pPr>
              <w:spacing w:after="0"/>
              <w:rPr>
                <w:sz w:val="16"/>
                <w:szCs w:val="16"/>
                <w:color w:val="auto"/>
              </w:rPr>
            </w:pPr>
          </w:p>
        </w:tc>
      </w:tr>
      <w:tr>
        <w:trPr>
          <w:trHeight w:val="271"/>
        </w:trPr>
        <w:tc>
          <w:tcPr>
            <w:tcW w:w="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3"/>
                <w:szCs w:val="23"/>
                <w:color w:val="auto"/>
              </w:rPr>
            </w:pPr>
          </w:p>
        </w:tc>
        <w:tc>
          <w:tcPr>
            <w:tcW w:w="10420" w:type="dxa"/>
            <w:vAlign w:val="bottom"/>
          </w:tcPr>
          <w:p>
            <w:pPr>
              <w:ind w:left="200"/>
              <w:spacing w:after="0"/>
              <w:rPr>
                <w:sz w:val="20"/>
                <w:szCs w:val="20"/>
                <w:color w:val="auto"/>
              </w:rPr>
            </w:pPr>
            <w:r>
              <w:rPr>
                <w:rFonts w:ascii="Arial" w:cs="Arial" w:eastAsia="Arial" w:hAnsi="Arial"/>
                <w:sz w:val="16"/>
                <w:szCs w:val="16"/>
                <w:color w:val="auto"/>
              </w:rPr>
              <w:t>Anchor is defined as a commercial tenant leasing 10,000 square feet or more.</w:t>
            </w:r>
          </w:p>
        </w:tc>
      </w:tr>
      <w:tr>
        <w:trPr>
          <w:trHeight w:val="253"/>
        </w:trPr>
        <w:tc>
          <w:tcPr>
            <w:tcW w:w="420" w:type="dxa"/>
            <w:vAlign w:val="bottom"/>
          </w:tcPr>
          <w:p>
            <w:pPr>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1"/>
                <w:szCs w:val="21"/>
                <w:color w:val="auto"/>
              </w:rPr>
            </w:pPr>
          </w:p>
        </w:tc>
        <w:tc>
          <w:tcPr>
            <w:tcW w:w="10420" w:type="dxa"/>
            <w:vAlign w:val="bottom"/>
          </w:tcPr>
          <w:p>
            <w:pPr>
              <w:ind w:left="200"/>
              <w:spacing w:after="0"/>
              <w:rPr>
                <w:sz w:val="20"/>
                <w:szCs w:val="20"/>
                <w:color w:val="auto"/>
              </w:rPr>
            </w:pPr>
            <w:r>
              <w:rPr>
                <w:rFonts w:ascii="Arial" w:cs="Arial" w:eastAsia="Arial" w:hAnsi="Arial"/>
                <w:sz w:val="16"/>
                <w:szCs w:val="16"/>
                <w:color w:val="auto"/>
                <w:w w:val="91"/>
              </w:rPr>
              <w:t>Minimum Rent reflects in-place contractual (defined as rents billed on a cash basis without taking the impacts of rent abatements into account) rent as of June</w:t>
            </w:r>
          </w:p>
        </w:tc>
      </w:tr>
      <w:tr>
        <w:trPr>
          <w:trHeight w:val="20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tcPr>
          <w:p>
            <w:pPr>
              <w:ind w:left="200"/>
              <w:spacing w:after="0"/>
              <w:rPr>
                <w:sz w:val="20"/>
                <w:szCs w:val="20"/>
                <w:color w:val="auto"/>
              </w:rPr>
            </w:pPr>
            <w:r>
              <w:rPr>
                <w:rFonts w:ascii="Arial" w:cs="Arial" w:eastAsia="Arial" w:hAnsi="Arial"/>
                <w:sz w:val="16"/>
                <w:szCs w:val="16"/>
                <w:color w:val="auto"/>
              </w:rPr>
              <w:t>30, 2020.</w:t>
            </w:r>
          </w:p>
        </w:tc>
      </w:tr>
      <w:tr>
        <w:trPr>
          <w:trHeight w:val="256"/>
        </w:trPr>
        <w:tc>
          <w:tcPr>
            <w:tcW w:w="420" w:type="dxa"/>
            <w:vAlign w:val="bottom"/>
          </w:tcPr>
          <w:p>
            <w:pPr>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10420" w:type="dxa"/>
            <w:vAlign w:val="bottom"/>
          </w:tcPr>
          <w:p>
            <w:pPr>
              <w:ind w:left="200"/>
              <w:spacing w:after="0"/>
              <w:rPr>
                <w:sz w:val="20"/>
                <w:szCs w:val="20"/>
                <w:color w:val="auto"/>
              </w:rPr>
            </w:pPr>
            <w:r>
              <w:rPr>
                <w:rFonts w:ascii="Arial" w:cs="Arial" w:eastAsia="Arial" w:hAnsi="Arial"/>
                <w:sz w:val="16"/>
                <w:szCs w:val="16"/>
                <w:color w:val="auto"/>
              </w:rPr>
              <w:t>Represents occupied square footage of the commercial portion of our portfolio as of June 30, 2020.</w:t>
            </w:r>
          </w:p>
        </w:tc>
      </w:tr>
      <w:tr>
        <w:trPr>
          <w:trHeight w:val="257"/>
        </w:trPr>
        <w:tc>
          <w:tcPr>
            <w:tcW w:w="420" w:type="dxa"/>
            <w:vAlign w:val="bottom"/>
          </w:tcPr>
          <w:p>
            <w:pPr>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2"/>
                <w:szCs w:val="22"/>
                <w:color w:val="auto"/>
              </w:rPr>
            </w:pPr>
          </w:p>
        </w:tc>
        <w:tc>
          <w:tcPr>
            <w:tcW w:w="10420" w:type="dxa"/>
            <w:vAlign w:val="bottom"/>
          </w:tcPr>
          <w:p>
            <w:pPr>
              <w:ind w:left="200"/>
              <w:spacing w:after="0"/>
              <w:rPr>
                <w:sz w:val="20"/>
                <w:szCs w:val="20"/>
                <w:color w:val="auto"/>
              </w:rPr>
            </w:pPr>
            <w:r>
              <w:rPr>
                <w:rFonts w:ascii="Arial" w:cs="Arial" w:eastAsia="Arial" w:hAnsi="Arial"/>
                <w:sz w:val="16"/>
                <w:szCs w:val="16"/>
                <w:color w:val="auto"/>
              </w:rPr>
              <w:t>Individual items may not add up to total due to rounding.</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15" w:right="339" w:bottom="1440" w:gutter="0" w:footer="0" w:header="0"/>
        </w:sectPr>
      </w:pPr>
    </w:p>
    <w:bookmarkStart w:id="31" w:name="page32"/>
    <w:bookmarkEnd w:id="31"/>
    <w:p>
      <w:pPr>
        <w:ind w:left="40" w:right="1220"/>
        <w:spacing w:after="0" w:line="328" w:lineRule="auto"/>
        <w:rPr>
          <w:sz w:val="20"/>
          <w:szCs w:val="20"/>
          <w:color w:val="auto"/>
        </w:rPr>
      </w:pPr>
      <w:r>
        <w:rPr>
          <w:rFonts w:ascii="Arial" w:cs="Arial" w:eastAsia="Arial" w:hAnsi="Arial"/>
          <w:sz w:val="18"/>
          <w:szCs w:val="18"/>
          <w:b w:val="1"/>
          <w:bCs w:val="1"/>
          <w:color w:val="auto"/>
        </w:rPr>
        <w:t>Federal Realty Investment Trust Portfolio Leased Statistics June 30, 2020</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2020</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2019</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Size</w:t>
            </w:r>
          </w:p>
        </w:tc>
        <w:tc>
          <w:tcPr>
            <w:tcW w:w="148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w w:val="87"/>
              </w:rPr>
              <w:t>Leased %</w:t>
            </w:r>
          </w:p>
        </w:tc>
        <w:tc>
          <w:tcPr>
            <w:tcW w:w="64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5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23,995,000</w:t>
            </w: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22,323,000</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93.0%</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23,868,000</w:t>
            </w:r>
          </w:p>
        </w:tc>
        <w:tc>
          <w:tcPr>
            <w:tcW w:w="1480" w:type="dxa"/>
            <w:vAlign w:val="bottom"/>
            <w:gridSpan w:val="3"/>
          </w:tcPr>
          <w:p>
            <w:pPr>
              <w:jc w:val="right"/>
              <w:ind w:right="460"/>
              <w:spacing w:after="0"/>
              <w:rPr>
                <w:sz w:val="20"/>
                <w:szCs w:val="20"/>
                <w:color w:val="auto"/>
              </w:rPr>
            </w:pPr>
            <w:r>
              <w:rPr>
                <w:rFonts w:ascii="Arial" w:cs="Arial" w:eastAsia="Arial" w:hAnsi="Arial"/>
                <w:sz w:val="16"/>
                <w:szCs w:val="16"/>
                <w:color w:val="auto"/>
              </w:rPr>
              <w:t>22,448,000</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94.1%</w:t>
            </w:r>
          </w:p>
        </w:tc>
      </w:tr>
      <w:tr>
        <w:trPr>
          <w:trHeight w:val="540"/>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2,782</w:t>
            </w:r>
          </w:p>
        </w:tc>
        <w:tc>
          <w:tcPr>
            <w:tcW w:w="1480" w:type="dxa"/>
            <w:vAlign w:val="bottom"/>
            <w:gridSpan w:val="3"/>
          </w:tcPr>
          <w:p>
            <w:pPr>
              <w:jc w:val="right"/>
              <w:ind w:right="360"/>
              <w:spacing w:after="0"/>
              <w:rPr>
                <w:sz w:val="20"/>
                <w:szCs w:val="20"/>
                <w:color w:val="auto"/>
              </w:rPr>
            </w:pPr>
            <w:r>
              <w:rPr>
                <w:rFonts w:ascii="Arial" w:cs="Arial" w:eastAsia="Arial" w:hAnsi="Arial"/>
                <w:sz w:val="16"/>
                <w:szCs w:val="16"/>
                <w:color w:val="auto"/>
              </w:rPr>
              <w:t>2,647</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95.1%</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2,669</w:t>
            </w:r>
          </w:p>
        </w:tc>
        <w:tc>
          <w:tcPr>
            <w:tcW w:w="1480" w:type="dxa"/>
            <w:vAlign w:val="bottom"/>
            <w:gridSpan w:val="3"/>
          </w:tcPr>
          <w:p>
            <w:pPr>
              <w:jc w:val="right"/>
              <w:ind w:right="460"/>
              <w:spacing w:after="0"/>
              <w:rPr>
                <w:sz w:val="20"/>
                <w:szCs w:val="20"/>
                <w:color w:val="auto"/>
              </w:rPr>
            </w:pPr>
            <w:r>
              <w:rPr>
                <w:rFonts w:ascii="Arial" w:cs="Arial" w:eastAsia="Arial" w:hAnsi="Arial"/>
                <w:sz w:val="16"/>
                <w:szCs w:val="16"/>
                <w:color w:val="auto"/>
              </w:rPr>
              <w:t>2,596</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97.3%</w:t>
            </w:r>
          </w:p>
        </w:tc>
      </w:tr>
      <w:tr>
        <w:trPr>
          <w:trHeight w:val="864"/>
        </w:trPr>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2020</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2019</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Size</w:t>
            </w:r>
          </w:p>
        </w:tc>
        <w:tc>
          <w:tcPr>
            <w:tcW w:w="1480" w:type="dxa"/>
            <w:vAlign w:val="bottom"/>
            <w:gridSpan w:val="3"/>
          </w:tcPr>
          <w:p>
            <w:pPr>
              <w:ind w:left="660"/>
              <w:spacing w:after="0"/>
              <w:rPr>
                <w:sz w:val="20"/>
                <w:szCs w:val="20"/>
                <w:color w:val="auto"/>
              </w:rPr>
            </w:pPr>
            <w:r>
              <w:rPr>
                <w:rFonts w:ascii="Arial" w:cs="Arial" w:eastAsia="Arial" w:hAnsi="Arial"/>
                <w:sz w:val="16"/>
                <w:szCs w:val="16"/>
                <w:color w:val="auto"/>
              </w:rPr>
              <w:t>Leased</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w w:val="87"/>
              </w:rPr>
              <w:t>Leased %</w:t>
            </w:r>
          </w:p>
        </w:tc>
        <w:tc>
          <w:tcPr>
            <w:tcW w:w="64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5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-2056765</wp:posOffset>
            </wp:positionV>
            <wp:extent cx="7132320" cy="277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715" w:right="339" w:bottom="1440" w:gutter="0" w:footer="0" w:header="0"/>
        </w:sectPr>
      </w:pP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460" w:type="dxa"/>
            <w:vAlign w:val="bottom"/>
          </w:tcPr>
          <w:p>
            <w:pPr>
              <w:spacing w:after="0"/>
              <w:rPr>
                <w:sz w:val="20"/>
                <w:szCs w:val="20"/>
                <w:color w:val="auto"/>
              </w:rPr>
            </w:pPr>
            <w:r>
              <w:rPr>
                <w:rFonts w:ascii="Arial" w:cs="Arial" w:eastAsia="Arial" w:hAnsi="Arial"/>
                <w:sz w:val="16"/>
                <w:szCs w:val="16"/>
                <w:color w:val="auto"/>
              </w:rPr>
              <w:t>Commercial Properties (2) (4) (sf)</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22,137,000</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20,739,000</w:t>
            </w:r>
          </w:p>
        </w:tc>
        <w:tc>
          <w:tcPr>
            <w:tcW w:w="780" w:type="dxa"/>
            <w:vAlign w:val="bottom"/>
          </w:tcPr>
          <w:p>
            <w:pPr>
              <w:jc w:val="right"/>
              <w:spacing w:after="0"/>
              <w:rPr>
                <w:sz w:val="20"/>
                <w:szCs w:val="20"/>
                <w:color w:val="auto"/>
              </w:rPr>
            </w:pPr>
            <w:r>
              <w:rPr>
                <w:rFonts w:ascii="Arial" w:cs="Arial" w:eastAsia="Arial" w:hAnsi="Arial"/>
                <w:sz w:val="16"/>
                <w:szCs w:val="16"/>
                <w:color w:val="auto"/>
              </w:rPr>
              <w:t>93.7%</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tabs>
          <w:tab w:leader="none" w:pos="1080" w:val="left"/>
          <w:tab w:leader="none" w:pos="2640" w:val="left"/>
        </w:tabs>
        <w:rPr>
          <w:sz w:val="20"/>
          <w:szCs w:val="20"/>
          <w:color w:val="auto"/>
        </w:rPr>
      </w:pPr>
      <w:r>
        <w:rPr>
          <w:rFonts w:ascii="Arial" w:cs="Arial" w:eastAsia="Arial" w:hAnsi="Arial"/>
          <w:sz w:val="16"/>
          <w:szCs w:val="16"/>
          <w:color w:val="auto"/>
        </w:rPr>
        <w:t>22,338,000</w:t>
      </w:r>
      <w:r>
        <w:rPr>
          <w:sz w:val="20"/>
          <w:szCs w:val="20"/>
          <w:color w:val="auto"/>
        </w:rPr>
        <w:tab/>
      </w:r>
      <w:r>
        <w:rPr>
          <w:rFonts w:ascii="Arial" w:cs="Arial" w:eastAsia="Arial" w:hAnsi="Arial"/>
          <w:sz w:val="16"/>
          <w:szCs w:val="16"/>
          <w:color w:val="auto"/>
        </w:rPr>
        <w:t>21,144,000</w:t>
      </w:r>
      <w:r>
        <w:rPr>
          <w:sz w:val="20"/>
          <w:szCs w:val="20"/>
          <w:color w:val="auto"/>
        </w:rPr>
        <w:tab/>
      </w:r>
      <w:r>
        <w:rPr>
          <w:rFonts w:ascii="Arial" w:cs="Arial" w:eastAsia="Arial" w:hAnsi="Arial"/>
          <w:sz w:val="14"/>
          <w:szCs w:val="14"/>
          <w:color w:val="auto"/>
        </w:rPr>
        <w:t>94.7%</w:t>
      </w:r>
    </w:p>
    <w:p>
      <w:pPr>
        <w:spacing w:after="0" w:line="222" w:lineRule="exact"/>
        <w:rPr>
          <w:sz w:val="20"/>
          <w:szCs w:val="20"/>
          <w:color w:val="auto"/>
        </w:rPr>
      </w:pPr>
    </w:p>
    <w:p>
      <w:pPr>
        <w:sectPr>
          <w:pgSz w:w="11900" w:h="16838" w:orient="portrait"/>
          <w:cols w:equalWidth="0" w:num="2">
            <w:col w:w="7740" w:space="400"/>
            <w:col w:w="3100"/>
          </w:cols>
          <w:pgMar w:left="320" w:top="715" w:right="339" w:bottom="1440" w:gutter="0" w:footer="0" w:header="0"/>
          <w:type w:val="continuous"/>
        </w:sectPr>
      </w:pP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480" w:type="dxa"/>
            <w:vAlign w:val="bottom"/>
          </w:tcPr>
          <w:p>
            <w:pPr>
              <w:spacing w:after="0"/>
              <w:rPr>
                <w:sz w:val="20"/>
                <w:szCs w:val="20"/>
                <w:color w:val="auto"/>
              </w:rPr>
            </w:pPr>
            <w:r>
              <w:rPr>
                <w:rFonts w:ascii="Arial" w:cs="Arial" w:eastAsia="Arial" w:hAnsi="Arial"/>
                <w:sz w:val="16"/>
                <w:szCs w:val="16"/>
                <w:color w:val="auto"/>
              </w:rPr>
              <w:t>Residential Properties (units)</w:t>
            </w:r>
          </w:p>
        </w:tc>
        <w:tc>
          <w:tcPr>
            <w:tcW w:w="2340" w:type="dxa"/>
            <w:vAlign w:val="bottom"/>
          </w:tcPr>
          <w:p>
            <w:pPr>
              <w:jc w:val="right"/>
              <w:ind w:right="299"/>
              <w:spacing w:after="0"/>
              <w:rPr>
                <w:sz w:val="20"/>
                <w:szCs w:val="20"/>
                <w:color w:val="auto"/>
              </w:rPr>
            </w:pPr>
            <w:r>
              <w:rPr>
                <w:rFonts w:ascii="Arial" w:cs="Arial" w:eastAsia="Arial" w:hAnsi="Arial"/>
                <w:sz w:val="16"/>
                <w:szCs w:val="16"/>
                <w:color w:val="auto"/>
              </w:rPr>
              <w:t>2,651</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2,524</w:t>
            </w:r>
          </w:p>
        </w:tc>
        <w:tc>
          <w:tcPr>
            <w:tcW w:w="780" w:type="dxa"/>
            <w:vAlign w:val="bottom"/>
          </w:tcPr>
          <w:p>
            <w:pPr>
              <w:jc w:val="right"/>
              <w:spacing w:after="0"/>
              <w:rPr>
                <w:sz w:val="20"/>
                <w:szCs w:val="20"/>
                <w:color w:val="auto"/>
              </w:rPr>
            </w:pPr>
            <w:r>
              <w:rPr>
                <w:rFonts w:ascii="Arial" w:cs="Arial" w:eastAsia="Arial" w:hAnsi="Arial"/>
                <w:sz w:val="16"/>
                <w:szCs w:val="16"/>
                <w:color w:val="auto"/>
              </w:rPr>
              <w:t>95.2%</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1080" w:val="left"/>
          <w:tab w:leader="none" w:pos="2280" w:val="left"/>
        </w:tabs>
        <w:rPr>
          <w:sz w:val="20"/>
          <w:szCs w:val="20"/>
          <w:color w:val="auto"/>
        </w:rPr>
      </w:pPr>
      <w:r>
        <w:rPr>
          <w:rFonts w:ascii="Arial" w:cs="Arial" w:eastAsia="Arial" w:hAnsi="Arial"/>
          <w:sz w:val="16"/>
          <w:szCs w:val="16"/>
          <w:color w:val="auto"/>
        </w:rPr>
        <w:t>2,651</w:t>
      </w:r>
      <w:r>
        <w:rPr>
          <w:sz w:val="20"/>
          <w:szCs w:val="20"/>
          <w:color w:val="auto"/>
        </w:rPr>
        <w:tab/>
      </w:r>
      <w:r>
        <w:rPr>
          <w:rFonts w:ascii="Arial" w:cs="Arial" w:eastAsia="Arial" w:hAnsi="Arial"/>
          <w:sz w:val="16"/>
          <w:szCs w:val="16"/>
          <w:color w:val="auto"/>
        </w:rPr>
        <w:t>2,582</w:t>
      </w:r>
      <w:r>
        <w:rPr>
          <w:sz w:val="20"/>
          <w:szCs w:val="20"/>
          <w:color w:val="auto"/>
        </w:rPr>
        <w:tab/>
      </w:r>
      <w:r>
        <w:rPr>
          <w:rFonts w:ascii="Arial" w:cs="Arial" w:eastAsia="Arial" w:hAnsi="Arial"/>
          <w:sz w:val="14"/>
          <w:szCs w:val="14"/>
          <w:color w:val="auto"/>
        </w:rPr>
        <w:t>97.4%</w:t>
      </w:r>
    </w:p>
    <w:p>
      <w:pPr>
        <w:spacing w:after="0" w:line="222" w:lineRule="exact"/>
        <w:rPr>
          <w:sz w:val="20"/>
          <w:szCs w:val="20"/>
          <w:color w:val="auto"/>
        </w:rPr>
      </w:pPr>
    </w:p>
    <w:p>
      <w:pPr>
        <w:sectPr>
          <w:pgSz w:w="11900" w:h="16838" w:orient="portrait"/>
          <w:cols w:equalWidth="0" w:num="2">
            <w:col w:w="7780" w:space="720"/>
            <w:col w:w="2740"/>
          </w:cols>
          <w:pgMar w:left="320" w:top="715" w:right="3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June 30, 2020 leased percentage was 97.0% for anchor tenants and 85.3% for small shop tenants.</w:t>
      </w:r>
    </w:p>
    <w:p>
      <w:pPr>
        <w:spacing w:after="0" w:line="72" w:lineRule="exact"/>
        <w:rPr>
          <w:rFonts w:ascii="Arial" w:cs="Arial" w:eastAsia="Arial" w:hAnsi="Arial"/>
          <w:sz w:val="16"/>
          <w:szCs w:val="16"/>
          <w:color w:val="auto"/>
        </w:rPr>
      </w:pPr>
    </w:p>
    <w:p>
      <w:pPr>
        <w:ind w:left="840" w:right="260" w:hanging="805"/>
        <w:spacing w:after="0" w:line="293"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Occupied percentage was 90.8% and 93.3% at June 30, 2020 and 2019, respectively, and comparable property occupied percentage was 91.4% and 93.9% at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15" w:right="339"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8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4"/>
              </w:rPr>
              <w:t>Credit Ratings</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Annualized Base</w:t>
            </w: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10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8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GLA</w:t>
            </w:r>
          </w:p>
        </w:tc>
        <w:tc>
          <w:tcPr>
            <w:tcW w:w="10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Total GLA</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5"/>
              </w:rPr>
              <w:t>(S&amp;P/Moody's/Fitch) (1)</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Rent</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10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2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2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2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7"/>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2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7"/>
              </w:rPr>
              <w:t>BB-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2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2"/>
              </w:rPr>
              <w:t>CCC+ / Caa1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2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5"/>
              </w:rPr>
              <w:t>B+ / Ba2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2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5"/>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2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1"/>
              </w:rPr>
              <w:t>CC / Caa3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2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2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9"/>
              </w:rPr>
              <w:t>BBB+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2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2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6"/>
              </w:rPr>
              <w:t>B / Ba3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2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2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2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5"/>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2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4"/>
              </w:rPr>
              <w:t>BBB- / Baa3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2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2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5"/>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2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2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00" w:type="dxa"/>
            <w:vAlign w:val="bottom"/>
          </w:tcPr>
          <w:p>
            <w:pPr>
              <w:jc w:val="center"/>
              <w:ind w:left="99"/>
              <w:spacing w:after="0"/>
              <w:rPr>
                <w:sz w:val="20"/>
                <w:szCs w:val="20"/>
                <w:color w:val="auto"/>
              </w:rPr>
            </w:pPr>
            <w:r>
              <w:rPr>
                <w:rFonts w:ascii="Arial" w:cs="Arial" w:eastAsia="Arial" w:hAnsi="Arial"/>
                <w:sz w:val="16"/>
                <w:szCs w:val="16"/>
                <w:color w:val="auto"/>
              </w:rPr>
              <w:t>A+/A2/NR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2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2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w w:val="97"/>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2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A-/A2/A+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2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B+/B1/NR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20" w:type="dxa"/>
            <w:vAlign w:val="bottom"/>
          </w:tcPr>
          <w:p>
            <w:pPr>
              <w:ind w:left="120"/>
              <w:spacing w:after="0"/>
              <w:rPr>
                <w:sz w:val="20"/>
                <w:szCs w:val="20"/>
                <w:color w:val="auto"/>
              </w:rPr>
            </w:pPr>
            <w:r>
              <w:rPr>
                <w:rFonts w:ascii="Arial" w:cs="Arial" w:eastAsia="Arial" w:hAnsi="Arial"/>
                <w:sz w:val="16"/>
                <w:szCs w:val="16"/>
                <w:color w:val="auto"/>
              </w:rPr>
              <w:t>J. Crew Group, Inc.</w:t>
            </w:r>
          </w:p>
        </w:tc>
        <w:tc>
          <w:tcPr>
            <w:tcW w:w="1500" w:type="dxa"/>
            <w:vAlign w:val="bottom"/>
          </w:tcPr>
          <w:p>
            <w:pPr>
              <w:jc w:val="center"/>
              <w:ind w:left="79"/>
              <w:spacing w:after="0"/>
              <w:rPr>
                <w:sz w:val="20"/>
                <w:szCs w:val="20"/>
                <w:color w:val="auto"/>
              </w:rPr>
            </w:pPr>
            <w:r>
              <w:rPr>
                <w:rFonts w:ascii="Arial" w:cs="Arial" w:eastAsia="Arial" w:hAnsi="Arial"/>
                <w:sz w:val="16"/>
                <w:szCs w:val="16"/>
                <w:color w:val="auto"/>
              </w:rPr>
              <w:t>NR/NR/NR</w:t>
            </w:r>
          </w:p>
        </w:tc>
      </w:tr>
      <w:tr>
        <w:trPr>
          <w:trHeight w:val="270"/>
        </w:trPr>
        <w:tc>
          <w:tcPr>
            <w:tcW w:w="260" w:type="dxa"/>
            <w:vAlign w:val="bottom"/>
          </w:tcPr>
          <w:p>
            <w:pPr>
              <w:spacing w:after="0"/>
              <w:rPr>
                <w:sz w:val="23"/>
                <w:szCs w:val="23"/>
                <w:color w:val="auto"/>
              </w:rPr>
            </w:pPr>
          </w:p>
        </w:tc>
        <w:tc>
          <w:tcPr>
            <w:tcW w:w="332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25,066,000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536,000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2.01%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18,891,000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963,000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3.62%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15,108,000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852,000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11,423,000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306,000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11,289,000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465,000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1.75%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10,886,000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626,000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2.35%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10,368,000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264,000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0.99%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7,239,000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321,000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7,104,000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0.98%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478,000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6,535,000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0.90%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315,000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6,425,000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6,393,000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327,000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6,332,000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6,149,000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0.40%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6,127,000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1.99%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6,020,000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218,000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5,692,000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224,000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0.84%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5,670,000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186,000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0.70%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5,187,000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0.56%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4,772,000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4,503,000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4,452,000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4,204,000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51,000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4,192,000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1.55%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4,026,000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57,000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0.21%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47"/>
        </w:trPr>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59"/>
              <w:spacing w:after="0"/>
              <w:rPr>
                <w:sz w:val="20"/>
                <w:szCs w:val="20"/>
                <w:color w:val="auto"/>
              </w:rPr>
            </w:pPr>
            <w:r>
              <w:rPr>
                <w:rFonts w:ascii="Arial" w:cs="Arial" w:eastAsia="Arial" w:hAnsi="Arial"/>
                <w:sz w:val="16"/>
                <w:szCs w:val="16"/>
                <w:color w:val="auto"/>
              </w:rPr>
              <w:t>204,053,000</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28.12%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8,338,000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31.32%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-4139565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-3796665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-3453765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-3110865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-2767965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-2425065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-2082165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-1739265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-1396365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-1053465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-710565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-367665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-16510</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80"/>
            <w:col w:w="5660"/>
          </w:cols>
          <w:pgMar w:left="320" w:top="715" w:right="3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00" w:type="dxa"/>
            <w:vAlign w:val="bottom"/>
          </w:tcPr>
          <w:p>
            <w:pPr>
              <w:spacing w:after="0"/>
              <w:rPr>
                <w:sz w:val="20"/>
                <w:szCs w:val="20"/>
                <w:color w:val="auto"/>
              </w:rPr>
            </w:pPr>
            <w:r>
              <w:rPr>
                <w:rFonts w:ascii="Arial" w:cs="Arial" w:eastAsia="Arial" w:hAnsi="Arial"/>
                <w:sz w:val="16"/>
                <w:szCs w:val="16"/>
                <w:color w:val="auto"/>
              </w:rPr>
              <w:t>Total (5):</w:t>
            </w:r>
          </w:p>
        </w:tc>
        <w:tc>
          <w:tcPr>
            <w:tcW w:w="4340" w:type="dxa"/>
            <w:vAlign w:val="bottom"/>
          </w:tcPr>
          <w:p>
            <w:pPr>
              <w:jc w:val="right"/>
              <w:ind w:right="639"/>
              <w:spacing w:after="0"/>
              <w:rPr>
                <w:sz w:val="20"/>
                <w:szCs w:val="20"/>
                <w:color w:val="auto"/>
              </w:rPr>
            </w:pPr>
            <w:r>
              <w:rPr>
                <w:rFonts w:ascii="Arial" w:cs="Arial" w:eastAsia="Arial" w:hAnsi="Arial"/>
                <w:sz w:val="16"/>
                <w:szCs w:val="16"/>
                <w:color w:val="auto"/>
              </w:rPr>
              <w:t>$   725,731,000  (2)</w:t>
            </w:r>
          </w:p>
        </w:tc>
        <w:tc>
          <w:tcPr>
            <w:tcW w:w="1780" w:type="dxa"/>
            <w:vAlign w:val="bottom"/>
          </w:tcPr>
          <w:p>
            <w:pPr>
              <w:jc w:val="right"/>
              <w:spacing w:after="0"/>
              <w:rPr>
                <w:sz w:val="20"/>
                <w:szCs w:val="20"/>
                <w:color w:val="auto"/>
              </w:rPr>
            </w:pPr>
            <w:r>
              <w:rPr>
                <w:rFonts w:ascii="Arial" w:cs="Arial" w:eastAsia="Arial" w:hAnsi="Arial"/>
                <w:sz w:val="16"/>
                <w:szCs w:val="16"/>
                <w:color w:val="auto"/>
              </w:rPr>
              <w:t>26,620,000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Credit Ratings are as of June 30, 2020. Subsequent rating changes have not been reflected.</w:t>
      </w:r>
    </w:p>
    <w:p>
      <w:pPr>
        <w:spacing w:after="0" w:line="86" w:lineRule="exact"/>
        <w:rPr>
          <w:rFonts w:ascii="Arial" w:cs="Arial" w:eastAsia="Arial" w:hAnsi="Arial"/>
          <w:sz w:val="16"/>
          <w:szCs w:val="16"/>
          <w:color w:val="auto"/>
        </w:rPr>
      </w:pPr>
    </w:p>
    <w:p>
      <w:pPr>
        <w:ind w:left="600" w:right="300" w:hanging="565"/>
        <w:spacing w:after="0" w:line="293"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rents billed on a cash basis without taking the impact of rent abatements into account) minimum rent for all occupied spaces as of June 30, 2020.</w:t>
      </w:r>
    </w:p>
    <w:p>
      <w:pPr>
        <w:spacing w:after="0" w:line="23"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15" w:right="339"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Tenant Diversification by Category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below reflects the breakout of our Annualized Base Rent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as of June 30, 2020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40575" cy="4637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25% of Annualized Base Rent comes from Essential Retail</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21% of Annualized Base Rent comes from Office and Residential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71" w:lineRule="exact"/>
        <w:rPr>
          <w:sz w:val="20"/>
          <w:szCs w:val="20"/>
          <w:color w:val="auto"/>
        </w:rPr>
      </w:pPr>
    </w:p>
    <w:p>
      <w:pPr>
        <w:ind w:left="800" w:hanging="441"/>
        <w:spacing w:after="0" w:line="263"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aggregate, annualized in-place contractual (defined as rents billed on a cash basis without taking the impact of rent abatements into account) minimum rent for all occupied spaces and occupied residential units as of June 30, 2020. Excludes redevelopment square footage not yet placed in service.</w:t>
      </w:r>
    </w:p>
    <w:p>
      <w:pPr>
        <w:spacing w:after="0" w:line="21"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Communications &amp; Home Office includes: Telecommunications, Electronics, and Office Supply.</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Restaurants comprise full service (less than 8%) and quick service (less than 8%).</w:t>
      </w:r>
    </w:p>
    <w:p>
      <w:pPr>
        <w:spacing w:after="0" w:line="63" w:lineRule="exact"/>
        <w:rPr>
          <w:rFonts w:ascii="Arial" w:cs="Arial" w:eastAsia="Arial" w:hAnsi="Arial"/>
          <w:sz w:val="18"/>
          <w:szCs w:val="18"/>
          <w:color w:val="auto"/>
        </w:rPr>
      </w:pPr>
    </w:p>
    <w:p>
      <w:pPr>
        <w:ind w:left="800" w:hanging="44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715" w:right="5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2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b w:val="1"/>
          <w:bCs w:val="1"/>
          <w:color w:val="auto"/>
        </w:rPr>
        <w:t xml:space="preserve">EBITDA for Real Estate ("EBITDAre"): </w:t>
      </w:r>
      <w:r>
        <w:rPr>
          <w:rFonts w:ascii="Arial" w:cs="Arial" w:eastAsia="Arial" w:hAnsi="Arial"/>
          <w:sz w:val="16"/>
          <w:szCs w:val="16"/>
          <w:color w:val="auto"/>
        </w:rPr>
        <w:t>EBITDAre is a non-GAAP measure that the National Association of Real Estate Investment Trusts ("NAREIT") defines</w:t>
      </w:r>
      <w:r>
        <w:rPr>
          <w:rFonts w:ascii="Arial" w:cs="Arial" w:eastAsia="Arial" w:hAnsi="Arial"/>
          <w:sz w:val="16"/>
          <w:szCs w:val="16"/>
          <w:b w:val="1"/>
          <w:bCs w:val="1"/>
          <w:color w:val="auto"/>
        </w:rPr>
        <w:t xml:space="preserve"> </w:t>
      </w:r>
      <w:r>
        <w:rPr>
          <w:rFonts w:ascii="Arial" w:cs="Arial" w:eastAsia="Arial" w:hAnsi="Arial"/>
          <w:sz w:val="16"/>
          <w:szCs w:val="16"/>
          <w:color w:val="auto"/>
        </w:rPr>
        <w:t>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2020 and 2019 and the trailing twelve months ended June 30,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12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Trailing Twelve</w:t>
            </w:r>
          </w:p>
        </w:tc>
      </w:tr>
      <w:tr>
        <w:trPr>
          <w:trHeight w:val="276"/>
        </w:trPr>
        <w:tc>
          <w:tcPr>
            <w:tcW w:w="4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Months Ended</w:t>
            </w:r>
          </w:p>
        </w:tc>
      </w:tr>
      <w:tr>
        <w:trPr>
          <w:trHeight w:val="263"/>
        </w:trPr>
        <w:tc>
          <w:tcPr>
            <w:tcW w:w="49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June 30, 2020</w:t>
            </w:r>
          </w:p>
        </w:tc>
      </w:tr>
      <w:tr>
        <w:trPr>
          <w:trHeight w:val="263"/>
        </w:trPr>
        <w:tc>
          <w:tcPr>
            <w:tcW w:w="4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10,859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82,667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67,300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144,470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283,372</w:t>
            </w:r>
          </w:p>
        </w:tc>
      </w:tr>
      <w:tr>
        <w:trPr>
          <w:trHeight w:val="239"/>
        </w:trPr>
        <w:tc>
          <w:tcPr>
            <w:tcW w:w="496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34,073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27,482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62,518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55,515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116,626</w:t>
            </w:r>
          </w:p>
        </w:tc>
      </w:tr>
      <w:tr>
        <w:trPr>
          <w:trHeight w:val="31"/>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(1,717)</w:t>
            </w:r>
          </w:p>
        </w:tc>
      </w:tr>
      <w:tr>
        <w:trPr>
          <w:trHeight w:val="239"/>
        </w:trPr>
        <w:tc>
          <w:tcPr>
            <w:tcW w:w="4960" w:type="dxa"/>
            <w:vAlign w:val="bottom"/>
          </w:tcPr>
          <w:p>
            <w:pPr>
              <w:ind w:left="40"/>
              <w:spacing w:after="0"/>
              <w:rPr>
                <w:sz w:val="20"/>
                <w:szCs w:val="20"/>
                <w:color w:val="auto"/>
              </w:rPr>
            </w:pPr>
            <w:r>
              <w:rPr>
                <w:rFonts w:ascii="Arial" w:cs="Arial" w:eastAsia="Arial" w:hAnsi="Arial"/>
                <w:sz w:val="17"/>
                <w:szCs w:val="17"/>
                <w:color w:val="auto"/>
              </w:rPr>
              <w:t>Income tax (benefit) provision</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405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6</w:t>
            </w:r>
          </w:p>
        </w:tc>
      </w:tr>
      <w:tr>
        <w:trPr>
          <w:trHeight w:val="31"/>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4"/>
              </w:rPr>
              <w:t>124,972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246,051</w:t>
            </w:r>
          </w:p>
        </w:tc>
      </w:tr>
      <w:tr>
        <w:trPr>
          <w:trHeight w:val="239"/>
        </w:trPr>
        <w:tc>
          <w:tcPr>
            <w:tcW w:w="496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(11,682)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(16,352)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(11,682)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(112,109)</w:t>
            </w:r>
          </w:p>
        </w:tc>
      </w:tr>
      <w:tr>
        <w:trPr>
          <w:trHeight w:val="31"/>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of EBITDAre of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6,957</w:t>
            </w:r>
          </w:p>
        </w:tc>
      </w:tr>
      <w:tr>
        <w:trPr>
          <w:trHeight w:val="233"/>
        </w:trPr>
        <w:tc>
          <w:tcPr>
            <w:tcW w:w="4960" w:type="dxa"/>
            <w:vAlign w:val="bottom"/>
          </w:tcPr>
          <w:p>
            <w:pPr>
              <w:ind w:left="380"/>
              <w:spacing w:after="0"/>
              <w:rPr>
                <w:sz w:val="20"/>
                <w:szCs w:val="20"/>
                <w:color w:val="auto"/>
              </w:rPr>
            </w:pPr>
            <w:r>
              <w:rPr>
                <w:rFonts w:ascii="Arial" w:cs="Arial" w:eastAsia="Arial" w:hAnsi="Arial"/>
                <w:sz w:val="17"/>
                <w:szCs w:val="17"/>
                <w:color w:val="auto"/>
              </w:rPr>
              <w:t>EBITDAre (1)</w:t>
            </w: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96,741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154,580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94"/>
              </w:rPr>
              <w:t>245,162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305,543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539,186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11430</wp:posOffset>
            </wp:positionV>
            <wp:extent cx="3985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9" w:lineRule="exact"/>
        <w:rPr>
          <w:sz w:val="20"/>
          <w:szCs w:val="20"/>
          <w:color w:val="auto"/>
        </w:rPr>
      </w:pPr>
    </w:p>
    <w:p>
      <w:pPr>
        <w:ind w:left="340" w:right="180" w:hanging="332"/>
        <w:spacing w:after="0" w:line="273"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Excluding the charge related to the buyout of the Kmart lease at Assembly Square Marketplace, our EBITDAre would have been $551.1 million for the trailing twelve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-228600</wp:posOffset>
            </wp:positionV>
            <wp:extent cx="3985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and mortgage interest income, less rental expenses and real estate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 primary</w:t>
      </w:r>
    </w:p>
    <w:p>
      <w:pPr>
        <w:spacing w:after="0" w:line="35" w:lineRule="exact"/>
        <w:rPr>
          <w:sz w:val="20"/>
          <w:szCs w:val="20"/>
          <w:color w:val="auto"/>
        </w:rPr>
      </w:pPr>
    </w:p>
    <w:p>
      <w:pPr>
        <w:ind w:right="700"/>
        <w:spacing w:after="0" w:line="257" w:lineRule="auto"/>
        <w:rPr>
          <w:sz w:val="20"/>
          <w:szCs w:val="20"/>
          <w:color w:val="auto"/>
        </w:rPr>
      </w:pPr>
      <w:r>
        <w:rPr>
          <w:rFonts w:ascii="Arial" w:cs="Arial" w:eastAsia="Arial" w:hAnsi="Arial"/>
          <w:sz w:val="17"/>
          <w:szCs w:val="17"/>
          <w:color w:val="auto"/>
        </w:rPr>
        <w:t>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b w:val="1"/>
          <w:bCs w:val="1"/>
          <w:color w:val="auto"/>
        </w:rPr>
        <w:t xml:space="preserve">Retail Leasing Summary - Lease Rollover Calculation: </w:t>
      </w:r>
      <w:r>
        <w:rPr>
          <w:rFonts w:ascii="Arial" w:cs="Arial" w:eastAsia="Arial" w:hAnsi="Arial"/>
          <w:sz w:val="17"/>
          <w:szCs w:val="17"/>
          <w:color w:val="auto"/>
        </w:rPr>
        <w:t>The rental increases associated with comparable spaces generally include all leases signed for retail space</w:t>
      </w:r>
      <w:r>
        <w:rPr>
          <w:rFonts w:ascii="Arial" w:cs="Arial" w:eastAsia="Arial" w:hAnsi="Arial"/>
          <w:sz w:val="17"/>
          <w:szCs w:val="17"/>
          <w:b w:val="1"/>
          <w:bCs w:val="1"/>
          <w:color w:val="auto"/>
        </w:rPr>
        <w:t xml:space="preserve"> </w:t>
      </w:r>
      <w:r>
        <w:rPr>
          <w:rFonts w:ascii="Arial" w:cs="Arial" w:eastAsia="Arial" w:hAnsi="Arial"/>
          <w:sz w:val="17"/>
          <w:szCs w:val="17"/>
          <w:color w:val="auto"/>
        </w:rPr>
        <w:t>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100"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b w:val="1"/>
          <w:bCs w:val="1"/>
          <w:color w:val="auto"/>
        </w:rPr>
        <w:t xml:space="preserve">Tenant Improvements and Incentives: </w:t>
      </w:r>
      <w:r>
        <w:rPr>
          <w:rFonts w:ascii="Arial" w:cs="Arial" w:eastAsia="Arial" w:hAnsi="Arial"/>
          <w:sz w:val="15"/>
          <w:szCs w:val="15"/>
          <w:color w:val="auto"/>
        </w:rPr>
        <w:t>Represents not only the total dollars committed for the improvement (fit-out) of a space as it relates to a specific lease and,</w:t>
      </w:r>
      <w:r>
        <w:rPr>
          <w:rFonts w:ascii="Arial" w:cs="Arial" w:eastAsia="Arial" w:hAnsi="Arial"/>
          <w:sz w:val="15"/>
          <w:szCs w:val="15"/>
          <w:b w:val="1"/>
          <w:bCs w:val="1"/>
          <w:color w:val="auto"/>
        </w:rPr>
        <w:t xml:space="preserve"> </w:t>
      </w:r>
      <w:r>
        <w:rPr>
          <w:rFonts w:ascii="Arial" w:cs="Arial" w:eastAsia="Arial" w:hAnsi="Arial"/>
          <w:sz w:val="15"/>
          <w:szCs w:val="15"/>
          <w:color w:val="auto"/>
        </w:rPr>
        <w:t>except for redevelopments, may also include base building costs (i.e. expansion, escalators or new entrances) which are required to make the space leasable. Incentives include amounts paid to tenants as an inducement to sign a lease that do not representbuilding improvements. Costs related to redevelopments require judgment by management in determining what reflects base building cost and thus, is not included in the "tenant improvements and incentives" amount.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2020-08-05T15:38:43Z</dcterms:created>
  <dcterms:modified xsi:type="dcterms:W3CDTF">2020-08-05T15:38:43Z</dcterms:modified>
</cp:coreProperties>
</file>