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84"/>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87-3916363</w:t>
      </w:r>
    </w:p>
    <w:p>
      <w:pPr>
        <w:spacing w:after="0" w:line="31" w:lineRule="exact"/>
        <w:rPr>
          <w:sz w:val="24"/>
          <w:szCs w:val="24"/>
          <w:color w:val="auto"/>
        </w:rPr>
      </w:pPr>
    </w:p>
    <w:p>
      <w:pPr>
        <w:sectPr>
          <w:pgSz w:w="11900" w:h="16838" w:orient="portrait"/>
          <w:cols w:equalWidth="0" w:num="3">
            <w:col w:w="4604" w:space="720"/>
            <w:col w:w="27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154" w:lineRule="exact"/>
        <w:rPr>
          <w:sz w:val="24"/>
          <w:szCs w:val="24"/>
          <w:color w:val="auto"/>
        </w:rPr>
      </w:pPr>
    </w:p>
    <w:p>
      <w:pPr>
        <w:ind w:left="1684"/>
        <w:spacing w:after="0"/>
        <w:rPr>
          <w:sz w:val="20"/>
          <w:szCs w:val="20"/>
          <w:color w:val="auto"/>
        </w:rPr>
      </w:pPr>
      <w:r>
        <w:rPr>
          <w:rFonts w:ascii="Arial" w:cs="Arial" w:eastAsia="Arial" w:hAnsi="Arial"/>
          <w:sz w:val="15"/>
          <w:szCs w:val="15"/>
          <w:b w:val="1"/>
          <w:bCs w:val="1"/>
          <w:color w:val="auto"/>
        </w:rPr>
        <w:t>909 Rose Avenue, Suite 200,</w:t>
      </w:r>
    </w:p>
    <w:p>
      <w:pPr>
        <w:spacing w:after="0" w:line="62" w:lineRule="exact"/>
        <w:rPr>
          <w:sz w:val="24"/>
          <w:szCs w:val="24"/>
          <w:color w:val="auto"/>
        </w:rPr>
      </w:pPr>
    </w:p>
    <w:p>
      <w:pPr>
        <w:ind w:left="1724"/>
        <w:spacing w:after="0"/>
        <w:rPr>
          <w:sz w:val="20"/>
          <w:szCs w:val="20"/>
          <w:color w:val="auto"/>
        </w:rPr>
      </w:pPr>
      <w:r>
        <w:rPr>
          <w:rFonts w:ascii="Arial" w:cs="Arial" w:eastAsia="Arial" w:hAnsi="Arial"/>
          <w:sz w:val="16"/>
          <w:szCs w:val="16"/>
          <w:b w:val="1"/>
          <w:bCs w:val="1"/>
          <w:color w:val="auto"/>
        </w:rPr>
        <w:t>North Bethesda, Maryland</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50" w:lineRule="exact"/>
        <w:rPr>
          <w:sz w:val="24"/>
          <w:szCs w:val="24"/>
          <w:color w:val="auto"/>
        </w:rPr>
      </w:pPr>
    </w:p>
    <w:p>
      <w:pPr>
        <w:sectPr>
          <w:pgSz w:w="11900" w:h="16838" w:orient="portrait"/>
          <w:cols w:equalWidth="0" w:num="2">
            <w:col w:w="7164" w:space="720"/>
            <w:col w:w="3140"/>
          </w:cols>
          <w:pgMar w:left="436" w:top="368" w:right="439" w:bottom="1440" w:gutter="0" w:footer="0" w:header="0"/>
          <w:type w:val="continuous"/>
        </w:sectPr>
      </w:pPr>
    </w:p>
    <w:p>
      <w:pPr>
        <w:ind w:left="156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264" w:space="720"/>
            <w:col w:w="30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180340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4"/>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Shares of Beneficial Interest $.01 par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FRT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value per share, with associated Common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 Rights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Depositary Shares, each representing 1/1000 of a</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FRT-C</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share of 5.00% Series C 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Redeemable Preferred Stock, $.01 par value per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w:t>
      </w:r>
      <w:r>
        <w:rPr>
          <w:rFonts w:ascii="MS PGothic" w:cs="MS PGothic" w:eastAsia="MS PGothic" w:hAnsi="MS PGothic"/>
          <w:sz w:val="18"/>
          <w:szCs w:val="18"/>
          <w:color w:val="auto"/>
        </w:rPr>
        <w:t>☐</w:t>
      </w:r>
    </w:p>
    <w:p>
      <w:pPr>
        <w:spacing w:after="0" w:line="115" w:lineRule="exact"/>
        <w:rPr>
          <w:sz w:val="24"/>
          <w:szCs w:val="24"/>
          <w:color w:val="auto"/>
        </w:rPr>
      </w:pPr>
    </w:p>
    <w:p>
      <w:pPr>
        <w:ind w:left="4"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121"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As previously disclosed, on December 2, 2021, the company formerly known as Federal Realty Investment Trust, a Maryland real estate investment trust (“</w:t>
      </w:r>
      <w:r>
        <w:rPr>
          <w:rFonts w:ascii="Arial" w:cs="Arial" w:eastAsia="Arial" w:hAnsi="Arial"/>
          <w:sz w:val="17"/>
          <w:szCs w:val="17"/>
          <w:u w:val="single" w:color="auto"/>
          <w:color w:val="auto"/>
        </w:rPr>
        <w:t>Old FRT</w:t>
      </w:r>
      <w:r>
        <w:rPr>
          <w:rFonts w:ascii="Arial" w:cs="Arial" w:eastAsia="Arial" w:hAnsi="Arial"/>
          <w:sz w:val="17"/>
          <w:szCs w:val="17"/>
          <w:color w:val="auto"/>
        </w:rPr>
        <w:t>”), entered into a Merger Agreement and Plan of Reorganization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with the company formerly known as FRT Holdco REIT, which was a Maryland real estate investment trust and wholly-owned subsidiary of Old FRT (“</w:t>
      </w:r>
      <w:r>
        <w:rPr>
          <w:rFonts w:ascii="Arial" w:cs="Arial" w:eastAsia="Arial" w:hAnsi="Arial"/>
          <w:sz w:val="17"/>
          <w:szCs w:val="17"/>
          <w:u w:val="single" w:color="auto"/>
          <w:color w:val="auto"/>
        </w:rPr>
        <w:t>Holdco</w:t>
      </w:r>
      <w:r>
        <w:rPr>
          <w:rFonts w:ascii="Arial" w:cs="Arial" w:eastAsia="Arial" w:hAnsi="Arial"/>
          <w:sz w:val="17"/>
          <w:szCs w:val="17"/>
          <w:color w:val="auto"/>
        </w:rPr>
        <w:t>”), and FRT Merger Sub REIT, which was a Maryland real estate investment trust and wholly-owned subsidiary of Holdco (“</w:t>
      </w:r>
      <w:r>
        <w:rPr>
          <w:rFonts w:ascii="Arial" w:cs="Arial" w:eastAsia="Arial" w:hAnsi="Arial"/>
          <w:sz w:val="17"/>
          <w:szCs w:val="17"/>
          <w:u w:val="single" w:color="auto"/>
          <w:color w:val="auto"/>
        </w:rPr>
        <w:t>Merger Sub</w:t>
      </w:r>
      <w:r>
        <w:rPr>
          <w:rFonts w:ascii="Arial" w:cs="Arial" w:eastAsia="Arial" w:hAnsi="Arial"/>
          <w:sz w:val="17"/>
          <w:szCs w:val="17"/>
          <w:color w:val="auto"/>
        </w:rPr>
        <w:t>”). The purpose of the transactions contemplated by the Merger Agreement was for Old FRT to implement a corporate reorganization into a new holding company structure commonly referred to as an Umbrella Partnership Real Estate Investment Trust, or UPREIT (the “</w:t>
      </w:r>
      <w:r>
        <w:rPr>
          <w:rFonts w:ascii="Arial" w:cs="Arial" w:eastAsia="Arial" w:hAnsi="Arial"/>
          <w:sz w:val="17"/>
          <w:szCs w:val="17"/>
          <w:u w:val="single" w:color="auto"/>
          <w:color w:val="auto"/>
        </w:rPr>
        <w:t>Reorganization</w:t>
      </w:r>
      <w:r>
        <w:rPr>
          <w:rFonts w:ascii="Arial" w:cs="Arial" w:eastAsia="Arial" w:hAnsi="Arial"/>
          <w:sz w:val="17"/>
          <w:szCs w:val="17"/>
          <w:color w:val="auto"/>
        </w:rPr>
        <w:t>”).</w:t>
      </w:r>
    </w:p>
    <w:p>
      <w:pPr>
        <w:spacing w:after="0" w:line="178"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Effective on January 1, 2022, pursuant to the Merger Agreement, Merger Sub merged with and into Old FRT, with Old FRT being the surviving entity and becoming a wholly-owned subsidiary of Holdco (the “</w:t>
      </w:r>
      <w:r>
        <w:rPr>
          <w:rFonts w:ascii="Arial" w:cs="Arial" w:eastAsia="Arial" w:hAnsi="Arial"/>
          <w:sz w:val="18"/>
          <w:szCs w:val="18"/>
          <w:u w:val="single" w:color="auto"/>
          <w:color w:val="auto"/>
        </w:rPr>
        <w:t>Merger</w:t>
      </w:r>
      <w:r>
        <w:rPr>
          <w:rFonts w:ascii="Arial" w:cs="Arial" w:eastAsia="Arial" w:hAnsi="Arial"/>
          <w:sz w:val="18"/>
          <w:szCs w:val="18"/>
          <w:color w:val="auto"/>
        </w:rPr>
        <w:t>”). In connection with the Merger, Old FRT’s name was changed to Federal Realty Interim Real Estate Investment Trust, and Holdco’s name was changed to Federal Realty Investment Trust. In this Current Report, we refer to Holdco after the Merger as “</w:t>
      </w:r>
      <w:r>
        <w:rPr>
          <w:rFonts w:ascii="Arial" w:cs="Arial" w:eastAsia="Arial" w:hAnsi="Arial"/>
          <w:sz w:val="18"/>
          <w:szCs w:val="18"/>
          <w:u w:val="single" w:color="auto"/>
          <w:color w:val="auto"/>
        </w:rPr>
        <w:t>New FRT</w:t>
      </w:r>
      <w:r>
        <w:rPr>
          <w:rFonts w:ascii="Arial" w:cs="Arial" w:eastAsia="Arial" w:hAnsi="Arial"/>
          <w:sz w:val="18"/>
          <w:szCs w:val="18"/>
          <w:color w:val="auto"/>
        </w:rPr>
        <w:t>.”</w:t>
      </w:r>
    </w:p>
    <w:p>
      <w:pPr>
        <w:spacing w:after="0" w:line="18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Also pursuant to the Merger Agreement, Old FRT expects to convert from a Maryland real estate investment trust into a Delaware limited partnership known as Federal Realty OP LP effective as of January 4, 2022 (the “</w:t>
      </w:r>
      <w:r>
        <w:rPr>
          <w:rFonts w:ascii="Arial" w:cs="Arial" w:eastAsia="Arial" w:hAnsi="Arial"/>
          <w:sz w:val="18"/>
          <w:szCs w:val="18"/>
          <w:u w:val="single" w:color="auto"/>
          <w:color w:val="auto"/>
        </w:rPr>
        <w:t>Partnership Conversion</w:t>
      </w:r>
      <w:r>
        <w:rPr>
          <w:rFonts w:ascii="Arial" w:cs="Arial" w:eastAsia="Arial" w:hAnsi="Arial"/>
          <w:sz w:val="18"/>
          <w:szCs w:val="18"/>
          <w:color w:val="auto"/>
        </w:rPr>
        <w:t>”). In this Current Report, we refer to Old FRT after the effectiveness of the Partnership Conversion as the “</w:t>
      </w:r>
      <w:r>
        <w:rPr>
          <w:rFonts w:ascii="Arial" w:cs="Arial" w:eastAsia="Arial" w:hAnsi="Arial"/>
          <w:sz w:val="18"/>
          <w:szCs w:val="18"/>
          <w:u w:val="single" w:color="auto"/>
          <w:color w:val="auto"/>
        </w:rPr>
        <w:t>Partnership</w:t>
      </w:r>
      <w:r>
        <w:rPr>
          <w:rFonts w:ascii="Arial" w:cs="Arial" w:eastAsia="Arial" w:hAnsi="Arial"/>
          <w:sz w:val="18"/>
          <w:szCs w:val="18"/>
          <w:color w:val="auto"/>
        </w:rPr>
        <w:t>.”</w:t>
      </w:r>
    </w:p>
    <w:p>
      <w:pPr>
        <w:spacing w:after="0" w:line="184"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The purpose of this Current Report on Form 8-K is to disclose matters in connection with the completion of the Merger and to provide notice pursuant to Rule 12g-3(f) under the Securities Exchange Act of 1934 (the “</w:t>
      </w:r>
      <w:r>
        <w:rPr>
          <w:rFonts w:ascii="Arial" w:cs="Arial" w:eastAsia="Arial" w:hAnsi="Arial"/>
          <w:sz w:val="18"/>
          <w:szCs w:val="18"/>
          <w:u w:val="single" w:color="auto"/>
          <w:color w:val="auto"/>
        </w:rPr>
        <w:t>Exchange Act</w:t>
      </w:r>
      <w:r>
        <w:rPr>
          <w:rFonts w:ascii="Arial" w:cs="Arial" w:eastAsia="Arial" w:hAnsi="Arial"/>
          <w:sz w:val="18"/>
          <w:szCs w:val="18"/>
          <w:color w:val="auto"/>
        </w:rPr>
        <w:t>”) that, following the Merger, New FRT became the successor issuer to Old FRT. More specifically, pursuant to Exchange Act Rule 12g-3(a), the New FRT Common Shares and New FRT Series C Depositary Shares (as each such term is defined below) issued in connection with the Merger are deemed registered under Section 12(b) of the Exchange Act.</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above under Explanatory Note is incorporated hereunder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Merger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disclosed above, the Merger became effective on January 1, 2022. The Merger, which was unanimously approved by Old FRT’s board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trustees on December 2, 2021, was conducted in accordance with Section 3-106.2 of the Maryland General Corporation Law and Section 501.1(c)(6)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Maryland REIT Law. Accordingly, the Merger did not require the approval of Old FRT’s shareholders, and the Merger did not give rise to statutory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dissenters’ rights. The Merger is expected to qualify as a reorganization under Section 368(a) of the Internal Revenue Code of 1986,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and Old FRT’s shareholders are not expected to recognize gain or loss for federal income tax purposes as a result of the Merger. Following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Merger, New FRT intends to qualify as a real estate investment trust for federal income tax purposes (a “</w:t>
      </w:r>
      <w:r>
        <w:rPr>
          <w:rFonts w:ascii="Arial" w:cs="Arial" w:eastAsia="Arial" w:hAnsi="Arial"/>
          <w:sz w:val="18"/>
          <w:szCs w:val="18"/>
          <w:u w:val="single" w:color="auto"/>
          <w:color w:val="auto"/>
        </w:rPr>
        <w:t>REIT</w:t>
      </w: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Treatment of Outstanding Shares in the Merger</w:t>
      </w:r>
    </w:p>
    <w:p>
      <w:pPr>
        <w:spacing w:after="0" w:line="12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At the effective time of the Merger (the “</w:t>
      </w:r>
      <w:r>
        <w:rPr>
          <w:rFonts w:ascii="Arial" w:cs="Arial" w:eastAsia="Arial" w:hAnsi="Arial"/>
          <w:sz w:val="16"/>
          <w:szCs w:val="16"/>
          <w:u w:val="single" w:color="auto"/>
          <w:color w:val="auto"/>
        </w:rPr>
        <w:t>Merger Effective Time</w:t>
      </w:r>
      <w:r>
        <w:rPr>
          <w:rFonts w:ascii="Arial" w:cs="Arial" w:eastAsia="Arial" w:hAnsi="Arial"/>
          <w:sz w:val="16"/>
          <w:szCs w:val="16"/>
          <w:color w:val="auto"/>
        </w:rPr>
        <w:t>”), (a) the separate existence of Merger Sub ceased; (b) each outstanding common share of beneficial interest, par value $.01 per share, of Old FRT (“</w:t>
      </w:r>
      <w:r>
        <w:rPr>
          <w:rFonts w:ascii="Arial" w:cs="Arial" w:eastAsia="Arial" w:hAnsi="Arial"/>
          <w:sz w:val="16"/>
          <w:szCs w:val="16"/>
          <w:u w:val="single" w:color="auto"/>
          <w:color w:val="auto"/>
        </w:rPr>
        <w:t>Old FRT Common Shares</w:t>
      </w:r>
      <w:r>
        <w:rPr>
          <w:rFonts w:ascii="Arial" w:cs="Arial" w:eastAsia="Arial" w:hAnsi="Arial"/>
          <w:sz w:val="16"/>
          <w:szCs w:val="16"/>
          <w:color w:val="auto"/>
        </w:rPr>
        <w:t>”), converted on a share for share basis into a common share of beneficial interest, par value $.01 per share, of New FRT (“</w:t>
      </w:r>
      <w:r>
        <w:rPr>
          <w:rFonts w:ascii="Arial" w:cs="Arial" w:eastAsia="Arial" w:hAnsi="Arial"/>
          <w:sz w:val="16"/>
          <w:szCs w:val="16"/>
          <w:u w:val="single" w:color="auto"/>
          <w:color w:val="auto"/>
        </w:rPr>
        <w:t>New FRT Common Shares</w:t>
      </w:r>
      <w:r>
        <w:rPr>
          <w:rFonts w:ascii="Arial" w:cs="Arial" w:eastAsia="Arial" w:hAnsi="Arial"/>
          <w:sz w:val="16"/>
          <w:szCs w:val="16"/>
          <w:color w:val="auto"/>
        </w:rPr>
        <w:t>”); (c) each outstanding Series 1 preferred share of beneficial interest, par value $.01 per share, of Old FRT (“</w:t>
      </w:r>
      <w:r>
        <w:rPr>
          <w:rFonts w:ascii="Arial" w:cs="Arial" w:eastAsia="Arial" w:hAnsi="Arial"/>
          <w:sz w:val="16"/>
          <w:szCs w:val="16"/>
          <w:u w:val="single" w:color="auto"/>
          <w:color w:val="auto"/>
        </w:rPr>
        <w:t>Old FRT Series 1 Preferred Shares</w:t>
      </w:r>
      <w:r>
        <w:rPr>
          <w:rFonts w:ascii="Arial" w:cs="Arial" w:eastAsia="Arial" w:hAnsi="Arial"/>
          <w:sz w:val="16"/>
          <w:szCs w:val="16"/>
          <w:color w:val="auto"/>
        </w:rPr>
        <w:t>”), was converted on a share for share basis into a Series 1 preferred share of beneficial interest, par value $.01 per share, of New FRT (“</w:t>
      </w:r>
      <w:r>
        <w:rPr>
          <w:rFonts w:ascii="Arial" w:cs="Arial" w:eastAsia="Arial" w:hAnsi="Arial"/>
          <w:sz w:val="16"/>
          <w:szCs w:val="16"/>
          <w:u w:val="single" w:color="auto"/>
          <w:color w:val="auto"/>
        </w:rPr>
        <w:t>New FRT Series 1 Preferred Shares</w:t>
      </w:r>
      <w:r>
        <w:rPr>
          <w:rFonts w:ascii="Arial" w:cs="Arial" w:eastAsia="Arial" w:hAnsi="Arial"/>
          <w:sz w:val="16"/>
          <w:szCs w:val="16"/>
          <w:color w:val="auto"/>
        </w:rPr>
        <w:t>”); (d) each outstanding Series C preferred share of beneficial interest, par value $.01 per share, of Old FRT (“</w:t>
      </w:r>
      <w:r>
        <w:rPr>
          <w:rFonts w:ascii="Arial" w:cs="Arial" w:eastAsia="Arial" w:hAnsi="Arial"/>
          <w:sz w:val="16"/>
          <w:szCs w:val="16"/>
          <w:u w:val="single" w:color="auto"/>
          <w:color w:val="auto"/>
        </w:rPr>
        <w:t>Old FRT Series C Preferred Shares</w:t>
      </w:r>
      <w:r>
        <w:rPr>
          <w:rFonts w:ascii="Arial" w:cs="Arial" w:eastAsia="Arial" w:hAnsi="Arial"/>
          <w:sz w:val="16"/>
          <w:szCs w:val="16"/>
          <w:color w:val="auto"/>
        </w:rPr>
        <w:t>”), was converted on a share for share basis into a Series C preferred share of beneficial interest, par value $.01 per share, of New FRT (“</w:t>
      </w:r>
      <w:r>
        <w:rPr>
          <w:rFonts w:ascii="Arial" w:cs="Arial" w:eastAsia="Arial" w:hAnsi="Arial"/>
          <w:sz w:val="16"/>
          <w:szCs w:val="16"/>
          <w:u w:val="single" w:color="auto"/>
          <w:color w:val="auto"/>
        </w:rPr>
        <w:t>New FRT Series C Preferred Shares</w:t>
      </w:r>
      <w:r>
        <w:rPr>
          <w:rFonts w:ascii="Arial" w:cs="Arial" w:eastAsia="Arial" w:hAnsi="Arial"/>
          <w:sz w:val="16"/>
          <w:szCs w:val="16"/>
          <w:color w:val="auto"/>
        </w:rPr>
        <w:t>”); and (e) each outstanding depositary share representing interests in the Old FRT Series C Preferred Shares (the “</w:t>
      </w:r>
      <w:r>
        <w:rPr>
          <w:rFonts w:ascii="Arial" w:cs="Arial" w:eastAsia="Arial" w:hAnsi="Arial"/>
          <w:sz w:val="16"/>
          <w:szCs w:val="16"/>
          <w:u w:val="single" w:color="auto"/>
          <w:color w:val="auto"/>
        </w:rPr>
        <w:t>Old FRT Series C Depositary Shares</w:t>
      </w:r>
      <w:r>
        <w:rPr>
          <w:rFonts w:ascii="Arial" w:cs="Arial" w:eastAsia="Arial" w:hAnsi="Arial"/>
          <w:sz w:val="16"/>
          <w:szCs w:val="16"/>
          <w:color w:val="auto"/>
        </w:rPr>
        <w:t>”) was deemed to represent interests in the New FRT Series C Preferred Shares (the “</w:t>
      </w:r>
      <w:r>
        <w:rPr>
          <w:rFonts w:ascii="Arial" w:cs="Arial" w:eastAsia="Arial" w:hAnsi="Arial"/>
          <w:sz w:val="16"/>
          <w:szCs w:val="16"/>
          <w:u w:val="single" w:color="auto"/>
          <w:color w:val="auto"/>
        </w:rPr>
        <w:t>New FRT Series C Depositary Shares</w:t>
      </w:r>
      <w:r>
        <w:rPr>
          <w:rFonts w:ascii="Arial" w:cs="Arial" w:eastAsia="Arial" w:hAnsi="Arial"/>
          <w:sz w:val="16"/>
          <w:szCs w:val="16"/>
          <w:color w:val="auto"/>
        </w:rPr>
        <w:t>”).</w:t>
      </w:r>
    </w:p>
    <w:p>
      <w:pPr>
        <w:spacing w:after="0" w:line="166"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As a result, each shareholder of Old FRT immediately before the Merger Effective Time owned, immediately after the Merger Effective Time, common shares, preferred shares and depositary shares of New FRT in the same amounts and percentages as such shareholder owned in Old FRT immediately before the Merger Effective Time. The Amended and Restated</w:t>
      </w:r>
    </w:p>
    <w:p>
      <w:pPr>
        <w:sectPr>
          <w:pgSz w:w="11900" w:h="16838" w:orient="portrait"/>
          <w:cols w:equalWidth="0" w:num="1">
            <w:col w:w="11000"/>
          </w:cols>
          <w:pgMar w:left="440" w:top="297" w:right="459" w:bottom="1440" w:gutter="0" w:footer="0" w:header="0"/>
        </w:sectPr>
      </w:pPr>
    </w:p>
    <w:bookmarkStart w:id="2" w:name="page3"/>
    <w:bookmarkEnd w:id="2"/>
    <w:p>
      <w:pPr>
        <w:ind w:left="4"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Declaration of Trust of New FRT and Amended and Restated Bylaws of New FRT from and after the Merger Effective Time are substantially identical to the declaration of trust and bylaws of Old FRT immediately before the Merger Effective Time. Accordingly, each New FRT Common Share, New FRT Series 1 Preferred Share and New FRT Series C Preferred Share has the same designations, rights, powers and preferences, and the same qualifications, limitations, restrictions and other terms as the corresponding Old FRT Common Shares, Old FRT Series 1 Preferred Shares and Old FRT Series C Preferred Shares, respectively, immediately prior to the Merger Effective Time.</w:t>
      </w:r>
    </w:p>
    <w:p>
      <w:pPr>
        <w:spacing w:after="0" w:line="176"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The conversion of Old FRT’s shares into New FRT’s shares in connection with the Merger occurred without an exchange of share certificates. Any certificates representing outstanding Old FRT Common Shares, Old FRT Series 1 Preferred Shares or Old FRT Series C Preferred Shares are deemed to represent the same number and type of shares of New FRT. The New FRT Common Shares will trade on the New York Stock Exchange (the “</w:t>
      </w:r>
      <w:r>
        <w:rPr>
          <w:rFonts w:ascii="Arial" w:cs="Arial" w:eastAsia="Arial" w:hAnsi="Arial"/>
          <w:sz w:val="16"/>
          <w:szCs w:val="16"/>
          <w:u w:val="single" w:color="auto"/>
          <w:color w:val="auto"/>
        </w:rPr>
        <w:t>NYSE</w:t>
      </w:r>
      <w:r>
        <w:rPr>
          <w:rFonts w:ascii="Arial" w:cs="Arial" w:eastAsia="Arial" w:hAnsi="Arial"/>
          <w:sz w:val="16"/>
          <w:szCs w:val="16"/>
          <w:color w:val="auto"/>
        </w:rPr>
        <w:t>”) on an uninterrupted basis under the symbol “FRT,” which is the same symbol formerly used for the Old FRT Common Shares, and under the new CUSIP number of 313745101. The New FRT Series C Depositary Shares will trade on the NYSE on an uninterrupted basis under the symbol “FRT/PC,” which is the same symbol formerly used for the Old FRT Series C Depositary Shares, under the new CUSIP number of 313745200.</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Dividends</w:t>
      </w:r>
    </w:p>
    <w:p>
      <w:pPr>
        <w:spacing w:after="0" w:line="121"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As previously disclosed on November 4, 2021, the board of trustees of Old FRT declared a quarterly dividend on: (a) Old FRT Common Shares of $1.07 per common share (the “</w:t>
      </w:r>
      <w:r>
        <w:rPr>
          <w:rFonts w:ascii="Arial" w:cs="Arial" w:eastAsia="Arial" w:hAnsi="Arial"/>
          <w:sz w:val="17"/>
          <w:szCs w:val="17"/>
          <w:u w:val="single" w:color="auto"/>
          <w:color w:val="auto"/>
        </w:rPr>
        <w:t>Common Dividend</w:t>
      </w:r>
      <w:r>
        <w:rPr>
          <w:rFonts w:ascii="Arial" w:cs="Arial" w:eastAsia="Arial" w:hAnsi="Arial"/>
          <w:sz w:val="17"/>
          <w:szCs w:val="17"/>
          <w:color w:val="auto"/>
        </w:rPr>
        <w:t>”) payable on January 18, 2022 (the “</w:t>
      </w:r>
      <w:r>
        <w:rPr>
          <w:rFonts w:ascii="Arial" w:cs="Arial" w:eastAsia="Arial" w:hAnsi="Arial"/>
          <w:sz w:val="17"/>
          <w:szCs w:val="17"/>
          <w:u w:val="single" w:color="auto"/>
          <w:color w:val="auto"/>
        </w:rPr>
        <w:t>Dividend Payment Date</w:t>
      </w:r>
      <w:r>
        <w:rPr>
          <w:rFonts w:ascii="Arial" w:cs="Arial" w:eastAsia="Arial" w:hAnsi="Arial"/>
          <w:sz w:val="17"/>
          <w:szCs w:val="17"/>
          <w:color w:val="auto"/>
        </w:rPr>
        <w:t>”) to shareholders of record on January 3, 2022 (the “</w:t>
      </w:r>
      <w:r>
        <w:rPr>
          <w:rFonts w:ascii="Arial" w:cs="Arial" w:eastAsia="Arial" w:hAnsi="Arial"/>
          <w:sz w:val="17"/>
          <w:szCs w:val="17"/>
          <w:u w:val="single" w:color="auto"/>
          <w:color w:val="auto"/>
        </w:rPr>
        <w:t>Dividend Record Date</w:t>
      </w:r>
      <w:r>
        <w:rPr>
          <w:rFonts w:ascii="Arial" w:cs="Arial" w:eastAsia="Arial" w:hAnsi="Arial"/>
          <w:sz w:val="17"/>
          <w:szCs w:val="17"/>
          <w:color w:val="auto"/>
        </w:rPr>
        <w:t>”); and (b) Old FRT Series C Depositary Shares of $0.3125 per depositary share (the “</w:t>
      </w:r>
      <w:r>
        <w:rPr>
          <w:rFonts w:ascii="Arial" w:cs="Arial" w:eastAsia="Arial" w:hAnsi="Arial"/>
          <w:sz w:val="17"/>
          <w:szCs w:val="17"/>
          <w:u w:val="single" w:color="auto"/>
          <w:color w:val="auto"/>
        </w:rPr>
        <w:t>Series C Dividend</w:t>
      </w:r>
      <w:r>
        <w:rPr>
          <w:rFonts w:ascii="Arial" w:cs="Arial" w:eastAsia="Arial" w:hAnsi="Arial"/>
          <w:sz w:val="17"/>
          <w:szCs w:val="17"/>
          <w:color w:val="auto"/>
        </w:rPr>
        <w:t>”) payable on the Dividend Payment Date to holders of record on the Dividend Record Date. Old FRT’s board of trustees also declared a quarterly dividend payment on the Old FRT Series 1 Preferred Shares of $0.338562 per preferred share (the “</w:t>
      </w:r>
      <w:r>
        <w:rPr>
          <w:rFonts w:ascii="Arial" w:cs="Arial" w:eastAsia="Arial" w:hAnsi="Arial"/>
          <w:sz w:val="17"/>
          <w:szCs w:val="17"/>
          <w:u w:val="single" w:color="auto"/>
          <w:color w:val="auto"/>
        </w:rPr>
        <w:t>Series 1 Dividend</w:t>
      </w:r>
      <w:r>
        <w:rPr>
          <w:rFonts w:ascii="Arial" w:cs="Arial" w:eastAsia="Arial" w:hAnsi="Arial"/>
          <w:sz w:val="17"/>
          <w:szCs w:val="17"/>
          <w:color w:val="auto"/>
        </w:rPr>
        <w:t>”) payable on the Dividend Payment Date to shareholders of record on the Dividend Record Date. New FRT will pay the Common Dividend on the Dividend Payment Date to common shareholders of New FRT who are shareholders of record of New FRT Common Shares on the Dividend Record Date. New FRT will also pay on the Dividend Payment Date the Series C Dividend and the Series 1 Dividend to holders of record of New FRT Series C Depositary Shares and New FRT Series 1 Preferred Shares, as applicable, on the Dividend Record Date.</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Outstanding Equity Plans, Awards and Related Arrangements</w:t>
      </w:r>
    </w:p>
    <w:p>
      <w:pPr>
        <w:spacing w:after="0" w:line="121" w:lineRule="exact"/>
        <w:rPr>
          <w:sz w:val="20"/>
          <w:szCs w:val="20"/>
          <w:color w:val="auto"/>
        </w:rPr>
      </w:pPr>
    </w:p>
    <w:p>
      <w:pPr>
        <w:ind w:left="4" w:right="240" w:firstLine="440"/>
        <w:spacing w:after="0" w:line="291" w:lineRule="auto"/>
        <w:rPr>
          <w:sz w:val="20"/>
          <w:szCs w:val="20"/>
          <w:color w:val="auto"/>
        </w:rPr>
      </w:pPr>
      <w:r>
        <w:rPr>
          <w:rFonts w:ascii="Arial" w:cs="Arial" w:eastAsia="Arial" w:hAnsi="Arial"/>
          <w:sz w:val="16"/>
          <w:szCs w:val="16"/>
          <w:color w:val="auto"/>
        </w:rPr>
        <w:t>At the Merger Effective Time, pursuant to an Omnibus Assignment, Assumption and Amendment entered into between Old FRT and New FRT (the “</w:t>
      </w:r>
      <w:r>
        <w:rPr>
          <w:rFonts w:ascii="Arial" w:cs="Arial" w:eastAsia="Arial" w:hAnsi="Arial"/>
          <w:sz w:val="16"/>
          <w:szCs w:val="16"/>
          <w:u w:val="single" w:color="auto"/>
          <w:color w:val="auto"/>
        </w:rPr>
        <w:t>Omnibus Assignment</w:t>
      </w:r>
      <w:r>
        <w:rPr>
          <w:rFonts w:ascii="Arial" w:cs="Arial" w:eastAsia="Arial" w:hAnsi="Arial"/>
          <w:sz w:val="16"/>
          <w:szCs w:val="16"/>
          <w:color w:val="auto"/>
        </w:rPr>
        <w:t>”), Old FRT assigned to New FRT, and New FRT assumed from Old FRT, all of Old FRT’s rights and obligations under</w:t>
      </w:r>
    </w:p>
    <w:p>
      <w:pPr>
        <w:ind w:left="4" w:right="120" w:hanging="4"/>
        <w:spacing w:after="0" w:line="268" w:lineRule="auto"/>
        <w:tabs>
          <w:tab w:leader="none" w:pos="219"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Federal Realty Investment Trust 2020 Performance Incentive Plan and all outstanding awards and award agreements thereunder; (ii) the Federal Realty Investment Trust 2007 Employee Share Purchase Plan; (iii) Old FRT’s Dividend Reinvestment and Share Purchase Plan; (iv) any other plans, policies, agreements and commitments of Old FRT in effect as of immediately before the Merger Effective Time with respect to the issuance of capital shares of Old FRT, as compensation or otherwise, to employees, trustees or other persons; (v) the partnership and limited liability company agreements governing certain downREIT and other subsidiaries and any registration rights agreements entered into in connection therewith; (vi) all of Old FRT’s obligations with respect to any dividends or other distributions to Old FRT’s shareholders that were declared by Old FRT but not paid prior to the Merger Effective Time; and (vii) the Deposit Agreement dated as of September 29, 2017 by and among Old FRT, American Stock Transfer &amp; Trust Company, LLC, as depositary, and all holders from time to time of depositary receipts issued thereunder. From and after the Merger Effective Time, all documentation pertaining to the foregoing will be deemed amended as necessary to provide that references to Old FRT therein shall be read to refer to New FRT. The Omnibus Assignment is attached hereto as Exhibit 10.1.</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Amendments to Loan Agreements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At the Merger Effective Time, Old FRT entered into (i) the Second Amendment to its Amended and Restated Credit Agreement, dated as of</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July 25, 2019, by and among Old FRT, as borrower, Wells Fargo Bank, National Association, as administrative agent, and the lenders and other financial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institutions party thereto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and (ii) the Second Amendment to its Term Loan Agreement, dated May 6, 2020, among Old FRT,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borrower, PNC Bank, National Association, as administrative agent, and the lenders and other financial institutions party thereof (the “</w:t>
      </w:r>
      <w:r>
        <w:rPr>
          <w:rFonts w:ascii="Arial" w:cs="Arial" w:eastAsia="Arial" w:hAnsi="Arial"/>
          <w:sz w:val="16"/>
          <w:szCs w:val="16"/>
          <w:u w:val="single" w:color="auto"/>
          <w:color w:val="auto"/>
        </w:rPr>
        <w:t>Term Loan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and such</w:t>
      </w:r>
    </w:p>
    <w:p>
      <w:pPr>
        <w:sectPr>
          <w:pgSz w:w="11900" w:h="16838" w:orient="portrait"/>
          <w:cols w:equalWidth="0" w:num="1">
            <w:col w:w="11004"/>
          </w:cols>
          <w:pgMar w:left="436" w:top="301" w:right="459" w:bottom="1440" w:gutter="0" w:footer="0" w:header="0"/>
        </w:sectPr>
      </w:pPr>
    </w:p>
    <w:bookmarkStart w:id="3" w:name="page4"/>
    <w:bookmarkEnd w:id="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amendments in items (i) and (ii), collectively the “</w:t>
      </w:r>
      <w:r>
        <w:rPr>
          <w:rFonts w:ascii="Arial" w:cs="Arial" w:eastAsia="Arial" w:hAnsi="Arial"/>
          <w:sz w:val="18"/>
          <w:szCs w:val="18"/>
          <w:u w:val="single" w:color="auto"/>
          <w:color w:val="auto"/>
        </w:rPr>
        <w:t>Amendments</w:t>
      </w:r>
      <w:r>
        <w:rPr>
          <w:rFonts w:ascii="Arial" w:cs="Arial" w:eastAsia="Arial" w:hAnsi="Arial"/>
          <w:sz w:val="18"/>
          <w:szCs w:val="18"/>
          <w:color w:val="auto"/>
        </w:rPr>
        <w:t>”). Among other things, the Amendments give effect to or otherwise take account of, and provide the consent of the applicable lenders to, the Merger and the Partnership Conversion, as applicable. As described above, the Partnership, as successor to Old FRT following the Partnership Conversion, will remain the borrower under both the Credit Agreement and the Term Loan Agreement. Neither New FRT nor the General Partner (as defined below) are expected to guarantee the Partnership’s obligations under either the Credit Agreement or the Term Loan Agreement at this time.</w:t>
      </w:r>
    </w:p>
    <w:p>
      <w:pPr>
        <w:spacing w:after="0" w:line="18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foregoing summary of the Amendments does not constitute a complete description of, and is qualified in its entirety by reference to, the terms and conditions of the Amendments, which are attached hereto as Exhibits 10.2 and 10.3.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Partnership Conversion</w:t>
      </w:r>
    </w:p>
    <w:p>
      <w:pPr>
        <w:spacing w:after="0" w:line="12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As disclosed above, the Partnership Conversion is expected to become effective on January 4, 2022. Federal Realty GP LLC, a Delaware limited liability company (the “</w:t>
      </w:r>
      <w:r>
        <w:rPr>
          <w:rFonts w:ascii="Arial" w:cs="Arial" w:eastAsia="Arial" w:hAnsi="Arial"/>
          <w:sz w:val="18"/>
          <w:szCs w:val="18"/>
          <w:u w:val="single" w:color="auto"/>
          <w:color w:val="auto"/>
        </w:rPr>
        <w:t>General Partner</w:t>
      </w:r>
      <w:r>
        <w:rPr>
          <w:rFonts w:ascii="Arial" w:cs="Arial" w:eastAsia="Arial" w:hAnsi="Arial"/>
          <w:sz w:val="18"/>
          <w:szCs w:val="18"/>
          <w:color w:val="auto"/>
        </w:rPr>
        <w:t>”), will be the sole general partner of the Partnership. New FRT owns 100% of the limited liability company interests of, is the sole member of and will exercise exclusive control over the General Partner. New FRT will initially be the sole limited partner of the Partnership</w:t>
      </w:r>
    </w:p>
    <w:p>
      <w:pPr>
        <w:spacing w:after="0" w:line="187"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Following the Reorganization, including both the Merger and the Partnership Conversion, the business, management and trustees of New FRT immediately following the Reorganization will be identical to the business, management and trustees of Old FRT immediately before the Reorganization, except that we expect to conduct the business of the company exclusively through the Partnership. The consolidated assets and liabilities of New FRT immediately following the Reorganization will be identical to the consolidated assets and liabilities of Old FRT immediately before the Reorganization. None of the properties owned by Old FRT or its subsidiaries or any interests therein have been or will be transferred as part of the Reorganization. All material indebtedness of Old FRT immediately prior to the Reorganization is expected to be indebtedness of the Partnership after the Reorganization. The Partnership is expected to remain the borrower under Old FRT’s $1.0 billion revolving credit facility and $300 million term loan, and the Partnership will remain the obligor under all of Old FRT’s outstanding senior notes and debentures. New FRT is not expected to have material assets or liabilities other than through its investment in the Partnership.</w:t>
      </w:r>
    </w:p>
    <w:p>
      <w:pPr>
        <w:spacing w:after="0" w:line="3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121"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In connection with the Merger, Old FRT notified the NYSE that the Merger had been completed. As noted above, the New FRT Common Shares will trade on the NYSE on an uninterrupted basis under the symbol “FRT,” which is the same symbol formerly used for the Old FRT Common Shares, and under the new CUSIP number of 313745101. The New FRT Series C Depositary Shares will trade on the NYSE on an uninterrupted basis under the symbol “FRT/PC,” which is the same symbol formerly used for the Old FRT Series C Depositary Shares, under the new CUSIP number of 313745200. The NYSE is expected to file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an application on Form 25 to delist the Old FRT Common Shares and Old FRT Series C Depositary Shares from the NYSE and to deregister the Old FRT Common Shares and Old FRT Series C Depositary Shares under Section 12(b) of the Exchange Act. Old FRT intends to file with the Commission a certificate on Form 15 requesting that the Old FRT Common Shares and Old FRT Series C Depositary Shares be deregistered under the Exchange Act, and that Old FRT’s reporting obligations under Section 15(d) of the Exchange Act be suspended (except (i) to the extent of the succession of New FRT to the Exchange Act Section 12(b) registration and reporting obligations of Old FRT as noted above under Explanatory Note and (ii) with respect to Old FRT’s (now the Partnership’s) outstanding senior notes and debentures).</w:t>
      </w:r>
    </w:p>
    <w:p>
      <w:pPr>
        <w:spacing w:after="0" w:line="182"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Following the Reorganization, including both the Merger and the Partnership Conversion, we expect each of New FRT and the Partnership to have a separate Exchange Act reporting obligation. We expect New FRT and the Partnership to file combined quarterly reports on Form 10-Q and annual reports on Form 10-K beginning with the quarterly report filed with respect to the fiscal quarter ending March 31, 2022. New FRT expects to make filings with the Commission under Old FRT’s prior CIK (0000034903), and the Partnership will make filings with the Commission under a new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CIK (0001901876).</w:t>
      </w:r>
    </w:p>
    <w:p>
      <w:pPr>
        <w:spacing w:after="0" w:line="3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of Rights of Securityholders.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set forth under and/or incorporated by reference into Items 1.01 and 3.01 above is incorporated hereunder by reference.</w:t>
      </w:r>
    </w:p>
    <w:p>
      <w:pPr>
        <w:sectPr>
          <w:pgSz w:w="11900" w:h="16838" w:orient="portrait"/>
          <w:cols w:equalWidth="0" w:num="1">
            <w:col w:w="11000"/>
          </w:cols>
          <w:pgMar w:left="440" w:top="301" w:right="459" w:bottom="1440" w:gutter="0" w:footer="0" w:header="0"/>
        </w:sectPr>
      </w:pPr>
    </w:p>
    <w:bookmarkStart w:id="4" w:name="page5"/>
    <w:bookmarkEnd w:id="4"/>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5.01</w:t>
      </w:r>
      <w:r>
        <w:rPr>
          <w:sz w:val="20"/>
          <w:szCs w:val="20"/>
          <w:color w:val="auto"/>
        </w:rPr>
        <w:tab/>
      </w:r>
      <w:r>
        <w:rPr>
          <w:rFonts w:ascii="Arial" w:cs="Arial" w:eastAsia="Arial" w:hAnsi="Arial"/>
          <w:sz w:val="16"/>
          <w:szCs w:val="16"/>
          <w:b w:val="1"/>
          <w:bCs w:val="1"/>
          <w:color w:val="auto"/>
        </w:rPr>
        <w:t>Changes in Control of the Registrant.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set forth under and/or incorporated by reference into Items 1.01 and 3.01 above is incorporated hereunder by reference.</w:t>
      </w:r>
    </w:p>
    <w:p>
      <w:pPr>
        <w:spacing w:after="0" w:line="381" w:lineRule="exact"/>
        <w:rPr>
          <w:sz w:val="20"/>
          <w:szCs w:val="20"/>
          <w:color w:val="auto"/>
        </w:rPr>
      </w:pPr>
    </w:p>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set forth under and/or incorporated by reference into Items 1.01 and 3.01 above is incorporated hereunder by reference.</w:t>
      </w:r>
    </w:p>
    <w:p>
      <w:pPr>
        <w:spacing w:after="0" w:line="237"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As noted above, the management and board of trustees of New FRT immediately after the Merger is identical to the management and board of trustees of Old FRT immediately before the Merger. The executive officers of Old FRT immediately before the Merger serve in the same positions and hold the same titles with New FRT immediately after the Merger and will do the same with respect to the Partnership after the Partnership Conversion.</w:t>
      </w:r>
    </w:p>
    <w:p>
      <w:pPr>
        <w:spacing w:after="0" w:line="2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set forth under and/or incorporated by reference into Items 1.01 and 3.01 above is incorporated hereunder by reference.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Certain statements included in this Current Report on Form 8-K may be forward-looking statements within the meaning of the federal securities laws. Forward-looking statements include statements regarding the intent, belief or current expectations of FRT and members of its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 Certain risks and uncertainties may cause our actual results to differ materially from those presented in our forward-looking statements, such as the risk that changes in legislation or regulations may change the tax consequences of the Reorganization, the risk that the Partnership Conversion may not become effective on the expected date or at all, as well as other risks and uncertainties identified as risk factors or otherwise included in our annual report on Form 10-K filed with the SEC on February 11, 2021. Given these uncertainties, readers are cautioned not to place undue reliance on forward-looking statements.</w:t>
      </w:r>
    </w:p>
    <w:p>
      <w:pPr>
        <w:spacing w:after="0" w:line="32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131" w:lineRule="exact"/>
        <w:rPr>
          <w:sz w:val="20"/>
          <w:szCs w:val="20"/>
          <w:color w:val="auto"/>
        </w:rPr>
      </w:pPr>
    </w:p>
    <w:p>
      <w:pPr>
        <w:ind w:left="1080" w:hanging="544"/>
        <w:spacing w:after="0" w:line="342" w:lineRule="auto"/>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2.1</w:t>
      </w:r>
      <w:r>
        <w:rPr>
          <w:sz w:val="20"/>
          <w:szCs w:val="20"/>
          <w:color w:val="auto"/>
        </w:rPr>
        <w:tab/>
      </w:r>
      <w:hyperlink r:id="rId21">
        <w:r>
          <w:rPr>
            <w:rFonts w:ascii="Arial" w:cs="Arial" w:eastAsia="Arial" w:hAnsi="Arial"/>
            <w:sz w:val="16"/>
            <w:szCs w:val="16"/>
            <w:u w:val="single" w:color="auto"/>
            <w:color w:val="0000EE"/>
          </w:rPr>
          <w:t>Merger Agreement and Plan of Reorganization, dated December 2, 2021, by and among FRT, New FRT and Merger Sub (previously filed</w:t>
        </w:r>
      </w:hyperlink>
      <w:r>
        <w:rPr>
          <w:rFonts w:ascii="Arial" w:cs="Arial" w:eastAsia="Arial" w:hAnsi="Arial"/>
          <w:sz w:val="16"/>
          <w:szCs w:val="16"/>
          <w:u w:val="single" w:color="auto"/>
          <w:color w:val="0000EE"/>
        </w:rPr>
        <w:t xml:space="preserve"> </w:t>
      </w:r>
      <w:hyperlink r:id="rId21">
        <w:r>
          <w:rPr>
            <w:rFonts w:ascii="Arial" w:cs="Arial" w:eastAsia="Arial" w:hAnsi="Arial"/>
            <w:sz w:val="16"/>
            <w:szCs w:val="16"/>
            <w:u w:val="single" w:color="auto"/>
            <w:color w:val="0000EE"/>
          </w:rPr>
          <w:t>as Exhibit 2.1 to Old FRT’s Current Report on Form 8-K filed on December 2, 2021 and incorporated herein by reference).</w:t>
        </w:r>
      </w:hyperlink>
    </w:p>
    <w:p>
      <w:pPr>
        <w:spacing w:after="0" w:line="16" w:lineRule="exact"/>
        <w:rPr>
          <w:sz w:val="20"/>
          <w:szCs w:val="20"/>
          <w:color w:val="auto"/>
        </w:rPr>
      </w:pPr>
    </w:p>
    <w:p>
      <w:pPr>
        <w:ind w:left="54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7">
        <w:r>
          <w:rPr>
            <w:rFonts w:ascii="Arial" w:cs="Arial" w:eastAsia="Arial" w:hAnsi="Arial"/>
            <w:sz w:val="16"/>
            <w:szCs w:val="16"/>
            <w:u w:val="single" w:color="auto"/>
            <w:color w:val="0000EE"/>
          </w:rPr>
          <w:t>Amended and Restated Declaration of Trust of New FRT.</w:t>
        </w:r>
      </w:hyperlink>
    </w:p>
    <w:p>
      <w:pPr>
        <w:spacing w:after="0" w:line="117" w:lineRule="exact"/>
        <w:rPr>
          <w:sz w:val="20"/>
          <w:szCs w:val="20"/>
          <w:color w:val="auto"/>
        </w:rPr>
      </w:pPr>
    </w:p>
    <w:p>
      <w:pPr>
        <w:ind w:left="54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w:anchor="page67">
        <w:r>
          <w:rPr>
            <w:rFonts w:ascii="Arial" w:cs="Arial" w:eastAsia="Arial" w:hAnsi="Arial"/>
            <w:sz w:val="16"/>
            <w:szCs w:val="16"/>
            <w:u w:val="single" w:color="auto"/>
            <w:color w:val="0000EE"/>
          </w:rPr>
          <w:t>Articles of Amendment to Amended and Restated Declaration of Trust of New FRT.</w:t>
        </w:r>
      </w:hyperlink>
    </w:p>
    <w:p>
      <w:pPr>
        <w:spacing w:after="0" w:line="117" w:lineRule="exact"/>
        <w:rPr>
          <w:sz w:val="20"/>
          <w:szCs w:val="20"/>
          <w:color w:val="auto"/>
        </w:rPr>
      </w:pPr>
    </w:p>
    <w:p>
      <w:pPr>
        <w:ind w:left="54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3.3</w:t>
      </w:r>
      <w:r>
        <w:rPr>
          <w:sz w:val="20"/>
          <w:szCs w:val="20"/>
          <w:color w:val="auto"/>
        </w:rPr>
        <w:tab/>
      </w:r>
      <w:hyperlink w:anchor="page69">
        <w:r>
          <w:rPr>
            <w:rFonts w:ascii="Arial" w:cs="Arial" w:eastAsia="Arial" w:hAnsi="Arial"/>
            <w:sz w:val="16"/>
            <w:szCs w:val="16"/>
            <w:u w:val="single" w:color="auto"/>
            <w:color w:val="0000EE"/>
          </w:rPr>
          <w:t>Amended and Restated Bylaws of New FRT.</w:t>
        </w:r>
      </w:hyperlink>
    </w:p>
    <w:p>
      <w:pPr>
        <w:spacing w:after="0" w:line="117" w:lineRule="exact"/>
        <w:rPr>
          <w:sz w:val="20"/>
          <w:szCs w:val="20"/>
          <w:color w:val="auto"/>
        </w:rPr>
      </w:pPr>
    </w:p>
    <w:p>
      <w:pPr>
        <w:ind w:left="540"/>
        <w:spacing w:after="0"/>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3.4</w:t>
      </w:r>
      <w:r>
        <w:rPr>
          <w:sz w:val="20"/>
          <w:szCs w:val="20"/>
          <w:color w:val="auto"/>
        </w:rPr>
        <w:tab/>
      </w:r>
      <w:hyperlink w:anchor="page87">
        <w:r>
          <w:rPr>
            <w:rFonts w:ascii="Arial" w:cs="Arial" w:eastAsia="Arial" w:hAnsi="Arial"/>
            <w:sz w:val="17"/>
            <w:szCs w:val="17"/>
            <w:u w:val="single" w:color="auto"/>
            <w:color w:val="0000EE"/>
          </w:rPr>
          <w:t>Articles of Merger</w:t>
        </w:r>
      </w:hyperlink>
    </w:p>
    <w:p>
      <w:pPr>
        <w:spacing w:after="0" w:line="117" w:lineRule="exact"/>
        <w:rPr>
          <w:sz w:val="20"/>
          <w:szCs w:val="20"/>
          <w:color w:val="auto"/>
        </w:rPr>
      </w:pPr>
    </w:p>
    <w:p>
      <w:pPr>
        <w:ind w:left="44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92">
        <w:r>
          <w:rPr>
            <w:rFonts w:ascii="Arial" w:cs="Arial" w:eastAsia="Arial" w:hAnsi="Arial"/>
            <w:sz w:val="16"/>
            <w:szCs w:val="16"/>
            <w:u w:val="single" w:color="auto"/>
            <w:color w:val="0000EE"/>
          </w:rPr>
          <w:t>Omnibus Assignment, Assumption and Amendment entered into between Old FRT and New FRT.</w:t>
        </w:r>
      </w:hyperlink>
    </w:p>
    <w:p>
      <w:pPr>
        <w:spacing w:after="0" w:line="117" w:lineRule="exact"/>
        <w:rPr>
          <w:sz w:val="20"/>
          <w:szCs w:val="20"/>
          <w:color w:val="auto"/>
        </w:rPr>
      </w:pPr>
    </w:p>
    <w:p>
      <w:pPr>
        <w:ind w:left="1080" w:right="200" w:hanging="634"/>
        <w:spacing w:after="0" w:line="308"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10.2</w:t>
      </w:r>
      <w:r>
        <w:rPr>
          <w:sz w:val="20"/>
          <w:szCs w:val="20"/>
          <w:color w:val="auto"/>
        </w:rPr>
        <w:tab/>
      </w:r>
      <w:hyperlink w:anchor="page94">
        <w:r>
          <w:rPr>
            <w:rFonts w:ascii="Arial" w:cs="Arial" w:eastAsia="Arial" w:hAnsi="Arial"/>
            <w:sz w:val="17"/>
            <w:szCs w:val="17"/>
            <w:u w:val="single" w:color="auto"/>
            <w:color w:val="0000EE"/>
          </w:rPr>
          <w:t>Second Amendment to Amended and Restated Credit Agreement and Consent, dated as of January 1, 2022, by and among Old FRT, as</w:t>
        </w:r>
      </w:hyperlink>
      <w:r>
        <w:rPr>
          <w:rFonts w:ascii="Arial" w:cs="Arial" w:eastAsia="Arial" w:hAnsi="Arial"/>
          <w:sz w:val="17"/>
          <w:szCs w:val="17"/>
          <w:u w:val="single" w:color="auto"/>
          <w:color w:val="0000EE"/>
        </w:rPr>
        <w:t xml:space="preserve"> </w:t>
      </w:r>
      <w:hyperlink w:anchor="page94">
        <w:r>
          <w:rPr>
            <w:rFonts w:ascii="Arial" w:cs="Arial" w:eastAsia="Arial" w:hAnsi="Arial"/>
            <w:sz w:val="17"/>
            <w:szCs w:val="17"/>
            <w:u w:val="single" w:color="auto"/>
            <w:color w:val="0000EE"/>
          </w:rPr>
          <w:t>borrower, each of the lenders party thereto and Wells Fargo Bank, National Association, as administrative agent.</w:t>
        </w:r>
      </w:hyperlink>
    </w:p>
    <w:p>
      <w:pPr>
        <w:spacing w:after="0" w:line="38" w:lineRule="exact"/>
        <w:rPr>
          <w:sz w:val="20"/>
          <w:szCs w:val="20"/>
          <w:color w:val="auto"/>
        </w:rPr>
      </w:pPr>
    </w:p>
    <w:p>
      <w:pPr>
        <w:ind w:left="1080" w:hanging="634"/>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w:anchor="page126">
        <w:r>
          <w:rPr>
            <w:rFonts w:ascii="Arial" w:cs="Arial" w:eastAsia="Arial" w:hAnsi="Arial"/>
            <w:sz w:val="18"/>
            <w:szCs w:val="18"/>
            <w:u w:val="single" w:color="auto"/>
            <w:color w:val="0000EE"/>
          </w:rPr>
          <w:t>Second Amendment to Term Loan Agreement and Consent, dated as of January 1, 2022, by and among Old FRT, as borrower, each of the</w:t>
        </w:r>
      </w:hyperlink>
      <w:r>
        <w:rPr>
          <w:rFonts w:ascii="Arial" w:cs="Arial" w:eastAsia="Arial" w:hAnsi="Arial"/>
          <w:sz w:val="18"/>
          <w:szCs w:val="18"/>
          <w:u w:val="single" w:color="auto"/>
          <w:color w:val="0000EE"/>
        </w:rPr>
        <w:t xml:space="preserve"> </w:t>
      </w:r>
      <w:hyperlink w:anchor="page126">
        <w:r>
          <w:rPr>
            <w:rFonts w:ascii="Arial" w:cs="Arial" w:eastAsia="Arial" w:hAnsi="Arial"/>
            <w:sz w:val="18"/>
            <w:szCs w:val="18"/>
            <w:u w:val="single" w:color="auto"/>
            <w:color w:val="0000EE"/>
          </w:rPr>
          <w:t>lenders party thereto and PNC Bank, National Association, as administrative agent.</w:t>
        </w:r>
      </w:hyperlink>
    </w:p>
    <w:p>
      <w:pPr>
        <w:spacing w:after="0" w:line="62"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Interactive Data File is embedded within the Inline XBRL document)</w:t>
      </w:r>
    </w:p>
    <w:p>
      <w:pPr>
        <w:sectPr>
          <w:pgSz w:w="11900" w:h="16838" w:orient="portrait"/>
          <w:cols w:equalWidth="0" w:num="1">
            <w:col w:w="11000"/>
          </w:cols>
          <w:pgMar w:left="440" w:top="297" w:right="459" w:bottom="1440" w:gutter="0" w:footer="0" w:header="0"/>
        </w:sectPr>
      </w:pPr>
    </w:p>
    <w:bookmarkStart w:id="5" w:name="page6"/>
    <w:bookmarkEnd w:id="5"/>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registrants have duly caused this report to be signed on their behalf by the undersigned 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January 3, 2021</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0780"/>
          </w:cols>
          <w:pgMar w:left="440" w:top="297" w:right="67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FRT HOLDCO REIT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 AND RESTATEMENT</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FRT Holdco REIT, a Maryland real estate investment trust (the “Company”), hereby certifies to the Maryland State Department of Assessments and Taxation as follows: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The Company desires to amend and restate its Declaration of Trust as currently in effect.</w:t>
      </w:r>
    </w:p>
    <w:p>
      <w:pPr>
        <w:spacing w:after="0" w:line="225"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SECOND: The amendment to and restatement of the Declaration of Trust of the Company as herein set forth has been duly approved and advised by the Board of Trustees by unanimous vote thereof and approved by the sole shareholder of the Company as required by law.</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The current address of the principal office of the Company is 909 Rose Avenue, Suite 200, North Bethesda, MD 20852.</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FOURTH: The name and address of the Company’s current resident agent is CSC—Lawyers Incorporating Service Company, 7 St. Paul Street, Suite 820, Baltimore, Maryland 21202.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FIFTH: The number of trustees of the Company is currently seven (7), and the names of the trustees currently in office are as follows: David 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Faeder, Elizabeth I. Holland, Nicole Y. Lamb-Hale, Anthony P. Nader, III, Mark S. Ordan, Gail P. Steinel and Donald C. Wood.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SIXTH: These Articles of Amendment and Restatement do not increase the authorized shares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SEVENTH: These Articles of Amendment and Restatement shall be effective at 12:00 a.m. Eastern Standard Time on January 1, 2022.</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EIGHTH: The following provisions are all the provisions of the Declaration of Trust as hereby amended and restated: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Trust (as hereinafter defined) 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FRT Holdco REIT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circumstances in which the Board of Trustees of the Trust (the “Board of Trustees” or “Board”) determines that the use of the name of the Trust is not practicable, the Trust may use any other designation or name for the Trust.</w:t>
      </w:r>
    </w:p>
    <w:p>
      <w:pPr>
        <w:sectPr>
          <w:pgSz w:w="11900" w:h="16838" w:orient="portrait"/>
          <w:cols w:equalWidth="0" w:num="1">
            <w:col w:w="11020"/>
          </w:cols>
          <w:pgMar w:left="440" w:top="121" w:right="4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FORMATION</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Trust (the “Trust”) is a real estate investment trust within the meaning of Title 8 of the Corporations and Associations Article of the Annotated Code of Maryland (“Title 8”). The Trust shall not be deemed to be a general partnership, limited partnership, joint venture, joint stock company or a corporation but nothing herein shall preclude the Trust from being treated for tax purposes as an association under the Internal Revenue Code of 1986, as amended (the “Code”).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PURPOSES AND POWERS</w:t>
      </w:r>
    </w:p>
    <w:p>
      <w:pPr>
        <w:spacing w:after="0" w:line="22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Purposes</w:t>
      </w:r>
      <w:r>
        <w:rPr>
          <w:rFonts w:ascii="Arial" w:cs="Arial" w:eastAsia="Arial" w:hAnsi="Arial"/>
          <w:sz w:val="16"/>
          <w:szCs w:val="16"/>
          <w:color w:val="auto"/>
        </w:rPr>
        <w:t>. The purposes for which the Trust has been formed are to invest in and to acquire, hold, develop, redevelop, manage, administer, control, lease and dispose of interests in property, including, without limitation or obligation, engaging in business as a real estate investment trust under the Code or any other lawful activity for which real estate investment trusts may be organized under Title 8 as now or hereafter in force.</w:t>
      </w:r>
    </w:p>
    <w:p>
      <w:pPr>
        <w:spacing w:after="0" w:line="14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Powers</w:t>
      </w:r>
      <w:r>
        <w:rPr>
          <w:rFonts w:ascii="Arial" w:cs="Arial" w:eastAsia="Arial" w:hAnsi="Arial"/>
          <w:sz w:val="16"/>
          <w:szCs w:val="16"/>
          <w:color w:val="auto"/>
        </w:rPr>
        <w:t>. The Trust has all of the powers granted to real estate investment trusts by Title 8 and all other powers set forth in the Declaration of Trust which are not inconsistent with law and are appropriate to promote and attain the purposes set forth in the Declaration of Trust.</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RESIDENT AGENT</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name of the resident agent of the Trust in the State of Maryland is CSC—Lawyers Incorporating Service Company, whose post office address is 7 St. Paul Street, Suite 820, Baltimore, Maryland 21202. The resident agent is a resident of the State of Maryland. The Trust may have such offices or places of business within or outside the State of Maryland as the Board of Trustees may from time to time determine.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TRUSTEES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Powers</w:t>
      </w:r>
      <w:r>
        <w:rPr>
          <w:rFonts w:ascii="Arial" w:cs="Arial" w:eastAsia="Arial" w:hAnsi="Arial"/>
          <w:sz w:val="17"/>
          <w:szCs w:val="17"/>
          <w:color w:val="auto"/>
        </w:rPr>
        <w:t>. Subject to any express limitations contained in the Declaration of Trust or in the Bylaws, (a) the business and affairs of the Trust shall be managed under the direction of the Board of Trustees and (b) the Board shall have full, exclusive and absolute power, control and authority over any and all property of the Trust. The Board may take any action as in its sole judgment and discretion is necessary or appropriate to conduct the business and affairs of the Trust. The Declaration of Trust shall be construed with the presumption in favor of the grant of power and authority to the Board. Any construction of the Declaration of Trust or determination made in good faith by the Board concerning its powers and authority hereunder shall be conclusive. The enumeration and definition of particular powers of the Trustees included in the Declaration of Trust or in the Bylaws shall in no way be construed or deemed by inference or otherwise in any manner to exclude or limit the powers conferred upon the Board or the Trustees under the general laws of the State of Maryland or any other applicable laws.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00"/>
          </w:cols>
          <w:pgMar w:left="440" w:top="270" w:right="459" w:bottom="1440" w:gutter="0" w:footer="0" w:header="0"/>
        </w:sectPr>
      </w:pPr>
    </w:p>
    <w:bookmarkStart w:id="8" w:name="page9"/>
    <w:bookmarkEnd w:id="8"/>
    <w:p>
      <w:pPr>
        <w:ind w:left="4"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without any action by the shareholders of the Trust, shall have and may exercise, on behalf of the Trust, without limitation, the power to terminate the status of the Trust as a real estate investment trust under the Code; to determine that compliance with any restriction or limitations on ownership and transfers of shares of the Trust’s beneficial interest set forth in Article VII of the Declaration of Trust is no longer required in order for the Trust to qualify as a REIT; to adopt, amend and repeal Bylaws; to elect officers in the manner prescribed in the Bylaws; to solicit proxies from holders of shares of beneficial interest of the Trust; and to do any other acts and deliver any other documents necessary or appropriate to the foregoing powers.</w:t>
      </w:r>
    </w:p>
    <w:p>
      <w:pPr>
        <w:spacing w:after="0" w:line="192"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Number and Classification</w:t>
      </w:r>
      <w:r>
        <w:rPr>
          <w:rFonts w:ascii="Arial" w:cs="Arial" w:eastAsia="Arial" w:hAnsi="Arial"/>
          <w:sz w:val="16"/>
          <w:szCs w:val="16"/>
          <w:color w:val="auto"/>
        </w:rPr>
        <w:t>. Upon acceptance for record of this Declaration of Trust, the number of Trustees (hereinafter the “Trustees”) is seven, which number may be increased or decreased by the Board of Trustees; provided, however, that the total number of Trustees shall be at least five</w:t>
      </w:r>
    </w:p>
    <w:p>
      <w:pPr>
        <w:ind w:left="4" w:right="200" w:hanging="4"/>
        <w:spacing w:after="0" w:line="255"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not more than ten (10). Except for Trustees elected solely by holders of one or more series of Preferred Shares, the Trustees shall be elected at every annual meeting of shareholders in the manner provided in the Bylaws or, in order to fill any vacancy on the Board of Trustees, in the manner provided in the Bylaws.</w:t>
      </w:r>
    </w:p>
    <w:p>
      <w:pPr>
        <w:spacing w:after="0" w:line="190" w:lineRule="exact"/>
        <w:rPr>
          <w:sz w:val="20"/>
          <w:szCs w:val="20"/>
          <w:color w:val="auto"/>
        </w:rPr>
      </w:pPr>
    </w:p>
    <w:p>
      <w:pPr>
        <w:jc w:val="both"/>
        <w:ind w:left="4" w:right="80"/>
        <w:spacing w:after="0" w:line="257" w:lineRule="auto"/>
        <w:rPr>
          <w:sz w:val="20"/>
          <w:szCs w:val="20"/>
          <w:color w:val="auto"/>
        </w:rPr>
      </w:pPr>
      <w:r>
        <w:rPr>
          <w:rFonts w:ascii="Arial" w:cs="Arial" w:eastAsia="Arial" w:hAnsi="Arial"/>
          <w:sz w:val="18"/>
          <w:szCs w:val="18"/>
          <w:color w:val="auto"/>
        </w:rPr>
        <w:t>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Common Shares entitled to vote thereon and present in person or by proxy at any meeting of the shareholders called for that purpose. It shall not be necessary to list in the Declaration of Trust the names and addresses of any Trustees hereafter elected.</w:t>
      </w:r>
    </w:p>
    <w:p>
      <w:pPr>
        <w:spacing w:after="0" w:line="188"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Resignation or Removal</w:t>
      </w:r>
      <w:r>
        <w:rPr>
          <w:rFonts w:ascii="Arial" w:cs="Arial" w:eastAsia="Arial" w:hAnsi="Arial"/>
          <w:sz w:val="16"/>
          <w:szCs w:val="16"/>
          <w:color w:val="auto"/>
        </w:rPr>
        <w:t>. Any Trustee may resign by written notice to the Board, effective upon execution and delivery to the Trust of such written notice or upon any future date specified in the notice. Subject to the rights of holders of one or more classes or series of Preferred Shares to elect or remove one or more Trustees, a Trustee may be removed at any time, (i) with or without cause, at any meeting of the shareholders called for the purpose, by the affirmative vote of the holders of not less than two-thirds of the Shares then outstanding and entitled to vote thereon, or (ii) with cause, by the vote of all the other Trustees. For purposes of this Declaration, “cause”, with respect to the removal of any Trustee, shall mean only (i) conviction of a felony, (ii) declaration of unsound mind by order of a court, (iii) gross dereliction of duty, (iv) conviction of any crime involving moral turpitude,</w:t>
      </w:r>
    </w:p>
    <w:p>
      <w:pPr>
        <w:spacing w:after="0" w:line="4" w:lineRule="exact"/>
        <w:rPr>
          <w:sz w:val="20"/>
          <w:szCs w:val="20"/>
          <w:color w:val="auto"/>
        </w:rPr>
      </w:pPr>
    </w:p>
    <w:p>
      <w:pPr>
        <w:jc w:val="both"/>
        <w:ind w:left="4" w:right="120" w:hanging="4"/>
        <w:spacing w:after="0" w:line="255"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commission of an act that constitutes intentional misconduct or a knowing violation of law if such action in either event results both in an improper substantial personal benefit to such Trustee and a material injury to the Trust or (vi) a unanimous determination by the remaining Trustees that “cause” exists for the removal of the Trustee.</w:t>
      </w:r>
    </w:p>
    <w:p>
      <w:pPr>
        <w:spacing w:after="0" w:line="200" w:lineRule="exact"/>
        <w:rPr>
          <w:sz w:val="20"/>
          <w:szCs w:val="20"/>
          <w:color w:val="auto"/>
        </w:rPr>
      </w:pPr>
    </w:p>
    <w:p>
      <w:pPr>
        <w:spacing w:after="0" w:line="20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SHARES OF BENEFICIAL INTEREST</w:t>
      </w:r>
    </w:p>
    <w:p>
      <w:pPr>
        <w:spacing w:after="0" w:line="229" w:lineRule="exact"/>
        <w:rPr>
          <w:sz w:val="20"/>
          <w:szCs w:val="20"/>
          <w:color w:val="auto"/>
        </w:rPr>
      </w:pPr>
    </w:p>
    <w:p>
      <w:pPr>
        <w:ind w:left="4" w:right="80"/>
        <w:spacing w:after="0" w:line="259"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Authorized Shares</w:t>
      </w:r>
      <w:r>
        <w:rPr>
          <w:rFonts w:ascii="Arial" w:cs="Arial" w:eastAsia="Arial" w:hAnsi="Arial"/>
          <w:sz w:val="16"/>
          <w:szCs w:val="16"/>
          <w:color w:val="auto"/>
        </w:rPr>
        <w:t>. The beneficial interest of the Trust shall be divided into shares of beneficial interest (the “Shares”). The Trust has authority to issue 100,000,000 common shares of beneficial interest, $.01 par value per share (“Common Shares”), and 15,000,000 preferred shares of beneficial interest, $.01 par value per share (“Preferred Shares”), of which 4,000,000 shares are Series A Cumulative Redeemable Preferred Shares (the “Series A Preferred Shares”), 5,750,000 shares are 8</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Series B Cumulative Redeemable Preferred Shares of Beneficial Interest (the “Series B Preferred Shares”), 399,896 shares are 5.417% Series 1 Cumulative Convertible Preferred Shares of Beneficial Interest (the “Series 1 Preferred</w:t>
      </w:r>
    </w:p>
    <w:p>
      <w:pPr>
        <w:spacing w:after="0" w:line="11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0984"/>
          </w:cols>
          <w:pgMar w:left="436" w:top="274" w:right="479" w:bottom="1440" w:gutter="0" w:footer="0" w:header="0"/>
        </w:sectPr>
      </w:pPr>
    </w:p>
    <w:bookmarkStart w:id="9" w:name="page10"/>
    <w:bookmarkEnd w:id="9"/>
    <w:p>
      <w:pPr>
        <w:ind w:right="1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and 6,400 shares are 5.000% Series C Cumulative Redeemable Preferred Shares (the “Series C Preferred Shares”). If shares of one class are classified or reclassified into shares of another class of shares pursuant to this Article VI, the number of authorized shares of the former class shall be automatically decreased and the number of shares of the latter class shall be automatically increased, in each case by the number of shares so classified or reclassified, so that the aggregate number of shares of beneficial interest of all classes that the Trust has authority to issue shall not be more than the total number of shares of beneficial interest set forth in the second sentence of this paragraph. The Board of Trustees, without any action by the shareholders of the Trust, may amend the Declaration of Trust from time to time to increase or decrease the aggregate number of Shares or the number of Shares of any class or series that the Trust has authority to issue.</w:t>
      </w:r>
    </w:p>
    <w:p>
      <w:pPr>
        <w:spacing w:after="0" w:line="17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Common Shares</w:t>
      </w:r>
      <w:r>
        <w:rPr>
          <w:rFonts w:ascii="Arial" w:cs="Arial" w:eastAsia="Arial" w:hAnsi="Arial"/>
          <w:sz w:val="18"/>
          <w:szCs w:val="18"/>
          <w:color w:val="auto"/>
        </w:rPr>
        <w:t>. Subject to the provisions of Article VII, each Common Share entitles the holder thereof to one vote on each matter upon which holders of Common Shares are entitled to vote. The Board of Trustees may reclassify any unissued Common Shares from time to time in one or more classes or series of Shares.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Preferred Shares</w:t>
      </w:r>
      <w:r>
        <w:rPr>
          <w:rFonts w:ascii="Arial" w:cs="Arial" w:eastAsia="Arial" w:hAnsi="Arial"/>
          <w:sz w:val="18"/>
          <w:szCs w:val="18"/>
          <w:color w:val="auto"/>
        </w:rPr>
        <w:t>. The Board of Trustees may classify any unissued Preferred Shares and reclassify any previously classified but unissued Preferred Shares of any series from time to time, in one or more series of Shares.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Preferred Share Designations</w:t>
      </w:r>
      <w:r>
        <w:rPr>
          <w:rFonts w:ascii="Arial" w:cs="Arial" w:eastAsia="Arial" w:hAnsi="Arial"/>
          <w:sz w:val="18"/>
          <w:szCs w:val="18"/>
          <w:color w:val="auto"/>
        </w:rPr>
        <w:t>. The preferences, conversion and other rights, voting powers, restrictions, limitations as to dividends or other distributions, qualifications, and terms and conditions of redemption of the Series A Preferred Shares, the Series B Preferred Shares, the Series 1 Preferred Shares and the Series C Preferred Shares shall be as set forth on Annexes A, B, C and D hereto, respectively, which are incorporated hereunder by reference.</w:t>
      </w:r>
    </w:p>
    <w:p>
      <w:pPr>
        <w:spacing w:after="0" w:line="18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Classified or Reclassified Shares</w:t>
      </w:r>
      <w:r>
        <w:rPr>
          <w:rFonts w:ascii="Arial" w:cs="Arial" w:eastAsia="Arial" w:hAnsi="Arial"/>
          <w:sz w:val="18"/>
          <w:szCs w:val="18"/>
          <w:color w:val="auto"/>
        </w:rPr>
        <w:t>. Prior to issuance of classified or reclassified Shares of any class or series, the Board of Trustees by resolution shall (a) designate that class or series to distinguish it from all other classes and series of Shares; (b) specify the number of Shares to be included in the class or series; (c) set, subject to the provisions of Article VII and subject to the express terms of any class or series of Shares outstanding at the time, the preferences, conversion or other rights, voting powers, restrictions, limitations as to dividends or other distributions, qualifications and terms and conditions of redemption for each class or series; and (d) cause the Trust to file articles supplementary with the State Department of Assessments and Taxation of Maryland (the “SDAT”). Any of the terms of any class or series of Shares set pursuant to clause (c) of this Section 6.5 may be made dependent upon facts ascertainable outside the Declaration of Trust (including the occurrence of any event, including a determination or action by the Trust or any other person or body) and may vary among holders thereof, provided that the manner in which such facts or variations shall operate upon the terms of such class or series of Shares is clearly and expressly set forth in the articles supplementary filed with the SDAT.</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Authorization by Board of Share Issuance</w:t>
      </w:r>
      <w:r>
        <w:rPr>
          <w:rFonts w:ascii="Arial" w:cs="Arial" w:eastAsia="Arial" w:hAnsi="Arial"/>
          <w:sz w:val="18"/>
          <w:szCs w:val="18"/>
          <w:color w:val="auto"/>
        </w:rPr>
        <w:t>. The Board of Trustees may authorize the issuance from time to time of Shares of any class or series, whether now or hereafter authorized, or securities or rights convertible into Shares of any class or series, whether now or hereafter authorized, for such consideration (whether in cash, property, past or future services, obligation for future payment or otherwise) as the Board of Trustees may deem advisable (or without consideration in the case of a Share split or Share dividend), subject to such restrictions or limitations, if any, as may be set forth in the Declaration of Trust or the Bylaws of the Trust.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020"/>
          </w:cols>
          <w:pgMar w:left="440" w:top="274" w:right="439" w:bottom="1440" w:gutter="0" w:footer="0" w:header="0"/>
        </w:sectPr>
      </w:pPr>
    </w:p>
    <w:bookmarkStart w:id="10" w:name="page11"/>
    <w:bookmarkEnd w:id="10"/>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6.7 </w:t>
      </w: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The Trust may pay any dividend or make any other distribution to the shareholders as authorized in the Declaration or by the Board of Trustees if, after giving effect to the dividend or distribution, the Trust would be able to pay its debts as they become due in the usual course of its business. The Board of Trustees may from time to time authorize the Trust to pay to shareholders such dividends or distributions in cash or other assets of the Trust or in securities of the Trust or from any other source as the Board of Trustees in its discretion shall determine. The Board of Trustees shall endeavor to authorize the Trust to pay such dividends and distributions as shall be necessary for the Trust to qualify as a real estate investment trust under the Code; however, shareholders shall have no right to any dividend or distribution unless and until authorized by the Board of Trustees and declared by the Trust. The exercise of the powers and rights of the Board of Trustees pursuant to this Section 6.7 shall be subject to the provisions of any class or series of Shares at the time outstanding. Notwithstanding any other provision in the Declaration of Trust, no determination shall be made by the Board of Trustees nor shall any transaction be entered into by the Trust which would cause any Shares or other beneficial interest in the Trust not to constitute “transferable shares” or “transferable certificates of beneficial interest” under Section 856(a)(2) of the Code or which would cause any distribution to constitute a preferential dividend as described in Section 562(c) of the Code.</w:t>
      </w:r>
    </w:p>
    <w:p>
      <w:pPr>
        <w:spacing w:after="0" w:line="17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General Nature of Shares</w:t>
      </w:r>
      <w:r>
        <w:rPr>
          <w:rFonts w:ascii="Arial" w:cs="Arial" w:eastAsia="Arial" w:hAnsi="Arial"/>
          <w:sz w:val="16"/>
          <w:szCs w:val="16"/>
          <w:color w:val="auto"/>
        </w:rPr>
        <w:t>. All Shares shall be personal property entitling the shareholders only to those rights provided in the Declaration of Trust. The shareholders shall have no interest in the property of the Trust and shall have no right to compel any partition, division, dividend or distribution of the Trust or of the property of the Trust. The death of a shareholder shall not terminate the Trust. The Trust is entitled to treat as shareholders only those persons in whose names Shares are registered as holders of Shares on the beneficial interest ledger of the Trust.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Fractional Shares</w:t>
      </w:r>
      <w:r>
        <w:rPr>
          <w:rFonts w:ascii="Arial" w:cs="Arial" w:eastAsia="Arial" w:hAnsi="Arial"/>
          <w:sz w:val="18"/>
          <w:szCs w:val="18"/>
          <w:color w:val="auto"/>
        </w:rPr>
        <w:t>. The Trust may, without the consent or approval of any shareholder, issue fractional Shares, eliminate a fraction of a Share by rounding up or down to a full Share, arrange for the disposition of a fraction of a Share by the person entitled to it, or pay cash for the fair value of a fraction of a Share.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Declaration and Bylaws</w:t>
      </w:r>
      <w:r>
        <w:rPr>
          <w:rFonts w:ascii="Arial" w:cs="Arial" w:eastAsia="Arial" w:hAnsi="Arial"/>
          <w:sz w:val="17"/>
          <w:szCs w:val="17"/>
          <w:color w:val="auto"/>
        </w:rPr>
        <w:t>. All shareholders are subject to the provisions of the Declaration of Trust and the Bylaws of the Trust.</w:t>
      </w:r>
    </w:p>
    <w:p>
      <w:pPr>
        <w:spacing w:after="0" w:line="2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Divisions and Combinations of Shares</w:t>
      </w:r>
      <w:r>
        <w:rPr>
          <w:rFonts w:ascii="Arial" w:cs="Arial" w:eastAsia="Arial" w:hAnsi="Arial"/>
          <w:sz w:val="18"/>
          <w:szCs w:val="18"/>
          <w:color w:val="auto"/>
        </w:rPr>
        <w:t>. Subject to an express provision to the contrary in the terms of any class or series of beneficial interest hereafter authorized, the Board of Trustees shall have the power to divide or combine the outstanding Shares of any class or series of beneficial interest, without a vote of shareholders, so long as the number of Shares combined into one Share in any such combination or series of combinations within any period of twelve months is not greater than five.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0960"/>
          </w:cols>
          <w:pgMar w:left="440" w:top="274" w:right="49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RESTRICTION ON TRANSFER AND OWNERSHIP OF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 of this Article VII, the following terms shall have the following meanings:</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Aggregate Share Ownership Limit. The term “Aggregate Share Ownership Limit” shall mean not more than 9.8 percent in value of the aggregate of the outstanding Equity Shares. The value of the outstanding Equity Shares shall be determined by the Board of Trustees in good faith, which determination shall be conclusive for all purposes hereof.</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Beneficial Ownership. The term “Beneficial Ownership” shall mean ownership of Equity Shares by a Person, whether the interest in Equity Shares is held directly or indirectly (including by a nominee), and shall include interests that would be treated as owned through the application of Section 544 of the Code, as modified by Section 856(h)(1)(B) of the Code. The terms “Beneficial Owner,” “Beneficially Owns” and “Beneficially Owned” shall have the correlative meanings.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Business Day. The term “Business Day” shall mean any day, other than a Saturday or Sunday, that is neither a legal holiday nor a day on which banking institutions in New York City are authorized or required by law, regulation or executive order to close.</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Charitable Beneficiary. The term “Charitable Beneficiary” shall mean one or more beneficiaries of the Charitable Trust as determined pursuant to Section 7.3.6, provided that each such organization must be described in Section 501(c)(3) of the Code and contributions to each such organization must be eligible for deduction under each of Sections 170(b)(1)(A), 2055 and 2522 of the Code.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Charitable Trust. The term “Charitable Trust” shall mean any trust provided for in Section 7.3.1.</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Common Share Ownership Limit. The term “Common Share Ownership Limit” shall mean not more than 9.8 percent (in value or in number of shares, whichever is more restrictive) of the aggregate number of the outstanding Common Shares. The number and value of outstanding Common Shares shall be determined by the Board of Trustees in good faith, which determination shall be conclusive for all purposes hereof.</w:t>
      </w:r>
    </w:p>
    <w:p>
      <w:pPr>
        <w:spacing w:after="0" w:line="16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Constructive Ownership. The term “Constructive Ownership” shall mean ownership of Equity Shares by a Person, whether the interest in Equity Shares is held directly or indirectly (including by a nominee), and shall include interests that would be treated as owned through the application of</w:t>
      </w:r>
    </w:p>
    <w:p>
      <w:pPr>
        <w:ind w:right="1120"/>
        <w:spacing w:after="0" w:line="260" w:lineRule="auto"/>
        <w:rPr>
          <w:sz w:val="20"/>
          <w:szCs w:val="20"/>
          <w:color w:val="auto"/>
        </w:rPr>
      </w:pPr>
      <w:r>
        <w:rPr>
          <w:rFonts w:ascii="Arial" w:cs="Arial" w:eastAsia="Arial" w:hAnsi="Arial"/>
          <w:sz w:val="18"/>
          <w:szCs w:val="18"/>
          <w:color w:val="auto"/>
        </w:rPr>
        <w:t>Section 318(a) of the Code, as modified by Section 856(d)(5) of the Code. The terms “Constructive Owner,” “Constructively Owns” and “Constructively Owned” shall have the correlative meanings.</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Declaration of Trust. The term “Declaration of Trust” shall mean this Declaration of Trust as accepted for record by the SDAT, and any amendments thereto.</w:t>
      </w:r>
    </w:p>
    <w:p>
      <w:pPr>
        <w:spacing w:after="0" w:line="170" w:lineRule="exact"/>
        <w:rPr>
          <w:sz w:val="20"/>
          <w:szCs w:val="20"/>
          <w:color w:val="auto"/>
        </w:rPr>
      </w:pPr>
    </w:p>
    <w:p>
      <w:pPr>
        <w:jc w:val="center"/>
        <w:ind w:right="20"/>
        <w:spacing w:after="0" w:line="449" w:lineRule="auto"/>
        <w:rPr>
          <w:sz w:val="20"/>
          <w:szCs w:val="20"/>
          <w:color w:val="auto"/>
        </w:rPr>
      </w:pPr>
      <w:r>
        <w:rPr>
          <w:rFonts w:ascii="Arial" w:cs="Arial" w:eastAsia="Arial" w:hAnsi="Arial"/>
          <w:sz w:val="18"/>
          <w:szCs w:val="18"/>
          <w:color w:val="auto"/>
        </w:rPr>
        <w:t>Equity Shares. The term “Equity Shares” shall mean Shares of all classes or series, including, without limitation, Common Shares and Preferred Shares. Page 6</w:t>
      </w:r>
    </w:p>
    <w:p>
      <w:pPr>
        <w:sectPr>
          <w:pgSz w:w="11900" w:h="16838" w:orient="portrait"/>
          <w:cols w:equalWidth="0" w:num="1">
            <w:col w:w="10960"/>
          </w:cols>
          <w:pgMar w:left="440" w:top="270" w:right="499" w:bottom="1440" w:gutter="0" w:footer="0" w:header="0"/>
        </w:sectPr>
      </w:pPr>
    </w:p>
    <w:bookmarkStart w:id="12" w:name="page13"/>
    <w:bookmarkEnd w:id="12"/>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Excepted Holder. The term “Excepted Holder” shall mean a shareholder of the Trust for whom an Excepted Holder Limit is created by this Article VII or by the Board of Trustees pursuant to Section 7.2.7.</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Excepted Holder Limit. The term “Excepted Holder Limit” shall mean, provided that the affected Excepted Holder agrees to comply with the requirements established by the Board of Trustees pursuant to Section 7.2.7, and subject to adjustment pursuant to Section 7.2.8, the percentage limit established by the Board of Trustees pursuant to Section 7.2.7.</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Initial Date. The term “Initial Date” shall mean the date upon which this Declaration of Trust containing this Article VII is accepted for record by the SDAT.</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Market Price. The term “Market Price” on any date shall mean, with respect to any class or series of outstanding Equity Shares, the Closing Price for such Equity Shares on such date. The “Closing Price” on any date shall mean the last sale price for such Equity Shares, regular way, or, in case no such sale takes place on such day, the average of the closing bid and asked prices, regular way, for such Equity Shares, in either case as reported in the principal consolidated transaction reporting system with respect to securities listed or admitted to trading on the NYSE or, if such Equity Shares are not listed or admitted to trading on the NYSE, as reported on the principal consolidated transaction reporting system with respect to securities listed on the principal national securities exchange on which such Equity Shares are listed or admitted to trading or, if such Equity Shares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such Equity Shares are not quoted by any such organization, the average of the closing bid and asked prices as furnished by a professional market maker making a market in such Equity Shares selected by the Board of Trustees or, in the event that no trading price is available for such Equity Shares, the fair market value of Equity Shares, as determined in good faith by the Board of Trustees, which determination shall be conclusive for all purposes hereof.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NYSE. The term “NYSE” shall mean the New York Stock Exchange.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Person. The term “Person” shall mean an individual, corporation, partnership, limited liability company, estate, trust (including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that term is used for purposes of Section 13(d)(3) of the Securities Exchange Act of 1934, as amended, and a group to which an Excepted Holder Limit applies.</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Prohibited Owner. The term “Prohibited Owner” shall mean, with respect to any purported Transfer, any Person who, but for the provisions of Section 7.2.1, would Beneficially Own or Constructively Own Equity Shares, and if appropriate in the context, shall also mean any Person who would have been the record owner of Equity Shares that the Prohibited Owner would have so owned.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REIT. The term “REIT” shall mean a real estate investment trust within the meaning of Section 856 of the Code.</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000"/>
          </w:cols>
          <w:pgMar w:left="440" w:top="274" w:right="459" w:bottom="1440" w:gutter="0" w:footer="0" w:header="0"/>
        </w:sectPr>
      </w:pPr>
    </w:p>
    <w:bookmarkStart w:id="13" w:name="page14"/>
    <w:bookmarkEnd w:id="13"/>
    <w:p>
      <w:pPr>
        <w:ind w:left="4"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 Termination Date. The term “Restriction Termination Date” shall mean the first day after the Initial Date on which the Board of Trustees determines that it is no longer in the best interests of the Trust to attempt to, or continue to, qualify as a REIT or that compliance with the restrictions and limitations on Beneficial Ownership, Constructive Ownership and Transfers of Equity Shares set forth herein is no longer required in order for the Trust to qualify as a REIT.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SDAT. The term “SDAT” shall mean the State Department of Assessments and Taxation of Maryland.</w:t>
      </w:r>
    </w:p>
    <w:p>
      <w:pPr>
        <w:spacing w:after="0" w:line="225" w:lineRule="exact"/>
        <w:rPr>
          <w:sz w:val="20"/>
          <w:szCs w:val="20"/>
          <w:color w:val="auto"/>
        </w:rPr>
      </w:pPr>
    </w:p>
    <w:p>
      <w:pPr>
        <w:ind w:left="4" w:right="60"/>
        <w:spacing w:after="0" w:line="287" w:lineRule="auto"/>
        <w:rPr>
          <w:sz w:val="20"/>
          <w:szCs w:val="20"/>
          <w:color w:val="auto"/>
        </w:rPr>
      </w:pPr>
      <w:r>
        <w:rPr>
          <w:rFonts w:ascii="Arial" w:cs="Arial" w:eastAsia="Arial" w:hAnsi="Arial"/>
          <w:sz w:val="16"/>
          <w:szCs w:val="16"/>
          <w:color w:val="auto"/>
        </w:rPr>
        <w:t>Transfer. The term “Transfer” shall mean any issuance, sale, transfer, gift, assignment, devise or other disposition, as well as any other event that causes any Person to acquire Beneficial Ownership or Constructive Ownership, or any agreement to take any such actions or cause any such events, of Equity Shares or the right to vote or receive dividends on Equity Shares, including (a) the granting or exercise of any option (or any disposition of any option),</w:t>
      </w:r>
    </w:p>
    <w:p>
      <w:pPr>
        <w:spacing w:after="0" w:line="2" w:lineRule="exact"/>
        <w:rPr>
          <w:sz w:val="20"/>
          <w:szCs w:val="20"/>
          <w:color w:val="auto"/>
        </w:rPr>
      </w:pPr>
    </w:p>
    <w:p>
      <w:pPr>
        <w:ind w:left="4" w:hanging="4"/>
        <w:spacing w:after="0" w:line="273" w:lineRule="auto"/>
        <w:tabs>
          <w:tab w:leader="none" w:pos="259"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disposition of any securities or rights convertible into or exchangeable for Equity Shares or any interest in Equity Shares or any exercise of any such conversion or exchange right and (c) Transfers of interests in other entities that result in changes in Beneficial or Constructive Ownership of Equity Shares; in each case, whether voluntary or involuntary, whether owned of record, Constructively Owned or Beneficially Owned and whether by operation of law or otherwise. The terms “Transferring” and “Transferred” shall have the correlative meanings.</w:t>
      </w:r>
    </w:p>
    <w:p>
      <w:pPr>
        <w:spacing w:after="0" w:line="176"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Trustee. The term “Trustee” shall mean the Person unaffiliated with the Trust and a Prohibited Owner, that is appointed by the Trust to serve as trustee of the Charitable Trust.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Equity Shares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7.2.1 </w:t>
      </w:r>
      <w:r>
        <w:rPr>
          <w:rFonts w:ascii="Arial" w:cs="Arial" w:eastAsia="Arial" w:hAnsi="Arial"/>
          <w:sz w:val="18"/>
          <w:szCs w:val="18"/>
          <w:u w:val="single" w:color="auto"/>
          <w:color w:val="auto"/>
        </w:rPr>
        <w:t>Ownership Limitations</w:t>
      </w:r>
      <w:r>
        <w:rPr>
          <w:rFonts w:ascii="Arial" w:cs="Arial" w:eastAsia="Arial" w:hAnsi="Arial"/>
          <w:sz w:val="18"/>
          <w:szCs w:val="18"/>
          <w:color w:val="auto"/>
        </w:rPr>
        <w:t>. During the period commencing on the Initial Date and prior to the Restriction Termination Date:</w:t>
      </w:r>
    </w:p>
    <w:p>
      <w:pPr>
        <w:spacing w:after="0" w:line="225" w:lineRule="exact"/>
        <w:rPr>
          <w:sz w:val="20"/>
          <w:szCs w:val="20"/>
          <w:color w:val="auto"/>
        </w:rPr>
      </w:pPr>
    </w:p>
    <w:p>
      <w:pPr>
        <w:ind w:left="244" w:hanging="244"/>
        <w:spacing w:after="0"/>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Basic Restrictions.</w:t>
      </w:r>
    </w:p>
    <w:p>
      <w:pPr>
        <w:spacing w:after="0" w:line="117" w:lineRule="exact"/>
        <w:rPr>
          <w:rFonts w:ascii="Arial" w:cs="Arial" w:eastAsia="Arial" w:hAnsi="Arial"/>
          <w:sz w:val="18"/>
          <w:szCs w:val="18"/>
          <w:color w:val="auto"/>
        </w:rPr>
      </w:pPr>
    </w:p>
    <w:p>
      <w:pPr>
        <w:jc w:val="both"/>
        <w:ind w:left="444" w:right="120" w:hanging="4"/>
        <w:spacing w:after="0" w:line="259" w:lineRule="auto"/>
        <w:tabs>
          <w:tab w:leader="none" w:pos="659" w:val="left"/>
        </w:tabs>
        <w:numPr>
          <w:ilvl w:val="1"/>
          <w:numId w:val="6"/>
        </w:numPr>
        <w:rPr>
          <w:rFonts w:ascii="Arial" w:cs="Arial" w:eastAsia="Arial" w:hAnsi="Arial"/>
          <w:sz w:val="18"/>
          <w:szCs w:val="18"/>
          <w:color w:val="auto"/>
        </w:rPr>
      </w:pPr>
      <w:r>
        <w:rPr>
          <w:rFonts w:ascii="Arial" w:cs="Arial" w:eastAsia="Arial" w:hAnsi="Arial"/>
          <w:sz w:val="18"/>
          <w:szCs w:val="18"/>
          <w:color w:val="auto"/>
        </w:rPr>
        <w:t>(1) No Person, other than an Excepted Holder, shall Beneficially Own or Constructively Own Equity Shares in excess of the Aggregate Share Ownership Limit, (2) no Person, other than an Excepted Holder, shall Beneficially Own or Constructively Own Common Shares in excess of the Common Share Ownership Limit and (3) no Excepted Holder shall Beneficially Own or Constructively Own Equity Shares in excess of the Excepted Holder Limit for such Excepted Holder.</w:t>
      </w:r>
    </w:p>
    <w:p>
      <w:pPr>
        <w:spacing w:after="0" w:line="78" w:lineRule="exact"/>
        <w:rPr>
          <w:rFonts w:ascii="Arial" w:cs="Arial" w:eastAsia="Arial" w:hAnsi="Arial"/>
          <w:sz w:val="18"/>
          <w:szCs w:val="18"/>
          <w:color w:val="auto"/>
        </w:rPr>
      </w:pPr>
    </w:p>
    <w:p>
      <w:pPr>
        <w:ind w:left="704" w:hanging="264"/>
        <w:spacing w:after="0"/>
        <w:tabs>
          <w:tab w:leader="none" w:pos="704" w:val="left"/>
        </w:tabs>
        <w:numPr>
          <w:ilvl w:val="1"/>
          <w:numId w:val="6"/>
        </w:numPr>
        <w:rPr>
          <w:rFonts w:ascii="Arial" w:cs="Arial" w:eastAsia="Arial" w:hAnsi="Arial"/>
          <w:sz w:val="17"/>
          <w:szCs w:val="17"/>
          <w:color w:val="auto"/>
        </w:rPr>
      </w:pPr>
      <w:r>
        <w:rPr>
          <w:rFonts w:ascii="Arial" w:cs="Arial" w:eastAsia="Arial" w:hAnsi="Arial"/>
          <w:sz w:val="17"/>
          <w:szCs w:val="17"/>
          <w:color w:val="auto"/>
        </w:rPr>
        <w:t>No Person shall Beneficially or Constructively Own Equity Shares to the extent that such Beneficial or Constructive Ownership of Equity</w:t>
      </w:r>
    </w:p>
    <w:p>
      <w:pPr>
        <w:spacing w:after="0" w:line="34" w:lineRule="exact"/>
        <w:rPr>
          <w:rFonts w:ascii="Arial" w:cs="Arial" w:eastAsia="Arial" w:hAnsi="Arial"/>
          <w:sz w:val="17"/>
          <w:szCs w:val="17"/>
          <w:color w:val="auto"/>
        </w:rPr>
      </w:pPr>
    </w:p>
    <w:p>
      <w:pPr>
        <w:ind w:left="444" w:right="100"/>
        <w:spacing w:after="0" w:line="281" w:lineRule="auto"/>
        <w:rPr>
          <w:rFonts w:ascii="Arial" w:cs="Arial" w:eastAsia="Arial" w:hAnsi="Arial"/>
          <w:sz w:val="17"/>
          <w:szCs w:val="17"/>
          <w:color w:val="auto"/>
        </w:rPr>
      </w:pPr>
      <w:r>
        <w:rPr>
          <w:rFonts w:ascii="Arial" w:cs="Arial" w:eastAsia="Arial" w:hAnsi="Arial"/>
          <w:sz w:val="16"/>
          <w:szCs w:val="16"/>
          <w:color w:val="auto"/>
        </w:rPr>
        <w:t>Shares would result in the Trust being “closely held” within the meaning of Section 856(h) of the Code (without regard to whether the ownership interest is held during the last half of a taxable year), or otherwise failing to qualify as a REIT (including, but not limited to, Beneficial or Constructive Ownership that would result in the Trust owning (actually or Constructively) an interest in a tenant that is described in</w:t>
      </w:r>
    </w:p>
    <w:p>
      <w:pPr>
        <w:spacing w:after="0" w:line="1" w:lineRule="exact"/>
        <w:rPr>
          <w:rFonts w:ascii="Arial" w:cs="Arial" w:eastAsia="Arial" w:hAnsi="Arial"/>
          <w:sz w:val="17"/>
          <w:szCs w:val="17"/>
          <w:color w:val="auto"/>
        </w:rPr>
      </w:pPr>
    </w:p>
    <w:p>
      <w:pPr>
        <w:ind w:left="444" w:right="420"/>
        <w:spacing w:after="0" w:line="260" w:lineRule="auto"/>
        <w:rPr>
          <w:rFonts w:ascii="Arial" w:cs="Arial" w:eastAsia="Arial" w:hAnsi="Arial"/>
          <w:sz w:val="17"/>
          <w:szCs w:val="17"/>
          <w:color w:val="auto"/>
        </w:rPr>
      </w:pPr>
      <w:r>
        <w:rPr>
          <w:rFonts w:ascii="Arial" w:cs="Arial" w:eastAsia="Arial" w:hAnsi="Arial"/>
          <w:sz w:val="18"/>
          <w:szCs w:val="18"/>
          <w:color w:val="auto"/>
        </w:rPr>
        <w:t>Section 856(d)(2)(B) of the Code if the income derived by the Trust from such tenant would cause the Trust to fail to satisfy any of the gross income requirements of Section 856(c) of the Code).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0984"/>
          </w:cols>
          <w:pgMar w:left="436" w:top="274" w:right="479" w:bottom="1440" w:gutter="0" w:footer="0" w:header="0"/>
        </w:sectPr>
      </w:pPr>
    </w:p>
    <w:bookmarkStart w:id="14" w:name="page15"/>
    <w:bookmarkEnd w:id="14"/>
    <w:p>
      <w:pPr>
        <w:ind w:left="444" w:right="80" w:hanging="4"/>
        <w:spacing w:after="0" w:line="301" w:lineRule="auto"/>
        <w:tabs>
          <w:tab w:leader="none" w:pos="759" w:val="left"/>
        </w:tabs>
        <w:numPr>
          <w:ilvl w:val="1"/>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provisions contained herein (but subject to Section 7.4), any Transfer of Equity Shares (whether or not such Transfer is the result of a transaction entered into through the facilities of the NYSE or any other national securities exchange or automated inter-dealer quotation system) that, if effective, would result in Equity Shares being beneficially owned by less than 100 Persons (determined under the principles of Section 856(a)(5) of the Code) shall be void ab initio, and the intended transferee shall acquire no rights in such Equity Shares.</w:t>
      </w:r>
    </w:p>
    <w:p>
      <w:pPr>
        <w:spacing w:after="0" w:line="49" w:lineRule="exact"/>
        <w:rPr>
          <w:rFonts w:ascii="Arial" w:cs="Arial" w:eastAsia="Arial" w:hAnsi="Arial"/>
          <w:sz w:val="16"/>
          <w:szCs w:val="16"/>
          <w:color w:val="auto"/>
        </w:rPr>
      </w:pPr>
    </w:p>
    <w:p>
      <w:pPr>
        <w:ind w:left="4" w:right="40" w:hanging="4"/>
        <w:spacing w:after="0" w:line="263"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 in Trust. If any Transfer of Equity Shares (whether or not such Transfer is the result of a transaction entered into through the facilities of the NYSE or any other national securities exchange or automated inter-dealer quotation system) occurs which, if effective, would result in any Person Beneficially Owning or Constructively Owning Equity Shares in violation of Section 7.2.1(a)(i) or (ii),</w:t>
      </w:r>
    </w:p>
    <w:p>
      <w:pPr>
        <w:spacing w:after="0" w:line="75" w:lineRule="exact"/>
        <w:rPr>
          <w:rFonts w:ascii="Arial" w:cs="Arial" w:eastAsia="Arial" w:hAnsi="Arial"/>
          <w:sz w:val="18"/>
          <w:szCs w:val="18"/>
          <w:color w:val="auto"/>
        </w:rPr>
      </w:pPr>
    </w:p>
    <w:p>
      <w:pPr>
        <w:ind w:left="664" w:hanging="224"/>
        <w:spacing w:after="0"/>
        <w:tabs>
          <w:tab w:leader="none" w:pos="664"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then that number of Equity Shares the Beneficial or Constructive Ownership of which otherwise would cause such Person to violate</w:t>
      </w:r>
    </w:p>
    <w:p>
      <w:pPr>
        <w:spacing w:after="0" w:line="35" w:lineRule="exact"/>
        <w:rPr>
          <w:sz w:val="20"/>
          <w:szCs w:val="20"/>
          <w:color w:val="auto"/>
        </w:rPr>
      </w:pPr>
    </w:p>
    <w:p>
      <w:pPr>
        <w:ind w:left="444" w:right="20"/>
        <w:spacing w:after="0" w:line="255" w:lineRule="auto"/>
        <w:rPr>
          <w:sz w:val="20"/>
          <w:szCs w:val="20"/>
          <w:color w:val="auto"/>
        </w:rPr>
      </w:pPr>
      <w:r>
        <w:rPr>
          <w:rFonts w:ascii="Arial" w:cs="Arial" w:eastAsia="Arial" w:hAnsi="Arial"/>
          <w:sz w:val="18"/>
          <w:szCs w:val="18"/>
          <w:color w:val="auto"/>
        </w:rPr>
        <w:t>Section 7.2.1(a)(i) or (ii)(rounded to the nearest whole share) shall be automatically transferred to a Charitable Trust for the benefit of a Charitable Beneficiary, as described in Section 7.3, effective as of the close of business on the Business Day prior to the date of such Transfer, and such Person shall acquire no rights in such Equity Shares; or</w:t>
      </w:r>
    </w:p>
    <w:p>
      <w:pPr>
        <w:spacing w:after="0" w:line="82" w:lineRule="exact"/>
        <w:rPr>
          <w:sz w:val="20"/>
          <w:szCs w:val="20"/>
          <w:color w:val="auto"/>
        </w:rPr>
      </w:pPr>
    </w:p>
    <w:p>
      <w:pPr>
        <w:ind w:left="444" w:right="20" w:hanging="4"/>
        <w:spacing w:after="0" w:line="291" w:lineRule="auto"/>
        <w:tabs>
          <w:tab w:leader="none" w:pos="709"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the transfer to the Charitable Trust described in clause (i) of this sentence would not be effective for any reason to prevent the violation of Section 7.2.1(a)(i) or (ii), then the Transfer of that number of Equity Shares that otherwise would cause any Person to violate Section 7.2.1(a)(i) or</w:t>
      </w:r>
    </w:p>
    <w:p>
      <w:pPr>
        <w:ind w:left="704" w:hanging="264"/>
        <w:spacing w:after="0"/>
        <w:tabs>
          <w:tab w:leader="none" w:pos="7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shall be void ab initio, and the intended transferee shall acquire no rights in such Equity Shares.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Section 7.2.2 </w:t>
      </w:r>
      <w:r>
        <w:rPr>
          <w:rFonts w:ascii="Arial" w:cs="Arial" w:eastAsia="Arial" w:hAnsi="Arial"/>
          <w:sz w:val="16"/>
          <w:szCs w:val="16"/>
          <w:u w:val="single" w:color="auto"/>
          <w:color w:val="auto"/>
        </w:rPr>
        <w:t>Remedies for Breach</w:t>
      </w:r>
      <w:r>
        <w:rPr>
          <w:rFonts w:ascii="Arial" w:cs="Arial" w:eastAsia="Arial" w:hAnsi="Arial"/>
          <w:sz w:val="16"/>
          <w:szCs w:val="16"/>
          <w:color w:val="auto"/>
        </w:rPr>
        <w:t>. If the Board of Trustees or any duly authorized committee thereof shall at any time determine in good faith that a</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Transfer or other event has taken place that results in a violation of Section 7.2.1 or that a Person intends to acquire or has attempted to acquire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Beneficial or Constructive Ownership of any Equity Shares in violation of Section 7.2.1 (whether or not such violation is intended), the Board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Trustees or a committee thereof shall take such action as it deems advisable to refuse to give effect to or to prevent such Transfer or other event,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including, without limitation, causing the Trust to redeem Equity Shares, refusing to give effect to such Transfer on the books of the Trust or instituting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proceedings to enjoin such Transfer or other event; provided, however, that any Transfers or attempted Transfers or other events in violation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7.2.1 shall automatically result in the transfer to the Charitable Trust described above, and, where applicable, such Transfer (or other event) shall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be void ab initio as provided above irrespective of any action (or non-action) by the Board of Trustees or a committee thereof.</w:t>
      </w:r>
    </w:p>
    <w:p>
      <w:pPr>
        <w:spacing w:after="0" w:line="211"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 xml:space="preserve">Section 7.2.3 </w:t>
      </w:r>
      <w:r>
        <w:rPr>
          <w:rFonts w:ascii="Arial" w:cs="Arial" w:eastAsia="Arial" w:hAnsi="Arial"/>
          <w:sz w:val="17"/>
          <w:szCs w:val="17"/>
          <w:u w:val="single" w:color="auto"/>
          <w:color w:val="auto"/>
        </w:rPr>
        <w:t>Notice of Restricted Transfer</w:t>
      </w:r>
      <w:r>
        <w:rPr>
          <w:rFonts w:ascii="Arial" w:cs="Arial" w:eastAsia="Arial" w:hAnsi="Arial"/>
          <w:sz w:val="17"/>
          <w:szCs w:val="17"/>
          <w:color w:val="auto"/>
        </w:rPr>
        <w:t>. Any Person who acquires or attempts or intends to acquire Beneficial Ownership or Constructive Ownership of Equity Shares that will or may violate Section 7.2.1(a), or any Person who would have owned Equity Shares that resulted in a transfer to the Charitable Trust pursuant to the provisions of Section 7.2.1(b), shall immediately give written notice to the Trust of such event, or in the case of such a proposed or attempted transaction, give at least 15 days prior written notice, and shall provide to the Trust such other information as the Trust may request in order to determine the effect, if any, of such Transfer on the Trust’s status as a REIT.</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004"/>
          </w:cols>
          <w:pgMar w:left="436" w:top="274" w:right="45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7.2.4 </w:t>
      </w:r>
      <w:r>
        <w:rPr>
          <w:rFonts w:ascii="Arial" w:cs="Arial" w:eastAsia="Arial" w:hAnsi="Arial"/>
          <w:sz w:val="18"/>
          <w:szCs w:val="18"/>
          <w:u w:val="single" w:color="auto"/>
          <w:color w:val="auto"/>
        </w:rPr>
        <w:t>Owners Required To Provide Information</w:t>
      </w:r>
      <w:r>
        <w:rPr>
          <w:rFonts w:ascii="Arial" w:cs="Arial" w:eastAsia="Arial" w:hAnsi="Arial"/>
          <w:sz w:val="18"/>
          <w:szCs w:val="18"/>
          <w:color w:val="auto"/>
        </w:rPr>
        <w:t>. From the Initial Date and prior to the Restriction Termination Date:</w:t>
      </w:r>
    </w:p>
    <w:p>
      <w:pPr>
        <w:spacing w:after="0" w:line="117" w:lineRule="exact"/>
        <w:rPr>
          <w:sz w:val="20"/>
          <w:szCs w:val="20"/>
          <w:color w:val="auto"/>
        </w:rPr>
      </w:pPr>
    </w:p>
    <w:p>
      <w:pPr>
        <w:ind w:left="4" w:hanging="4"/>
        <w:spacing w:after="0" w:line="296" w:lineRule="auto"/>
        <w:tabs>
          <w:tab w:leader="none" w:pos="2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every owner of more than five percent (or such lower percentage as required by the Code or the Treasury Regulations promulgated thereunder) of the outstanding Equity Shares, within 30 days after the end of each taxable year, shall give written notice to the Trust stating the name and address of such owner, the number of Equity Shares and other Equity Shares Beneficially Owned and a description of the manner in which such shares are held. Each such owner shall provide to the Trust such additional information as the Trust may request in order to determine the effect, if any, of such Beneficial Ownership on the Trust’s status as a REIT and to ensure compliance with the Aggregate Share Ownership Limit.</w:t>
      </w:r>
    </w:p>
    <w:p>
      <w:pPr>
        <w:spacing w:after="0" w:line="53" w:lineRule="exact"/>
        <w:rPr>
          <w:rFonts w:ascii="Arial" w:cs="Arial" w:eastAsia="Arial" w:hAnsi="Arial"/>
          <w:sz w:val="16"/>
          <w:szCs w:val="16"/>
          <w:color w:val="auto"/>
        </w:rPr>
      </w:pPr>
    </w:p>
    <w:p>
      <w:pPr>
        <w:ind w:left="4" w:right="380" w:hanging="4"/>
        <w:spacing w:after="0" w:line="259" w:lineRule="auto"/>
        <w:tabs>
          <w:tab w:leader="none" w:pos="2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Person who is a Beneficial or Constructive Owner of Equity Shares and each Person (including the shareholder of record) who is holding Equity Shares for a Beneficial or Constructive Owner shall provide to the Trust such information as the Trust may request, in good faith, in order to determine the Trust’s status as a REIT and to comply with requirements of any taxing authority or governmental authority or to determine such compliance.</w:t>
      </w:r>
    </w:p>
    <w:p>
      <w:pPr>
        <w:spacing w:after="0" w:line="187" w:lineRule="exact"/>
        <w:rPr>
          <w:sz w:val="20"/>
          <w:szCs w:val="20"/>
          <w:color w:val="auto"/>
        </w:rPr>
      </w:pPr>
    </w:p>
    <w:p>
      <w:pPr>
        <w:jc w:val="both"/>
        <w:ind w:left="4" w:right="100"/>
        <w:spacing w:after="0" w:line="263" w:lineRule="auto"/>
        <w:rPr>
          <w:sz w:val="20"/>
          <w:szCs w:val="20"/>
          <w:color w:val="auto"/>
        </w:rPr>
      </w:pPr>
      <w:r>
        <w:rPr>
          <w:rFonts w:ascii="Arial" w:cs="Arial" w:eastAsia="Arial" w:hAnsi="Arial"/>
          <w:sz w:val="18"/>
          <w:szCs w:val="18"/>
          <w:color w:val="auto"/>
        </w:rPr>
        <w:t xml:space="preserve">Section 7.2.5 </w:t>
      </w:r>
      <w:r>
        <w:rPr>
          <w:rFonts w:ascii="Arial" w:cs="Arial" w:eastAsia="Arial" w:hAnsi="Arial"/>
          <w:sz w:val="18"/>
          <w:szCs w:val="18"/>
          <w:u w:val="single" w:color="auto"/>
          <w:color w:val="auto"/>
        </w:rPr>
        <w:t>Remedies Not Limited</w:t>
      </w:r>
      <w:r>
        <w:rPr>
          <w:rFonts w:ascii="Arial" w:cs="Arial" w:eastAsia="Arial" w:hAnsi="Arial"/>
          <w:sz w:val="18"/>
          <w:szCs w:val="18"/>
          <w:color w:val="auto"/>
        </w:rPr>
        <w:t>. Subject to Section 5.1 of the Declaration of Trust, nothing contained in this Section 7.2 shall limit the authority of the Board of Trustees to take such other action as it deems necessary or advisable to protect the Trust and the interests of its shareholders in preserving the Trust’s status as a REIT.</w:t>
      </w:r>
    </w:p>
    <w:p>
      <w:pPr>
        <w:spacing w:after="0" w:line="184" w:lineRule="exact"/>
        <w:rPr>
          <w:sz w:val="20"/>
          <w:szCs w:val="20"/>
          <w:color w:val="auto"/>
        </w:rPr>
      </w:pPr>
    </w:p>
    <w:p>
      <w:pPr>
        <w:ind w:left="4" w:right="20"/>
        <w:spacing w:after="0" w:line="275" w:lineRule="auto"/>
        <w:rPr>
          <w:sz w:val="20"/>
          <w:szCs w:val="20"/>
          <w:color w:val="auto"/>
        </w:rPr>
      </w:pPr>
      <w:r>
        <w:rPr>
          <w:rFonts w:ascii="Arial" w:cs="Arial" w:eastAsia="Arial" w:hAnsi="Arial"/>
          <w:sz w:val="17"/>
          <w:szCs w:val="17"/>
          <w:color w:val="auto"/>
        </w:rPr>
        <w:t xml:space="preserve">Section 7.2.6 </w:t>
      </w:r>
      <w:r>
        <w:rPr>
          <w:rFonts w:ascii="Arial" w:cs="Arial" w:eastAsia="Arial" w:hAnsi="Arial"/>
          <w:sz w:val="17"/>
          <w:szCs w:val="17"/>
          <w:u w:val="single" w:color="auto"/>
          <w:color w:val="auto"/>
        </w:rPr>
        <w:t>Ambiguity</w:t>
      </w:r>
      <w:r>
        <w:rPr>
          <w:rFonts w:ascii="Arial" w:cs="Arial" w:eastAsia="Arial" w:hAnsi="Arial"/>
          <w:sz w:val="17"/>
          <w:szCs w:val="17"/>
          <w:color w:val="auto"/>
        </w:rPr>
        <w:t>. In the case of an ambiguity in the application of any of the provisions of this Section 7.2, Section 7.3 or any definition contained in Section 7.1, the Board of Trustees shall have the power to determine the application of the provisions of this Section 7.2 or Section 7.3 with respect to any situation based on the facts known to it. In the event Section 7.2 or 7.3 requires an action by the Board of Trustees and the Declaration of Trust fails to provide specific guidance with respect to such action, the Board of Trustees shall have the power to determine the action to be taken so long as such action is not contrary to the provisions of Sections 7.1, 7.2 or 7.3.</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7.2.7 </w:t>
      </w:r>
      <w:r>
        <w:rPr>
          <w:rFonts w:ascii="Arial" w:cs="Arial" w:eastAsia="Arial" w:hAnsi="Arial"/>
          <w:sz w:val="18"/>
          <w:szCs w:val="18"/>
          <w:u w:val="single" w:color="auto"/>
          <w:color w:val="auto"/>
        </w:rPr>
        <w:t>Exceptions</w:t>
      </w:r>
      <w:r>
        <w:rPr>
          <w:rFonts w:ascii="Arial" w:cs="Arial" w:eastAsia="Arial" w:hAnsi="Arial"/>
          <w:sz w:val="18"/>
          <w:szCs w:val="18"/>
          <w:color w:val="auto"/>
        </w:rPr>
        <w:t>.</w:t>
      </w:r>
    </w:p>
    <w:p>
      <w:pPr>
        <w:spacing w:after="0" w:line="225" w:lineRule="exact"/>
        <w:rPr>
          <w:sz w:val="20"/>
          <w:szCs w:val="20"/>
          <w:color w:val="auto"/>
        </w:rPr>
      </w:pPr>
    </w:p>
    <w:p>
      <w:pPr>
        <w:ind w:left="4" w:right="60" w:hanging="4"/>
        <w:spacing w:after="0" w:line="308" w:lineRule="auto"/>
        <w:tabs>
          <w:tab w:leader="none" w:pos="249"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Subject to Section 7.2.1(a)(ii), the Board of Trustees, in its sole discretion, may exempt a Person from the Aggregate Share Ownership Limit and the Common Share Ownership Limit, as the case may be, and may establish or increase an Excepted Holder Limit for such Person if:</w:t>
      </w:r>
    </w:p>
    <w:p>
      <w:pPr>
        <w:spacing w:after="0" w:line="38" w:lineRule="exact"/>
        <w:rPr>
          <w:rFonts w:ascii="Arial" w:cs="Arial" w:eastAsia="Arial" w:hAnsi="Arial"/>
          <w:sz w:val="17"/>
          <w:szCs w:val="17"/>
          <w:color w:val="auto"/>
        </w:rPr>
      </w:pPr>
    </w:p>
    <w:p>
      <w:pPr>
        <w:ind w:left="444" w:right="700" w:hanging="4"/>
        <w:spacing w:after="0" w:line="277" w:lineRule="auto"/>
        <w:tabs>
          <w:tab w:leader="none" w:pos="659"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Board of Trustees obtains such representations and undertakings from such Person as are reasonably necessary to ascertain that no individual’s Beneficial or Constructive Ownership of such Equity Shares will violate Section 7.2.1(a)(ii);</w:t>
      </w:r>
    </w:p>
    <w:p>
      <w:pPr>
        <w:spacing w:after="0" w:line="62" w:lineRule="exact"/>
        <w:rPr>
          <w:rFonts w:ascii="Arial" w:cs="Arial" w:eastAsia="Arial" w:hAnsi="Arial"/>
          <w:sz w:val="18"/>
          <w:szCs w:val="18"/>
          <w:color w:val="auto"/>
        </w:rPr>
      </w:pPr>
    </w:p>
    <w:p>
      <w:pPr>
        <w:ind w:left="444" w:right="20" w:hanging="4"/>
        <w:spacing w:after="0" w:line="293" w:lineRule="auto"/>
        <w:tabs>
          <w:tab w:leader="none" w:pos="709" w:val="left"/>
        </w:tabs>
        <w:numPr>
          <w:ilvl w:val="1"/>
          <w:numId w:val="12"/>
        </w:numPr>
        <w:rPr>
          <w:rFonts w:ascii="Arial" w:cs="Arial" w:eastAsia="Arial" w:hAnsi="Arial"/>
          <w:sz w:val="16"/>
          <w:szCs w:val="16"/>
          <w:color w:val="auto"/>
        </w:rPr>
      </w:pPr>
      <w:r>
        <w:rPr>
          <w:rFonts w:ascii="Arial" w:cs="Arial" w:eastAsia="Arial" w:hAnsi="Arial"/>
          <w:sz w:val="16"/>
          <w:szCs w:val="16"/>
          <w:color w:val="auto"/>
        </w:rPr>
        <w:t>such Person does not and represents that it will not own, actually or Constructively, an interest in a tenant of the Trust (or a tenant of any entity owned or controlled by the Trust) that would cause the Trust to own, actually or Constructively, more than a 9.8% interest (as set forth in Section 856(d)(2)(B) of the Code) in such tenant and the Board of Trustees obtains such representations and undertakings from such Person as are reasonably necessary to ascertain this fact (for this purpose, a tenant from whom the Trust (or an entity owned or controlled by the Trust) derives (and is expected to continue to derive) a sufficiently small amount of revenue such that, in the opinion of the Board of Trustees, rent from such tenant would not adversely affect the Trust’s ability to qualify as a REIT, shall not be treated as a tenant of the Trust); and</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004"/>
          </w:cols>
          <w:pgMar w:left="436" w:top="274" w:right="459" w:bottom="1440" w:gutter="0" w:footer="0" w:header="0"/>
        </w:sectPr>
      </w:pPr>
    </w:p>
    <w:bookmarkStart w:id="16" w:name="page17"/>
    <w:bookmarkEnd w:id="16"/>
    <w:p>
      <w:pPr>
        <w:ind w:left="444" w:right="160" w:hanging="4"/>
        <w:spacing w:after="0" w:line="263" w:lineRule="auto"/>
        <w:tabs>
          <w:tab w:leader="none" w:pos="759" w:val="left"/>
        </w:tabs>
        <w:numPr>
          <w:ilvl w:val="1"/>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Person agrees that any violation or attempted violation of such representations or undertakings (or other action which is contrary to the restrictions contained in Sections 7.2.1 through 7.2.6) will result in such Equity Shares being automatically transferred to a Charitable Trust in accordance with Sections 7.2.1(b) and 7.3.</w:t>
      </w:r>
    </w:p>
    <w:p>
      <w:pPr>
        <w:spacing w:after="0" w:line="75" w:lineRule="exact"/>
        <w:rPr>
          <w:rFonts w:ascii="Arial" w:cs="Arial" w:eastAsia="Arial" w:hAnsi="Arial"/>
          <w:sz w:val="18"/>
          <w:szCs w:val="18"/>
          <w:color w:val="auto"/>
        </w:rPr>
      </w:pPr>
    </w:p>
    <w:p>
      <w:pPr>
        <w:ind w:left="4" w:hanging="4"/>
        <w:spacing w:after="0" w:line="279" w:lineRule="auto"/>
        <w:tabs>
          <w:tab w:leader="none" w:pos="259"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Prior to granting any exception pursuant to Section 7.2.7(a), the Board of Trustees may require a ruling from the Internal Revenue Service, or an opinion of counsel, in either case in form and substance satisfactory to the Board of Trustees in its sole discretion, as it may deem necessary or advisable in order to determine or ensure the Trust’s status as a REIT. Notwithstanding the receipt of any ruling or opinion, the Board of Trustees may impose such conditions or restrictions as it deems appropriate in connection with granting such exception.</w:t>
      </w:r>
    </w:p>
    <w:p>
      <w:pPr>
        <w:spacing w:after="0" w:line="63" w:lineRule="exact"/>
        <w:rPr>
          <w:rFonts w:ascii="Arial" w:cs="Arial" w:eastAsia="Arial" w:hAnsi="Arial"/>
          <w:sz w:val="17"/>
          <w:szCs w:val="17"/>
          <w:color w:val="auto"/>
        </w:rPr>
      </w:pPr>
    </w:p>
    <w:p>
      <w:pPr>
        <w:ind w:left="4" w:right="120" w:hanging="4"/>
        <w:spacing w:after="0" w:line="259" w:lineRule="auto"/>
        <w:tabs>
          <w:tab w:leader="none" w:pos="2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Section 7.2.1(a)(ii), an underwriter which participates in a public offering or a private placement of Equity Shares (or securities convertible into or exchangeable for Equity Shares) may Beneficially Own or Constructively Own Equity Shares (or securities convertible into or exchangeable for Equity Shares) in excess of the Aggregate Share Ownership Limit, the Common Share Ownership Limit or both such limits, but only to the extent necessary to facilitate such public offering or private placement.</w:t>
      </w:r>
    </w:p>
    <w:p>
      <w:pPr>
        <w:spacing w:after="0" w:line="78" w:lineRule="exact"/>
        <w:rPr>
          <w:rFonts w:ascii="Arial" w:cs="Arial" w:eastAsia="Arial" w:hAnsi="Arial"/>
          <w:sz w:val="18"/>
          <w:szCs w:val="18"/>
          <w:color w:val="auto"/>
        </w:rPr>
      </w:pPr>
    </w:p>
    <w:p>
      <w:pPr>
        <w:jc w:val="both"/>
        <w:ind w:left="4" w:right="60" w:hanging="4"/>
        <w:spacing w:after="0" w:line="259"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of Trustees may only reduce the Excepted Holder Limit for an Excepted Holder: (1) with the written consent of such Excepted Holder at any time, or (2) pursuant to the terms and conditions of the agreements and undertakings entered into with such Excepted Holder in connection with the establishment of the Excepted Holder Limit for that Excepted Holder. No Excepted Holder Limit shall be reduced to a percentage that is less than the Common Share Ownership Limit.</w:t>
      </w:r>
    </w:p>
    <w:p>
      <w:pPr>
        <w:spacing w:after="0" w:line="187"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 xml:space="preserve">Section 7.2.8 </w:t>
      </w:r>
      <w:r>
        <w:rPr>
          <w:rFonts w:ascii="Arial" w:cs="Arial" w:eastAsia="Arial" w:hAnsi="Arial"/>
          <w:sz w:val="18"/>
          <w:szCs w:val="18"/>
          <w:u w:val="single" w:color="auto"/>
          <w:color w:val="auto"/>
        </w:rPr>
        <w:t>Increase in Aggregate Share Ownership and Common Share Ownership Limits</w:t>
      </w:r>
      <w:r>
        <w:rPr>
          <w:rFonts w:ascii="Arial" w:cs="Arial" w:eastAsia="Arial" w:hAnsi="Arial"/>
          <w:sz w:val="18"/>
          <w:szCs w:val="18"/>
          <w:color w:val="auto"/>
        </w:rPr>
        <w:t>. The Board of Trustees may from time to time increase the Common Share Ownership Limit and the Aggregate Share Ownership Limit.</w:t>
      </w:r>
    </w:p>
    <w:p>
      <w:pPr>
        <w:spacing w:after="0" w:line="170"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 xml:space="preserve">Section 7.2.9 </w:t>
      </w:r>
      <w:r>
        <w:rPr>
          <w:rFonts w:ascii="Arial" w:cs="Arial" w:eastAsia="Arial" w:hAnsi="Arial"/>
          <w:sz w:val="18"/>
          <w:szCs w:val="18"/>
          <w:u w:val="single" w:color="auto"/>
          <w:color w:val="auto"/>
        </w:rPr>
        <w:t>Legend</w:t>
      </w:r>
      <w:r>
        <w:rPr>
          <w:rFonts w:ascii="Arial" w:cs="Arial" w:eastAsia="Arial" w:hAnsi="Arial"/>
          <w:sz w:val="18"/>
          <w:szCs w:val="18"/>
          <w:color w:val="auto"/>
        </w:rPr>
        <w:t>. Each certificate for Equity Shares issued after the effective date of this Declaration as accepted for record by the SDAT shall bear substantially the following legend:</w:t>
      </w:r>
    </w:p>
    <w:p>
      <w:pPr>
        <w:spacing w:after="0" w:line="170" w:lineRule="exact"/>
        <w:rPr>
          <w:sz w:val="20"/>
          <w:szCs w:val="20"/>
          <w:color w:val="auto"/>
        </w:rPr>
      </w:pPr>
    </w:p>
    <w:p>
      <w:pPr>
        <w:ind w:left="4"/>
        <w:spacing w:after="0" w:line="288" w:lineRule="auto"/>
        <w:rPr>
          <w:sz w:val="20"/>
          <w:szCs w:val="20"/>
          <w:color w:val="auto"/>
        </w:rPr>
      </w:pPr>
      <w:r>
        <w:rPr>
          <w:rFonts w:ascii="Arial" w:cs="Arial" w:eastAsia="Arial" w:hAnsi="Arial"/>
          <w:sz w:val="16"/>
          <w:szCs w:val="16"/>
          <w:color w:val="auto"/>
        </w:rPr>
        <w:t>The shares represented by this certificate are subject to restrictions on Beneficial and Constructive Ownership and Transfer for the purpose of the Trust’s maintenance of its status as a Real Estate Investment Trust (a “REIT”) under the Internal Revenue Code of 1986, as amended (the “Code”). Subject to certain further restrictions and except as expressly provided in the Trust’s Declaration of Trust, (i) no Person may Beneficially or Constructively Own Common Shares of the Trust in excess of 9.8 percent (in value or number of shares) of the outstanding Common Shares of the Trust unless such Person is an Excepted Holder (in which case the Excepted Holder Limit shall be applicable); (ii) no Person may Beneficially or Constructively Own Equity Shares of the Trust in excess of 9.8 percent of the value of the total outstanding Equity Shares of the Trust, unless such Person is an Excepted Holder (in which case the Excepted Holder Limit shall be applicable); (iii) no Person may Beneficially or Constructively Own Equity Shares that would result in the Trust being “closely held” under Section 856(h) of the Code or otherwise cause the Trust to fail to qualify as a REIT; and (iv) no Person may Transfer Equity Shares if such Transfer would result in Equity Shares of the Trust being owned by fewer than 100 Persons. Any Person who Beneficially or Constructively Owns or attempts to Beneficially or Constructively Own Equity Shares which cause or</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0984"/>
          </w:cols>
          <w:pgMar w:left="436" w:top="274" w:right="479" w:bottom="1440" w:gutter="0" w:footer="0" w:header="0"/>
        </w:sectPr>
      </w:pPr>
    </w:p>
    <w:bookmarkStart w:id="17" w:name="page18"/>
    <w:bookmarkEnd w:id="17"/>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cause a Person to Beneficially or Constructively Own Equity Shares in excess or in violation of the above limitations must immediately notify the Trust. If any of the restrictions on transfer or ownership are violated, the Equity Shares represented hereby will be automatically transferred to a Trustee of a Charitable Trust for the benefit of one or more Charitable Beneficiaries. In addition, upon the occurrence of certain events, attempted Transfers in violation of the restrictions described above may be void ab initio. All capitalized terms in this legend have the meanings defined in the Trust’s Declaration of Trust, as the same may be amended from time to time, a copy of which, including the restrictions on transfer and ownership, will be furnished to each holder of Equity Shares of the Trust on request and without charge.</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Instead of the foregoing legend, the certificate may state that the Trust will furnish a full statement about certain restrictions on transferability to a shareholder on request and without charge.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Transfer of Equity Shares in Trust</w:t>
      </w:r>
      <w:r>
        <w:rPr>
          <w:rFonts w:ascii="Arial" w:cs="Arial" w:eastAsia="Arial" w:hAnsi="Arial"/>
          <w:sz w:val="18"/>
          <w:szCs w:val="18"/>
          <w:color w:val="auto"/>
        </w:rPr>
        <w: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7.3.1 </w:t>
      </w:r>
      <w:r>
        <w:rPr>
          <w:rFonts w:ascii="Arial" w:cs="Arial" w:eastAsia="Arial" w:hAnsi="Arial"/>
          <w:sz w:val="18"/>
          <w:szCs w:val="18"/>
          <w:u w:val="single" w:color="auto"/>
          <w:color w:val="auto"/>
        </w:rPr>
        <w:t>Ownership in Trust</w:t>
      </w:r>
      <w:r>
        <w:rPr>
          <w:rFonts w:ascii="Arial" w:cs="Arial" w:eastAsia="Arial" w:hAnsi="Arial"/>
          <w:sz w:val="18"/>
          <w:szCs w:val="18"/>
          <w:color w:val="auto"/>
        </w:rPr>
        <w:t>. Upon any purported Transfer or other event described in Section 7.2.1(b) that would result in a transfer of Equity Shares to a Charitable Trust, such Equity Shares shall be deemed to have been transferred to the Trustee as trustee of a Charitable Trust for the exclusive benefit of one or more Charitable Beneficiaries. Such transfer to the Trustee shall be deemed to be effective as of the close of business on the Business Day prior to the purported Transfer or other event that results in the transfer to the Charitable Trust pursuant to Section 7.2.1(b). The Trustee shall be appointed by the Trust and shall be a Person unaffiliated with the Trust and any Prohibited Owner. Each Charitable Beneficiary shall be designated by the Trust as provided in Section 7.3.6.</w:t>
      </w:r>
    </w:p>
    <w:p>
      <w:pPr>
        <w:spacing w:after="0" w:line="19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Section 7.3.2 </w:t>
      </w:r>
      <w:r>
        <w:rPr>
          <w:rFonts w:ascii="Arial" w:cs="Arial" w:eastAsia="Arial" w:hAnsi="Arial"/>
          <w:sz w:val="18"/>
          <w:szCs w:val="18"/>
          <w:u w:val="single" w:color="auto"/>
          <w:color w:val="auto"/>
        </w:rPr>
        <w:t>Status of Shares Held by the Trustee</w:t>
      </w:r>
      <w:r>
        <w:rPr>
          <w:rFonts w:ascii="Arial" w:cs="Arial" w:eastAsia="Arial" w:hAnsi="Arial"/>
          <w:sz w:val="18"/>
          <w:szCs w:val="18"/>
          <w:color w:val="auto"/>
        </w:rPr>
        <w:t>. Equity Shares held by the Trustee shall be issued and outstanding Equity Shares of the Trust. The Prohibited Owner shall have no rights in the shares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Charitable Trust.</w:t>
      </w:r>
    </w:p>
    <w:p>
      <w:pPr>
        <w:spacing w:after="0" w:line="18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Section 7.3.3 </w:t>
      </w:r>
      <w:r>
        <w:rPr>
          <w:rFonts w:ascii="Arial" w:cs="Arial" w:eastAsia="Arial" w:hAnsi="Arial"/>
          <w:sz w:val="17"/>
          <w:szCs w:val="17"/>
          <w:u w:val="single" w:color="auto"/>
          <w:color w:val="auto"/>
        </w:rPr>
        <w:t>Dividend and Voting Rights</w:t>
      </w:r>
      <w:r>
        <w:rPr>
          <w:rFonts w:ascii="Arial" w:cs="Arial" w:eastAsia="Arial" w:hAnsi="Arial"/>
          <w:sz w:val="17"/>
          <w:szCs w:val="17"/>
          <w:color w:val="auto"/>
        </w:rPr>
        <w:t>. The Trustee shall have all voting rights and rights to dividends or other distributions with respect to Equity Shares held in the Charitable Trust, which rights shall be exercised for the exclusive benefit of the Charitable Beneficiary. Any dividend or other distribution paid prior to the discovery by the Trust that Equity Shares have been transferred to the Trustee shall be paid with respect to such Equity Shares to the Trustee upon demand and any dividend or other distribution authorized but unpaid shall be paid when due to the Trustee. Any dividends or distributions so paid over to the Trustee shall be held in trust for the Charitable Beneficiary. The Prohibited Owner shall have no voting rights with respect to shares held in the Charitable Trust and, subject to Maryland law, effective as of the date that Equity Shares have been transferred to the Trustee, the Trustee shall have the authority (at the Trustee’s sole discretion) (i) to rescind as void any vote cast by a Prohibited Owner prior to the discovery by the Trust that Equity Shares have been transferred to the Trustee and (ii) to recast such vote in accordance with the desires of the Trustee acting for the benefit of the Charitable Beneficiary; provided, however, that if the Trust has already taken irreversible trust action, then the Trustee shall not have the authority to rescind and recast such vote. Notwithstanding the provisions of this Article VII, until the Trust has received notification that Equity Shares have been transferred into a Charitable Trust, the Trust shall be entitled to rely on its share transfer and other shareholder records for purposes of preparing lists of shareholders entitled to vote at meetings, determining the validity and authority of proxies and otherwise conducting votes of shareholders.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0980"/>
          </w:cols>
          <w:pgMar w:left="440" w:top="274" w:right="479" w:bottom="1440" w:gutter="0" w:footer="0" w:header="0"/>
        </w:sectPr>
      </w:pPr>
    </w:p>
    <w:bookmarkStart w:id="18" w:name="page19"/>
    <w:bookmarkEnd w:id="18"/>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7.3.4 </w:t>
      </w:r>
      <w:r>
        <w:rPr>
          <w:rFonts w:ascii="Arial" w:cs="Arial" w:eastAsia="Arial" w:hAnsi="Arial"/>
          <w:sz w:val="16"/>
          <w:szCs w:val="16"/>
          <w:u w:val="single" w:color="auto"/>
          <w:color w:val="auto"/>
        </w:rPr>
        <w:t>Sale of Shares by Trustee</w:t>
      </w:r>
      <w:r>
        <w:rPr>
          <w:rFonts w:ascii="Arial" w:cs="Arial" w:eastAsia="Arial" w:hAnsi="Arial"/>
          <w:sz w:val="16"/>
          <w:szCs w:val="16"/>
          <w:color w:val="auto"/>
        </w:rPr>
        <w:t>. Within 20 days of receiving notice from the Trust that Equity Shares have been transferred to the Charitable Trust, the Trustee of the Charitable Trust shall sell the shares held in the Charitable Trust to a person, designated by the Trustee, whose ownership of the shares will not violate the ownership limitations set forth in Section 7.2.1(a). Upon such sale, the interest of the Charitable Beneficiary in the shares sold shall terminate and the Trustee shall distribute the net proceeds of the sale to the Prohibited Owner and to the Charitable Beneficiary as provided in this Section 7.3.4. The Prohibited Owner shall receive the lesser of (1) the price paid by the Prohibited Owner for the shares or, if the Prohibited Owner did not give value for the shares in connection with the event causing the shares to be held in the Charitable Trust (e.g., in the case of a gift, devise or other such transaction), the Market Price of the shares on the day of the event causing the shares to be held in the Charitable Trust and (2) the price per share received by the Trustee from the sale or other disposition of the shares held in the Charitable Trust. Any net sales proceeds in excess of the amount payable to the Prohibited Owner shall be immediately paid to the Charitable Beneficiary. If, prior to the discovery by the Trust that Equity Shares have been transferred to the Trustee, such shares are sold by a Prohibited Owner, then (i) such shares shall be deemed to have been sold on behalf of the Charitable Trust and (ii) to the extent that the Prohibited Owner received an amount for such shares that exceeds the amount that such Prohibited Owner was entitled to receive pursuant to this Section 7.3.4, such excess shall be paid to the Trustee upon demand.</w:t>
      </w:r>
    </w:p>
    <w:p>
      <w:pPr>
        <w:spacing w:after="0" w:line="168"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 xml:space="preserve">Section 7.3.5 </w:t>
      </w:r>
      <w:r>
        <w:rPr>
          <w:rFonts w:ascii="Arial" w:cs="Arial" w:eastAsia="Arial" w:hAnsi="Arial"/>
          <w:sz w:val="17"/>
          <w:szCs w:val="17"/>
          <w:u w:val="single" w:color="auto"/>
          <w:color w:val="auto"/>
        </w:rPr>
        <w:t>Purchase Right in Shares Transferred to the Trustee</w:t>
      </w:r>
      <w:r>
        <w:rPr>
          <w:rFonts w:ascii="Arial" w:cs="Arial" w:eastAsia="Arial" w:hAnsi="Arial"/>
          <w:sz w:val="17"/>
          <w:szCs w:val="17"/>
          <w:color w:val="auto"/>
        </w:rPr>
        <w:t>. Equity Shares transferred to the Trustee shall be deemed to have been offered for sale to the Trust, or its designee, at a price per share equal to the lesser of (i) the price per share in the transaction that resulted in such transfer to the Charitable Trust (or, in the case of a devise or gift, the Market Price at the time of such devise or gift) and (ii) the Market Price on the date the Trust, or its designee, accepts such offer. The Trust shall have the right to accept such offer until the Trustee has sold the shares held in the Charitable Trust pursuant to Section 7.3.4. Upon such a sale to the Trust, the interest of the Charitable Beneficiary in the shares sold shall terminate and the Trustee shall distribute the net proceeds of the sale to the Prohibited Owner.</w:t>
      </w:r>
    </w:p>
    <w:p>
      <w:pPr>
        <w:spacing w:after="0" w:line="178" w:lineRule="exact"/>
        <w:rPr>
          <w:sz w:val="20"/>
          <w:szCs w:val="20"/>
          <w:color w:val="auto"/>
        </w:rPr>
      </w:pPr>
    </w:p>
    <w:p>
      <w:pPr>
        <w:ind w:left="4" w:right="100"/>
        <w:spacing w:after="0" w:line="287" w:lineRule="auto"/>
        <w:rPr>
          <w:sz w:val="20"/>
          <w:szCs w:val="20"/>
          <w:color w:val="auto"/>
        </w:rPr>
      </w:pPr>
      <w:r>
        <w:rPr>
          <w:rFonts w:ascii="Arial" w:cs="Arial" w:eastAsia="Arial" w:hAnsi="Arial"/>
          <w:sz w:val="16"/>
          <w:szCs w:val="16"/>
          <w:color w:val="auto"/>
        </w:rPr>
        <w:t xml:space="preserve">Section 7.3.6 </w:t>
      </w:r>
      <w:r>
        <w:rPr>
          <w:rFonts w:ascii="Arial" w:cs="Arial" w:eastAsia="Arial" w:hAnsi="Arial"/>
          <w:sz w:val="16"/>
          <w:szCs w:val="16"/>
          <w:u w:val="single" w:color="auto"/>
          <w:color w:val="auto"/>
        </w:rPr>
        <w:t>Designation of Charitable Beneficiaries</w:t>
      </w:r>
      <w:r>
        <w:rPr>
          <w:rFonts w:ascii="Arial" w:cs="Arial" w:eastAsia="Arial" w:hAnsi="Arial"/>
          <w:sz w:val="16"/>
          <w:szCs w:val="16"/>
          <w:color w:val="auto"/>
        </w:rPr>
        <w:t>. By written notice to the Trustee, the Trust shall designate one or more nonprofit organizations to be the Charitable Beneficiary of the interest in the Charitable Trust such that (i) Equity Shares held in the Charitable Trust would not violate the restrictions set forth in Section 7.2.1(a) in the hands of such Charitable Beneficiary and (ii) each such organization must be described in Section 501(c)</w:t>
      </w:r>
    </w:p>
    <w:p>
      <w:pPr>
        <w:spacing w:after="0" w:line="2" w:lineRule="exact"/>
        <w:rPr>
          <w:sz w:val="20"/>
          <w:szCs w:val="20"/>
          <w:color w:val="auto"/>
        </w:rPr>
      </w:pPr>
    </w:p>
    <w:p>
      <w:pPr>
        <w:ind w:left="4" w:right="200" w:hanging="4"/>
        <w:spacing w:after="0" w:line="260" w:lineRule="auto"/>
        <w:tabs>
          <w:tab w:leader="none" w:pos="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 the Code and contributions to each such organization must be eligible for deduction under each of Sections 170(b)(1)(A), 2055 and 2522 of the Code.</w:t>
      </w:r>
    </w:p>
    <w:p>
      <w:pPr>
        <w:spacing w:after="0" w:line="185"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NYSE Transactions</w:t>
      </w:r>
      <w:r>
        <w:rPr>
          <w:rFonts w:ascii="Arial" w:cs="Arial" w:eastAsia="Arial" w:hAnsi="Arial"/>
          <w:sz w:val="18"/>
          <w:szCs w:val="18"/>
          <w:color w:val="auto"/>
        </w:rPr>
        <w:t>. Nothing in this Article VII shall preclude the settlement of any transaction entered into through the facilities of the NYSE or any other national securities exchange or automated inter-dealer quotation system. The fact that the settlement of any transaction occurs shall not negate the effect of any other provision of this Article VII and any transferee in such a transaction shall be subject to all of the provisions and limitations set forth in this Article VII.</w:t>
      </w:r>
    </w:p>
    <w:p>
      <w:pPr>
        <w:spacing w:after="0" w:line="187"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Enforcement</w:t>
      </w:r>
      <w:r>
        <w:rPr>
          <w:rFonts w:ascii="Arial" w:cs="Arial" w:eastAsia="Arial" w:hAnsi="Arial"/>
          <w:sz w:val="18"/>
          <w:szCs w:val="18"/>
          <w:color w:val="auto"/>
        </w:rPr>
        <w:t>. The Trust is authorized specifically to seek equitable relief, including injunctive relief, to enforce the provisions of this Article VII.</w:t>
      </w:r>
    </w:p>
    <w:p>
      <w:pPr>
        <w:spacing w:after="0" w:line="170" w:lineRule="exact"/>
        <w:rPr>
          <w:sz w:val="20"/>
          <w:szCs w:val="20"/>
          <w:color w:val="auto"/>
        </w:rPr>
      </w:pPr>
    </w:p>
    <w:p>
      <w:pPr>
        <w:ind w:left="4" w:right="60"/>
        <w:spacing w:after="0" w:line="308"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Non-Waiver</w:t>
      </w:r>
      <w:r>
        <w:rPr>
          <w:rFonts w:ascii="Arial" w:cs="Arial" w:eastAsia="Arial" w:hAnsi="Arial"/>
          <w:sz w:val="17"/>
          <w:szCs w:val="17"/>
          <w:color w:val="auto"/>
        </w:rPr>
        <w:t>. No delay or failure on the part of the Trust or the Board of Trustees in exercising any right hereunder shall operate as a waiver of any right of the Trust or the Board of Trustees, as the case may be, except to the extent specifically waived in writing.</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0964"/>
          </w:cols>
          <w:pgMar w:left="436" w:top="274" w:right="49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Meetings</w:t>
      </w:r>
      <w:r>
        <w:rPr>
          <w:rFonts w:ascii="Arial" w:cs="Arial" w:eastAsia="Arial" w:hAnsi="Arial"/>
          <w:sz w:val="18"/>
          <w:szCs w:val="18"/>
          <w:color w:val="auto"/>
        </w:rPr>
        <w:t>. There shall be an annual meeting of the shareholders, to be held on proper notice at such time (after the delivery of the annual report) and convenient location as shall be determined by or in the manner prescribed in the Bylaws, for the election of the Trustees, if required, and for the transaction of any other business within the powers of the Trust. Except as otherwise provided in the Declaration of Trust, special meetings of shareholders may be called in the manner provided in the Bylaws. If there are no Trustees, the officers of the Trust shall promptly call a special meeting of the shareholders entitled to vote for the election of successor Trustees. Any meeting may be adjourned and reconvened as the Trustees determine or as provided in the Bylaws.</w:t>
      </w:r>
    </w:p>
    <w:p>
      <w:pPr>
        <w:spacing w:after="0" w:line="19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Voting Rights</w:t>
      </w:r>
      <w:r>
        <w:rPr>
          <w:rFonts w:ascii="Arial" w:cs="Arial" w:eastAsia="Arial" w:hAnsi="Arial"/>
          <w:sz w:val="17"/>
          <w:szCs w:val="17"/>
          <w:color w:val="auto"/>
        </w:rPr>
        <w:t>. Subject to the provisions of any class or series of Shares then outstanding, the shareholders shall be entitled to vote only on the following matters: (a) election of Trustees as provided in Section 5.2 and the removal of Trustees as provided in Section 5.3; (b) amendment of the Declaration of Trust as provided in Article X; (c) termination of the Trust as provided in Section 12.2; (d) to the extent required by Title 8, merger or consolidation of the Trust, or the sale or disposition of substantially all of the property of the Trust, as provided in Article XI; and (e) such other matters with respect to which the Board of Trustees has adopted a resolution declaring that a proposed action is advisable and directing that the matter be submitted to the shareholders for approval or ratification. Except with respect to the foregoing matters, no action taken by the shareholders at any meeting shall in any way bind the Board of Trustees.</w:t>
      </w:r>
    </w:p>
    <w:p>
      <w:pPr>
        <w:spacing w:after="0" w:line="17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Preemptive and Appraisal Rights</w:t>
      </w:r>
      <w:r>
        <w:rPr>
          <w:rFonts w:ascii="Arial" w:cs="Arial" w:eastAsia="Arial" w:hAnsi="Arial"/>
          <w:sz w:val="16"/>
          <w:szCs w:val="16"/>
          <w:color w:val="auto"/>
        </w:rPr>
        <w:t>. Except as may be provided by the Board of Trustees in setting the terms of classified or reclassified Shares pursuant to Section 6.5, or as may otherwise be provided by contract, no holder of Shares shall, as such holder, (a) have any preemptive right to purchase or subscribe for any additional Shares of the Trust or any other security of the Trust which it may issue or sell or (b), except as expressly required by Title 8, have any right to require the Trust to pay him the fair value of his Shares in an appraisal or similar proceeding.</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Extraordinary Actions</w:t>
      </w:r>
      <w:r>
        <w:rPr>
          <w:rFonts w:ascii="Arial" w:cs="Arial" w:eastAsia="Arial" w:hAnsi="Arial"/>
          <w:sz w:val="18"/>
          <w:szCs w:val="18"/>
          <w:color w:val="auto"/>
        </w:rPr>
        <w:t>. Except as specifically provided in Section 5.3 (relating to removal of Trustees) and in Section 10.3, notwithstanding any provision of law permitting or requiring any action to be taken or authorized by the affirmative vote of the holders of a greater number of votes, any such action shall be effective and valid if taken or approved by the affirmative vote of holders of Shares entitled to cast a majority of all the votes entitled to be cast on the matter.</w:t>
      </w:r>
    </w:p>
    <w:p>
      <w:pPr>
        <w:spacing w:after="0" w:line="187" w:lineRule="exact"/>
        <w:rPr>
          <w:sz w:val="20"/>
          <w:szCs w:val="20"/>
          <w:color w:val="auto"/>
        </w:rPr>
      </w:pPr>
    </w:p>
    <w:p>
      <w:pPr>
        <w:jc w:val="center"/>
        <w:ind w:right="220"/>
        <w:spacing w:after="0" w:line="449"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Board Approval</w:t>
      </w:r>
      <w:r>
        <w:rPr>
          <w:rFonts w:ascii="Arial" w:cs="Arial" w:eastAsia="Arial" w:hAnsi="Arial"/>
          <w:sz w:val="18"/>
          <w:szCs w:val="18"/>
          <w:color w:val="auto"/>
        </w:rPr>
        <w:t>. The submission of any action to the shareholders for their consideration shall first be approved by the Board of Trustees. Page 14</w:t>
      </w:r>
    </w:p>
    <w:p>
      <w:pPr>
        <w:sectPr>
          <w:pgSz w:w="11900" w:h="16838" w:orient="portrait"/>
          <w:cols w:equalWidth="0" w:num="1">
            <w:col w:w="11000"/>
          </w:cols>
          <w:pgMar w:left="440" w:top="270" w:right="459" w:bottom="1440" w:gutter="0" w:footer="0" w:header="0"/>
        </w:sectPr>
      </w:pPr>
    </w:p>
    <w:bookmarkStart w:id="20" w:name="page21"/>
    <w:bookmarkEnd w:id="20"/>
    <w:p>
      <w:pPr>
        <w:jc w:val="both"/>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8.6 </w:t>
      </w:r>
      <w:r>
        <w:rPr>
          <w:rFonts w:ascii="Arial" w:cs="Arial" w:eastAsia="Arial" w:hAnsi="Arial"/>
          <w:sz w:val="18"/>
          <w:szCs w:val="18"/>
          <w:u w:val="single" w:color="auto"/>
          <w:color w:val="auto"/>
        </w:rPr>
        <w:t>Action By Shareholders without a Meeting</w:t>
      </w:r>
      <w:r>
        <w:rPr>
          <w:rFonts w:ascii="Arial" w:cs="Arial" w:eastAsia="Arial" w:hAnsi="Arial"/>
          <w:sz w:val="18"/>
          <w:szCs w:val="18"/>
          <w:color w:val="auto"/>
        </w:rPr>
        <w:t>. 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LIABILITY LIMITATION, INDEMNIFICATION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TRANSACTIONS WITH THE TRUST</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Limitation of Shareholder Liability</w:t>
      </w:r>
      <w:r>
        <w:rPr>
          <w:rFonts w:ascii="Arial" w:cs="Arial" w:eastAsia="Arial" w:hAnsi="Arial"/>
          <w:sz w:val="17"/>
          <w:szCs w:val="17"/>
          <w:color w:val="auto"/>
        </w:rPr>
        <w:t>. No shareholder shall be liable for any debt, claim, demand, judgment or obligation of any kind of, against or with respect to the Trust by reason of his being a shareholder, nor shall any shareholder be subject to any personal liability whatsoever, in tort, contract or otherwise, to any person in connection with the property or the affairs of the Trust by reason of his being a shareholder.</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Limitation of Trustee and Officer Liability</w:t>
      </w:r>
      <w:r>
        <w:rPr>
          <w:rFonts w:ascii="Arial" w:cs="Arial" w:eastAsia="Arial" w:hAnsi="Arial"/>
          <w:sz w:val="16"/>
          <w:szCs w:val="16"/>
          <w:color w:val="auto"/>
        </w:rPr>
        <w:t>. To the maximum extent that Maryland law in effect from time to time permits limitation of the liability of trustees and officers of a real estate investment trust, no Trustee or officer of the Trust shall be liable to the Trust or to any shareholder for money damages. Neither the amendment nor repeal of this Section 9.2, nor the adoption or amendment of any other provision of the Declaration of Trust inconsistent with this Section 9.2, shall apply to or affect in any respect the applicability of the preceding sentence with respect to any act or failure to act which occurred prior to such amendment, repeal or adoption. In the absence of any Maryland statute limiting the liability of trustees and officers of a Maryland real estate investment trust for money damages in a suit by or on behalf of the Trust or by any shareholder, no Trustee or officer of the Trust shall be liable to the Trust or to any shareholder for money damages except to the extent that (a) the Trustee or officer actually received an improper benefit or profit in money, property or services, for the amount of the benefit or profit in money, property or services actually received; or (b) a judgment or other final adjudication adverse to the Trustee or officer is entered in a proceeding based on a finding in the proceeding that the Trustee’s or officer’s action or failure to act was the result of active and deliberate dishonesty and was material to the cause of action adjudicated in the proceeding.</w:t>
      </w:r>
    </w:p>
    <w:p>
      <w:pPr>
        <w:spacing w:after="0" w:line="16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Trust shall have the power, to the maximum extent permitted by Maryland law in effect from time to time, to obligate itself to indemnify, and to pay or reimburse reasonable expenses in advance of final disposition of a proceeding to, (a) any individual who is a present or former shareholder, Trustee or officer of the Trust or (b) any individual who, while a Trustee of the Trust and at the request of the Trust, serves or has served as a director, officer, partner, trustee, employee or agent of another real estate investment trust, corporation, partnership, joint venture, trust, employee benefit plan or any other enterprise from and against any claim or liability to which such person may become subject or which such person may incur by reason of such status. The Trust shall have the power, with the approval of its Board of Trustees, to provide such indemnification and advancement of expenses to a person who served a predecessor of the Trust in any of the capacities described in (a) or (b) above and to any employee or agent of the Trust or a predecessor of the Trust.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000"/>
          </w:cols>
          <w:pgMar w:left="440" w:top="274" w:right="459" w:bottom="1440" w:gutter="0" w:footer="0" w:header="0"/>
        </w:sectPr>
      </w:pPr>
    </w:p>
    <w:bookmarkStart w:id="21" w:name="page22"/>
    <w:bookmarkEnd w:id="21"/>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9.4 </w:t>
      </w:r>
      <w:r>
        <w:rPr>
          <w:rFonts w:ascii="Arial" w:cs="Arial" w:eastAsia="Arial" w:hAnsi="Arial"/>
          <w:sz w:val="18"/>
          <w:szCs w:val="18"/>
          <w:u w:val="single" w:color="auto"/>
          <w:color w:val="auto"/>
        </w:rPr>
        <w:t>Transactions Between the Trust and its Trustees, Officers, Employees and Agents</w:t>
      </w:r>
      <w:r>
        <w:rPr>
          <w:rFonts w:ascii="Arial" w:cs="Arial" w:eastAsia="Arial" w:hAnsi="Arial"/>
          <w:sz w:val="18"/>
          <w:szCs w:val="18"/>
          <w:color w:val="auto"/>
        </w:rPr>
        <w:t>. Subject to any express restrictions in the Declaration of Trust or adopted by the Trustees in the Bylaws or by resolution, the Trust may enter into any contract or transaction of any kind with any person, including any Trustee, officer, employee or agent of the Trust or any person affiliated with a Trustee, officer, employee or agent of the Trust, whether or not any of them has a financial interest in such transaction.</w:t>
      </w:r>
    </w:p>
    <w:p>
      <w:pPr>
        <w:spacing w:after="0" w:line="399"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General</w:t>
      </w:r>
      <w:r>
        <w:rPr>
          <w:rFonts w:ascii="Arial" w:cs="Arial" w:eastAsia="Arial" w:hAnsi="Arial"/>
          <w:sz w:val="18"/>
          <w:szCs w:val="18"/>
          <w:color w:val="auto"/>
        </w:rPr>
        <w:t>. The Trust reserves the right from time to time to make any amendment to the Declaration of Trust, now or hereafter authorized by law, including any amendment altering the terms or contract rights, as expressly set forth in the Declaration of Trust, of any Shares. All rights and powers conferred by the Declaration of Trust on shareholders, Trustees and officers are granted subject to this reservation. An amendment to the Declaration of Trust (a) shall be signed and acknowledged by at least a majority of the Trustees, or an officer duly authorized by at least a majority of the Trustees, (b) shall be filed for record as provided in Section 13.5 and (c) shall become effective as of the later of the time the SDAT accepts the amendment for record or the time established in the amendment, not to exceed 30 days after the amendment is accepted for record. All references to the Declaration of Trust shall include all amendments thereto.</w:t>
      </w:r>
    </w:p>
    <w:p>
      <w:pPr>
        <w:spacing w:after="0" w:line="195" w:lineRule="exact"/>
        <w:rPr>
          <w:sz w:val="20"/>
          <w:szCs w:val="20"/>
          <w:color w:val="auto"/>
        </w:rPr>
      </w:pPr>
    </w:p>
    <w:p>
      <w:pPr>
        <w:ind w:left="4" w:right="40"/>
        <w:spacing w:after="0" w:line="342"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By Trustees</w:t>
      </w:r>
      <w:r>
        <w:rPr>
          <w:rFonts w:ascii="Arial" w:cs="Arial" w:eastAsia="Arial" w:hAnsi="Arial"/>
          <w:sz w:val="16"/>
          <w:szCs w:val="16"/>
          <w:color w:val="auto"/>
        </w:rPr>
        <w:t>. The Trustees may amend the Declaration of Trust from time to time, in the manner provided by Title 8, without any action by the shareholders, to qualify as a real estate investment trust under the Code or under Title 8 and as otherwise provided in the Declaration of Trust.</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By Shareholders</w:t>
      </w:r>
      <w:r>
        <w:rPr>
          <w:rFonts w:ascii="Arial" w:cs="Arial" w:eastAsia="Arial" w:hAnsi="Arial"/>
          <w:sz w:val="18"/>
          <w:szCs w:val="18"/>
          <w:color w:val="auto"/>
        </w:rPr>
        <w:t>.</w:t>
      </w:r>
    </w:p>
    <w:p>
      <w:pPr>
        <w:spacing w:after="0" w:line="117" w:lineRule="exact"/>
        <w:rPr>
          <w:sz w:val="20"/>
          <w:szCs w:val="20"/>
          <w:color w:val="auto"/>
        </w:rPr>
      </w:pPr>
    </w:p>
    <w:p>
      <w:pPr>
        <w:ind w:left="4" w:right="80" w:hanging="4"/>
        <w:spacing w:after="0" w:line="277"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otherwise provided in the Declaration of Trust and in subsection (b) of this Section 10.3, any amendment to the Declaration of Trust shall be valid only if approved by the affirmative vote of two-thirds of all votes entitled to be cast on the matter.</w:t>
      </w:r>
    </w:p>
    <w:p>
      <w:pPr>
        <w:spacing w:after="0" w:line="62" w:lineRule="exact"/>
        <w:rPr>
          <w:rFonts w:ascii="Arial" w:cs="Arial" w:eastAsia="Arial" w:hAnsi="Arial"/>
          <w:sz w:val="18"/>
          <w:szCs w:val="18"/>
          <w:color w:val="auto"/>
        </w:rPr>
      </w:pPr>
    </w:p>
    <w:p>
      <w:pPr>
        <w:ind w:left="4" w:right="140" w:hanging="4"/>
        <w:spacing w:after="0" w:line="277" w:lineRule="auto"/>
        <w:tabs>
          <w:tab w:leader="none" w:pos="2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amendment to the Declaration of Trust which has been unanimously approved by the Board of Trustees shall require only the affirmative vote of a majority of all votes entitled to be cast on the matter.</w:t>
      </w:r>
    </w:p>
    <w:p>
      <w:pPr>
        <w:spacing w:after="0" w:line="382"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MERGER, CONSOLIDATION OR SALE OF TRUST PROPERTY</w:t>
      </w:r>
    </w:p>
    <w:p>
      <w:pPr>
        <w:spacing w:after="0" w:line="229"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Subject to the provisions of any class or series of Shares at the time outstanding, the Trust may (a) merge the Trust with or into another entity or merge another entity into the Trust, (b) consolidate the Trust with one or more other entities into a new entity or (c) sell, lease, exchange or otherwise transfer all or substantially all of the property of the Trust. Any such action must be approved by the Board of Trustees and, after notice to all shareholders entitled to vote on the matter, by the affirmative vote of two- thirds of all the votes entitled to be cast on the matter.</w:t>
      </w:r>
    </w:p>
    <w:p>
      <w:pPr>
        <w:spacing w:after="0" w:line="10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0964"/>
          </w:cols>
          <w:pgMar w:left="436" w:top="274" w:right="499" w:bottom="1440" w:gutter="0" w:footer="0" w:header="0"/>
        </w:sectPr>
      </w:pPr>
    </w:p>
    <w:bookmarkStart w:id="22" w:name="page23"/>
    <w:bookmarkEnd w:id="2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DURATION AND TERMINATION OF TRUST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Duration</w:t>
      </w:r>
      <w:r>
        <w:rPr>
          <w:rFonts w:ascii="Arial" w:cs="Arial" w:eastAsia="Arial" w:hAnsi="Arial"/>
          <w:sz w:val="16"/>
          <w:szCs w:val="16"/>
          <w:color w:val="auto"/>
        </w:rPr>
        <w:t>. The Trust shall continue perpetually unless terminated pursuant to Section 12.2 or pursuant to any applicable provision of Title 8.</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ind w:left="244" w:hanging="244"/>
        <w:spacing w:after="0"/>
        <w:tabs>
          <w:tab w:leader="none" w:pos="2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Subject to the provisions of any class or series of Shares at the time outstanding, after approval by a majority of the entire Board of Trustees, the</w:t>
      </w:r>
    </w:p>
    <w:p>
      <w:pPr>
        <w:spacing w:after="0" w:line="46" w:lineRule="exact"/>
        <w:rPr>
          <w:rFonts w:ascii="Arial" w:cs="Arial" w:eastAsia="Arial" w:hAnsi="Arial"/>
          <w:sz w:val="16"/>
          <w:szCs w:val="16"/>
          <w:color w:val="auto"/>
        </w:rPr>
      </w:pPr>
    </w:p>
    <w:p>
      <w:pPr>
        <w:ind w:left="4" w:right="100"/>
        <w:spacing w:after="0" w:line="260" w:lineRule="auto"/>
        <w:rPr>
          <w:rFonts w:ascii="Arial" w:cs="Arial" w:eastAsia="Arial" w:hAnsi="Arial"/>
          <w:sz w:val="16"/>
          <w:szCs w:val="16"/>
          <w:color w:val="auto"/>
        </w:rPr>
      </w:pPr>
      <w:r>
        <w:rPr>
          <w:rFonts w:ascii="Arial" w:cs="Arial" w:eastAsia="Arial" w:hAnsi="Arial"/>
          <w:sz w:val="18"/>
          <w:szCs w:val="18"/>
          <w:color w:val="auto"/>
        </w:rPr>
        <w:t>Trust may be terminated at any meeting of shareholders, by the affirmative vote of two-thirds of all the votes entitled to be cast on the matter. Upon the termination of the Trust:</w:t>
      </w:r>
    </w:p>
    <w:p>
      <w:pPr>
        <w:spacing w:after="0" w:line="77" w:lineRule="exact"/>
        <w:rPr>
          <w:rFonts w:ascii="Arial" w:cs="Arial" w:eastAsia="Arial" w:hAnsi="Arial"/>
          <w:sz w:val="16"/>
          <w:szCs w:val="16"/>
          <w:color w:val="auto"/>
        </w:rPr>
      </w:pPr>
    </w:p>
    <w:p>
      <w:pPr>
        <w:ind w:left="664" w:hanging="224"/>
        <w:spacing w:after="0"/>
        <w:tabs>
          <w:tab w:leader="none" w:pos="6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Trust shall carry on no business except for the purpose of winding up its affairs.</w:t>
      </w:r>
    </w:p>
    <w:p>
      <w:pPr>
        <w:spacing w:after="0" w:line="117" w:lineRule="exact"/>
        <w:rPr>
          <w:rFonts w:ascii="Arial" w:cs="Arial" w:eastAsia="Arial" w:hAnsi="Arial"/>
          <w:sz w:val="18"/>
          <w:szCs w:val="18"/>
          <w:color w:val="auto"/>
        </w:rPr>
      </w:pPr>
    </w:p>
    <w:p>
      <w:pPr>
        <w:ind w:left="444" w:right="180" w:hanging="4"/>
        <w:spacing w:after="0" w:line="257" w:lineRule="auto"/>
        <w:tabs>
          <w:tab w:leader="none" w:pos="709"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Trustees shall proceed to wind up the affairs of the Trust and all of the powers of the Trustees under the Declaration of Trust shall continue, including the powers to fulfill or discharge the Trust’s contracts, collect its assets, sell, convey, assign, exchange, transfer or otherwise dispose of all or any part of the remaining property of the Trust to one or more persons at public or private sale for consideration which may consist in whole or in part of cash, securities or other property of any kind, discharge or pay its liabilities and do all other acts appropriate to liquidate its business.</w:t>
      </w:r>
    </w:p>
    <w:p>
      <w:pPr>
        <w:spacing w:after="0" w:line="79" w:lineRule="exact"/>
        <w:rPr>
          <w:rFonts w:ascii="Arial" w:cs="Arial" w:eastAsia="Arial" w:hAnsi="Arial"/>
          <w:sz w:val="18"/>
          <w:szCs w:val="18"/>
          <w:color w:val="auto"/>
        </w:rPr>
      </w:pPr>
    </w:p>
    <w:p>
      <w:pPr>
        <w:ind w:left="444" w:right="120" w:hanging="4"/>
        <w:spacing w:after="0" w:line="275" w:lineRule="auto"/>
        <w:tabs>
          <w:tab w:leader="none" w:pos="759" w:val="left"/>
        </w:tabs>
        <w:numPr>
          <w:ilvl w:val="1"/>
          <w:numId w:val="17"/>
        </w:numPr>
        <w:rPr>
          <w:rFonts w:ascii="Arial" w:cs="Arial" w:eastAsia="Arial" w:hAnsi="Arial"/>
          <w:sz w:val="17"/>
          <w:szCs w:val="17"/>
          <w:color w:val="auto"/>
        </w:rPr>
      </w:pPr>
      <w:r>
        <w:rPr>
          <w:rFonts w:ascii="Arial" w:cs="Arial" w:eastAsia="Arial" w:hAnsi="Arial"/>
          <w:sz w:val="17"/>
          <w:szCs w:val="17"/>
          <w:color w:val="auto"/>
        </w:rPr>
        <w:t>After paying or adequately providing for the payment of all liabilities, and upon receipt of such releases, indemnities and agreements as they deem necessary for their protection, the Trust may distribute the remaining property of the Trust among the shareholders so that after payment in full or the setting apart for payment of such preferential amounts, if any, to which the holders of any Shares at the time outstanding shall be entitled, the remaining property of the Trust shall, subject to any participating or similar rights of Shares at the time outstanding, be distributed ratably among the holders of Common Shares at the time outstanding.</w:t>
      </w:r>
    </w:p>
    <w:p>
      <w:pPr>
        <w:spacing w:after="0" w:line="68" w:lineRule="exact"/>
        <w:rPr>
          <w:rFonts w:ascii="Arial" w:cs="Arial" w:eastAsia="Arial" w:hAnsi="Arial"/>
          <w:sz w:val="17"/>
          <w:szCs w:val="17"/>
          <w:color w:val="auto"/>
        </w:rPr>
      </w:pPr>
    </w:p>
    <w:p>
      <w:pPr>
        <w:ind w:left="4" w:right="160" w:hanging="4"/>
        <w:spacing w:after="0" w:line="263" w:lineRule="auto"/>
        <w:tabs>
          <w:tab w:leader="none" w:pos="2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After termination of the Trust, the liquidation of its business and the distribution to the shareholders as herein provided, a majority of the Trustees shall execute and file with the Trust’s records a document certifying that the Trust has been duly terminated, and the Trustees shall be discharged from all liabilities and duties hereunder, and the rights and interests of all shareholders shall cease.</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Governing Law</w:t>
      </w:r>
      <w:r>
        <w:rPr>
          <w:rFonts w:ascii="Arial" w:cs="Arial" w:eastAsia="Arial" w:hAnsi="Arial"/>
          <w:sz w:val="18"/>
          <w:szCs w:val="18"/>
          <w:color w:val="auto"/>
        </w:rPr>
        <w:t>. The Declaration of Trust is executed by the undersigned Trustees and delivered in the State of Maryland with reference to the laws thereof, and the rights of all parties and the validity, construction and effect of every provision hereof shall be subject to and construed according to the laws of the State of Maryland without regard to conflicts of laws provisions thereof.</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0984"/>
          </w:cols>
          <w:pgMar w:left="436" w:top="270" w:right="479" w:bottom="1440" w:gutter="0" w:footer="0" w:header="0"/>
        </w:sectPr>
      </w:pPr>
    </w:p>
    <w:bookmarkStart w:id="23" w:name="page24"/>
    <w:bookmarkEnd w:id="23"/>
    <w:p>
      <w:pPr>
        <w:ind w:left="4"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13.2 </w:t>
      </w:r>
      <w:r>
        <w:rPr>
          <w:rFonts w:ascii="Arial" w:cs="Arial" w:eastAsia="Arial" w:hAnsi="Arial"/>
          <w:sz w:val="17"/>
          <w:szCs w:val="17"/>
          <w:u w:val="single" w:color="auto"/>
          <w:color w:val="auto"/>
        </w:rPr>
        <w:t>Reliance by Third Parties</w:t>
      </w:r>
      <w:r>
        <w:rPr>
          <w:rFonts w:ascii="Arial" w:cs="Arial" w:eastAsia="Arial" w:hAnsi="Arial"/>
          <w:sz w:val="17"/>
          <w:szCs w:val="17"/>
          <w:color w:val="auto"/>
        </w:rPr>
        <w:t>. Any certificate shall be final and conclusive as to any person dealing with the Trust if executed by the Secretary or an Assistant Secretary of the Trust, or any executive officer of the Trust, or a Trustee, and if certifying to: (a) the number or identity of Trustees, officers of the Trust or shareholders; (b) the due authorization of the execution of any document; (c) the action or vote taken, and the existence of a quorum, at a meeting of the Board of Trustees or shareholders; (d) a copy of the Declaration of Trust or of the Bylaws as a true and complete copy as then in force; (e) an amendment to the Declaration of Trust; (f) the termination of the Trust; or (g) the existence of any fact relating to the affairs of the Trust. No purchaser, lender, transfer agent or other person shall be bound to make any inquiry concerning the validity of any transaction purporting to be made by the Trust on its behalf or by any officer, employee or agent of the Trust.</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17" w:lineRule="exact"/>
        <w:rPr>
          <w:sz w:val="20"/>
          <w:szCs w:val="20"/>
          <w:color w:val="auto"/>
        </w:rPr>
      </w:pPr>
    </w:p>
    <w:p>
      <w:pPr>
        <w:ind w:left="4" w:right="40" w:hanging="4"/>
        <w:spacing w:after="0" w:line="254"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provisions of the Declaration of Trust are severable, and if the Board of Trustees shall determine, with the advice of counsel, that any one or more of such provisions (the “Conflicting Provisions”) are in conflict with the Code, Title 8 or other applicable federal or state laws, the Conflicting Provisions, to the extent of the conflict, shall be deemed never to have constituted a part of the Declaration of Trust, even without any amendment of the Declaration of Trust pursuant to Article X and without affecting or impairing any of the remaining provisions of the Declaration of Trust or rendering invalid or improper any action taken or omitted prior to such determination. No Trustee shall be liable for making or failing to make such a determination. In the event of any such determination by the Board of Trustees, the Board shall amend the Declaration of Trust in the manner provided in Section 10.2.</w:t>
      </w:r>
    </w:p>
    <w:p>
      <w:pPr>
        <w:spacing w:after="0" w:line="86" w:lineRule="exact"/>
        <w:rPr>
          <w:rFonts w:ascii="Arial" w:cs="Arial" w:eastAsia="Arial" w:hAnsi="Arial"/>
          <w:sz w:val="18"/>
          <w:szCs w:val="18"/>
          <w:color w:val="auto"/>
        </w:rPr>
      </w:pPr>
    </w:p>
    <w:p>
      <w:pPr>
        <w:ind w:left="4" w:right="200" w:hanging="4"/>
        <w:spacing w:after="0" w:line="263" w:lineRule="auto"/>
        <w:tabs>
          <w:tab w:leader="none" w:pos="2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any provision of the Declaration of Trust shall be held invalid or unenforceable in any jurisdiction, such holding shall apply only to the extent of any such invalidity or unenforceability and shall not in any manner affect, impair or render invalid or unenforceable such provision in any other jurisdiction or any other provision of the Declaration of Trust in any jurisdiction.</w:t>
      </w:r>
    </w:p>
    <w:p>
      <w:pPr>
        <w:spacing w:after="0" w:line="184" w:lineRule="exact"/>
        <w:rPr>
          <w:sz w:val="20"/>
          <w:szCs w:val="20"/>
          <w:color w:val="auto"/>
        </w:rPr>
      </w:pPr>
    </w:p>
    <w:p>
      <w:pPr>
        <w:ind w:left="4" w:right="80"/>
        <w:spacing w:after="0" w:line="272" w:lineRule="auto"/>
        <w:rPr>
          <w:sz w:val="20"/>
          <w:szCs w:val="20"/>
          <w:color w:val="auto"/>
        </w:rPr>
      </w:pPr>
      <w:r>
        <w:rPr>
          <w:rFonts w:ascii="Arial" w:cs="Arial" w:eastAsia="Arial" w:hAnsi="Arial"/>
          <w:sz w:val="17"/>
          <w:szCs w:val="17"/>
          <w:color w:val="auto"/>
        </w:rPr>
        <w:t xml:space="preserve">Section 13.4 </w:t>
      </w:r>
      <w:r>
        <w:rPr>
          <w:rFonts w:ascii="Arial" w:cs="Arial" w:eastAsia="Arial" w:hAnsi="Arial"/>
          <w:sz w:val="17"/>
          <w:szCs w:val="17"/>
          <w:u w:val="single" w:color="auto"/>
          <w:color w:val="auto"/>
        </w:rPr>
        <w:t>Construction</w:t>
      </w:r>
      <w:r>
        <w:rPr>
          <w:rFonts w:ascii="Arial" w:cs="Arial" w:eastAsia="Arial" w:hAnsi="Arial"/>
          <w:sz w:val="17"/>
          <w:szCs w:val="17"/>
          <w:color w:val="auto"/>
        </w:rPr>
        <w:t>. In the Declaration of Trust, unless the context otherwise requires, words used in the singular or in the plural include both the plural and singular and words denoting any gender include all genders. The title and headings of different parts are inserted for convenience and shall not affect the meaning, construction or effect of the Declaration of Trust. In defining or interpreting the powers and duties of the Trust and its Trustees and officers, reference may be made by the Trustees or officers, to the extent appropriate and not inconsistent with the Code or Title 8, to Titles 1 through 3 of the Corporations and Associations Article of the Annotated Code of Maryland. In furtherance and not in limitation of the foregoing, in accordance with the provisions of Title 3, Subtitles 6 and 7, of the Corporations and Associations Article of the Annotated Code of Maryland, the Trust shall be included within the definition of “corporation” for purposes of such provisions.</w:t>
      </w:r>
    </w:p>
    <w:p>
      <w:pPr>
        <w:spacing w:after="0" w:line="177"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u w:val="single" w:color="auto"/>
          <w:color w:val="auto"/>
        </w:rPr>
        <w:t>Recordation</w:t>
      </w:r>
      <w:r>
        <w:rPr>
          <w:rFonts w:ascii="Arial" w:cs="Arial" w:eastAsia="Arial" w:hAnsi="Arial"/>
          <w:sz w:val="18"/>
          <w:szCs w:val="18"/>
          <w:color w:val="auto"/>
        </w:rPr>
        <w:t>. Any amendment hereto shall be filed with and accepted for record with the SDAT and may also be filed or recorded in such other places as the Trustees deem appropriate, but failure to file for record this Declaration of Trust or any amendment hereto in any office other than the office of the SDAT shall not affect or impair the validity or effectiveness of the Declaration of Trust or any amendment hereto. A restated declaration of trust shall, upon filing, be conclusive evidence of all amendments contained therein and may thereafter be referred to in lieu of the original Declaration of Trust and the various amendments thereto.</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004"/>
          </w:cols>
          <w:pgMar w:left="436" w:top="274"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Section 13.7 </w:t>
      </w:r>
      <w:r>
        <w:rPr>
          <w:rFonts w:ascii="Arial" w:cs="Arial" w:eastAsia="Arial" w:hAnsi="Arial"/>
          <w:sz w:val="17"/>
          <w:szCs w:val="17"/>
          <w:u w:val="single" w:color="auto"/>
          <w:color w:val="auto"/>
        </w:rPr>
        <w:t>Unsolicited Takeovers</w:t>
      </w:r>
      <w:r>
        <w:rPr>
          <w:rFonts w:ascii="Arial" w:cs="Arial" w:eastAsia="Arial" w:hAnsi="Arial"/>
          <w:sz w:val="17"/>
          <w:szCs w:val="17"/>
          <w:color w:val="auto"/>
        </w:rPr>
        <w:t>. The Trust shall not elect to be subject to any provision of Subtitle 8 (“Corporations and Real Estate Investment Trusts — Unsolicited Takeovers”) of Title 3 of the Corporations and Associations Article of the Annotated Code of Maryland.</w:t>
      </w:r>
    </w:p>
    <w:p>
      <w:pPr>
        <w:spacing w:after="0" w:line="7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0620"/>
          </w:cols>
          <w:pgMar w:left="440" w:top="274" w:right="839" w:bottom="1440" w:gutter="0" w:footer="0" w:header="0"/>
        </w:sectPr>
      </w:pPr>
    </w:p>
    <w:bookmarkStart w:id="25" w:name="page26"/>
    <w:bookmarkEnd w:id="25"/>
    <w:p>
      <w:pPr>
        <w:jc w:val="center"/>
        <w:ind w:right="-8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Series A Preferred Shares</w:t>
      </w:r>
    </w:p>
    <w:p>
      <w:pPr>
        <w:spacing w:after="0" w:line="256"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number of shares of Series A Preferred Shares is 4,000,000.</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this Annex A, the following terms shall have the following meanings:</w:t>
      </w:r>
    </w:p>
    <w:p>
      <w:pPr>
        <w:spacing w:after="0" w:line="131" w:lineRule="exact"/>
        <w:rPr>
          <w:sz w:val="20"/>
          <w:szCs w:val="20"/>
          <w:color w:val="auto"/>
        </w:rPr>
      </w:pPr>
    </w:p>
    <w:p>
      <w:pPr>
        <w:ind w:left="424" w:right="320" w:hanging="424"/>
        <w:spacing w:after="0" w:line="27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“Board of Trustees” shall mean the Board of Trustees of the Trust or any committee authorized by the Board of Trustees to perform any of its responsibilities with respect to the Series A Preferred Shares.</w:t>
      </w:r>
    </w:p>
    <w:p>
      <w:pPr>
        <w:spacing w:after="0" w:line="75"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Day” shall mean any day other than a Saturday, Sunday or day on which state or federally chartered banking institutions in New York City, New York are not required to be open.</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“Call Date” shall have the meaning set forth in Section 6(b).</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Gains Amount” shall have the meaning set forth in Section 3(d).</w:t>
      </w:r>
    </w:p>
    <w:p>
      <w:pPr>
        <w:spacing w:after="0" w:line="130" w:lineRule="exact"/>
        <w:rPr>
          <w:rFonts w:ascii="Arial" w:cs="Arial" w:eastAsia="Arial" w:hAnsi="Arial"/>
          <w:sz w:val="18"/>
          <w:szCs w:val="18"/>
          <w:color w:val="auto"/>
        </w:rPr>
      </w:pPr>
    </w:p>
    <w:p>
      <w:pPr>
        <w:ind w:left="424" w:right="520" w:hanging="424"/>
        <w:spacing w:after="0" w:line="27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“Dividend Payment Date” shall mean the last calendar day (or, if such day is not a Business Day, the next Business Day thereafter) of each January, April, July and October, commencing on October 31, 1997.</w:t>
      </w:r>
    </w:p>
    <w:p>
      <w:pPr>
        <w:spacing w:after="0" w:line="75" w:lineRule="exact"/>
        <w:rPr>
          <w:rFonts w:ascii="Arial" w:cs="Arial" w:eastAsia="Arial" w:hAnsi="Arial"/>
          <w:sz w:val="18"/>
          <w:szCs w:val="18"/>
          <w:color w:val="auto"/>
        </w:rPr>
      </w:pPr>
    </w:p>
    <w:p>
      <w:pPr>
        <w:ind w:left="424" w:hanging="424"/>
        <w:spacing w:after="0" w:line="279" w:lineRule="auto"/>
        <w:tabs>
          <w:tab w:leader="none" w:pos="424"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“Dividend Periods” shall mean quarterly dividend periods commencing on February 1, May 1, August 1 and November 1 of each year and ending on and including the day of the next succeeding Dividend Payment Date (other than the initial Dividend Period, which shall commence on the Issue Date, and other than the Dividend Period during which any Series A Preferred Shares shall be redeemed pursuant to Section 6, which shall end on and include the Call Date with respect to the Series A Preferred Shares being redeemed).</w:t>
      </w:r>
    </w:p>
    <w:p>
      <w:pPr>
        <w:spacing w:after="0" w:line="76" w:lineRule="exact"/>
        <w:rPr>
          <w:rFonts w:ascii="Arial" w:cs="Arial" w:eastAsia="Arial" w:hAnsi="Arial"/>
          <w:sz w:val="17"/>
          <w:szCs w:val="17"/>
          <w:color w:val="auto"/>
        </w:rPr>
      </w:pPr>
    </w:p>
    <w:p>
      <w:pPr>
        <w:ind w:left="424" w:right="240" w:hanging="424"/>
        <w:spacing w:after="0" w:line="263"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“Fully Junior Shares” shall mean the Common Shares and any other class or series of shares of beneficial interest of the Trust now or hereafter issued and outstanding over which the Series A Preferred Shares has preference or priority in both (i) the payment of dividends and (ii) the distribution of assets on any liquidation, dissolution or winding up of the Trust.</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Date” shall mean the first date on which the pertinent Series A Preferred Shares are issued and sold.</w:t>
      </w:r>
    </w:p>
    <w:p>
      <w:pPr>
        <w:spacing w:after="0" w:line="130"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“Junior Shares” shall mean the Common Shares and any other class or series of shares of beneficial interest of the Trust now or hereafter issued and outstanding over which the Series A Preferred Shares has preference or priority in the payment of dividends or in the distribution of assets on any liquidation, dissolution or winding up of the Trust.</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“Parity Shares” shall have the meaning set forth in Section 8(b).</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“Preferred Shares” shall mean the preferred shares of the Trust, $.01 par value per share.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“Series A Preferred Shares” shall have the meaning set forth in Section 6.1.</w:t>
      </w:r>
    </w:p>
    <w:p>
      <w:pPr>
        <w:sectPr>
          <w:pgSz w:w="11900" w:h="16838" w:orient="portrait"/>
          <w:cols w:equalWidth="0" w:num="1">
            <w:col w:w="10944"/>
          </w:cols>
          <w:pgMar w:left="436" w:top="270" w:right="519" w:bottom="1440" w:gutter="0" w:footer="0" w:header="0"/>
        </w:sectPr>
      </w:pPr>
    </w:p>
    <w:bookmarkStart w:id="26" w:name="page27"/>
    <w:bookmarkEnd w:id="26"/>
    <w:p>
      <w:pPr>
        <w:ind w:left="424" w:right="200" w:hanging="424"/>
        <w:spacing w:after="0" w:line="272" w:lineRule="auto"/>
        <w:tabs>
          <w:tab w:leader="none" w:pos="424" w:val="left"/>
        </w:tabs>
        <w:numPr>
          <w:ilvl w:val="0"/>
          <w:numId w:val="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 apart for payment” shall be deemed to include, without any action other than the following, the recording by the Trust in its accounting ledgers of any accounting or bookkeeping entry which indicates, pursuant to a declaration of dividends or other distribution by the Board of Trustees, the allocation of funds to be so paid on any series or class of shares of beneficial interest of the Trust; provided, however, that if any funds for any class or series of Junior Shares or Fully Junior Shares or any class or series of shares of beneficial interest ranking on a parity with the Series A Preferred Shares as to the payment of dividends are placed in a separate account of the Trust or delivered to a disbursing, paying or other similar agent, then “set apart for payment” with respect to the Series A Preferred Shares shall mean placing such funds in such separate account or delivering such funds to a disbursing, paying or other similar agent.</w:t>
      </w:r>
    </w:p>
    <w:p>
      <w:pPr>
        <w:spacing w:after="0" w:line="82" w:lineRule="exact"/>
        <w:rPr>
          <w:rFonts w:ascii="Arial" w:cs="Arial" w:eastAsia="Arial" w:hAnsi="Arial"/>
          <w:sz w:val="17"/>
          <w:szCs w:val="17"/>
          <w:color w:val="auto"/>
        </w:rPr>
      </w:pPr>
    </w:p>
    <w:p>
      <w:pPr>
        <w:ind w:left="424" w:hanging="424"/>
        <w:spacing w:after="0"/>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Dividends” shall have the meaning set forth in Section 3(d).</w:t>
      </w:r>
    </w:p>
    <w:p>
      <w:pPr>
        <w:spacing w:after="0" w:line="130" w:lineRule="exact"/>
        <w:rPr>
          <w:rFonts w:ascii="Arial" w:cs="Arial" w:eastAsia="Arial" w:hAnsi="Arial"/>
          <w:sz w:val="18"/>
          <w:szCs w:val="18"/>
          <w:color w:val="auto"/>
        </w:rPr>
      </w:pPr>
    </w:p>
    <w:p>
      <w:pPr>
        <w:ind w:left="424" w:right="60" w:hanging="424"/>
        <w:spacing w:after="0" w:line="308" w:lineRule="auto"/>
        <w:tabs>
          <w:tab w:leader="none" w:pos="42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“Transfer Agent” means American Stock Transfer &amp; Trust Company, or such other agent or agents of the Trust as may be designated by the Board of Trustees or their designee as the transfer agent, registrar and dividend disbursing agent for the Series A Preferred Shares.</w:t>
      </w:r>
    </w:p>
    <w:p>
      <w:pPr>
        <w:spacing w:after="0" w:line="52"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31" w:lineRule="exact"/>
        <w:rPr>
          <w:sz w:val="20"/>
          <w:szCs w:val="20"/>
          <w:color w:val="auto"/>
        </w:rPr>
      </w:pPr>
    </w:p>
    <w:p>
      <w:pPr>
        <w:ind w:left="424" w:hanging="424"/>
        <w:spacing w:after="0" w:line="269" w:lineRule="auto"/>
        <w:tabs>
          <w:tab w:leader="none" w:pos="4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holders of Series A Preferred Shares shall be entitled to receive, when, as and if authorized by the Board of Trustees out of funds legally available for that purpose, cumulative, preferential dividends payable in cash at the rate of $1.9875 per annum per share. Such dividend shall begin to accrue and shall be fully cumulative from the Issue Date, whether or not in any Dividend Period or Periods there shall be funds of the Trust legally available for the payment of such dividends, and shall be payable quarterly, when, as and if authorized by the Board of Trustees, in arrears on Dividend Payment Dates, commencing on the first Dividend Payment Date after the Issue Date. Such dividends shall be payable in arrears to the holders of record of Series A Preferred Shares, as they appear on the stock records of the Trust at the close of business on the record date, not more than 50 nor less than 10 days preceding the relevant Dividend Payment Date, as shall be fixed by the Board of Trustees. Accrued and unpaid dividends for any past Dividend Periods may be declared and paid on any date and for such interim periods, without reference to any regular Dividend Payment Date, to holders of record on such date, not exceeding 50 days preceding the payment date thereof, as may be fixed by the Board of Trustees. Any dividend payment made on the Series A Preferred Shares shall first be credited against the earliest accrued but unpaid dividend due with respect to the Series A Preferred Shares which remains payable.</w:t>
      </w:r>
    </w:p>
    <w:p>
      <w:pPr>
        <w:spacing w:after="0" w:line="87" w:lineRule="exact"/>
        <w:rPr>
          <w:rFonts w:ascii="Arial" w:cs="Arial" w:eastAsia="Arial" w:hAnsi="Arial"/>
          <w:sz w:val="17"/>
          <w:szCs w:val="17"/>
          <w:color w:val="auto"/>
        </w:rPr>
      </w:pPr>
    </w:p>
    <w:p>
      <w:pPr>
        <w:ind w:left="424" w:right="40" w:hanging="424"/>
        <w:spacing w:after="0" w:line="293" w:lineRule="auto"/>
        <w:tabs>
          <w:tab w:leader="none" w:pos="424"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 of dividends referred to in Section 3(a) payable for each full Dividend Period for the Series A Preferred Shares shall be computed by dividing the annual dividend rate by four, except that the amount of dividends payable for the initial Dividend Period, and for any Dividend Period shorter than a full Dividend Period, for the Series A Preferred Shares shall be computed on the basis of the actual number of days in such Dividend Period. Holders of Series A Preferred Shares shall not be entitled to any dividends, whether payable in cash, property or shares of stock, in excess of cumulative dividends, as herein provided, on the Series A Preferred Shares. No interest, or sum of money in lieu of interest, shall be payable in respect of any dividend payment or payments on the Series A Preferred Shares that may be in arrears.</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4"/>
          </w:cols>
          <w:pgMar w:left="436" w:top="274" w:right="439" w:bottom="1440" w:gutter="0" w:footer="0" w:header="0"/>
        </w:sectPr>
      </w:pPr>
    </w:p>
    <w:bookmarkStart w:id="27" w:name="page28"/>
    <w:bookmarkEnd w:id="27"/>
    <w:p>
      <w:pPr>
        <w:ind w:left="424" w:right="160" w:hanging="424"/>
        <w:spacing w:after="0" w:line="277"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 on Series A Preferred Shares will accrue whether or not the Trust has earnings, whether or not there are funds legally available for the payment of such dividends and whether or not such dividends are declared.</w:t>
      </w:r>
    </w:p>
    <w:p>
      <w:pPr>
        <w:spacing w:after="0" w:line="75" w:lineRule="exact"/>
        <w:rPr>
          <w:rFonts w:ascii="Arial" w:cs="Arial" w:eastAsia="Arial" w:hAnsi="Arial"/>
          <w:sz w:val="18"/>
          <w:szCs w:val="18"/>
          <w:color w:val="auto"/>
        </w:rPr>
      </w:pPr>
    </w:p>
    <w:p>
      <w:pPr>
        <w:ind w:left="424" w:hanging="424"/>
        <w:spacing w:after="0" w:line="257"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for any taxable year, the Trust elects to designate as “capital gain dividends” (as defined in Section 857 of the Code) any portion (the “Capital Gains Amount”) of the total dividends (within the meaning of the Code) paid or made available for the year to holders of all classes of shares of beneficial interest (the “Total Dividends”), then the portion of the Capital Gains Amount that shall be allocated to holders of Series A Preferred Shares shall be in the same portion that the Total Dividends paid or made available to the holders of Series A Preferred Shares for the year bears to the Total Dividends.</w:t>
      </w:r>
    </w:p>
    <w:p>
      <w:pPr>
        <w:spacing w:after="0" w:line="93" w:lineRule="exact"/>
        <w:rPr>
          <w:rFonts w:ascii="Arial" w:cs="Arial" w:eastAsia="Arial" w:hAnsi="Arial"/>
          <w:sz w:val="18"/>
          <w:szCs w:val="18"/>
          <w:color w:val="auto"/>
        </w:rPr>
      </w:pPr>
    </w:p>
    <w:p>
      <w:pPr>
        <w:ind w:left="424" w:right="140" w:hanging="424"/>
        <w:spacing w:after="0" w:line="291" w:lineRule="auto"/>
        <w:tabs>
          <w:tab w:leader="none" w:pos="4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So long as any Series A Preferred Shares are outstanding, no dividends, except as described in the immediately following sentence, shall be declared or paid or set apart for payment on any class or series of Parity Shares for any period unless full cumulative dividends have been or contemporaneously are declared and paid or declared and a sum sufficient for the payment thereof set apart for such payment on the Series A Preferred Shares for all Dividend Periods terminating on or prior to the dividend payment date for such class or series of Parity Shares. When dividends are not paid in full or a sum sufficient for such payment is not set apart, as aforesaid, all dividends declared upon Series A Preferred Shares and all dividends declared upon any other class or series of Parity Shares shall be declared ratably in proportion to the respective amounts of dividends accumulated and unpaid on the Series A Preferred Shares and accumulated and unpaid on such Parity Shares.</w:t>
      </w:r>
    </w:p>
    <w:p>
      <w:pPr>
        <w:spacing w:after="0" w:line="71" w:lineRule="exact"/>
        <w:rPr>
          <w:rFonts w:ascii="Arial" w:cs="Arial" w:eastAsia="Arial" w:hAnsi="Arial"/>
          <w:sz w:val="16"/>
          <w:szCs w:val="16"/>
          <w:color w:val="auto"/>
        </w:rPr>
      </w:pPr>
    </w:p>
    <w:p>
      <w:pPr>
        <w:ind w:left="424" w:right="60" w:hanging="424"/>
        <w:spacing w:after="0" w:line="287" w:lineRule="auto"/>
        <w:tabs>
          <w:tab w:leader="none" w:pos="4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So long as any Series A Preferred Shares are outstanding, no dividends (other than dividends or distributions paid solely in shares of, or options, warrants or rights to subscribe for or purchase shares of, Fully Junior Shares) shall be declared or paid or set apart for payment or other distribution declared or made upon Junior Shares or Fully Junior Shares, nor shall any Junior Shares or Fully Junior Shares be redeemed, purchased or otherwise acquired (other than a redemption, purchase or other acquisition of Common Shares made for purposes of any employee incentive or benefit plan of the Trust or any subsidiary) for any consideration (or any moneys be paid to or made available for a sinking fund for the redemption of any such shares) by the Trust, directly or indirectly (except by conversion into or exchange for shares of Fully Junior Shares), unless in each case (i) the full cumulative dividends on all outstanding Series A Preferred Shares and any other Parity Shares of the Trust shall have been or contemporaneously are declared and paid or declared and set apart for payment for all past Dividend Periods with respect to the Series A Preferred Shares and all past dividend periods with respect to such Parity Shares and (ii) sufficient funds shall have been or contemporaneously are declared and paid or declared and set apart for the payment of the dividend for the current Dividend Period with respect to the Series A Preferred Shares and the current dividend period with respect to such Parity Shares.</w:t>
      </w:r>
    </w:p>
    <w:p>
      <w:pPr>
        <w:spacing w:after="0" w:line="77" w:lineRule="exact"/>
        <w:rPr>
          <w:rFonts w:ascii="Arial" w:cs="Arial" w:eastAsia="Arial" w:hAnsi="Arial"/>
          <w:sz w:val="16"/>
          <w:szCs w:val="16"/>
          <w:color w:val="auto"/>
        </w:rPr>
      </w:pPr>
    </w:p>
    <w:p>
      <w:pPr>
        <w:ind w:left="424" w:right="120" w:hanging="424"/>
        <w:spacing w:after="0" w:line="279" w:lineRule="auto"/>
        <w:tabs>
          <w:tab w:leader="none" w:pos="4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dividends on Series A Preferred Shares shall be authorized by the Board of Trustees or paid or set apart for payment by the Trust at such time as the terms and provisions of any agreement of the Trust,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4"/>
          </w:cols>
          <w:pgMar w:left="436" w:top="274" w:right="459" w:bottom="1440" w:gutter="0" w:footer="0" w:header="0"/>
        </w:sectPr>
      </w:pPr>
    </w:p>
    <w:bookmarkStart w:id="28" w:name="page29"/>
    <w:bookmarkEnd w:id="28"/>
    <w:p>
      <w:pPr>
        <w:ind w:left="424" w:hanging="424"/>
        <w:spacing w:after="0"/>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Liquidation Rights</w:t>
      </w:r>
      <w:r>
        <w:rPr>
          <w:rFonts w:ascii="Arial" w:cs="Arial" w:eastAsia="Arial" w:hAnsi="Arial"/>
          <w:sz w:val="18"/>
          <w:szCs w:val="18"/>
          <w:color w:val="auto"/>
        </w:rPr>
        <w:t>.</w:t>
      </w:r>
    </w:p>
    <w:p>
      <w:pPr>
        <w:spacing w:after="0" w:line="131" w:lineRule="exact"/>
        <w:rPr>
          <w:sz w:val="20"/>
          <w:szCs w:val="20"/>
          <w:color w:val="auto"/>
        </w:rPr>
      </w:pPr>
    </w:p>
    <w:p>
      <w:pPr>
        <w:ind w:left="424" w:right="40" w:hanging="424"/>
        <w:spacing w:after="0" w:line="269" w:lineRule="auto"/>
        <w:tabs>
          <w:tab w:leader="none" w:pos="4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the event of any liquidation, dissolution or winding up of the Trust, whether voluntary or involuntary, before any payment or distribution of the assets of the Trust (whether capital or surplus) shall be made to or set apart for the holders of Junior Shares, the holders of the Series A Preferred Shares shall be entitled to receive Twenty Five Dollars ($25.00) per share of Series A Preferred Shares plus an amount equal to all dividends (whether or not earned or declared) accrued and unpaid thereon to the date of final distribution to such holders; but such holders shall not be entitled to any further payment. If, upon any liquidation, dissolution or winding up of the Trust, the assets of the Trust, or proceeds thereof, distributable among the holders of the Series A Preferred Shares shall be insufficient to pay in full the preferential amount aforesaid and liquidating payments on any other shares of any class or series of Parity Shares, then such assets, or the proceeds thereof, shall be distributed among the holders of the Series A Preferred Shares and any such other Parity Shares ratably in accordance with the respective amounts that would be payable on such Series A Preferred Shares and any such other Parity Shares if all amounts payable thereon were paid in full. For the purposes of this Section 4, (i) a consolidation or merger of the Trust with one or more corporations, real estate investment trusts, or other entities, (ii) a sale, lease or transfer of all or substantially all of the Trust’s assets, or (iii) a statutory share exchange shall not be deemed to be a liquidation, dissolution or winding up, voluntary or involuntary, of the Trust.</w:t>
      </w:r>
    </w:p>
    <w:p>
      <w:pPr>
        <w:spacing w:after="0" w:line="84" w:lineRule="exact"/>
        <w:rPr>
          <w:rFonts w:ascii="Arial" w:cs="Arial" w:eastAsia="Arial" w:hAnsi="Arial"/>
          <w:sz w:val="17"/>
          <w:szCs w:val="17"/>
          <w:color w:val="auto"/>
        </w:rPr>
      </w:pPr>
    </w:p>
    <w:p>
      <w:pPr>
        <w:ind w:left="424" w:right="40" w:hanging="424"/>
        <w:spacing w:after="0" w:line="275" w:lineRule="auto"/>
        <w:tabs>
          <w:tab w:leader="none" w:pos="4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Subject to the rights of the holders of shares of any series or class of beneficial interest ranking on a parity with or prior to the Series A Preferred Shares upon liquidation, dissolution or winding up, upon any liquidation, dissolution or winding up of the Trust, after payment shall have been made in full to the holders of the Series A Preferred Shares, as provided in this Section 4, any other series or class of Junior Shares or Fully Junior Shares shall, subject to the respective terms and provisions (if any) applying thereto, be entitled to receive any and all assets remaining to be paid or distributed, and the holders of the Series A Preferred Shares shall not be entitled to share therein.</w:t>
      </w:r>
    </w:p>
    <w:p>
      <w:pPr>
        <w:spacing w:after="0" w:line="82" w:lineRule="exact"/>
        <w:rPr>
          <w:sz w:val="20"/>
          <w:szCs w:val="20"/>
          <w:color w:val="auto"/>
        </w:rPr>
      </w:pPr>
    </w:p>
    <w:p>
      <w:pPr>
        <w:ind w:left="424" w:hanging="424"/>
        <w:spacing w:after="0"/>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The Series A Preferred Shares are not convertible or exchangeable for any other property or securities of the Trust.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Redemption at the Option of the Trust</w:t>
      </w:r>
      <w:r>
        <w:rPr>
          <w:rFonts w:ascii="Arial" w:cs="Arial" w:eastAsia="Arial" w:hAnsi="Arial"/>
          <w:sz w:val="18"/>
          <w:szCs w:val="18"/>
          <w:color w:val="auto"/>
        </w:rPr>
        <w:t>.</w:t>
      </w:r>
    </w:p>
    <w:p>
      <w:pPr>
        <w:spacing w:after="0" w:line="131" w:lineRule="exact"/>
        <w:rPr>
          <w:sz w:val="20"/>
          <w:szCs w:val="20"/>
          <w:color w:val="auto"/>
        </w:rPr>
      </w:pPr>
    </w:p>
    <w:p>
      <w:pPr>
        <w:ind w:left="424" w:right="40" w:hanging="424"/>
        <w:spacing w:after="0" w:line="263"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Series A Preferred Shares shall not be redeemable by the Trust prior to October 6, 2002. On and after October 6, 2002, the Trust, at its option, may redeem the Series A Preferred Shares, in whole or in part at any time or from time to time, at a redemption price of Twenty-Five Dollars ($25.00) per share of Series A Preferred Shares, plus the amounts indicated in Section (b).</w:t>
      </w:r>
    </w:p>
    <w:p>
      <w:pPr>
        <w:spacing w:after="0" w:line="89" w:lineRule="exact"/>
        <w:rPr>
          <w:rFonts w:ascii="Arial" w:cs="Arial" w:eastAsia="Arial" w:hAnsi="Arial"/>
          <w:sz w:val="18"/>
          <w:szCs w:val="18"/>
          <w:color w:val="auto"/>
        </w:rPr>
      </w:pPr>
    </w:p>
    <w:p>
      <w:pPr>
        <w:ind w:left="424" w:hanging="424"/>
        <w:spacing w:after="0" w:line="293" w:lineRule="auto"/>
        <w:tabs>
          <w:tab w:leader="none" w:pos="4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any redemption of the Series A Preferred Shares pursuant to this Section 6, the Trust shall pay all accrued and unpaid dividends, if any, thereon ending on or prior to the date of such redemption (the “Call Date”), without interest. If the Call Date falls after a dividend payment record date and prior to the corresponding Dividend Payment Date, then each holder of Series A Preferred Shares at the close of business on such dividend payment record date shall be entitled to the dividend payable on such shares on the corresponding Dividend Payment Date notwithstanding the redemption of such shares before such Dividend Payment Date. Except as provided above, the Trust shall make no payment or allowance for unpaid dividends, whether or not in arrears, on shares of Series A Preferred Shares called for redemption.</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4"/>
          </w:cols>
          <w:pgMar w:left="436" w:top="274" w:right="459" w:bottom="1440" w:gutter="0" w:footer="0" w:header="0"/>
        </w:sectPr>
      </w:pPr>
    </w:p>
    <w:bookmarkStart w:id="29" w:name="page30"/>
    <w:bookmarkEnd w:id="29"/>
    <w:p>
      <w:pPr>
        <w:ind w:left="424" w:hanging="424"/>
        <w:spacing w:after="0" w:line="279" w:lineRule="auto"/>
        <w:tabs>
          <w:tab w:leader="none" w:pos="424" w:val="left"/>
        </w:tabs>
        <w:numPr>
          <w:ilvl w:val="0"/>
          <w:numId w:val="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full cumulative dividends on the Series A Preferred Shares and any other class or series of Parity Shares of the Trust have not been declared and paid or declared and set apart for payment, the Series A Preferred Shares or Parity Shares may not be redeemed under this Section 6 in part and the Trust may not purchase or acquire the Series A Preferred Shares or any Parity Shares, otherwise than pursuant to a purchase or exchange offer made on the same terms to all holders of Series A Preferred Shares or Parity Shares, as the case may be.</w:t>
      </w:r>
    </w:p>
    <w:p>
      <w:pPr>
        <w:spacing w:after="0" w:line="76" w:lineRule="exact"/>
        <w:rPr>
          <w:rFonts w:ascii="Arial" w:cs="Arial" w:eastAsia="Arial" w:hAnsi="Arial"/>
          <w:sz w:val="17"/>
          <w:szCs w:val="17"/>
          <w:color w:val="auto"/>
        </w:rPr>
      </w:pPr>
    </w:p>
    <w:p>
      <w:pPr>
        <w:ind w:left="424" w:right="60" w:hanging="424"/>
        <w:spacing w:after="0" w:line="284" w:lineRule="auto"/>
        <w:tabs>
          <w:tab w:leader="none" w:pos="424"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Notice of the redemption of any Series A Preferred Shares under this Section 6 shall be mailed by first-class mail to each holder of record of Series A Preferred Shares to be redeemed at the address of each such holder as shown on the Trust’s records, not less than 30 nor more than 90 days prior to the Call Date. Neither the failure to mail any notice required by this Section 6(d), nor any defect therein or in the mailing thereof, to any particular holder, shall affect the sufficiency of the notice or the validity of the proceedings for redemption with respect to the other holders. Any notice which was mailed in the manner herein provided shall be conclusively presumed to have been duly given on the date mailed whether or not the holder receives the notice. Each such mailed notice shall state, as appropriate: (1) the Call Date; (2) the number of shares of Series A Preferred Shares to be redeemed and, if fewer than all the shares held by such holder are to be redeemed, the number of such shares to be redeemed from such holder; (3) the redemption price per share; (4) the place or places at which certificates for such shares are to be surrendered; and (5) that dividends on the shares to be redeemed shall cease to accrue on such Call Date except as otherwise provided herein. Notice having been mailed as aforesaid, from and after the Call Date (unless the Trust shall fail to make available an amount of cash necessary to effect such redemption), (i) except as otherwise provided herein, dividends on the Series A Preferred Shares so called for redemption shall cease to accrue, (ii) shares of such Series A Preferred Shares shall no longer be deemed to be outstanding, and (iii) all rights of the holders thereof as holders of Series A Preferred Shares of the Trust shall cease (except the right to receive cash payable under such redemption, without interest thereon, upon surrender and endorsement of their certificates if so required and to receive any dividends payable thereon). The Trust’s obligation to provide cash in accordance with the preceding sentence shall be deemed fulfilled if, on or before the Call Date, the Trust shall deposit with a bank or trust company (which may be an affiliate of the Trust) that has an office in Maryland and that has, or is an affiliate of a bank or trust company that has, capital and surplus of at least $50,000,000, the amount of cash necessary for such redemption, in trust, with irrevocable instructions that such cash be applied to the redemption of the Series A Preferred Shares so called for redemption. No interest shall accrue for the benefit of the holders of Series A Preferred Shares to be redeemed on any cash so set aside by the Trust. Subject to applicable escheat laws, any such cash unclaimed at the end of two years from the Call Date shall revert to the general funds of the Trust, after which reversion the holders of such shares so called for redemption shall look only to the general funds of the Trust for the payment of such cash.</w:t>
      </w:r>
    </w:p>
    <w:p>
      <w:pPr>
        <w:spacing w:after="0" w:line="72" w:lineRule="exact"/>
        <w:rPr>
          <w:sz w:val="20"/>
          <w:szCs w:val="20"/>
          <w:color w:val="auto"/>
        </w:rPr>
      </w:pPr>
    </w:p>
    <w:p>
      <w:pPr>
        <w:ind w:left="444" w:right="40"/>
        <w:spacing w:after="0" w:line="254" w:lineRule="auto"/>
        <w:rPr>
          <w:sz w:val="20"/>
          <w:szCs w:val="20"/>
          <w:color w:val="auto"/>
        </w:rPr>
      </w:pPr>
      <w:r>
        <w:rPr>
          <w:rFonts w:ascii="Arial" w:cs="Arial" w:eastAsia="Arial" w:hAnsi="Arial"/>
          <w:sz w:val="18"/>
          <w:szCs w:val="18"/>
          <w:color w:val="auto"/>
        </w:rPr>
        <w:t>As promptly as practicable after the surrender in accordance with said notice of the certificates for any such shares so redeemed (properly endorsed or assigned for transfer, if the Trust shall so require and if the notice shall so state), such shares shall be exchanged for any cash (without interest thereon) for which such shares have been redeemed. If fewer than all the outstanding Series A Preferred Shares are to be redeemed, shares to be redeemed shall be selected by the Trust from outstanding Series A Preferred Shares not previously called for redemption by lot or pro rata (as nearly as may be) or by any other method determined by the Trust in its sole discretion to be equitable. If fewer than all the Series A Preferred Shares represented by any certificate are redeemed, then new certificates representing the unredeemed shares shall be issued without cost to the holder thereof.</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24"/>
          </w:cols>
          <w:pgMar w:left="436" w:top="274" w:right="439" w:bottom="1440" w:gutter="0" w:footer="0" w:header="0"/>
        </w:sectPr>
      </w:pPr>
    </w:p>
    <w:bookmarkStart w:id="30" w:name="page31"/>
    <w:bookmarkEnd w:id="30"/>
    <w:p>
      <w:pPr>
        <w:ind w:left="424" w:right="20" w:hanging="424"/>
        <w:spacing w:after="0" w:line="277"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to be Retired</w:t>
      </w:r>
      <w:r>
        <w:rPr>
          <w:rFonts w:ascii="Arial" w:cs="Arial" w:eastAsia="Arial" w:hAnsi="Arial"/>
          <w:sz w:val="18"/>
          <w:szCs w:val="18"/>
          <w:color w:val="auto"/>
        </w:rPr>
        <w:t>. All Series A Preferred Shares which shall have been issued and reacquired in any manner by the Trust shall be restored to the status of authorized but unissued Preferred Shares, without designation as to class or series.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 Any class or series of shares of beneficial interest of the Trust shall be deemed to rank:</w:t>
      </w:r>
    </w:p>
    <w:p>
      <w:pPr>
        <w:spacing w:after="0" w:line="131" w:lineRule="exact"/>
        <w:rPr>
          <w:sz w:val="20"/>
          <w:szCs w:val="20"/>
          <w:color w:val="auto"/>
        </w:rPr>
      </w:pPr>
    </w:p>
    <w:p>
      <w:pPr>
        <w:ind w:left="424" w:right="20" w:hanging="424"/>
        <w:spacing w:after="0" w:line="263"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the Series A Preferred Shares,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A Preferred Shares;</w:t>
      </w:r>
    </w:p>
    <w:p>
      <w:pPr>
        <w:spacing w:after="0" w:line="89" w:lineRule="exact"/>
        <w:rPr>
          <w:rFonts w:ascii="Arial" w:cs="Arial" w:eastAsia="Arial" w:hAnsi="Arial"/>
          <w:sz w:val="18"/>
          <w:szCs w:val="18"/>
          <w:color w:val="auto"/>
        </w:rPr>
      </w:pPr>
    </w:p>
    <w:p>
      <w:pPr>
        <w:ind w:left="424" w:right="20" w:hanging="424"/>
        <w:spacing w:after="0" w:line="275" w:lineRule="auto"/>
        <w:tabs>
          <w:tab w:leader="none" w:pos="4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a parity with the Series A Preferred Shares, as to the payment of dividends and as to distribution of assets upon liquidation, dissolution or winding up, whether or not the dividend rates, dividend payment dates or redemption or liquidation prices per share thereof be different from those of the Series A Preferred Shares, if the holders of such class or series of shares and the Series A Preferred Shares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(“Parity Shares”);</w:t>
      </w:r>
    </w:p>
    <w:p>
      <w:pPr>
        <w:spacing w:after="0" w:line="81" w:lineRule="exact"/>
        <w:rPr>
          <w:rFonts w:ascii="Arial" w:cs="Arial" w:eastAsia="Arial" w:hAnsi="Arial"/>
          <w:sz w:val="17"/>
          <w:szCs w:val="17"/>
          <w:color w:val="auto"/>
        </w:rPr>
      </w:pPr>
    </w:p>
    <w:p>
      <w:pPr>
        <w:ind w:left="424" w:right="200" w:hanging="424"/>
        <w:spacing w:after="0" w:line="277"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junior to the Series A Preferred Shares, as to the payment of dividends or as to the distribution of assets upon liquidation, dissolution or winding up, if such shares shall be Junior Shares; and</w:t>
      </w:r>
    </w:p>
    <w:p>
      <w:pPr>
        <w:spacing w:after="0" w:line="75"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junior to the Series A Preferred Shares, as to the payment of dividends and as to the distribution of assets upon liquidation, dissolution or winding up, if such shares shall be Fully Junior Shares.</w:t>
      </w:r>
    </w:p>
    <w:p>
      <w:pPr>
        <w:spacing w:after="0" w:line="76" w:lineRule="exact"/>
        <w:rPr>
          <w:sz w:val="20"/>
          <w:szCs w:val="20"/>
          <w:color w:val="auto"/>
        </w:rPr>
      </w:pPr>
    </w:p>
    <w:p>
      <w:pPr>
        <w:ind w:left="424" w:hanging="424"/>
        <w:spacing w:after="0" w:line="286" w:lineRule="auto"/>
        <w:tabs>
          <w:tab w:leader="none" w:pos="424"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If and whenever six consecutive quarterly dividends payable on the Series A Preferred Shares or any series or class of Parity Shares shall be in arrears (which shall, with respect to any such quarterly dividend, mean that any such dividend has not been paid in full), whether or not declared, the number of trustees then constituting the Board of Trustees shall be increased by two, and the holders of Series A Preferred Shares, together with the holders of shares of every other series of Parity Shares, voting as a single class regardless of series, shall be entitled to elect the two additional trustees to serve on the Board of Trustees at any annual meeting of shareholders or special meeting held in place thereof, or at a special meeting of the holders of the Series A Preferred Shares and the Parity Shares called as hereinafter provided. Whenever all arrears in dividends on the Series A Preferred Shares and the Parity Shares then outstanding shall have been paid and dividends thereon for the current quarterly dividend period shall have been paid or declared and set apart for payment, then the right of the holders of the Series A Preferred Shares and the Parity Shares to elect such additional two trustees shall immediately cease (but subject always to the same provision for the vesting of such voting rights in the case of any similar future arrearages in six consecutive quarterly dividends), and the terms of office of all persons elected as trustees by the holders of the Series A Preferred Shares and the Parity Shares shall immediately terminate and the number of the Board of Trustees shall be reduced accordingly. At any time after such voting rights shall have been so vested in the holders of Series A Preferred Shares and the Parity Shares, the secretary of the Trust may, and upon the written request of any holder of Series A Preferred Shares (addressed to the secretary at the principal office of the Trust) shall, call a special meeting of the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24"/>
          </w:cols>
          <w:pgMar w:left="436" w:top="274" w:right="439" w:bottom="1440" w:gutter="0" w:footer="0" w:header="0"/>
        </w:sectPr>
      </w:pPr>
    </w:p>
    <w:bookmarkStart w:id="31" w:name="page32"/>
    <w:bookmarkEnd w:id="31"/>
    <w:p>
      <w:pPr>
        <w:ind w:left="44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of the Series A Preferred Shares and of the Parity Shares for the election of the two trustees to be elected by them as herein provided, such call to be made by notice similar to that provided in the Bylaws of the Trust for a special meeting of the shareholders or as required by law. If any such special meeting required to be called as above provided shall not be called by the secretary within 20 days after receipt of any such request, then any holder of Series A Preferred Shares may call such meeting, upon the notice above provided, and for that purpose shall have access to the share records of the Trust. The trustees elected at any such special meeting shall hold office until the next annual meeting of the shareholders or special meeting held in lieu thereof if such office shall not have previously terminated as above provided. If any vacancy shall occur among the trustees elected by the holders of the Series A Preferred Shares and the Parity Shares, a successor shall be elected by the Board of Trustees, upon the nomination of the then remaining trustee elected by the holders of the Series A Preferred Shares and the Parity Shares or the successor of such remaining trustee, to serve until the next annual meeting of the shareholders or special meeting held in place thereof if such office shall not have previously terminated as provided above.</w:t>
      </w:r>
    </w:p>
    <w:p>
      <w:pPr>
        <w:spacing w:after="0" w:line="77" w:lineRule="exact"/>
        <w:rPr>
          <w:sz w:val="20"/>
          <w:szCs w:val="20"/>
          <w:color w:val="auto"/>
        </w:rPr>
      </w:pPr>
    </w:p>
    <w:p>
      <w:pPr>
        <w:ind w:left="444" w:right="100"/>
        <w:spacing w:after="0" w:line="279" w:lineRule="auto"/>
        <w:rPr>
          <w:sz w:val="20"/>
          <w:szCs w:val="20"/>
          <w:color w:val="auto"/>
        </w:rPr>
      </w:pPr>
      <w:r>
        <w:rPr>
          <w:rFonts w:ascii="Arial" w:cs="Arial" w:eastAsia="Arial" w:hAnsi="Arial"/>
          <w:sz w:val="17"/>
          <w:szCs w:val="17"/>
          <w:color w:val="auto"/>
        </w:rPr>
        <w:t>So long as any Series A Preferred Shares are outstanding, in addition to any other vote or consent of shareholders required by law or by the Declaration, the affirmative vote of at least 66-2/3% of the votes entitled to be cast by the holders of the Series A Preferred Shares and the Parity Shares, at the time outstanding, acting as a single class regardless of series, given in person or by proxy, either in writing without a meeting or by vote at any meeting called for the purpose, shall be necessary for effecting or validating:</w:t>
      </w:r>
    </w:p>
    <w:p>
      <w:pPr>
        <w:spacing w:after="0" w:line="77" w:lineRule="exact"/>
        <w:rPr>
          <w:sz w:val="20"/>
          <w:szCs w:val="20"/>
          <w:color w:val="auto"/>
        </w:rPr>
      </w:pPr>
    </w:p>
    <w:p>
      <w:pPr>
        <w:ind w:left="424" w:right="20" w:hanging="424"/>
        <w:spacing w:after="0" w:line="288" w:lineRule="auto"/>
        <w:tabs>
          <w:tab w:leader="none" w:pos="424"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amendment, alteration or repeal of any of the provisions of the Declaration that materially and adversely affects the voting powers, rights or preferences of the holders of the Series A Preferred Shares or the Parity Shares; provided, however, that the amendment of the provisions of the Declaration so as to authorize or create or to increase the authorized amount of shares of any class of any Fully Junior Shares or Junior Shares that are not senior in any respect to the Series A Preferred Shares, or any shares of any class ranking on a parity with the Series A Preferred Shares or the Parity Shares, shall not be deemed to materially adversely affect the voting powers, rights or preferences of the holders of Series A Preferred Shares; and provided further, that if any such amendment, alteration or repeal would materially and adversely affect any voting powers, rights or preferences of the Series A Preferred Shares or another series of Parity Shares that are not enjoyed by some or all of the other series otherwise entitled to vote in accordance herewith, the affirmative vote of at least 66-2/3% of the votes entitled to be cast by the holders of all series similarly affected, similarly given, shall be required in lieu of the affirmative vote of at least 66-2/3% of the votes entitled to be cast by the holders of the Series A Preferred Shares and the Parity Shares otherwise entitled to vote in accordance herewith; or</w:t>
      </w:r>
    </w:p>
    <w:p>
      <w:pPr>
        <w:spacing w:after="0" w:line="73" w:lineRule="exact"/>
        <w:rPr>
          <w:rFonts w:ascii="Arial" w:cs="Arial" w:eastAsia="Arial" w:hAnsi="Arial"/>
          <w:sz w:val="16"/>
          <w:szCs w:val="16"/>
          <w:color w:val="auto"/>
        </w:rPr>
      </w:pPr>
    </w:p>
    <w:p>
      <w:pPr>
        <w:ind w:left="424" w:hanging="424"/>
        <w:spacing w:after="0" w:line="255"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share exchange that affects the Series A Preferred Shares, a consolidation with or merger of the Trust into another entity, or a consolidation with or merger of another entity into the Trust, unless in each such case each share of Series A Preferred Shares (i) shall remain outstanding without a material and adverse change to its terms and rights or (ii) shall be converted into or exchanged for preferred stock of the surviving entity having preferences, conversion or other rights, voting powers, restrictions, limitations as to dividends, qualifications and terms or conditions of redemption thereof identical to that of a share of Series A Preferred Shares (except for changes that do not materially and adversely affect the holders of the Series A Preferred Shares); or</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84"/>
          </w:cols>
          <w:pgMar w:left="436" w:top="274" w:right="479" w:bottom="1440" w:gutter="0" w:footer="0" w:header="0"/>
        </w:sectPr>
      </w:pPr>
    </w:p>
    <w:bookmarkStart w:id="32" w:name="page33"/>
    <w:bookmarkEnd w:id="32"/>
    <w:p>
      <w:pPr>
        <w:ind w:left="424" w:hanging="424"/>
        <w:spacing w:after="0" w:line="275" w:lineRule="auto"/>
        <w:tabs>
          <w:tab w:leader="none" w:pos="424" w:val="left"/>
        </w:tabs>
        <w:numPr>
          <w:ilvl w:val="0"/>
          <w:numId w:val="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authorization or creation of, or the increase in the authorized amount of, any shares of any class, or any security convertible into shares of any class, ranking prior to the Series A Preferred Shares in the distribution of assets on any liquidation, dissolution or winding up of the Trust or in the payment of dividends; provided, however, that no such vote of the holders of Series A Preferred Shares shall be required if, at or prior to the time when such amendment, alteration or repeal is to take effect, or when the issuance of any such shares or convertible securities is to be made, as the case may be, provision is made for the redemption of all Series A Preferred Shares at the time outstanding.</w:t>
      </w:r>
    </w:p>
    <w:p>
      <w:pPr>
        <w:spacing w:after="0" w:line="68" w:lineRule="exact"/>
        <w:rPr>
          <w:rFonts w:ascii="Arial" w:cs="Arial" w:eastAsia="Arial" w:hAnsi="Arial"/>
          <w:sz w:val="17"/>
          <w:szCs w:val="17"/>
          <w:color w:val="auto"/>
        </w:rPr>
      </w:pPr>
    </w:p>
    <w:p>
      <w:pPr>
        <w:ind w:left="444"/>
        <w:spacing w:after="0" w:line="255" w:lineRule="auto"/>
        <w:rPr>
          <w:rFonts w:ascii="Arial" w:cs="Arial" w:eastAsia="Arial" w:hAnsi="Arial"/>
          <w:sz w:val="17"/>
          <w:szCs w:val="17"/>
          <w:color w:val="auto"/>
        </w:rPr>
      </w:pPr>
      <w:r>
        <w:rPr>
          <w:rFonts w:ascii="Arial" w:cs="Arial" w:eastAsia="Arial" w:hAnsi="Arial"/>
          <w:sz w:val="18"/>
          <w:szCs w:val="18"/>
          <w:color w:val="auto"/>
        </w:rPr>
        <w:t>For purposes of the foregoing provisions of this Section 9, each share of Series A Preferred Shares shall have one vote per share, except that when shares of any other series of Preferred Shares shall have the right to vote with the Series A Preferred Shares as a single class on any matter, then the Series A Preferred Shares and such other series shall have with respect to such matters one vote per $25.00 of stated liquidation preference. Except as otherwise required by applicable law or as set forth herein, the Series A Preferred Shares shall not have any relative, participating, optional or other special voting rights and powers, and the consent of the holders thereof shall not be required for the taking of any corporate action.</w:t>
      </w:r>
    </w:p>
    <w:p>
      <w:pPr>
        <w:spacing w:after="0" w:line="98" w:lineRule="exact"/>
        <w:rPr>
          <w:sz w:val="20"/>
          <w:szCs w:val="20"/>
          <w:color w:val="auto"/>
        </w:rPr>
      </w:pPr>
    </w:p>
    <w:p>
      <w:pPr>
        <w:ind w:left="424" w:right="200" w:hanging="424"/>
        <w:spacing w:after="0" w:line="308" w:lineRule="auto"/>
        <w:tabs>
          <w:tab w:leader="none" w:pos="424"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Record Holders</w:t>
      </w:r>
      <w:r>
        <w:rPr>
          <w:rFonts w:ascii="Arial" w:cs="Arial" w:eastAsia="Arial" w:hAnsi="Arial"/>
          <w:sz w:val="17"/>
          <w:szCs w:val="17"/>
          <w:color w:val="auto"/>
        </w:rPr>
        <w:t>. The Trust and the Transfer Agent may deem and treat the record holder of any Series A Preferred Shares as the true and lawful owner thereof for all purposes, and neither the Trust nor the Transfer Agent shall be affected by any notice to the contrary.</w:t>
      </w:r>
    </w:p>
    <w:p>
      <w:pPr>
        <w:spacing w:after="0" w:line="51" w:lineRule="exact"/>
        <w:rPr>
          <w:rFonts w:ascii="Arial" w:cs="Arial" w:eastAsia="Arial" w:hAnsi="Arial"/>
          <w:sz w:val="17"/>
          <w:szCs w:val="17"/>
          <w:color w:val="auto"/>
        </w:rPr>
      </w:pPr>
    </w:p>
    <w:p>
      <w:pPr>
        <w:ind w:left="424" w:hanging="424"/>
        <w:spacing w:after="0"/>
        <w:tabs>
          <w:tab w:leader="none" w:pos="42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Sinking Fund</w:t>
      </w:r>
      <w:r>
        <w:rPr>
          <w:rFonts w:ascii="Arial" w:cs="Arial" w:eastAsia="Arial" w:hAnsi="Arial"/>
          <w:sz w:val="18"/>
          <w:szCs w:val="18"/>
          <w:color w:val="auto"/>
        </w:rPr>
        <w:t>. The Series A Preferred Shares shall not be entitled to the benefits of any retirement or sinking fund.</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64"/>
          </w:cols>
          <w:pgMar w:left="436" w:top="274" w:right="499" w:bottom="1440" w:gutter="0" w:footer="0" w:header="0"/>
        </w:sectPr>
      </w:pPr>
    </w:p>
    <w:bookmarkStart w:id="33" w:name="page34"/>
    <w:bookmarkEnd w:id="33"/>
    <w:p>
      <w:pPr>
        <w:jc w:val="center"/>
        <w:ind w:right="-2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Series B Preferred Shares</w:t>
      </w:r>
    </w:p>
    <w:p>
      <w:pPr>
        <w:spacing w:after="0" w:line="229" w:lineRule="exact"/>
        <w:rPr>
          <w:sz w:val="20"/>
          <w:szCs w:val="20"/>
          <w:color w:val="auto"/>
        </w:rPr>
      </w:pPr>
    </w:p>
    <w:p>
      <w:pPr>
        <w:ind w:left="264" w:hanging="264"/>
        <w:spacing w:after="0"/>
        <w:tabs>
          <w:tab w:leader="none" w:pos="26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this Annex B, the following terms shall have the following meanings:</w:t>
      </w:r>
    </w:p>
    <w:p>
      <w:pPr>
        <w:spacing w:after="0" w:line="117" w:lineRule="exact"/>
        <w:rPr>
          <w:rFonts w:ascii="Arial" w:cs="Arial" w:eastAsia="Arial" w:hAnsi="Arial"/>
          <w:sz w:val="18"/>
          <w:szCs w:val="18"/>
          <w:color w:val="auto"/>
        </w:rPr>
      </w:pPr>
    </w:p>
    <w:p>
      <w:pPr>
        <w:ind w:left="4" w:right="140" w:firstLine="436"/>
        <w:spacing w:after="0" w:line="277" w:lineRule="auto"/>
        <w:tabs>
          <w:tab w:leader="none" w:pos="689" w:val="left"/>
        </w:tabs>
        <w:numPr>
          <w:ilvl w:val="1"/>
          <w:numId w:val="36"/>
        </w:numPr>
        <w:rPr>
          <w:rFonts w:ascii="Arial" w:cs="Arial" w:eastAsia="Arial" w:hAnsi="Arial"/>
          <w:sz w:val="18"/>
          <w:szCs w:val="18"/>
          <w:color w:val="auto"/>
        </w:rPr>
      </w:pPr>
      <w:r>
        <w:rPr>
          <w:rFonts w:ascii="Arial" w:cs="Arial" w:eastAsia="Arial" w:hAnsi="Arial"/>
          <w:sz w:val="18"/>
          <w:szCs w:val="18"/>
          <w:color w:val="auto"/>
        </w:rPr>
        <w:t>“Board of Trustees” shall mean the Board of Trustees of the Trust or any committee authorized by the Board of Trustees to perform any of its responsibilities with respect to the Series B Preferred Shares.</w:t>
      </w:r>
    </w:p>
    <w:p>
      <w:pPr>
        <w:spacing w:after="0" w:line="62" w:lineRule="exact"/>
        <w:rPr>
          <w:rFonts w:ascii="Arial" w:cs="Arial" w:eastAsia="Arial" w:hAnsi="Arial"/>
          <w:sz w:val="18"/>
          <w:szCs w:val="18"/>
          <w:color w:val="auto"/>
        </w:rPr>
      </w:pPr>
    </w:p>
    <w:p>
      <w:pPr>
        <w:ind w:left="4" w:right="320" w:firstLine="436"/>
        <w:spacing w:after="0" w:line="277" w:lineRule="auto"/>
        <w:tabs>
          <w:tab w:leader="none" w:pos="699" w:val="left"/>
        </w:tabs>
        <w:numPr>
          <w:ilvl w:val="1"/>
          <w:numId w:val="36"/>
        </w:numPr>
        <w:rPr>
          <w:rFonts w:ascii="Arial" w:cs="Arial" w:eastAsia="Arial" w:hAnsi="Arial"/>
          <w:sz w:val="18"/>
          <w:szCs w:val="18"/>
          <w:color w:val="auto"/>
        </w:rPr>
      </w:pPr>
      <w:r>
        <w:rPr>
          <w:rFonts w:ascii="Arial" w:cs="Arial" w:eastAsia="Arial" w:hAnsi="Arial"/>
          <w:sz w:val="18"/>
          <w:szCs w:val="18"/>
          <w:color w:val="auto"/>
        </w:rPr>
        <w:t>“Business Day” shall mean any day other than a Saturday, Sunday or day on which state or federally chartered banking institutions in New York City, New York are not required to be open.</w:t>
      </w:r>
    </w:p>
    <w:p>
      <w:pPr>
        <w:spacing w:after="0" w:line="62" w:lineRule="exact"/>
        <w:rPr>
          <w:rFonts w:ascii="Arial" w:cs="Arial" w:eastAsia="Arial" w:hAnsi="Arial"/>
          <w:sz w:val="18"/>
          <w:szCs w:val="18"/>
          <w:color w:val="auto"/>
        </w:rPr>
      </w:pPr>
    </w:p>
    <w:p>
      <w:pPr>
        <w:ind w:left="684" w:hanging="244"/>
        <w:spacing w:after="0"/>
        <w:tabs>
          <w:tab w:leader="none" w:pos="684" w:val="left"/>
        </w:tabs>
        <w:numPr>
          <w:ilvl w:val="1"/>
          <w:numId w:val="36"/>
        </w:numPr>
        <w:rPr>
          <w:rFonts w:ascii="Arial" w:cs="Arial" w:eastAsia="Arial" w:hAnsi="Arial"/>
          <w:sz w:val="18"/>
          <w:szCs w:val="18"/>
          <w:color w:val="auto"/>
        </w:rPr>
      </w:pPr>
      <w:r>
        <w:rPr>
          <w:rFonts w:ascii="Arial" w:cs="Arial" w:eastAsia="Arial" w:hAnsi="Arial"/>
          <w:sz w:val="18"/>
          <w:szCs w:val="18"/>
          <w:color w:val="auto"/>
        </w:rPr>
        <w:t>“Call Date” shall have the meaning set forth in Section 6(b).</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36"/>
        </w:numPr>
        <w:rPr>
          <w:rFonts w:ascii="Arial" w:cs="Arial" w:eastAsia="Arial" w:hAnsi="Arial"/>
          <w:sz w:val="18"/>
          <w:szCs w:val="18"/>
          <w:color w:val="auto"/>
        </w:rPr>
      </w:pPr>
      <w:r>
        <w:rPr>
          <w:rFonts w:ascii="Arial" w:cs="Arial" w:eastAsia="Arial" w:hAnsi="Arial"/>
          <w:sz w:val="18"/>
          <w:szCs w:val="18"/>
          <w:color w:val="auto"/>
        </w:rPr>
        <w:t>“Capital Gains Amount” shall have the meaning set forth in Section 4(d).</w:t>
      </w:r>
    </w:p>
    <w:p>
      <w:pPr>
        <w:spacing w:after="0" w:line="117" w:lineRule="exact"/>
        <w:rPr>
          <w:rFonts w:ascii="Arial" w:cs="Arial" w:eastAsia="Arial" w:hAnsi="Arial"/>
          <w:sz w:val="18"/>
          <w:szCs w:val="18"/>
          <w:color w:val="auto"/>
        </w:rPr>
      </w:pPr>
    </w:p>
    <w:p>
      <w:pPr>
        <w:ind w:left="4" w:right="320" w:firstLine="436"/>
        <w:spacing w:after="0" w:line="277" w:lineRule="auto"/>
        <w:tabs>
          <w:tab w:leader="none" w:pos="68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“Dividend Payment Date” shall mean the last calendar day (or, if such day is not a Business Day, the next Business Day thereafter) of each January, April, July and October, commencing on January 31, 2002.</w:t>
      </w:r>
    </w:p>
    <w:p>
      <w:pPr>
        <w:spacing w:after="0" w:line="62" w:lineRule="exact"/>
        <w:rPr>
          <w:rFonts w:ascii="Arial" w:cs="Arial" w:eastAsia="Arial" w:hAnsi="Arial"/>
          <w:sz w:val="18"/>
          <w:szCs w:val="18"/>
          <w:color w:val="auto"/>
        </w:rPr>
      </w:pPr>
    </w:p>
    <w:p>
      <w:pPr>
        <w:ind w:left="4" w:right="80" w:firstLine="436"/>
        <w:spacing w:after="0" w:line="259" w:lineRule="auto"/>
        <w:tabs>
          <w:tab w:leader="none" w:pos="66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“Dividend Periods” shall mean quarterly dividend periods commencing on February 1, May 1, August 1 and November 1 of each year and ending on and including the day of the next succeeding Dividend Payment Date (other than the initial Dividend Period, which shall commence on the Issue Date, and other than the Dividend Period during which any Series B Preferred Shares shall be redeemed pursuant to Section 6, which shall end on and include the Call Date with respect to the Series B Preferred Shares being redeemed).</w:t>
      </w:r>
    </w:p>
    <w:p>
      <w:pPr>
        <w:spacing w:after="0" w:line="78" w:lineRule="exact"/>
        <w:rPr>
          <w:rFonts w:ascii="Arial" w:cs="Arial" w:eastAsia="Arial" w:hAnsi="Arial"/>
          <w:sz w:val="18"/>
          <w:szCs w:val="18"/>
          <w:color w:val="auto"/>
        </w:rPr>
      </w:pPr>
    </w:p>
    <w:p>
      <w:pPr>
        <w:ind w:left="4" w:right="20" w:firstLine="436"/>
        <w:spacing w:after="0" w:line="286" w:lineRule="auto"/>
        <w:tabs>
          <w:tab w:leader="none" w:pos="699" w:val="left"/>
        </w:tabs>
        <w:numPr>
          <w:ilvl w:val="1"/>
          <w:numId w:val="36"/>
        </w:numPr>
        <w:rPr>
          <w:rFonts w:ascii="Arial" w:cs="Arial" w:eastAsia="Arial" w:hAnsi="Arial"/>
          <w:sz w:val="17"/>
          <w:szCs w:val="17"/>
          <w:color w:val="auto"/>
        </w:rPr>
      </w:pPr>
      <w:r>
        <w:rPr>
          <w:rFonts w:ascii="Arial" w:cs="Arial" w:eastAsia="Arial" w:hAnsi="Arial"/>
          <w:sz w:val="17"/>
          <w:szCs w:val="17"/>
          <w:color w:val="auto"/>
        </w:rPr>
        <w:t>“Fully Junior Shares” shall mean the common shares of beneficial interest (“Common Shares”) and any other class or series of shares of beneficial interest of the Trust now or hereafter issued and outstanding over which the Series B Preferred Shares has preference or priority in both (i) the payment of dividends and (ii) the distribution of assets on any liquidation, dissolution or winding up of the Trust.</w:t>
      </w:r>
    </w:p>
    <w:p>
      <w:pPr>
        <w:spacing w:after="0" w:line="57" w:lineRule="exact"/>
        <w:rPr>
          <w:rFonts w:ascii="Arial" w:cs="Arial" w:eastAsia="Arial" w:hAnsi="Arial"/>
          <w:sz w:val="17"/>
          <w:szCs w:val="17"/>
          <w:color w:val="auto"/>
        </w:rPr>
      </w:pPr>
    </w:p>
    <w:p>
      <w:pPr>
        <w:ind w:left="704" w:hanging="264"/>
        <w:spacing w:after="0"/>
        <w:tabs>
          <w:tab w:leader="none" w:pos="704" w:val="left"/>
        </w:tabs>
        <w:numPr>
          <w:ilvl w:val="1"/>
          <w:numId w:val="36"/>
        </w:numPr>
        <w:rPr>
          <w:rFonts w:ascii="Arial" w:cs="Arial" w:eastAsia="Arial" w:hAnsi="Arial"/>
          <w:sz w:val="18"/>
          <w:szCs w:val="18"/>
          <w:color w:val="auto"/>
        </w:rPr>
      </w:pPr>
      <w:r>
        <w:rPr>
          <w:rFonts w:ascii="Arial" w:cs="Arial" w:eastAsia="Arial" w:hAnsi="Arial"/>
          <w:sz w:val="18"/>
          <w:szCs w:val="18"/>
          <w:color w:val="auto"/>
        </w:rPr>
        <w:t>“Issue Date” shall mean the first date on which the pertinent Series B Preferred Shares are issued and sold.</w:t>
      </w:r>
    </w:p>
    <w:p>
      <w:pPr>
        <w:spacing w:after="0" w:line="117" w:lineRule="exact"/>
        <w:rPr>
          <w:rFonts w:ascii="Arial" w:cs="Arial" w:eastAsia="Arial" w:hAnsi="Arial"/>
          <w:sz w:val="18"/>
          <w:szCs w:val="18"/>
          <w:color w:val="auto"/>
        </w:rPr>
      </w:pPr>
    </w:p>
    <w:p>
      <w:pPr>
        <w:ind w:left="4" w:firstLine="436"/>
        <w:spacing w:after="0" w:line="263" w:lineRule="auto"/>
        <w:tabs>
          <w:tab w:leader="none" w:pos="659" w:val="left"/>
        </w:tabs>
        <w:numPr>
          <w:ilvl w:val="1"/>
          <w:numId w:val="36"/>
        </w:numPr>
        <w:rPr>
          <w:rFonts w:ascii="Arial" w:cs="Arial" w:eastAsia="Arial" w:hAnsi="Arial"/>
          <w:sz w:val="18"/>
          <w:szCs w:val="18"/>
          <w:color w:val="auto"/>
        </w:rPr>
      </w:pPr>
      <w:r>
        <w:rPr>
          <w:rFonts w:ascii="Arial" w:cs="Arial" w:eastAsia="Arial" w:hAnsi="Arial"/>
          <w:sz w:val="18"/>
          <w:szCs w:val="18"/>
          <w:color w:val="auto"/>
        </w:rPr>
        <w:t>“Junior Shares” shall mean the Common Shares and any other class or series of shares of beneficial interest of the Trust now or hereafter issued and outstanding over which the Series B Preferred Shares has preference or priority in the payment of dividends or in the distribution of assets on any liquidation, dissolution or winding up of the Trust.</w:t>
      </w:r>
    </w:p>
    <w:p>
      <w:pPr>
        <w:spacing w:after="0" w:line="75" w:lineRule="exact"/>
        <w:rPr>
          <w:rFonts w:ascii="Arial" w:cs="Arial" w:eastAsia="Arial" w:hAnsi="Arial"/>
          <w:sz w:val="18"/>
          <w:szCs w:val="18"/>
          <w:color w:val="auto"/>
        </w:rPr>
      </w:pPr>
    </w:p>
    <w:p>
      <w:pPr>
        <w:ind w:left="664" w:hanging="224"/>
        <w:spacing w:after="0"/>
        <w:tabs>
          <w:tab w:leader="none" w:pos="664" w:val="left"/>
        </w:tabs>
        <w:numPr>
          <w:ilvl w:val="1"/>
          <w:numId w:val="36"/>
        </w:numPr>
        <w:rPr>
          <w:rFonts w:ascii="Arial" w:cs="Arial" w:eastAsia="Arial" w:hAnsi="Arial"/>
          <w:sz w:val="18"/>
          <w:szCs w:val="18"/>
          <w:color w:val="auto"/>
        </w:rPr>
      </w:pPr>
      <w:r>
        <w:rPr>
          <w:rFonts w:ascii="Arial" w:cs="Arial" w:eastAsia="Arial" w:hAnsi="Arial"/>
          <w:sz w:val="18"/>
          <w:szCs w:val="18"/>
          <w:color w:val="auto"/>
        </w:rPr>
        <w:t>“Parity Shares” shall have the meaning set forth in Section 3(b).</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36"/>
        </w:numPr>
        <w:rPr>
          <w:rFonts w:ascii="Arial" w:cs="Arial" w:eastAsia="Arial" w:hAnsi="Arial"/>
          <w:sz w:val="18"/>
          <w:szCs w:val="18"/>
          <w:color w:val="auto"/>
        </w:rPr>
      </w:pPr>
      <w:r>
        <w:rPr>
          <w:rFonts w:ascii="Arial" w:cs="Arial" w:eastAsia="Arial" w:hAnsi="Arial"/>
          <w:sz w:val="18"/>
          <w:szCs w:val="18"/>
          <w:color w:val="auto"/>
        </w:rPr>
        <w:t>“Preferred Shares” shall mean the preferred shares of the Trust, $.01 par value per share.</w:t>
      </w:r>
    </w:p>
    <w:p>
      <w:pPr>
        <w:spacing w:after="0" w:line="117" w:lineRule="exact"/>
        <w:rPr>
          <w:rFonts w:ascii="Arial" w:cs="Arial" w:eastAsia="Arial" w:hAnsi="Arial"/>
          <w:sz w:val="18"/>
          <w:szCs w:val="18"/>
          <w:color w:val="auto"/>
        </w:rPr>
      </w:pPr>
    </w:p>
    <w:p>
      <w:pPr>
        <w:ind w:left="4" w:right="60" w:firstLine="436"/>
        <w:spacing w:after="0" w:line="277" w:lineRule="auto"/>
        <w:tabs>
          <w:tab w:leader="none" w:pos="659" w:val="left"/>
        </w:tabs>
        <w:numPr>
          <w:ilvl w:val="1"/>
          <w:numId w:val="36"/>
        </w:numPr>
        <w:rPr>
          <w:rFonts w:ascii="Arial" w:cs="Arial" w:eastAsia="Arial" w:hAnsi="Arial"/>
          <w:sz w:val="18"/>
          <w:szCs w:val="18"/>
          <w:color w:val="auto"/>
        </w:rPr>
      </w:pPr>
      <w:r>
        <w:rPr>
          <w:rFonts w:ascii="Arial" w:cs="Arial" w:eastAsia="Arial" w:hAnsi="Arial"/>
          <w:sz w:val="18"/>
          <w:szCs w:val="18"/>
          <w:color w:val="auto"/>
        </w:rPr>
        <w:t>“Series A Preferred Shares” shall mean the Trust’s 7.95% Series A Cumulative Redeemable Preferred Shares of Beneficial Interest, liquidation preference $25.00 per share.</w:t>
      </w:r>
    </w:p>
    <w:p>
      <w:pPr>
        <w:spacing w:after="0" w:line="62" w:lineRule="exact"/>
        <w:rPr>
          <w:rFonts w:ascii="Arial" w:cs="Arial" w:eastAsia="Arial" w:hAnsi="Arial"/>
          <w:sz w:val="18"/>
          <w:szCs w:val="18"/>
          <w:color w:val="auto"/>
        </w:rPr>
      </w:pPr>
    </w:p>
    <w:p>
      <w:pPr>
        <w:ind w:left="744" w:hanging="304"/>
        <w:spacing w:after="0"/>
        <w:tabs>
          <w:tab w:leader="none" w:pos="744" w:val="left"/>
        </w:tabs>
        <w:numPr>
          <w:ilvl w:val="1"/>
          <w:numId w:val="36"/>
        </w:numPr>
        <w:rPr>
          <w:rFonts w:ascii="Arial" w:cs="Arial" w:eastAsia="Arial" w:hAnsi="Arial"/>
          <w:sz w:val="18"/>
          <w:szCs w:val="18"/>
          <w:color w:val="auto"/>
        </w:rPr>
      </w:pPr>
      <w:r>
        <w:rPr>
          <w:rFonts w:ascii="Arial" w:cs="Arial" w:eastAsia="Arial" w:hAnsi="Arial"/>
          <w:sz w:val="18"/>
          <w:szCs w:val="18"/>
          <w:color w:val="auto"/>
        </w:rPr>
        <w:t>“Series B Preferred Shares” shall have the meaning set forth in Section 2.</w:t>
      </w:r>
    </w:p>
    <w:p>
      <w:pPr>
        <w:sectPr>
          <w:pgSz w:w="11900" w:h="16838" w:orient="portrait"/>
          <w:cols w:equalWidth="0" w:num="1">
            <w:col w:w="11004"/>
          </w:cols>
          <w:pgMar w:left="436" w:top="270" w:right="459" w:bottom="1440" w:gutter="0" w:footer="0" w:header="0"/>
        </w:sectPr>
      </w:pPr>
    </w:p>
    <w:bookmarkStart w:id="34" w:name="page35"/>
    <w:bookmarkEnd w:id="34"/>
    <w:p>
      <w:pPr>
        <w:ind w:left="4" w:right="20" w:firstLine="436"/>
        <w:spacing w:after="0" w:line="254" w:lineRule="auto"/>
        <w:tabs>
          <w:tab w:leader="none" w:pos="699" w:val="left"/>
        </w:tabs>
        <w:numPr>
          <w:ilvl w:val="1"/>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 apart for payment” shall be deemed to include, without any action other than the following, the recording by the Trust in its accounting ledgers of any accounting or bookkeeping entry which indicates, pursuant to a declaration of dividends or other distribution by the Board of Trustees, the allocation of funds to be so paid on any series or class of shares of beneficial interest of the Trust; provided, however, that if any funds for any class or series of Junior Shares or Fully Junior Shares or any class or series of shares of beneficial interest ranking on a parity with the Series B Preferred Shares as to the payment of dividends are placed in a separate account of the Trust or delivered to a disbursing, paying or other similar agent, then “set apart for payment” with respect to the Series B Preferred Shares shall mean placing such funds in such separate account or delivering such funds to a disbursing, paying or other similar agent.</w:t>
      </w:r>
    </w:p>
    <w:p>
      <w:pPr>
        <w:spacing w:after="0" w:line="86" w:lineRule="exact"/>
        <w:rPr>
          <w:rFonts w:ascii="Arial" w:cs="Arial" w:eastAsia="Arial" w:hAnsi="Arial"/>
          <w:sz w:val="18"/>
          <w:szCs w:val="18"/>
          <w:color w:val="auto"/>
        </w:rPr>
      </w:pPr>
    </w:p>
    <w:p>
      <w:pPr>
        <w:ind w:left="704" w:hanging="264"/>
        <w:spacing w:after="0"/>
        <w:tabs>
          <w:tab w:leader="none" w:pos="704"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“Total Dividends” shall have the meaning set forth in Section 4(d).</w:t>
      </w:r>
    </w:p>
    <w:p>
      <w:pPr>
        <w:spacing w:after="0" w:line="117" w:lineRule="exact"/>
        <w:rPr>
          <w:rFonts w:ascii="Arial" w:cs="Arial" w:eastAsia="Arial" w:hAnsi="Arial"/>
          <w:sz w:val="18"/>
          <w:szCs w:val="18"/>
          <w:color w:val="auto"/>
        </w:rPr>
      </w:pPr>
    </w:p>
    <w:p>
      <w:pPr>
        <w:ind w:left="4" w:right="180" w:firstLine="436"/>
        <w:spacing w:after="0" w:line="274" w:lineRule="auto"/>
        <w:tabs>
          <w:tab w:leader="none" w:pos="699" w:val="left"/>
        </w:tabs>
        <w:numPr>
          <w:ilvl w:val="1"/>
          <w:numId w:val="37"/>
        </w:numPr>
        <w:rPr>
          <w:rFonts w:ascii="Arial" w:cs="Arial" w:eastAsia="Arial" w:hAnsi="Arial"/>
          <w:sz w:val="17"/>
          <w:szCs w:val="17"/>
          <w:color w:val="auto"/>
        </w:rPr>
      </w:pPr>
      <w:r>
        <w:rPr>
          <w:rFonts w:ascii="Arial" w:cs="Arial" w:eastAsia="Arial" w:hAnsi="Arial"/>
          <w:sz w:val="17"/>
          <w:szCs w:val="17"/>
          <w:color w:val="auto"/>
        </w:rPr>
        <w:t>“Transfer Agent” means American Stock Transfer &amp; Trust Company, or such other agent or agents of the Trust as may be designated by the Board of Trustees or their designee as the transfer agent, registrar and dividend disbursing agent for the Series B Preferred Shares.</w:t>
      </w:r>
    </w:p>
    <w:p>
      <w:pPr>
        <w:ind w:left="4" w:right="480" w:hanging="4"/>
        <w:spacing w:after="0" w:line="267" w:lineRule="auto"/>
        <w:tabs>
          <w:tab w:leader="none" w:pos="259"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Designation and Number</w:t>
      </w:r>
      <w:r>
        <w:rPr>
          <w:rFonts w:ascii="Arial" w:cs="Arial" w:eastAsia="Arial" w:hAnsi="Arial"/>
          <w:sz w:val="17"/>
          <w:szCs w:val="17"/>
          <w:color w:val="auto"/>
        </w:rPr>
        <w:t>. A series of Preferred Shares, designated the 8</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Series B Cumulative Redeemable Preferred Shares of Beneficial Interest” (the “Series B Preferred Shares”), is hereby established. The number of Series B Preferred Shares shall be 5,750,000.</w:t>
      </w:r>
    </w:p>
    <w:p>
      <w:pPr>
        <w:spacing w:after="0" w:line="57" w:lineRule="exact"/>
        <w:rPr>
          <w:rFonts w:ascii="Arial" w:cs="Arial" w:eastAsia="Arial" w:hAnsi="Arial"/>
          <w:sz w:val="17"/>
          <w:szCs w:val="17"/>
          <w:color w:val="auto"/>
        </w:rPr>
      </w:pPr>
    </w:p>
    <w:p>
      <w:pPr>
        <w:ind w:left="264" w:hanging="264"/>
        <w:spacing w:after="0"/>
        <w:tabs>
          <w:tab w:leader="none" w:pos="26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Any class or series of shares of beneficial interest of the Trust shall be deemed to rank:</w:t>
      </w:r>
    </w:p>
    <w:p>
      <w:pPr>
        <w:spacing w:after="0" w:line="117" w:lineRule="exact"/>
        <w:rPr>
          <w:rFonts w:ascii="Arial" w:cs="Arial" w:eastAsia="Arial" w:hAnsi="Arial"/>
          <w:sz w:val="18"/>
          <w:szCs w:val="18"/>
          <w:color w:val="auto"/>
        </w:rPr>
      </w:pPr>
    </w:p>
    <w:p>
      <w:pPr>
        <w:jc w:val="both"/>
        <w:ind w:left="4" w:right="60" w:firstLine="436"/>
        <w:spacing w:after="0" w:line="263" w:lineRule="auto"/>
        <w:tabs>
          <w:tab w:leader="none" w:pos="689"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prior to the Series B Preferred Shares,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B Preferred Shares;</w:t>
      </w:r>
    </w:p>
    <w:p>
      <w:pPr>
        <w:spacing w:after="0" w:line="75" w:lineRule="exact"/>
        <w:rPr>
          <w:rFonts w:ascii="Arial" w:cs="Arial" w:eastAsia="Arial" w:hAnsi="Arial"/>
          <w:sz w:val="18"/>
          <w:szCs w:val="18"/>
          <w:color w:val="auto"/>
        </w:rPr>
      </w:pPr>
    </w:p>
    <w:p>
      <w:pPr>
        <w:ind w:left="4" w:firstLine="436"/>
        <w:spacing w:after="0" w:line="255" w:lineRule="auto"/>
        <w:tabs>
          <w:tab w:leader="none" w:pos="699" w:val="left"/>
        </w:tabs>
        <w:numPr>
          <w:ilvl w:val="1"/>
          <w:numId w:val="38"/>
        </w:numPr>
        <w:rPr>
          <w:rFonts w:ascii="Arial" w:cs="Arial" w:eastAsia="Arial" w:hAnsi="Arial"/>
          <w:sz w:val="18"/>
          <w:szCs w:val="18"/>
          <w:color w:val="auto"/>
        </w:rPr>
      </w:pPr>
      <w:r>
        <w:rPr>
          <w:rFonts w:ascii="Arial" w:cs="Arial" w:eastAsia="Arial" w:hAnsi="Arial"/>
          <w:sz w:val="18"/>
          <w:szCs w:val="18"/>
          <w:color w:val="auto"/>
        </w:rPr>
        <w:t>on a parity with the Series B Preferred Shares, as to the payment of dividends and as to distribution of assets upon liquidation, dissolution or winding up, whether or not the dividend rates, dividend payment dates or redemption or liquidation prices per share thereof be different from those of the Series B Preferred Shares, if the holders of such class or series of shares, which shall include the Series A Preferred Shares, and the Series B Preferred Shares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(“Parity Shares”);</w:t>
      </w:r>
    </w:p>
    <w:p>
      <w:pPr>
        <w:spacing w:after="0" w:line="84" w:lineRule="exact"/>
        <w:rPr>
          <w:rFonts w:ascii="Arial" w:cs="Arial" w:eastAsia="Arial" w:hAnsi="Arial"/>
          <w:sz w:val="18"/>
          <w:szCs w:val="18"/>
          <w:color w:val="auto"/>
        </w:rPr>
      </w:pPr>
    </w:p>
    <w:p>
      <w:pPr>
        <w:ind w:left="4" w:right="500" w:firstLine="436"/>
        <w:spacing w:after="0" w:line="277" w:lineRule="auto"/>
        <w:tabs>
          <w:tab w:leader="none" w:pos="689" w:val="left"/>
        </w:tabs>
        <w:numPr>
          <w:ilvl w:val="1"/>
          <w:numId w:val="38"/>
        </w:numPr>
        <w:rPr>
          <w:rFonts w:ascii="Arial" w:cs="Arial" w:eastAsia="Arial" w:hAnsi="Arial"/>
          <w:sz w:val="18"/>
          <w:szCs w:val="18"/>
          <w:color w:val="auto"/>
        </w:rPr>
      </w:pPr>
      <w:r>
        <w:rPr>
          <w:rFonts w:ascii="Arial" w:cs="Arial" w:eastAsia="Arial" w:hAnsi="Arial"/>
          <w:sz w:val="18"/>
          <w:szCs w:val="18"/>
          <w:color w:val="auto"/>
        </w:rPr>
        <w:t>junior to the Series B Preferred Shares, as to the payment of dividends or as to the distribution of assets upon liquidation, dissolution or winding up, if such shares shall be Junior Shares; and</w:t>
      </w:r>
    </w:p>
    <w:p>
      <w:pPr>
        <w:spacing w:after="0" w:line="62" w:lineRule="exact"/>
        <w:rPr>
          <w:rFonts w:ascii="Arial" w:cs="Arial" w:eastAsia="Arial" w:hAnsi="Arial"/>
          <w:sz w:val="18"/>
          <w:szCs w:val="18"/>
          <w:color w:val="auto"/>
        </w:rPr>
      </w:pPr>
    </w:p>
    <w:p>
      <w:pPr>
        <w:ind w:left="4" w:right="380" w:firstLine="436"/>
        <w:spacing w:after="0" w:line="277" w:lineRule="auto"/>
        <w:tabs>
          <w:tab w:leader="none" w:pos="699" w:val="left"/>
        </w:tabs>
        <w:numPr>
          <w:ilvl w:val="1"/>
          <w:numId w:val="38"/>
        </w:numPr>
        <w:rPr>
          <w:rFonts w:ascii="Arial" w:cs="Arial" w:eastAsia="Arial" w:hAnsi="Arial"/>
          <w:sz w:val="18"/>
          <w:szCs w:val="18"/>
          <w:color w:val="auto"/>
        </w:rPr>
      </w:pPr>
      <w:r>
        <w:rPr>
          <w:rFonts w:ascii="Arial" w:cs="Arial" w:eastAsia="Arial" w:hAnsi="Arial"/>
          <w:sz w:val="18"/>
          <w:szCs w:val="18"/>
          <w:color w:val="auto"/>
        </w:rPr>
        <w:t>junior to the Series B Preferred Shares, as to the payment of dividends and as to the distribution of assets upon liquidation, dissolution or winding up, if such shares shall be Fully Junior Shares.</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24"/>
          </w:cols>
          <w:pgMar w:left="436" w:top="274" w:right="539" w:bottom="1440" w:gutter="0" w:footer="0" w:header="0"/>
        </w:sectPr>
      </w:pPr>
    </w:p>
    <w:bookmarkStart w:id="35" w:name="page36"/>
    <w:bookmarkEnd w:id="35"/>
    <w:p>
      <w:pPr>
        <w:ind w:left="264" w:hanging="264"/>
        <w:spacing w:after="0"/>
        <w:tabs>
          <w:tab w:leader="none" w:pos="26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436"/>
        <w:spacing w:after="0" w:line="269" w:lineRule="auto"/>
        <w:tabs>
          <w:tab w:leader="none" w:pos="689"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holders of Series B Preferred Shares shall be entitled to receive, when, as and if authorized by the Board of Trustees out of funds legally available for that purpose, cumulative, preferential dividends payable in cash at the rate of $2.125 per annum per share. Such dividends shall begin to accrue and shall be fully cumulative from the Issue Date, whether or not in any Dividend Period or Periods there shall be funds of the Trust legally available for the payment of such dividends, and shall be payable quarterly, when, as and if authorized by the Board of Trustees, in arrears on Dividend Payment Dates, commencing on the first Dividend Payment Date after the Issue Date. Such dividends shall be payable in arrears to the holders of record of Series B Preferred Shares, as they appear on the stock records of the Trust at the close of business on the record date, not more than 50 nor less than 10 days preceding the relevant Dividend Payment Date, as shall be fixed by the Board of Trustees. Accrued and unpaid dividends for any past Dividend Periods may be declared and paid on any date and for such interim periods, without reference to any regular Dividend Payment Date, to holders of record on such date, not exceeding 50 days preceding the payment date thereof, as may be fixed by the Board of Trustees. Any dividend payment made on the Series B Preferred Shares shall first be credited against the earliest accrued but unpaid dividend due with respect to the Series B Preferred Shares which remains payable.</w:t>
      </w:r>
    </w:p>
    <w:p>
      <w:pPr>
        <w:spacing w:after="0" w:line="73" w:lineRule="exact"/>
        <w:rPr>
          <w:rFonts w:ascii="Arial" w:cs="Arial" w:eastAsia="Arial" w:hAnsi="Arial"/>
          <w:sz w:val="17"/>
          <w:szCs w:val="17"/>
          <w:color w:val="auto"/>
        </w:rPr>
      </w:pPr>
    </w:p>
    <w:p>
      <w:pPr>
        <w:ind w:left="4" w:right="80" w:firstLine="436"/>
        <w:spacing w:after="0" w:line="273" w:lineRule="auto"/>
        <w:tabs>
          <w:tab w:leader="none" w:pos="699"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amount of dividends referred to in Section 4(a) payable for each full Dividend Period for the Series B Preferred Shares shall be computed by dividing the annual dividend rate by four, except that the amount of dividends payable for the initial Dividend Period, and for any Dividend Period shorter than a full Dividend Period, for the Series B Preferred Shares shall be computed on the basis of the actual number of days in such Dividend Period. Holders of Series B Preferred Shares shall not be entitled to any dividends, whether payable in cash, property or shares of stock, in excess of cumulative dividends, as herein provided, on the Series B Preferred Shares. No interest, or sum of money in lieu of interest, shall be payable in respect of any dividend payment or payments on the Series B Preferred Shares that may be in arrears.</w:t>
      </w:r>
    </w:p>
    <w:p>
      <w:pPr>
        <w:spacing w:after="0" w:line="69" w:lineRule="exact"/>
        <w:rPr>
          <w:rFonts w:ascii="Arial" w:cs="Arial" w:eastAsia="Arial" w:hAnsi="Arial"/>
          <w:sz w:val="17"/>
          <w:szCs w:val="17"/>
          <w:color w:val="auto"/>
        </w:rPr>
      </w:pPr>
    </w:p>
    <w:p>
      <w:pPr>
        <w:ind w:left="4" w:right="180" w:firstLine="436"/>
        <w:spacing w:after="0" w:line="277" w:lineRule="auto"/>
        <w:tabs>
          <w:tab w:leader="none" w:pos="68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Dividends on Series B Preferred Shares will accrue whether or not the Trust has earnings, whether or not there are funds legally available for the payment of such dividends and whether or not such dividends are declared.</w:t>
      </w:r>
    </w:p>
    <w:p>
      <w:pPr>
        <w:spacing w:after="0" w:line="62" w:lineRule="exact"/>
        <w:rPr>
          <w:rFonts w:ascii="Arial" w:cs="Arial" w:eastAsia="Arial" w:hAnsi="Arial"/>
          <w:sz w:val="18"/>
          <w:szCs w:val="18"/>
          <w:color w:val="auto"/>
        </w:rPr>
      </w:pPr>
    </w:p>
    <w:p>
      <w:pPr>
        <w:ind w:left="4" w:firstLine="436"/>
        <w:spacing w:after="0" w:line="257" w:lineRule="auto"/>
        <w:tabs>
          <w:tab w:leader="none" w:pos="699"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for any taxable year, the Trust elects to designate as “capital gain dividends” (as defined in Section 857 of the Code) any portion (the “Capital Gains Amount”) of the total dividends (within the meaning of the Code) paid or made available for the year to holders of all classes of shares of beneficial interest (the “Total Dividends”), then the portion of the Capital Gains Amount that shall be allocated to holders of Series B Preferred Shares shall be in the same portion that the Total Dividends paid or made available to the holders of Series B Preferred Shares for the year bears to the Total Dividends.</w:t>
      </w:r>
    </w:p>
    <w:p>
      <w:pPr>
        <w:spacing w:after="0" w:line="79" w:lineRule="exact"/>
        <w:rPr>
          <w:rFonts w:ascii="Arial" w:cs="Arial" w:eastAsia="Arial" w:hAnsi="Arial"/>
          <w:sz w:val="18"/>
          <w:szCs w:val="18"/>
          <w:color w:val="auto"/>
        </w:rPr>
      </w:pPr>
    </w:p>
    <w:p>
      <w:pPr>
        <w:ind w:left="4" w:right="140" w:firstLine="436"/>
        <w:spacing w:after="0" w:line="291" w:lineRule="auto"/>
        <w:tabs>
          <w:tab w:leader="none" w:pos="689" w:val="left"/>
        </w:tabs>
        <w:numPr>
          <w:ilvl w:val="1"/>
          <w:numId w:val="39"/>
        </w:numPr>
        <w:rPr>
          <w:rFonts w:ascii="Arial" w:cs="Arial" w:eastAsia="Arial" w:hAnsi="Arial"/>
          <w:sz w:val="16"/>
          <w:szCs w:val="16"/>
          <w:color w:val="auto"/>
        </w:rPr>
      </w:pPr>
      <w:r>
        <w:rPr>
          <w:rFonts w:ascii="Arial" w:cs="Arial" w:eastAsia="Arial" w:hAnsi="Arial"/>
          <w:sz w:val="16"/>
          <w:szCs w:val="16"/>
          <w:color w:val="auto"/>
        </w:rPr>
        <w:t>So long as any Series B Preferred Shares are outstanding, no dividends, except as described in the immediately following sentence, shall be declared or paid or set apart for payment on any class or series of Parity Shares for any period unless full cumulative dividends have been or contemporaneously are declared and paid or declared and a sum sufficient for the payment thereof set apart for such payment on the Series B Preferred Shares for all Dividend Periods terminating on or prior to the dividend payment date for such class or series of Parity Shares. When dividends are not paid in full or a sum sufficient for such payment is not set apart, as aforesaid, all dividends declared upon Series B Preferred Shares and all dividends declared upon any other class or series of Parity Shares shall be declared ratably in proportion to the respective amounts of dividends accumulated and unpaid on the Series B Preferred Shares and accumulated and unpaid on such Parity Shares.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04"/>
          </w:cols>
          <w:pgMar w:left="436" w:top="274" w:right="459" w:bottom="1440" w:gutter="0" w:footer="0" w:header="0"/>
        </w:sectPr>
      </w:pPr>
    </w:p>
    <w:bookmarkStart w:id="36" w:name="page37"/>
    <w:bookmarkEnd w:id="36"/>
    <w:p>
      <w:pPr>
        <w:ind w:left="4" w:right="40" w:firstLine="436"/>
        <w:spacing w:after="0" w:line="269" w:lineRule="auto"/>
        <w:tabs>
          <w:tab w:leader="none" w:pos="669" w:val="left"/>
        </w:tabs>
        <w:numPr>
          <w:ilvl w:val="1"/>
          <w:numId w:val="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long as any Series B Preferred Shares are outstanding, no dividends (other than dividends or distributions paid solely in shares of, or options, warrants or rights to subscribe for or purchase shares of, Fully Junior Shares) shall be declared or paid or set apart for payment or other distribution declared or made upon Junior Shares or Fully Junior Shares, nor shall any Junior Shares or Fully Junior Shares be redeemed, purchased or otherwise acquired (other than a redemption, purchase or other acquisition of Common Shares made for purposes of any employee incentive or benefit plan of the Trust or any subsidiary) for any consideration (or any moneys be paid to or made available for a sinking fund for the redemption of any such shares) by the Trust, directly or indirectly (except by conversion into or exchange for shares of Fully Junior Shares), unless in each case (i) the full cumulative dividends on all outstanding Series B Preferred Shares and any other Parity Shares of the Trust shall have been or contemporaneously are declared and paid or declared and set apart for payment for all past Dividend Periods with respect to the Series B Preferred Shares and all past dividend periods with respect to such Parity Shares and (ii) sufficient funds shall have been or contemporaneously are declared and paid or declared and set apart for the payment of the dividend for the current Dividend Period with respect to the Series B Preferred Shares and the current dividend period with respect to such Parity Shares.</w:t>
      </w:r>
    </w:p>
    <w:p>
      <w:pPr>
        <w:spacing w:after="0" w:line="73" w:lineRule="exact"/>
        <w:rPr>
          <w:rFonts w:ascii="Arial" w:cs="Arial" w:eastAsia="Arial" w:hAnsi="Arial"/>
          <w:sz w:val="17"/>
          <w:szCs w:val="17"/>
          <w:color w:val="auto"/>
        </w:rPr>
      </w:pPr>
    </w:p>
    <w:p>
      <w:pPr>
        <w:ind w:left="4" w:right="220" w:firstLine="436"/>
        <w:spacing w:after="0" w:line="279" w:lineRule="auto"/>
        <w:tabs>
          <w:tab w:leader="none" w:pos="699" w:val="left"/>
        </w:tabs>
        <w:numPr>
          <w:ilvl w:val="1"/>
          <w:numId w:val="40"/>
        </w:numPr>
        <w:rPr>
          <w:rFonts w:ascii="Arial" w:cs="Arial" w:eastAsia="Arial" w:hAnsi="Arial"/>
          <w:sz w:val="17"/>
          <w:szCs w:val="17"/>
          <w:color w:val="auto"/>
        </w:rPr>
      </w:pPr>
      <w:r>
        <w:rPr>
          <w:rFonts w:ascii="Arial" w:cs="Arial" w:eastAsia="Arial" w:hAnsi="Arial"/>
          <w:sz w:val="17"/>
          <w:szCs w:val="17"/>
          <w:color w:val="auto"/>
        </w:rPr>
        <w:t>No dividends on Series B Preferred Shares shall be authorized by the Board of Trustees or paid or set apart for payment by the Trust at such time as the terms and provisions of any agreement of the Trust,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63" w:lineRule="exact"/>
        <w:rPr>
          <w:rFonts w:ascii="Arial" w:cs="Arial" w:eastAsia="Arial" w:hAnsi="Arial"/>
          <w:sz w:val="17"/>
          <w:szCs w:val="17"/>
          <w:color w:val="auto"/>
        </w:rPr>
      </w:pPr>
    </w:p>
    <w:p>
      <w:pPr>
        <w:ind w:left="264" w:hanging="264"/>
        <w:spacing w:after="0"/>
        <w:tabs>
          <w:tab w:leader="none" w:pos="26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36"/>
        <w:spacing w:after="0" w:line="287" w:lineRule="auto"/>
        <w:tabs>
          <w:tab w:leader="none" w:pos="689" w:val="left"/>
        </w:tabs>
        <w:numPr>
          <w:ilvl w:val="1"/>
          <w:numId w:val="41"/>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 up of the Trust, whether voluntary or involuntary, before any payment or distribution of the assets of the Trust (whether capital or surplus) shall be made to or set apart for the holders of Junior Shares, the holders of the Series B Preferred Shares shall be entitled to receive Twenty Five Dollars ($25.00) per share of Series B Preferred Shares plus an amount equal to all dividends (whether or not earned or declared) accrued and unpaid thereon to the date of final distribution to such holders; but such holders shall not be entitled to any further payment. If, upon any liquidation, dissolution or winding up of the Trust, the assets of the Trust, or proceeds thereof, distributable among the holders of the Series B Preferred Shares shall be insufficient to pay in full the preferential amount aforesaid and liquidating payments on any other shares of any class or series of Parity Shares, then such assets, or the proceeds thereof, shall be distributed among the holders of the Series B Preferred Shares and any such other Parity Shares ratably in accordance with the respective amounts that would be payable on such Series B Preferred Shares and any such other Parity Shares if all amounts payable thereon were paid in full. For the purposes of this Section 5, (i) a consolidation or merger of the Trust with one or more corporations, real estate investment trusts, or other entities, (ii) a sale, lease or transfer of all or substantially all of the Trust’s assets, or (iii) a statutory share exchange shall not be deemed to be a liquidation, dissolution or winding up, voluntary or involuntary, of the Trust.</w:t>
      </w:r>
    </w:p>
    <w:p>
      <w:pPr>
        <w:spacing w:after="0" w:line="63" w:lineRule="exact"/>
        <w:rPr>
          <w:rFonts w:ascii="Arial" w:cs="Arial" w:eastAsia="Arial" w:hAnsi="Arial"/>
          <w:sz w:val="16"/>
          <w:szCs w:val="16"/>
          <w:color w:val="auto"/>
        </w:rPr>
      </w:pPr>
    </w:p>
    <w:p>
      <w:pPr>
        <w:ind w:left="4" w:firstLine="436"/>
        <w:spacing w:after="0" w:line="275" w:lineRule="auto"/>
        <w:tabs>
          <w:tab w:leader="none" w:pos="699" w:val="left"/>
        </w:tabs>
        <w:numPr>
          <w:ilvl w:val="1"/>
          <w:numId w:val="41"/>
        </w:numPr>
        <w:rPr>
          <w:rFonts w:ascii="Arial" w:cs="Arial" w:eastAsia="Arial" w:hAnsi="Arial"/>
          <w:sz w:val="17"/>
          <w:szCs w:val="17"/>
          <w:color w:val="auto"/>
        </w:rPr>
      </w:pPr>
      <w:r>
        <w:rPr>
          <w:rFonts w:ascii="Arial" w:cs="Arial" w:eastAsia="Arial" w:hAnsi="Arial"/>
          <w:sz w:val="17"/>
          <w:szCs w:val="17"/>
          <w:color w:val="auto"/>
        </w:rPr>
        <w:t>Subject to the rights of the holders of shares of any series or class of beneficial interest ranking on a parity with or prior to the Series B Preferred Shares upon liquidation, dissolution or winding up, upon any liquidation, dissolution or winding up of the Trust, after payment shall have been made in full to the holders of the Series B Preferred Shares, as provided in this Section 5, any other series or class of Junior Shares or Fully Junior Shares shall, subject to the respective terms and provisions (if any) applying thereto, be entitled to receive any and all assets remaining to be paid or distributed, and the holders of the Series B Preferred Shares shall not be entitled to share therein.</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984"/>
          </w:cols>
          <w:pgMar w:left="436" w:top="274" w:right="479" w:bottom="1440" w:gutter="0" w:footer="0" w:header="0"/>
        </w:sectPr>
      </w:pPr>
    </w:p>
    <w:bookmarkStart w:id="37" w:name="page38"/>
    <w:bookmarkEnd w:id="37"/>
    <w:p>
      <w:pPr>
        <w:ind w:left="264" w:hanging="264"/>
        <w:spacing w:after="0"/>
        <w:tabs>
          <w:tab w:leader="none" w:pos="26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Redemption at the Option of the Trust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36"/>
        <w:spacing w:after="0" w:line="263" w:lineRule="auto"/>
        <w:tabs>
          <w:tab w:leader="none" w:pos="689"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Series B Preferred Shares shall not be redeemable by the Trust prior to November 27, 2006. On and after November 27, 2006, the Trust, at its option, may redeem the Series B Preferred Shares, in whole or in part at any time or from time to time, at a redemption price of Twenty-Five Dollars ($25.00) per share of Series B Preferred Shares, plus the amounts indicated in Section (b).</w:t>
      </w:r>
    </w:p>
    <w:p>
      <w:pPr>
        <w:spacing w:after="0" w:line="75" w:lineRule="exact"/>
        <w:rPr>
          <w:rFonts w:ascii="Arial" w:cs="Arial" w:eastAsia="Arial" w:hAnsi="Arial"/>
          <w:sz w:val="18"/>
          <w:szCs w:val="18"/>
          <w:color w:val="auto"/>
        </w:rPr>
      </w:pPr>
    </w:p>
    <w:p>
      <w:pPr>
        <w:ind w:left="4" w:right="20" w:firstLine="436"/>
        <w:spacing w:after="0" w:line="273" w:lineRule="auto"/>
        <w:tabs>
          <w:tab w:leader="none" w:pos="699" w:val="left"/>
        </w:tabs>
        <w:numPr>
          <w:ilvl w:val="1"/>
          <w:numId w:val="42"/>
        </w:numPr>
        <w:rPr>
          <w:rFonts w:ascii="Arial" w:cs="Arial" w:eastAsia="Arial" w:hAnsi="Arial"/>
          <w:sz w:val="17"/>
          <w:szCs w:val="17"/>
          <w:color w:val="auto"/>
        </w:rPr>
      </w:pPr>
      <w:r>
        <w:rPr>
          <w:rFonts w:ascii="Arial" w:cs="Arial" w:eastAsia="Arial" w:hAnsi="Arial"/>
          <w:sz w:val="17"/>
          <w:szCs w:val="17"/>
          <w:color w:val="auto"/>
        </w:rPr>
        <w:t>Upon any redemption of the Series B Preferred Shares pursuant to this Section 6, the Trust shall pay all accrued and unpaid dividends, if any, thereon ending on or prior to the date of such redemption (the “Call Date”), without interest. If the Call Date falls after a dividend payment record date and prior to the corresponding Dividend Payment Date, then each holder of Series B Preferred Shares at the close of business on such dividend payment record date shall be entitled to the dividend payable on such shares on the corresponding Dividend Payment Date notwithstanding the redemption of such shares before such Dividend Payment Date. Except as provided above, the Trust shall make no payment or allowance for unpaid dividends, whether or not in arrears, on shares of Series B Preferred Shares called for redemption.</w:t>
      </w:r>
    </w:p>
    <w:p>
      <w:pPr>
        <w:spacing w:after="0" w:line="69" w:lineRule="exact"/>
        <w:rPr>
          <w:rFonts w:ascii="Arial" w:cs="Arial" w:eastAsia="Arial" w:hAnsi="Arial"/>
          <w:sz w:val="17"/>
          <w:szCs w:val="17"/>
          <w:color w:val="auto"/>
        </w:rPr>
      </w:pPr>
    </w:p>
    <w:p>
      <w:pPr>
        <w:jc w:val="both"/>
        <w:ind w:left="4" w:right="80" w:firstLine="436"/>
        <w:spacing w:after="0" w:line="279" w:lineRule="auto"/>
        <w:tabs>
          <w:tab w:leader="none" w:pos="689" w:val="left"/>
        </w:tabs>
        <w:numPr>
          <w:ilvl w:val="1"/>
          <w:numId w:val="42"/>
        </w:numPr>
        <w:rPr>
          <w:rFonts w:ascii="Arial" w:cs="Arial" w:eastAsia="Arial" w:hAnsi="Arial"/>
          <w:sz w:val="17"/>
          <w:szCs w:val="17"/>
          <w:color w:val="auto"/>
        </w:rPr>
      </w:pPr>
      <w:r>
        <w:rPr>
          <w:rFonts w:ascii="Arial" w:cs="Arial" w:eastAsia="Arial" w:hAnsi="Arial"/>
          <w:sz w:val="17"/>
          <w:szCs w:val="17"/>
          <w:color w:val="auto"/>
        </w:rPr>
        <w:t>If full cumulative dividends on the Series B Preferred Shares and any other class or series of Parity Shares of the Trust have not been declared and paid or declared and set apart for payment, the Series B Preferred Shares or Parity Shares may not be redeemed under this Section 6 in part and the Trust may not purchase or acquire the Series B Preferred Shares or any Parity Shares, otherwise than pursuant to a purchase or exchange offer made on the same terms to all holders of Series B Preferred Shares or Parity Shares, as the case may be.</w:t>
      </w:r>
    </w:p>
    <w:p>
      <w:pPr>
        <w:spacing w:after="0" w:line="63" w:lineRule="exact"/>
        <w:rPr>
          <w:rFonts w:ascii="Arial" w:cs="Arial" w:eastAsia="Arial" w:hAnsi="Arial"/>
          <w:sz w:val="17"/>
          <w:szCs w:val="17"/>
          <w:color w:val="auto"/>
        </w:rPr>
      </w:pPr>
    </w:p>
    <w:p>
      <w:pPr>
        <w:ind w:left="4" w:firstLine="436"/>
        <w:spacing w:after="0" w:line="284" w:lineRule="auto"/>
        <w:tabs>
          <w:tab w:leader="none" w:pos="699"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Notice of the redemption of any Series B Preferred Shares under this Section 6 shall be mailed by first-class mail to each holder of record of Series B Preferred Shares to be redeemed at the address of each such holder as shown on the Trust’s records, not less than 30 nor more than 90 days prior to the Call Date. Neither the failure to mail any notice required by this Section 6(d), nor any defect therein or in the mailing thereof, to any particular holder, shall affect the sufficiency of the notice or the validity of the proceedings for redemption with respect to the other holders. Any notice which was mailed in the manner herein provided shall be conclusively presumed to have been duly given on the date mailed whether or not the holder receives the notice. Each such mailed notice shall state, as appropriate: (1) the Call Date; (2) the number of shares of Series B Preferred Shares to be redeemed and, if fewer than all the shares held by such holder are to be redeemed, the number of such shares to be redeemed from such holder; (3) the redemption price per share; (4) the place or places at which certificates for such shares are to be surrendered; and (5) that dividends on the shares to be redeemed shall cease to accrue on such Call Date except as otherwise provided herein. Notice having been mailed as aforesaid, from and after the Call Date (unless the Trust shall fail to make available an amount of cash necessary to effect such redemption), (i) except as otherwise provided herein, dividends on the Series B Preferred Shares so called for redemption shall cease to accrue, (ii) shares of such Series B Preferred Shares shall no longer be deemed to be outstanding, and (iii) all rights of the holders thereof as holders of Series B Preferred Shares of the Trust shall cease (except the right to receive cash payable under such redemption, without interest thereon, upon surrender and endorsement of their certificates if so required and to receive any dividends payable thereon). The Trust‘s obligation to provide cash in accordance with the preceding sentence shall be deemed fulfilled if, on or before the Call Date, the Trust shall deposit with a bank or trust company (which may be an affiliate of the Trust) that has an office in Maryland and that has, or is an affiliate of a bank or trust company that has, capital and surplus of at least $50,000,000, the amount of cash necessary for such redemption, in trust, with irrevocable instructions that such cash be applied to the redemption of the Series B Preferred Shares so called for redemption. No interest shall accrue for the benefit of the holders of Series B Preferred Shares to be redeemed on any cash so set aside by the Trust. Subject to applicable escheat laws, any such cash unclaimed at the end of two years from the Call Date shall revert to the general funds of the Trust, after which reversion the holders of such shares so called for redemption shall look only to the general funds of the Trust for the payment of such cash.</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0984"/>
          </w:cols>
          <w:pgMar w:left="436" w:top="274" w:right="479" w:bottom="1440" w:gutter="0" w:footer="0" w:header="0"/>
        </w:sectPr>
      </w:pPr>
    </w:p>
    <w:bookmarkStart w:id="38" w:name="page39"/>
    <w:bookmarkEnd w:id="38"/>
    <w:p>
      <w:pPr>
        <w:ind w:left="4"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promptly as practicable after the surrender in accordance with said notice of the certificates for any such shares so redeemed (properly endorsed or assigned for transfer, if the Trust shall so require and if the notice shall so state), such shares shall be exchanged for any cash (without interest thereon) for which such shares have been redeemed. If fewer than all the outstanding Series B Preferred Shares are to be redeemed, shares to be redeemed shall be selected by the Trust from outstanding Series B Preferred Shares not previously called for redemption by lot or pro rata (as nearly as may be) or by any other method determined by the Trust in its sole discretion to be equitable. If fewer than all the Series B Preferred Shares represented by any certificate are redeemed, then new certificates representing the unredeemed shares shall be issued without cost to the holder thereof.</w:t>
      </w:r>
    </w:p>
    <w:p>
      <w:pPr>
        <w:spacing w:after="0" w:line="56" w:lineRule="exact"/>
        <w:rPr>
          <w:sz w:val="20"/>
          <w:szCs w:val="20"/>
          <w:color w:val="auto"/>
        </w:rPr>
      </w:pPr>
    </w:p>
    <w:p>
      <w:pPr>
        <w:ind w:left="264" w:hanging="264"/>
        <w:spacing w:after="0"/>
        <w:tabs>
          <w:tab w:leader="none" w:pos="26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If and whenever six consecutive quarterly dividends payable on the Series B Preferred Shares or any series or class of Parity Shares shall be in arrears (which shall, with respect to any such quarterly dividend, mean that any such dividend has not been paid in full), whether or not declared, the number of trustees then constituting the Board of Trustees shall be increased by two, and the holders of Series B Preferred Shares, together with the holders of shares of every other series of Parity Shares, voting as a single class regardless of series, shall be entitled to elect the two additional trustees to serve on the Board of Trustees at any annual meeting of shareholders or special meeting held in place thereof, or at a special meeting of the holders of the Series B Preferred Shares and the Parity Shares called as hereinafter provided. Whenever all arrears in dividends on the Series B Preferred Shares and the Parity Shares then outstanding shall have been paid and dividends thereon for the current quarterly dividend period shall have been paid or declared and set apart for payment, then the right of the holders of the Series B Preferred Shares and the Parity Shares to elect such additional two trustees shall immediately cease (but subject always to the same provision for the vesting of such voting rights in the case of any similar future arrearages in six consecutive quarterly dividends), and the terms of office of all persons elected as trustees by the holders of the Series B Preferred Shares and the Parity Shares shall immediately terminate and the number of the Board of Trustees shall be reduced accordingly. At any time after such voting rights shall have been so vested in the holders of Series B Preferred Shares and the Parity Shares, the secretary of the Trust may, and upon the written request of any holder of Series B Preferred Shares (addressed to the secretary at the principal office of the Trust) shall, call a special meeting of the holders of the Series B Preferred Shares and of the Parity Shares for the election of the two trustees to be elected by them as herein provided, such call to be made by notice similar to that provided in the Bylaws of the Trust for a special meeting of the shareholders or as required by law. If any such special meeting required to be called as above provided shall not be called by the secretary within 20 days after receipt of any such request, then any holder of Series B Preferred Shares may call such meeting, upon the notice above provided, and for that purpose shall have access to the share records of the Trust. The trustees elected at any such special meeting shall hold office until the next annual meeting of the shareholders or special meeting held in lieu thereof if such office shall not have previously terminated as above provided. If any vacancy shall occur among the trustees elected by the holders of the Series B Preferred Shares and the Parity Shares, a successor shall be elected by the Board of Trustees, upon the nomination of the then remaining trustee elected by the holders of the Series B Preferred Shares and the Parity Shares or the successor of such remaining trustee, to serve until the next annual meeting of the shareholders or special meeting held in place thereof if such office shall not have previously terminated as provided above.</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0984"/>
          </w:cols>
          <w:pgMar w:left="436" w:top="274" w:right="479" w:bottom="1440" w:gutter="0" w:footer="0" w:header="0"/>
        </w:sectPr>
      </w:pPr>
    </w:p>
    <w:bookmarkStart w:id="39" w:name="page40"/>
    <w:bookmarkEnd w:id="3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long as any Series B Preferred Shares are outstanding, in addition to any other vote or consent of shareholders required by law or by the Declaration, the affirmative vote of at least 66-2/3% of the votes entitled to be cast by the holders of the Series B Preferred Shares and the Parity Shares, at the time outstanding, acting as a single class regardless of series, given in person or by proxy, either in writing without a meeting or by vote at any meeting called for the purpose, shall be necessary for effecting or validating:</w:t>
      </w:r>
    </w:p>
    <w:p>
      <w:pPr>
        <w:spacing w:after="0" w:line="79" w:lineRule="exact"/>
        <w:rPr>
          <w:sz w:val="20"/>
          <w:szCs w:val="20"/>
          <w:color w:val="auto"/>
        </w:rPr>
      </w:pPr>
    </w:p>
    <w:p>
      <w:pPr>
        <w:ind w:right="100" w:firstLine="436"/>
        <w:spacing w:after="0" w:line="269" w:lineRule="auto"/>
        <w:tabs>
          <w:tab w:leader="none" w:pos="68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amendment, alteration or repeal of any of the provisions of the Declaration that materially and adversely affects the voting powers, rights or preferences of the holders of the Series B Preferred Shares or the Parity Shares; provided, however, that the amendment of the provisions of the Declaration so as to authorize or create or to increase the authorized amount of shares of any class of any Fully Junior Shares or Junior Shares that are not senior in any respect to the Series B Preferred Shares, or any shares of any class ranking on a parity with the Series B Preferred Shares or the Parity Shares, shall not be deemed to materially adversely affect the voting powers, rights or preferences of the holders of Series B Preferred Shares; and provided further, that if any such amendment, alteration or repeal would materially and adversely affect any voting powers, rights or preferences of the Series B Preferred Shares or another series of Parity Shares that are not enjoyed by some or all of the other series otherwise entitled to vote in accordance herewith, the affirmative vote of at least 66-2/3% of the votes entitled to be cast by the holders of all series similarly affected, similarly given, shall be required in lieu of the affirmative vote of at least 66-2/3% of the votes entitled to be cast by the holders of the Series B Preferred Shares and the Parity Shares otherwise entitled to vote in accordance herewith; or</w:t>
      </w:r>
    </w:p>
    <w:p>
      <w:pPr>
        <w:spacing w:after="0" w:line="77" w:lineRule="exact"/>
        <w:rPr>
          <w:rFonts w:ascii="Arial" w:cs="Arial" w:eastAsia="Arial" w:hAnsi="Arial"/>
          <w:sz w:val="17"/>
          <w:szCs w:val="17"/>
          <w:color w:val="auto"/>
        </w:rPr>
      </w:pPr>
    </w:p>
    <w:p>
      <w:pPr>
        <w:ind w:right="20" w:firstLine="436"/>
        <w:spacing w:after="0" w:line="255"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share exchange that affects the Series B Preferred Shares, a consolidation with or merger of the Trust into another entity, or a consolidation with or merger of another entity into the Trust, unless in each such case each share of Series B Preferred Shares (i) shall remain outstanding without a material and adverse change to its terms and rights or (ii) shall be converted into or exchanged for preferred stock of the surviving entity having preferences, conversion or other rights, voting powers, restrictions, limitations as to dividends, qualifications and terms or conditions of redemption thereof identical to that of a share of Series B Preferred Shares (except for changes that do not materially and adversely affect the holders of the Series B Preferred Shares); or</w:t>
      </w:r>
    </w:p>
    <w:p>
      <w:pPr>
        <w:spacing w:after="0" w:line="84" w:lineRule="exact"/>
        <w:rPr>
          <w:rFonts w:ascii="Arial" w:cs="Arial" w:eastAsia="Arial" w:hAnsi="Arial"/>
          <w:sz w:val="18"/>
          <w:szCs w:val="18"/>
          <w:color w:val="auto"/>
        </w:rPr>
      </w:pPr>
    </w:p>
    <w:p>
      <w:pPr>
        <w:ind w:right="100" w:firstLine="436"/>
        <w:spacing w:after="0" w:line="275" w:lineRule="auto"/>
        <w:tabs>
          <w:tab w:leader="none" w:pos="68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authorization or creation of, or the increase in the authorized amount of, any shares of any class, or any security convertible into shares of any class, ranking prior to the Series B Preferred Shares in the distribution of assets on any liquidation, dissolution or winding up of the Trust or in the payment of dividends; provided, however, that no such vote of the holders of Series B Preferred Shares shall be required if, at or prior to the time when such amendment, alteration or repeal is to take effect, or when the issuance of any such shares or convertible securities is to be made, as the case may be, provision is made for the redemption of all Series B Preferred Shares at the time outstanding.</w:t>
      </w:r>
    </w:p>
    <w:p>
      <w:pPr>
        <w:spacing w:after="0" w:line="17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For purposes of the foregoing provisions of this Section 7, each share of Series B Preferred Shares shall have one vote per share, except that when shares of any other series of Preferred Shares shall have the right to vote with the Series B Preferred Shares as a single class on any matter, then the Series B Preferred Shares and such other series shall have with respect to such matters one vote per $25.00 of stated liquidation preference. Except as otherwise required by applicable law or as set forth herein, the Series B Preferred Shares shall not have any relative, participating, optional or other special voting rights and powers, and the consent of the holders thereof shall not be required for the taking of any corporate action.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000"/>
          </w:cols>
          <w:pgMar w:left="440" w:top="274" w:right="459" w:bottom="1440" w:gutter="0" w:footer="0" w:header="0"/>
        </w:sectPr>
      </w:pPr>
    </w:p>
    <w:bookmarkStart w:id="40" w:name="page41"/>
    <w:bookmarkEnd w:id="40"/>
    <w:p>
      <w:pPr>
        <w:ind w:left="4" w:right="60" w:hanging="4"/>
        <w:spacing w:after="0" w:line="277" w:lineRule="auto"/>
        <w:tabs>
          <w:tab w:leader="none" w:pos="25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w:t>
      </w:r>
      <w:r>
        <w:rPr>
          <w:rFonts w:ascii="Arial" w:cs="Arial" w:eastAsia="Arial" w:hAnsi="Arial"/>
          <w:sz w:val="18"/>
          <w:szCs w:val="18"/>
          <w:color w:val="auto"/>
        </w:rPr>
        <w:t>. The Series B Preferred Shares are not convertible into or exchangeable for any other property or securities of the Trust at the option of holders thereof.</w:t>
      </w:r>
    </w:p>
    <w:p>
      <w:pPr>
        <w:spacing w:after="0" w:line="62" w:lineRule="exact"/>
        <w:rPr>
          <w:rFonts w:ascii="Arial" w:cs="Arial" w:eastAsia="Arial" w:hAnsi="Arial"/>
          <w:sz w:val="18"/>
          <w:szCs w:val="18"/>
          <w:color w:val="auto"/>
        </w:rPr>
      </w:pPr>
    </w:p>
    <w:p>
      <w:pPr>
        <w:ind w:left="4" w:right="320" w:hanging="4"/>
        <w:spacing w:after="0" w:line="277" w:lineRule="auto"/>
        <w:tabs>
          <w:tab w:leader="none" w:pos="25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Application of Article VII</w:t>
      </w:r>
      <w:r>
        <w:rPr>
          <w:rFonts w:ascii="Arial" w:cs="Arial" w:eastAsia="Arial" w:hAnsi="Arial"/>
          <w:sz w:val="18"/>
          <w:szCs w:val="18"/>
          <w:color w:val="auto"/>
        </w:rPr>
        <w:t>. The Series B Preferred Shares are subject to the provisions of Article VII of the Declaration of Trust at the option of holders thereof.</w:t>
      </w:r>
    </w:p>
    <w:p>
      <w:pPr>
        <w:spacing w:after="0" w:line="62" w:lineRule="exact"/>
        <w:rPr>
          <w:rFonts w:ascii="Arial" w:cs="Arial" w:eastAsia="Arial" w:hAnsi="Arial"/>
          <w:sz w:val="18"/>
          <w:szCs w:val="18"/>
          <w:color w:val="auto"/>
        </w:rPr>
      </w:pPr>
    </w:p>
    <w:p>
      <w:pPr>
        <w:ind w:left="4" w:hanging="4"/>
        <w:spacing w:after="0" w:line="277" w:lineRule="auto"/>
        <w:tabs>
          <w:tab w:leader="none" w:pos="34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Shares to be Retired</w:t>
      </w:r>
      <w:r>
        <w:rPr>
          <w:rFonts w:ascii="Arial" w:cs="Arial" w:eastAsia="Arial" w:hAnsi="Arial"/>
          <w:sz w:val="18"/>
          <w:szCs w:val="18"/>
          <w:color w:val="auto"/>
        </w:rPr>
        <w:t>. All Series B Preferred Shares which shall have been issued and reacquired in any manner by the Trust shall be restored to the status of authorized but unissued Preferred Shares, without designation as to class or series.</w:t>
      </w:r>
    </w:p>
    <w:p>
      <w:pPr>
        <w:spacing w:after="0" w:line="62" w:lineRule="exact"/>
        <w:rPr>
          <w:rFonts w:ascii="Arial" w:cs="Arial" w:eastAsia="Arial" w:hAnsi="Arial"/>
          <w:sz w:val="18"/>
          <w:szCs w:val="18"/>
          <w:color w:val="auto"/>
        </w:rPr>
      </w:pPr>
    </w:p>
    <w:p>
      <w:pPr>
        <w:ind w:left="4" w:right="220" w:hanging="4"/>
        <w:spacing w:after="0" w:line="308" w:lineRule="auto"/>
        <w:tabs>
          <w:tab w:leader="none" w:pos="342"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Record Holders</w:t>
      </w:r>
      <w:r>
        <w:rPr>
          <w:rFonts w:ascii="Arial" w:cs="Arial" w:eastAsia="Arial" w:hAnsi="Arial"/>
          <w:sz w:val="17"/>
          <w:szCs w:val="17"/>
          <w:color w:val="auto"/>
        </w:rPr>
        <w:t>. The Trust and the Transfer Agent may deem and treat the record holder of any Series B Preferred Shares as the true and lawful owner thereof for all purposes, and neither the Trust nor the Transfer Agent shall be affected by any notice to the contrary.</w:t>
      </w:r>
    </w:p>
    <w:p>
      <w:pPr>
        <w:spacing w:after="0" w:line="38" w:lineRule="exact"/>
        <w:rPr>
          <w:rFonts w:ascii="Arial" w:cs="Arial" w:eastAsia="Arial" w:hAnsi="Arial"/>
          <w:sz w:val="17"/>
          <w:szCs w:val="17"/>
          <w:color w:val="auto"/>
        </w:rPr>
      </w:pPr>
    </w:p>
    <w:p>
      <w:pPr>
        <w:ind w:left="344" w:hanging="344"/>
        <w:spacing w:after="0"/>
        <w:tabs>
          <w:tab w:leader="none" w:pos="34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Sinking Fund</w:t>
      </w:r>
      <w:r>
        <w:rPr>
          <w:rFonts w:ascii="Arial" w:cs="Arial" w:eastAsia="Arial" w:hAnsi="Arial"/>
          <w:sz w:val="18"/>
          <w:szCs w:val="18"/>
          <w:color w:val="auto"/>
        </w:rPr>
        <w:t>. The Series B Preferred Shares shall not be entitled to the benefits of any retirement or sinking fund.</w:t>
      </w:r>
    </w:p>
    <w:p>
      <w:pPr>
        <w:spacing w:after="0" w:line="158"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0904"/>
          </w:cols>
          <w:pgMar w:left="436" w:top="274" w:right="559" w:bottom="1440" w:gutter="0" w:footer="0" w:header="0"/>
        </w:sectPr>
      </w:pPr>
    </w:p>
    <w:bookmarkStart w:id="41" w:name="page42"/>
    <w:bookmarkEnd w:id="41"/>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ind w:left="264" w:hanging="264"/>
        <w:spacing w:after="0"/>
        <w:tabs>
          <w:tab w:leader="none" w:pos="26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this Annex C, the following terms shall have the following meanings:</w:t>
      </w:r>
    </w:p>
    <w:p>
      <w:pPr>
        <w:spacing w:after="0" w:line="117" w:lineRule="exact"/>
        <w:rPr>
          <w:rFonts w:ascii="Arial" w:cs="Arial" w:eastAsia="Arial" w:hAnsi="Arial"/>
          <w:sz w:val="18"/>
          <w:szCs w:val="18"/>
          <w:color w:val="auto"/>
        </w:rPr>
      </w:pPr>
    </w:p>
    <w:p>
      <w:pPr>
        <w:ind w:left="4" w:right="80" w:firstLine="987"/>
        <w:spacing w:after="0" w:line="277" w:lineRule="auto"/>
        <w:tabs>
          <w:tab w:leader="none" w:pos="12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“Board” or “Board of Trustees” shall mean the Board of Trustees of the Trust or any committee authorized by the Board of Trustees to perform any of its responsibilities with respect to the Series 1 Preferred Shares.</w:t>
      </w:r>
    </w:p>
    <w:p>
      <w:pPr>
        <w:spacing w:after="0" w:line="62" w:lineRule="exact"/>
        <w:rPr>
          <w:rFonts w:ascii="Arial" w:cs="Arial" w:eastAsia="Arial" w:hAnsi="Arial"/>
          <w:sz w:val="18"/>
          <w:szCs w:val="18"/>
          <w:color w:val="auto"/>
        </w:rPr>
      </w:pPr>
    </w:p>
    <w:p>
      <w:pPr>
        <w:ind w:left="4" w:right="160" w:firstLine="987"/>
        <w:spacing w:after="0" w:line="277" w:lineRule="auto"/>
        <w:tabs>
          <w:tab w:leader="none" w:pos="1250" w:val="left"/>
        </w:tabs>
        <w:numPr>
          <w:ilvl w:val="1"/>
          <w:numId w:val="46"/>
        </w:numPr>
        <w:rPr>
          <w:rFonts w:ascii="Arial" w:cs="Arial" w:eastAsia="Arial" w:hAnsi="Arial"/>
          <w:sz w:val="18"/>
          <w:szCs w:val="18"/>
          <w:color w:val="auto"/>
        </w:rPr>
      </w:pPr>
      <w:r>
        <w:rPr>
          <w:rFonts w:ascii="Arial" w:cs="Arial" w:eastAsia="Arial" w:hAnsi="Arial"/>
          <w:sz w:val="18"/>
          <w:szCs w:val="18"/>
          <w:color w:val="auto"/>
        </w:rPr>
        <w:t>“Business Day” shall mean any day other than a Saturday, Sunday or day on which state or federally chartered banking institutions in New York City, New York are not required to be open.</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“Capital Gains Amount” shall have the meaning set forth in </w:t>
      </w:r>
      <w:r>
        <w:rPr>
          <w:rFonts w:ascii="Arial" w:cs="Arial" w:eastAsia="Arial" w:hAnsi="Arial"/>
          <w:sz w:val="18"/>
          <w:szCs w:val="18"/>
          <w:u w:val="single" w:color="auto"/>
          <w:color w:val="auto"/>
        </w:rPr>
        <w:t>Section 4(d)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w:t>
      </w:r>
    </w:p>
    <w:p>
      <w:pPr>
        <w:spacing w:after="0" w:line="117" w:lineRule="exact"/>
        <w:rPr>
          <w:rFonts w:ascii="Arial" w:cs="Arial" w:eastAsia="Arial" w:hAnsi="Arial"/>
          <w:sz w:val="18"/>
          <w:szCs w:val="18"/>
          <w:color w:val="auto"/>
        </w:rPr>
      </w:pPr>
    </w:p>
    <w:p>
      <w:pPr>
        <w:ind w:left="1224" w:hanging="233"/>
        <w:spacing w:after="0"/>
        <w:tabs>
          <w:tab w:leader="none" w:pos="1224"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“Common Shares” shall mean the common shares of beneficial interest of the Trust, par value $0.01 per share.</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“Constituent Person” shall have the meaning set forth in </w:t>
      </w:r>
      <w:r>
        <w:rPr>
          <w:rFonts w:ascii="Arial" w:cs="Arial" w:eastAsia="Arial" w:hAnsi="Arial"/>
          <w:sz w:val="18"/>
          <w:szCs w:val="18"/>
          <w:u w:val="single" w:color="auto"/>
          <w:color w:val="auto"/>
        </w:rPr>
        <w:t>Section 7(f).</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“Conversion Price” shall have the meaning set forth in </w:t>
      </w:r>
      <w:r>
        <w:rPr>
          <w:rFonts w:ascii="Arial" w:cs="Arial" w:eastAsia="Arial" w:hAnsi="Arial"/>
          <w:sz w:val="18"/>
          <w:szCs w:val="18"/>
          <w:u w:val="single" w:color="auto"/>
          <w:color w:val="auto"/>
        </w:rPr>
        <w:t>Section 7(e)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987"/>
        <w:spacing w:after="0" w:line="290" w:lineRule="auto"/>
        <w:tabs>
          <w:tab w:leader="none" w:pos="1210" w:val="left"/>
        </w:tabs>
        <w:numPr>
          <w:ilvl w:val="1"/>
          <w:numId w:val="46"/>
        </w:numPr>
        <w:rPr>
          <w:rFonts w:ascii="Arial" w:cs="Arial" w:eastAsia="Arial" w:hAnsi="Arial"/>
          <w:sz w:val="16"/>
          <w:szCs w:val="16"/>
          <w:color w:val="auto"/>
        </w:rPr>
      </w:pPr>
      <w:r>
        <w:rPr>
          <w:rFonts w:ascii="Arial" w:cs="Arial" w:eastAsia="Arial" w:hAnsi="Arial"/>
          <w:sz w:val="16"/>
          <w:szCs w:val="16"/>
          <w:color w:val="auto"/>
        </w:rPr>
        <w:t>“Current Market Price” of publicly traded common shares or any other class of shares of beneficial interest or other security of the Trust or any other issuer for any day shall mean the last reported sales price, regular way, on such day or, if no sale takes place on such day, the average of the reported closing bid and asked prices on such day, regular way, in either case as reported on the New York Stock Exchange (“NYSE”) or, if such security is not listed or admitted for trading on the NYSE, on the principal national securities exchange on which such security is listed or admitted for trading or, if not listed or admitted for trading on any national securities exchange, the average of the closing bid and asked prices on such day in the over-the-counter market as reported by the National Association of Securities Dealers (NASD) or, if bid and asked prices for such security on such day shall not have been reported by the NASD, the average of the bid and asked prices on such day as furnished by any NYSE member firm regularly making a market in such security and selected for such purpose by the Chief Executive Officer of the Trust or the Board.</w:t>
      </w:r>
    </w:p>
    <w:p>
      <w:pPr>
        <w:spacing w:after="0" w:line="57" w:lineRule="exact"/>
        <w:rPr>
          <w:rFonts w:ascii="Arial" w:cs="Arial" w:eastAsia="Arial" w:hAnsi="Arial"/>
          <w:sz w:val="16"/>
          <w:szCs w:val="16"/>
          <w:color w:val="auto"/>
        </w:rPr>
      </w:pPr>
    </w:p>
    <w:p>
      <w:pPr>
        <w:ind w:left="4" w:right="40" w:firstLine="987"/>
        <w:spacing w:after="0" w:line="279" w:lineRule="auto"/>
        <w:tabs>
          <w:tab w:leader="none" w:pos="121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“Dividend Payment Date” shall mean (i) the date on which a regular, quarterly dividend (excluding any special or other extraordinary dividends) is paid on the Common Shares or, if no regular, quarterly dividend is paid on the Common Shares in respect of a given Dividend Period, then (ii) the fifteenth (15</w:t>
      </w:r>
      <w:r>
        <w:rPr>
          <w:rFonts w:ascii="Arial" w:cs="Arial" w:eastAsia="Arial" w:hAnsi="Arial"/>
          <w:sz w:val="14"/>
          <w:szCs w:val="14"/>
          <w:color w:val="auto"/>
        </w:rPr>
        <w:t>th</w:t>
      </w:r>
      <w:r>
        <w:rPr>
          <w:rFonts w:ascii="Arial" w:cs="Arial" w:eastAsia="Arial" w:hAnsi="Arial"/>
          <w:sz w:val="17"/>
          <w:szCs w:val="17"/>
          <w:color w:val="auto"/>
        </w:rPr>
        <w:t>) calendar day (or, if such day is not a Business Day, the next Business Day thereafter) of the month following the end of the applicable Dividend Period, commencing on the first Dividend Payment Date occurring after April 1, 2007.</w:t>
      </w:r>
    </w:p>
    <w:p>
      <w:pPr>
        <w:spacing w:after="0" w:line="63" w:lineRule="exact"/>
        <w:rPr>
          <w:rFonts w:ascii="Arial" w:cs="Arial" w:eastAsia="Arial" w:hAnsi="Arial"/>
          <w:sz w:val="17"/>
          <w:szCs w:val="17"/>
          <w:color w:val="auto"/>
        </w:rPr>
      </w:pPr>
    </w:p>
    <w:p>
      <w:pPr>
        <w:ind w:left="4" w:right="120" w:firstLine="987"/>
        <w:spacing w:after="0" w:line="263" w:lineRule="auto"/>
        <w:tabs>
          <w:tab w:leader="none" w:pos="125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“Dividend Periods” shall mean quarterly dividend periods commencing on the first (1</w:t>
      </w:r>
      <w:r>
        <w:rPr>
          <w:rFonts w:ascii="Arial" w:cs="Arial" w:eastAsia="Arial" w:hAnsi="Arial"/>
          <w:sz w:val="15"/>
          <w:szCs w:val="15"/>
          <w:color w:val="auto"/>
        </w:rPr>
        <w:t>st</w:t>
      </w:r>
      <w:r>
        <w:rPr>
          <w:rFonts w:ascii="Arial" w:cs="Arial" w:eastAsia="Arial" w:hAnsi="Arial"/>
          <w:sz w:val="18"/>
          <w:szCs w:val="18"/>
          <w:color w:val="auto"/>
        </w:rPr>
        <w:t>) day of each calendar quarter of each year and ending on and including the last day of each calendar quarter of each year (other than the initial Dividend Period, which shall commence on the Issue Date and end on the last day of the calendar quarter in which the Issue Date occurs).</w:t>
      </w:r>
    </w:p>
    <w:p>
      <w:pPr>
        <w:spacing w:after="0" w:line="75" w:lineRule="exact"/>
        <w:rPr>
          <w:rFonts w:ascii="Arial" w:cs="Arial" w:eastAsia="Arial" w:hAnsi="Arial"/>
          <w:sz w:val="18"/>
          <w:szCs w:val="18"/>
          <w:color w:val="auto"/>
        </w:rPr>
      </w:pPr>
    </w:p>
    <w:p>
      <w:pPr>
        <w:ind w:left="1204" w:hanging="213"/>
        <w:spacing w:after="0"/>
        <w:tabs>
          <w:tab w:leader="none" w:pos="1204"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“Elevated Price Level” shall have the meaning set forth in </w:t>
      </w:r>
      <w:r>
        <w:rPr>
          <w:rFonts w:ascii="Arial" w:cs="Arial" w:eastAsia="Arial" w:hAnsi="Arial"/>
          <w:sz w:val="18"/>
          <w:szCs w:val="18"/>
          <w:u w:val="single" w:color="auto"/>
          <w:color w:val="auto"/>
        </w:rPr>
        <w:t>Section 7(b)</w:t>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04"/>
          </w:cols>
          <w:pgMar w:left="436" w:top="270" w:right="459" w:bottom="1440" w:gutter="0" w:footer="0" w:header="0"/>
        </w:sectPr>
      </w:pPr>
    </w:p>
    <w:bookmarkStart w:id="42" w:name="page43"/>
    <w:bookmarkEnd w:id="42"/>
    <w:p>
      <w:pPr>
        <w:ind w:left="-80" w:right="40" w:firstLine="987"/>
        <w:spacing w:after="0" w:line="275" w:lineRule="auto"/>
        <w:tabs>
          <w:tab w:leader="none" w:pos="1216" w:val="left"/>
        </w:tabs>
        <w:numPr>
          <w:ilvl w:val="0"/>
          <w:numId w:val="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“Fair Market Value” shall mean the average of the daily Current Market Prices of a Common Share during the five consecutive Trading Days selected by the Trust commencing not more than 20 Trading Days before, and ending not later than, the earlier of the day in question and the day before the “ex date” with respect to the issuance or distribution requiring such computation. The term “ex date” when used with respect to any issuance or distribution, means the first day on which the Common Shares trade regular way, without the right to receive such issuance or distribution, on the exchange or in the market, as the case may be, used to determine that day’s Current Market Price.</w:t>
      </w:r>
    </w:p>
    <w:p>
      <w:pPr>
        <w:spacing w:after="0" w:line="68" w:lineRule="exact"/>
        <w:rPr>
          <w:rFonts w:ascii="Arial" w:cs="Arial" w:eastAsia="Arial" w:hAnsi="Arial"/>
          <w:sz w:val="17"/>
          <w:szCs w:val="17"/>
          <w:color w:val="auto"/>
        </w:rPr>
      </w:pPr>
    </w:p>
    <w:p>
      <w:pPr>
        <w:ind w:left="1160" w:hanging="253"/>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“Initial Mandatory Conversion Trigger Price” shall mean $115.50.</w:t>
      </w:r>
    </w:p>
    <w:p>
      <w:pPr>
        <w:spacing w:after="0" w:line="117" w:lineRule="exact"/>
        <w:rPr>
          <w:rFonts w:ascii="Arial" w:cs="Arial" w:eastAsia="Arial" w:hAnsi="Arial"/>
          <w:sz w:val="18"/>
          <w:szCs w:val="18"/>
          <w:color w:val="auto"/>
        </w:rPr>
      </w:pPr>
    </w:p>
    <w:p>
      <w:pPr>
        <w:ind w:left="1160" w:hanging="253"/>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“Initial Optional Conversion Price” shall mean $104.69.</w:t>
      </w:r>
    </w:p>
    <w:p>
      <w:pPr>
        <w:spacing w:after="0" w:line="117" w:lineRule="exact"/>
        <w:rPr>
          <w:rFonts w:ascii="Arial" w:cs="Arial" w:eastAsia="Arial" w:hAnsi="Arial"/>
          <w:sz w:val="18"/>
          <w:szCs w:val="18"/>
          <w:color w:val="auto"/>
        </w:rPr>
      </w:pPr>
    </w:p>
    <w:p>
      <w:pPr>
        <w:ind w:left="1160" w:hanging="253"/>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 Date” shall mean the first date on which the pertinent Series 1 Preferred Shares are issued and sold.</w:t>
      </w:r>
    </w:p>
    <w:p>
      <w:pPr>
        <w:spacing w:after="0" w:line="117" w:lineRule="exact"/>
        <w:rPr>
          <w:rFonts w:ascii="Arial" w:cs="Arial" w:eastAsia="Arial" w:hAnsi="Arial"/>
          <w:sz w:val="18"/>
          <w:szCs w:val="18"/>
          <w:color w:val="auto"/>
        </w:rPr>
      </w:pPr>
    </w:p>
    <w:p>
      <w:pPr>
        <w:ind w:left="-80" w:firstLine="987"/>
        <w:spacing w:after="0" w:line="263" w:lineRule="auto"/>
        <w:tabs>
          <w:tab w:leader="none" w:pos="1166" w:val="left"/>
        </w:tabs>
        <w:numPr>
          <w:ilvl w:val="0"/>
          <w:numId w:val="47"/>
        </w:numPr>
        <w:rPr>
          <w:rFonts w:ascii="Arial" w:cs="Arial" w:eastAsia="Arial" w:hAnsi="Arial"/>
          <w:sz w:val="18"/>
          <w:szCs w:val="18"/>
          <w:color w:val="auto"/>
        </w:rPr>
      </w:pPr>
      <w:r>
        <w:rPr>
          <w:rFonts w:ascii="Arial" w:cs="Arial" w:eastAsia="Arial" w:hAnsi="Arial"/>
          <w:sz w:val="18"/>
          <w:szCs w:val="18"/>
          <w:color w:val="auto"/>
        </w:rPr>
        <w:t>“Junior Shares” shall mean the Common Shares and any other class or series of shares of beneficial interest of the Trust now or hereafter issued and outstanding over which the Series 1 Preferred Shares has preference or priority in the payment of dividends or in the distribution of assets on any liquidation, dissolution or winding up of the Trust.</w:t>
      </w:r>
    </w:p>
    <w:p>
      <w:pPr>
        <w:spacing w:after="0" w:line="75" w:lineRule="exact"/>
        <w:rPr>
          <w:rFonts w:ascii="Arial" w:cs="Arial" w:eastAsia="Arial" w:hAnsi="Arial"/>
          <w:sz w:val="18"/>
          <w:szCs w:val="18"/>
          <w:color w:val="auto"/>
        </w:rPr>
      </w:pPr>
    </w:p>
    <w:p>
      <w:pPr>
        <w:ind w:left="1140" w:hanging="233"/>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“Liquidation Price” shall mean twenty-five dollars ($25.00) per Series 1 Preferred Share.</w:t>
      </w:r>
    </w:p>
    <w:p>
      <w:pPr>
        <w:spacing w:after="0" w:line="117" w:lineRule="exact"/>
        <w:rPr>
          <w:rFonts w:ascii="Arial" w:cs="Arial" w:eastAsia="Arial" w:hAnsi="Arial"/>
          <w:sz w:val="18"/>
          <w:szCs w:val="18"/>
          <w:color w:val="auto"/>
        </w:rPr>
      </w:pPr>
    </w:p>
    <w:p>
      <w:pPr>
        <w:ind w:left="1140" w:hanging="233"/>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“Mandatory Conversion Date” shall have the meaning set forth in </w:t>
      </w:r>
      <w:r>
        <w:rPr>
          <w:rFonts w:ascii="Arial" w:cs="Arial" w:eastAsia="Arial" w:hAnsi="Arial"/>
          <w:sz w:val="18"/>
          <w:szCs w:val="18"/>
          <w:u w:val="single" w:color="auto"/>
          <w:color w:val="auto"/>
        </w:rPr>
        <w:t>Section 7(b)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213"/>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“Mandatory Conversion Trigger Price” shall have the meaning set forth in </w:t>
      </w:r>
      <w:r>
        <w:rPr>
          <w:rFonts w:ascii="Arial" w:cs="Arial" w:eastAsia="Arial" w:hAnsi="Arial"/>
          <w:sz w:val="18"/>
          <w:szCs w:val="18"/>
          <w:u w:val="single" w:color="auto"/>
          <w:color w:val="auto"/>
        </w:rPr>
        <w:t>Section 7(e)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253"/>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“Mandatory Conversion Notice” shall have the meaning set forth in </w:t>
      </w:r>
      <w:r>
        <w:rPr>
          <w:rFonts w:ascii="Arial" w:cs="Arial" w:eastAsia="Arial" w:hAnsi="Arial"/>
          <w:sz w:val="18"/>
          <w:szCs w:val="18"/>
          <w:u w:val="single" w:color="auto"/>
          <w:color w:val="auto"/>
        </w:rPr>
        <w:t>Section 7(b)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253"/>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“Non-Electing Share” shall have the meaning set forth in </w:t>
      </w:r>
      <w:r>
        <w:rPr>
          <w:rFonts w:ascii="Arial" w:cs="Arial" w:eastAsia="Arial" w:hAnsi="Arial"/>
          <w:sz w:val="18"/>
          <w:szCs w:val="18"/>
          <w:u w:val="single" w:color="auto"/>
          <w:color w:val="auto"/>
        </w:rPr>
        <w:t>Section 7(f)</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93"/>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“Optional Conversion Date” shall have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253"/>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“Optional Conversion Notice” shall have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253"/>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“Optional Conversion Price” shall have the meaning set forth in </w:t>
      </w:r>
      <w:r>
        <w:rPr>
          <w:rFonts w:ascii="Arial" w:cs="Arial" w:eastAsia="Arial" w:hAnsi="Arial"/>
          <w:sz w:val="18"/>
          <w:szCs w:val="18"/>
          <w:u w:val="single" w:color="auto"/>
          <w:color w:val="auto"/>
        </w:rPr>
        <w:t>Section 7(e)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253"/>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“Parity Shares” shall have the meaning set forth in </w:t>
      </w:r>
      <w:r>
        <w:rPr>
          <w:rFonts w:ascii="Arial" w:cs="Arial" w:eastAsia="Arial" w:hAnsi="Arial"/>
          <w:sz w:val="18"/>
          <w:szCs w:val="18"/>
          <w:u w:val="single" w:color="auto"/>
          <w:color w:val="auto"/>
        </w:rPr>
        <w:t>Section 3(b)</w:t>
      </w:r>
      <w:r>
        <w:rPr>
          <w:rFonts w:ascii="Arial" w:cs="Arial" w:eastAsia="Arial" w:hAnsi="Arial"/>
          <w:sz w:val="18"/>
          <w:szCs w:val="18"/>
          <w:color w:val="auto"/>
        </w:rPr>
        <w:t>.</w:t>
      </w:r>
    </w:p>
    <w:p>
      <w:pPr>
        <w:spacing w:after="0" w:line="117" w:lineRule="exact"/>
        <w:rPr>
          <w:sz w:val="20"/>
          <w:szCs w:val="20"/>
          <w:color w:val="auto"/>
        </w:rPr>
      </w:pPr>
    </w:p>
    <w:p>
      <w:pPr>
        <w:ind w:left="1240" w:hanging="333"/>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“Preferred Shares” shall mean the preferred shares of the Trust, $.01 par value per share.</w:t>
      </w:r>
    </w:p>
    <w:p>
      <w:pPr>
        <w:spacing w:after="0" w:line="117" w:lineRule="exact"/>
        <w:rPr>
          <w:rFonts w:ascii="Arial" w:cs="Arial" w:eastAsia="Arial" w:hAnsi="Arial"/>
          <w:sz w:val="18"/>
          <w:szCs w:val="18"/>
          <w:color w:val="auto"/>
        </w:rPr>
      </w:pPr>
    </w:p>
    <w:p>
      <w:pPr>
        <w:ind w:left="1260" w:hanging="35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“Series 1 Preferred Shares” shall have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0" w:right="20" w:firstLine="987"/>
        <w:spacing w:after="0" w:line="254" w:lineRule="auto"/>
        <w:tabs>
          <w:tab w:leader="none" w:pos="12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“Set apart for payment” shall be deemed to include, without any action other than the following, the recording by the Trust in its accounting ledgers of any accounting or bookkeeping entry which indicates, pursuant to a declaration of dividends or other distribution by the Board of Trustees, the allocation of funds to be so paid on any series or class of shares of beneficial interest of the Trust; provided, however, that if any funds for any class or series of Junior Shares or any class or series of shares of beneficial interest ranking on a parity with the Series 1 Preferred Shares as to the payment of dividends are placed in a separate account of the Trust or delivered to a disbursing, paying or other similar agent, then “set apart for payment” with respect to the Series 1 Preferred Shares shall mean placing such funds in such separate account or delivering such funds to a disbursing, paying or other similar agent.</w:t>
      </w:r>
    </w:p>
    <w:p>
      <w:pPr>
        <w:spacing w:after="0" w:line="86" w:lineRule="exact"/>
        <w:rPr>
          <w:rFonts w:ascii="Arial" w:cs="Arial" w:eastAsia="Arial" w:hAnsi="Arial"/>
          <w:sz w:val="18"/>
          <w:szCs w:val="18"/>
          <w:color w:val="auto"/>
        </w:rPr>
      </w:pPr>
    </w:p>
    <w:p>
      <w:pPr>
        <w:ind w:left="1260" w:hanging="35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“Total Dividends” shall have the meaning set forth in </w:t>
      </w:r>
      <w:r>
        <w:rPr>
          <w:rFonts w:ascii="Arial" w:cs="Arial" w:eastAsia="Arial" w:hAnsi="Arial"/>
          <w:sz w:val="18"/>
          <w:szCs w:val="18"/>
          <w:u w:val="single" w:color="auto"/>
          <w:color w:val="auto"/>
        </w:rPr>
        <w:t>Section 4(c)</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80" w:right="440" w:firstLine="987"/>
        <w:spacing w:after="0" w:line="259" w:lineRule="auto"/>
        <w:tabs>
          <w:tab w:leader="none" w:pos="12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“Trading Day” shall mean any day on which the securities in question are traded on the New York Stock Exchange, or if such securities are not listed or admitted for trading on the NYSE, on the principal national securities exchange on which such securities are listed or admitted, or if not listed or admitted for trading on any national securities exchange, in the applicable securities market in which the securities are traded.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840"/>
          </w:cols>
          <w:pgMar w:left="520" w:top="274" w:right="539" w:bottom="1440" w:gutter="0" w:footer="0" w:header="0"/>
        </w:sectPr>
      </w:pPr>
    </w:p>
    <w:bookmarkStart w:id="43" w:name="page44"/>
    <w:bookmarkEnd w:id="43"/>
    <w:p>
      <w:pPr>
        <w:ind w:left="1264" w:hanging="273"/>
        <w:spacing w:after="0"/>
        <w:tabs>
          <w:tab w:leader="none" w:pos="1264" w:val="left"/>
        </w:tabs>
        <w:numPr>
          <w:ilvl w:val="1"/>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“Transaction” shall have the meaning set forth in </w:t>
      </w:r>
      <w:r>
        <w:rPr>
          <w:rFonts w:ascii="Arial" w:cs="Arial" w:eastAsia="Arial" w:hAnsi="Arial"/>
          <w:sz w:val="18"/>
          <w:szCs w:val="18"/>
          <w:u w:val="single" w:color="auto"/>
          <w:color w:val="auto"/>
        </w:rPr>
        <w:t>Section 7(f)</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340" w:firstLine="987"/>
        <w:spacing w:after="0" w:line="342" w:lineRule="auto"/>
        <w:tabs>
          <w:tab w:leader="none" w:pos="13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“Transfer Agent” shall mean American Stock Transfer &amp; Trust Company, or such other agent or agents of the Trust as may be designated by the Board of Trustees or their designee as the transfer agent, registrar and dividend disbursing agent for the Series 1 Preferred Shares.</w:t>
      </w:r>
    </w:p>
    <w:p>
      <w:pPr>
        <w:spacing w:after="0" w:line="15" w:lineRule="exact"/>
        <w:rPr>
          <w:rFonts w:ascii="Arial" w:cs="Arial" w:eastAsia="Arial" w:hAnsi="Arial"/>
          <w:sz w:val="16"/>
          <w:szCs w:val="16"/>
          <w:color w:val="auto"/>
        </w:rPr>
      </w:pPr>
    </w:p>
    <w:p>
      <w:pPr>
        <w:ind w:left="4" w:right="400" w:hanging="4"/>
        <w:spacing w:after="0" w:line="308" w:lineRule="auto"/>
        <w:tabs>
          <w:tab w:leader="none" w:pos="259"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Designation and Number</w:t>
      </w:r>
      <w:r>
        <w:rPr>
          <w:rFonts w:ascii="Arial" w:cs="Arial" w:eastAsia="Arial" w:hAnsi="Arial"/>
          <w:sz w:val="17"/>
          <w:szCs w:val="17"/>
          <w:color w:val="auto"/>
        </w:rPr>
        <w:t>. A series of Preferred Shares, designated the “5.417% Series 1 Cumulative Convertible Preferred Shares of Beneficial Interest” (the “Series 1 Preferred Shares”), is hereby established. The number of Series 1 Preferred Shares shall be 399,896.</w:t>
      </w:r>
    </w:p>
    <w:p>
      <w:pPr>
        <w:spacing w:after="0" w:line="38" w:lineRule="exact"/>
        <w:rPr>
          <w:rFonts w:ascii="Arial" w:cs="Arial" w:eastAsia="Arial" w:hAnsi="Arial"/>
          <w:sz w:val="17"/>
          <w:szCs w:val="17"/>
          <w:color w:val="auto"/>
        </w:rPr>
      </w:pPr>
    </w:p>
    <w:p>
      <w:pPr>
        <w:ind w:left="264" w:hanging="264"/>
        <w:spacing w:after="0"/>
        <w:tabs>
          <w:tab w:leader="none" w:pos="26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Any class or series of shares of beneficial interest of the Trust shall be deemed to rank:</w:t>
      </w:r>
    </w:p>
    <w:p>
      <w:pPr>
        <w:spacing w:after="0" w:line="117" w:lineRule="exact"/>
        <w:rPr>
          <w:rFonts w:ascii="Arial" w:cs="Arial" w:eastAsia="Arial" w:hAnsi="Arial"/>
          <w:sz w:val="18"/>
          <w:szCs w:val="18"/>
          <w:color w:val="auto"/>
        </w:rPr>
      </w:pPr>
    </w:p>
    <w:p>
      <w:pPr>
        <w:ind w:left="4" w:right="120" w:firstLine="987"/>
        <w:spacing w:after="0" w:line="263" w:lineRule="auto"/>
        <w:tabs>
          <w:tab w:leader="none" w:pos="12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prior to the Series 1 Preferred Shares,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1 Preferred Shares;</w:t>
      </w:r>
    </w:p>
    <w:p>
      <w:pPr>
        <w:spacing w:after="0" w:line="75" w:lineRule="exact"/>
        <w:rPr>
          <w:rFonts w:ascii="Arial" w:cs="Arial" w:eastAsia="Arial" w:hAnsi="Arial"/>
          <w:sz w:val="18"/>
          <w:szCs w:val="18"/>
          <w:color w:val="auto"/>
        </w:rPr>
      </w:pPr>
    </w:p>
    <w:p>
      <w:pPr>
        <w:ind w:left="4" w:right="80" w:firstLine="987"/>
        <w:spacing w:after="0" w:line="296" w:lineRule="auto"/>
        <w:tabs>
          <w:tab w:leader="none" w:pos="1250" w:val="left"/>
        </w:tabs>
        <w:numPr>
          <w:ilvl w:val="1"/>
          <w:numId w:val="50"/>
        </w:numPr>
        <w:rPr>
          <w:rFonts w:ascii="Arial" w:cs="Arial" w:eastAsia="Arial" w:hAnsi="Arial"/>
          <w:sz w:val="16"/>
          <w:szCs w:val="16"/>
          <w:color w:val="auto"/>
        </w:rPr>
      </w:pPr>
      <w:r>
        <w:rPr>
          <w:rFonts w:ascii="Arial" w:cs="Arial" w:eastAsia="Arial" w:hAnsi="Arial"/>
          <w:sz w:val="16"/>
          <w:szCs w:val="16"/>
          <w:color w:val="auto"/>
        </w:rPr>
        <w:t>on a parity with the Series 1 Preferred Shares, as to the payment of dividends and as to distribution of assets upon liquidation, dissolution or winding up, whether or not the dividend rates, dividend payment dates or redemption or liquidation prices per share thereof be different from those of the Series 1 Preferred Shares, if the holders of such class or series of shares, which shall include the Series 1 Preferred Shares,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(“Parity Shares”); and</w:t>
      </w:r>
    </w:p>
    <w:p>
      <w:pPr>
        <w:spacing w:after="0" w:line="53" w:lineRule="exact"/>
        <w:rPr>
          <w:rFonts w:ascii="Arial" w:cs="Arial" w:eastAsia="Arial" w:hAnsi="Arial"/>
          <w:sz w:val="16"/>
          <w:szCs w:val="16"/>
          <w:color w:val="auto"/>
        </w:rPr>
      </w:pPr>
    </w:p>
    <w:p>
      <w:pPr>
        <w:ind w:left="4" w:right="40" w:firstLine="987"/>
        <w:spacing w:after="0" w:line="277" w:lineRule="auto"/>
        <w:tabs>
          <w:tab w:leader="none" w:pos="12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junior to the Series 1 Preferred Shares, as to the payment of dividends or as to the distribution of assets upon liquidation, dissolution or winding up, if such shares shall be Junior Shares.</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987"/>
        <w:spacing w:after="0" w:line="288" w:lineRule="auto"/>
        <w:tabs>
          <w:tab w:leader="none" w:pos="12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holders of Series 1 Preferred Shares shall be entitled to receive, when, as and if authorized by the Board of Trustees out of funds legally available for that purpose, cumulative, preferential dividends payable in cash at the rate of 5.417% of the Liquidation Price per year (an amount of $1.35425 per annum per share). Such dividends shall begin to accrue and shall be fully cumulative from the Issue Date, whether or not the Trust has earnings, and whether or not in any Dividend Period or Periods there shall be funds of the Trust legally available for the payment of such dividends, and shall be payable quarterly, when, as and if authorized by the Board of Trustees, in arrears, on Dividend Payment Dates, commencing on the first Dividend Payment Date occurring after April 1, 2007. Such dividends shall be payable in arrears to the holders of record of Series 1 Preferred Shares, as they appear on the stock records of the Trust at the close of business on the record date as shall be fixed by the Board of Trustees. Accrued and unpaid dividends for any past Dividend Periods may be declared and paid on any date and for such interim periods, without reference to any regular Dividend Payment Date, to holders of record on such date, as may be fixed by the Board of Trustees. Any dividend payment made on the Series 1 Preferred Shares shall first be credited against the earliest accrued but unpaid dividend due with respect to the Series 1 Preferred Shares which remains payable.</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984"/>
          </w:cols>
          <w:pgMar w:left="436" w:top="274" w:right="479" w:bottom="1440" w:gutter="0" w:footer="0" w:header="0"/>
        </w:sectPr>
      </w:pPr>
    </w:p>
    <w:bookmarkStart w:id="44" w:name="page45"/>
    <w:bookmarkEnd w:id="44"/>
    <w:p>
      <w:pPr>
        <w:ind w:right="40" w:firstLine="987"/>
        <w:spacing w:after="0" w:line="273" w:lineRule="auto"/>
        <w:tabs>
          <w:tab w:leader="none" w:pos="1246" w:val="left"/>
        </w:tabs>
        <w:numPr>
          <w:ilvl w:val="0"/>
          <w:numId w:val="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amount of dividends referred to in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payable for each full Dividend Period for the Series 1 Preferred Shares shall be computed by dividing the annual dividend rate by four, except that the amount of dividends payable for the initial Dividend Period, and for any Dividend Period shorter than a full Dividend Period, shall be computed for the Series 1 Preferred Shares on the basis of the actual number of days in such Dividend Period. Holders of Series 1 Preferred Shares shall not be entitled to any dividends, whether payable in cash, property or shares of stock, in excess of cumulative dividends, as herein provided, on the Series 1 Preferred Shares. No interest, or sum of money in lieu of interest, shall be payable in respect of any dividend payment or payments on the Series 1 Preferred Shares that may be in arrears.</w:t>
      </w:r>
    </w:p>
    <w:p>
      <w:pPr>
        <w:spacing w:after="0" w:line="69" w:lineRule="exact"/>
        <w:rPr>
          <w:rFonts w:ascii="Arial" w:cs="Arial" w:eastAsia="Arial" w:hAnsi="Arial"/>
          <w:sz w:val="17"/>
          <w:szCs w:val="17"/>
          <w:color w:val="auto"/>
        </w:rPr>
      </w:pPr>
    </w:p>
    <w:p>
      <w:pPr>
        <w:ind w:firstLine="987"/>
        <w:spacing w:after="0" w:line="257" w:lineRule="auto"/>
        <w:tabs>
          <w:tab w:leader="none" w:pos="12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for any taxable year, the Trust elects to designate as “capital gain dividends” (as defined in Section 857 of the Code) any portion (the “Capital Gains Amount”) of the total dividends (within the meaning of the Code) paid or made available for the year to holders of all classes of shares of beneficial interest (the “Total Dividends”), then the portion of the Capital Gains Amount that shall be allocated to holders of Series 1 Preferred Shares shall be in the same portion that the Total Dividends paid or made available to the holders of Series 1 Preferred Shares for the year bears to the Total Dividends.</w:t>
      </w:r>
    </w:p>
    <w:p>
      <w:pPr>
        <w:spacing w:after="0" w:line="79" w:lineRule="exact"/>
        <w:rPr>
          <w:rFonts w:ascii="Arial" w:cs="Arial" w:eastAsia="Arial" w:hAnsi="Arial"/>
          <w:sz w:val="18"/>
          <w:szCs w:val="18"/>
          <w:color w:val="auto"/>
        </w:rPr>
      </w:pPr>
    </w:p>
    <w:p>
      <w:pPr>
        <w:ind w:right="160" w:firstLine="987"/>
        <w:spacing w:after="0" w:line="291" w:lineRule="auto"/>
        <w:tabs>
          <w:tab w:leader="none" w:pos="1246" w:val="left"/>
        </w:tabs>
        <w:numPr>
          <w:ilvl w:val="0"/>
          <w:numId w:val="51"/>
        </w:numPr>
        <w:rPr>
          <w:rFonts w:ascii="Arial" w:cs="Arial" w:eastAsia="Arial" w:hAnsi="Arial"/>
          <w:sz w:val="16"/>
          <w:szCs w:val="16"/>
          <w:color w:val="auto"/>
        </w:rPr>
      </w:pPr>
      <w:r>
        <w:rPr>
          <w:rFonts w:ascii="Arial" w:cs="Arial" w:eastAsia="Arial" w:hAnsi="Arial"/>
          <w:sz w:val="16"/>
          <w:szCs w:val="16"/>
          <w:color w:val="auto"/>
        </w:rPr>
        <w:t>So long as any Series 1 Preferred Shares are outstanding, no dividends, except as described in the immediately following sentence, shall be declared or paid or set apart for payment on any class or series of Parity Shares for any period unless full cumulative dividends have been or contemporaneously are declared and paid or declared and a sum sufficient for the payment thereof set apart for such payment on the Series 1 Preferred Shares for all Dividend Periods terminating on or prior to the dividend payment date for such class or series of Parity Shares. When dividends are not paid in full or a sum sufficient for such payment is not set apart, as aforesaid, all dividends declared upon Series 1 Preferred Shares and all dividends declared upon any other class or series of Parity Shares shall be declared ratably in proportion to the respective amounts of dividends accumulated and unpaid on the Series 1 Preferred Shares and accumulated and unpaid on such Parity Shares.</w:t>
      </w:r>
    </w:p>
    <w:p>
      <w:pPr>
        <w:spacing w:after="0" w:line="58" w:lineRule="exact"/>
        <w:rPr>
          <w:rFonts w:ascii="Arial" w:cs="Arial" w:eastAsia="Arial" w:hAnsi="Arial"/>
          <w:sz w:val="16"/>
          <w:szCs w:val="16"/>
          <w:color w:val="auto"/>
        </w:rPr>
      </w:pPr>
    </w:p>
    <w:p>
      <w:pPr>
        <w:ind w:right="40" w:firstLine="987"/>
        <w:spacing w:after="0" w:line="288" w:lineRule="auto"/>
        <w:tabs>
          <w:tab w:leader="none" w:pos="1236" w:val="left"/>
        </w:tabs>
        <w:numPr>
          <w:ilvl w:val="0"/>
          <w:numId w:val="51"/>
        </w:numPr>
        <w:rPr>
          <w:rFonts w:ascii="Arial" w:cs="Arial" w:eastAsia="Arial" w:hAnsi="Arial"/>
          <w:sz w:val="16"/>
          <w:szCs w:val="16"/>
          <w:color w:val="auto"/>
        </w:rPr>
      </w:pPr>
      <w:r>
        <w:rPr>
          <w:rFonts w:ascii="Arial" w:cs="Arial" w:eastAsia="Arial" w:hAnsi="Arial"/>
          <w:sz w:val="16"/>
          <w:szCs w:val="16"/>
          <w:color w:val="auto"/>
        </w:rPr>
        <w:t>So long as any Series 1 Preferred Shares are outstanding, no dividends (other than dividends or distributions paid solely in shares of, or options, warrants or rights to subscribe for or purchase shares of, Junior Shares) shall be declared or paid or set apart for payment or other distribution declared or made upon Junior Shares, nor shall any Junior Shares be redeemed, purchased or otherwise acquired (other than a redemption, purchase or other acquisition of Common Shares made for purposes of any employee incentive or benefit plan of the Trust or any subsidiary) for any consideration (or any moneys be paid to or made available for a sinking fund for the redemption of any such shares) by the Trust, directly or indirectly (except by conversion into or exchange for shares of Junior Shares), unless in each case (i) the full cumulative dividends on all outstanding Series 1 Preferred Shares and any other Parity Shares of the Trust shall have been or contemporaneously are declared and paid or declared and set apart for payment for all past Dividend Periods with respect to the Series 1 Preferred Shares and all past dividend periods with respect to such Parity Shares and (ii) sufficient funds shall have been or contemporaneously are declared and paid or declared and set apart for payment of the dividend for the current Dividend Period with respect to the Series 1 Preferred Shares and the current dividend period with respect to such Parity Shares.</w:t>
      </w:r>
    </w:p>
    <w:p>
      <w:pPr>
        <w:spacing w:after="0" w:line="60" w:lineRule="exact"/>
        <w:rPr>
          <w:rFonts w:ascii="Arial" w:cs="Arial" w:eastAsia="Arial" w:hAnsi="Arial"/>
          <w:sz w:val="16"/>
          <w:szCs w:val="16"/>
          <w:color w:val="auto"/>
        </w:rPr>
      </w:pPr>
    </w:p>
    <w:p>
      <w:pPr>
        <w:jc w:val="both"/>
        <w:ind w:right="120" w:firstLine="987"/>
        <w:spacing w:after="0" w:line="279" w:lineRule="auto"/>
        <w:tabs>
          <w:tab w:leader="none" w:pos="1216"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 dividends on Series 1 Preferred Shares shall be authorized by the Board of Trustees or paid or set apart for payment by the Trust at such time as the terms and provisions of any agreement of the Trust,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000"/>
          </w:cols>
          <w:pgMar w:left="440" w:top="274" w:right="459" w:bottom="1440" w:gutter="0" w:footer="0" w:header="0"/>
        </w:sectPr>
      </w:pPr>
    </w:p>
    <w:bookmarkStart w:id="45" w:name="page46"/>
    <w:bookmarkEnd w:id="45"/>
    <w:p>
      <w:pPr>
        <w:ind w:left="264" w:hanging="264"/>
        <w:spacing w:after="0"/>
        <w:tabs>
          <w:tab w:leader="none" w:pos="26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Liquidation Preference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987"/>
        <w:spacing w:after="0" w:line="287" w:lineRule="auto"/>
        <w:tabs>
          <w:tab w:leader="none" w:pos="12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In the event of any liquidation, dissolution or winding up of the Trust, whether voluntary or involuntary, before any payment or distribution of the assets of the Trust (whether capital or surplus) shall be made to or set apart for the holders of Junior Shares, the holders of the Series 1 Preferred Shares shall be entitled to receive the Liquidation Price per share of Series 1 Preferred Shares plus an amount equal to all dividends (whether or not earned or declared) accrued and unpaid thereon to the date of final distribution to such holders; but such holders shall not be entitled to any further payment. If, upon any liquidation, dissolution or winding up of the Trust, the assets of the Trust, or proceeds thereof, distributable among the holders of the Series 1 Preferred Shares shall be insufficient to pay in full the preferential amount aforesaid and liquidating payments on any other shares of any class or series of Parity Shares, then such assets, or the proceeds thereof, shall be distributed among the holders of the Series 1 Preferred Shares and any such other Parity Shares ratably in accordance with the respective amounts that would be payable on such Series 1 Preferred Shares and any such other Parity Shares if all amounts payable thereon were paid in full. For the purposes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(i) a consolidation or merger of the Trust with one or more corporations, real estate investment trusts or other entities, (ii) a sale, lease or transfer of all or substantially all of the Trust’s assets or (iii) a statutory share exchange shall not be deemed to be a liquidation, dissolution or winding up, voluntary or involuntary, of the Trust.</w:t>
      </w:r>
    </w:p>
    <w:p>
      <w:pPr>
        <w:spacing w:after="0" w:line="63" w:lineRule="exact"/>
        <w:rPr>
          <w:rFonts w:ascii="Arial" w:cs="Arial" w:eastAsia="Arial" w:hAnsi="Arial"/>
          <w:sz w:val="16"/>
          <w:szCs w:val="16"/>
          <w:color w:val="auto"/>
        </w:rPr>
      </w:pPr>
    </w:p>
    <w:p>
      <w:pPr>
        <w:ind w:left="4" w:right="40" w:firstLine="987"/>
        <w:spacing w:after="0" w:line="257" w:lineRule="auto"/>
        <w:tabs>
          <w:tab w:leader="none" w:pos="125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Subject to the rights of the holders of shares of any series or class of beneficial interest ranking on a parity with or prior to the Series 1 Preferred Shares upon liquidation, dissolution or winding up, upon any liquidation, dissolution or winding up of the Trust, after payment shall have been made in full to the holders of the Series 1 Preferred Shares, as provided in this </w:t>
      </w:r>
      <w:r>
        <w:rPr>
          <w:rFonts w:ascii="Arial" w:cs="Arial" w:eastAsia="Arial" w:hAnsi="Arial"/>
          <w:sz w:val="18"/>
          <w:szCs w:val="18"/>
          <w:u w:val="single" w:color="auto"/>
          <w:color w:val="auto"/>
        </w:rPr>
        <w:t>Section 5</w:t>
      </w:r>
      <w:r>
        <w:rPr>
          <w:rFonts w:ascii="Arial" w:cs="Arial" w:eastAsia="Arial" w:hAnsi="Arial"/>
          <w:sz w:val="18"/>
          <w:szCs w:val="18"/>
          <w:color w:val="auto"/>
        </w:rPr>
        <w:t>, any other series or class of Junior Shares shall, subject to the respective terms and provisions (if any) applying thereto, be entitled to receive any and all assets remaining to be paid or distributed, and the holders of the Series 1 Preferred Shares shall not be entitled to share therein.</w:t>
      </w:r>
    </w:p>
    <w:p>
      <w:pPr>
        <w:spacing w:after="0" w:line="79" w:lineRule="exact"/>
        <w:rPr>
          <w:rFonts w:ascii="Arial" w:cs="Arial" w:eastAsia="Arial" w:hAnsi="Arial"/>
          <w:sz w:val="18"/>
          <w:szCs w:val="18"/>
          <w:color w:val="auto"/>
        </w:rPr>
      </w:pPr>
    </w:p>
    <w:p>
      <w:pPr>
        <w:ind w:left="264" w:hanging="264"/>
        <w:spacing w:after="0"/>
        <w:tabs>
          <w:tab w:leader="none" w:pos="26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Series 1 Preferred Shares shall have no voting rights.</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Holder Conversion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right="260" w:firstLine="1428"/>
        <w:spacing w:after="0" w:line="291" w:lineRule="auto"/>
        <w:tabs>
          <w:tab w:leader="none" w:pos="1691" w:val="left"/>
        </w:tabs>
        <w:numPr>
          <w:ilvl w:val="2"/>
          <w:numId w:val="52"/>
        </w:numPr>
        <w:rPr>
          <w:rFonts w:ascii="Arial" w:cs="Arial" w:eastAsia="Arial" w:hAnsi="Arial"/>
          <w:sz w:val="16"/>
          <w:szCs w:val="16"/>
          <w:color w:val="auto"/>
        </w:rPr>
      </w:pPr>
      <w:r>
        <w:rPr>
          <w:rFonts w:ascii="Arial" w:cs="Arial" w:eastAsia="Arial" w:hAnsi="Arial"/>
          <w:sz w:val="16"/>
          <w:szCs w:val="16"/>
          <w:color w:val="auto"/>
        </w:rPr>
        <w:t xml:space="preserve">Subject to the limitations set forth in </w:t>
      </w:r>
      <w:r>
        <w:rPr>
          <w:rFonts w:ascii="Arial" w:cs="Arial" w:eastAsia="Arial" w:hAnsi="Arial"/>
          <w:sz w:val="16"/>
          <w:szCs w:val="16"/>
          <w:u w:val="single" w:color="auto"/>
          <w:color w:val="auto"/>
        </w:rPr>
        <w:t>Section 7(a)(4)</w:t>
      </w:r>
      <w:r>
        <w:rPr>
          <w:rFonts w:ascii="Arial" w:cs="Arial" w:eastAsia="Arial" w:hAnsi="Arial"/>
          <w:sz w:val="16"/>
          <w:szCs w:val="16"/>
          <w:color w:val="auto"/>
        </w:rPr>
        <w:t>, holders of Series 1 Preferred Shares shall have the right, at such holder’s option at any time after the Issue Date, to convert such shares into a number of fully paid and nonassessable Common Shares determined by dividing</w:t>
      </w:r>
    </w:p>
    <w:p>
      <w:pPr>
        <w:ind w:left="4" w:right="80"/>
        <w:spacing w:after="0" w:line="255" w:lineRule="auto"/>
        <w:rPr>
          <w:rFonts w:ascii="Arial" w:cs="Arial" w:eastAsia="Arial" w:hAnsi="Arial"/>
          <w:sz w:val="16"/>
          <w:szCs w:val="16"/>
          <w:color w:val="auto"/>
        </w:rPr>
      </w:pPr>
      <w:r>
        <w:rPr>
          <w:rFonts w:ascii="Arial" w:cs="Arial" w:eastAsia="Arial" w:hAnsi="Arial"/>
          <w:sz w:val="18"/>
          <w:szCs w:val="18"/>
          <w:color w:val="auto"/>
        </w:rPr>
        <w:t>(A) the product obtained by multiplying: (i) the number of Series 1 Preferred Shares being converted by (ii) the Liquidation Price; by (B) the Optional Conversion Price as in effect immediately prior to the close of business on the Optional Conversion Date (defined below). All dividends payable on any Series 1 Preferred Shares that are converted shall cease to accrue on the Optional Conversion Date.</w:t>
      </w:r>
    </w:p>
    <w:p>
      <w:pPr>
        <w:spacing w:after="0" w:line="81" w:lineRule="exact"/>
        <w:rPr>
          <w:rFonts w:ascii="Arial" w:cs="Arial" w:eastAsia="Arial" w:hAnsi="Arial"/>
          <w:sz w:val="16"/>
          <w:szCs w:val="16"/>
          <w:color w:val="auto"/>
        </w:rPr>
      </w:pPr>
    </w:p>
    <w:p>
      <w:pPr>
        <w:ind w:left="4" w:firstLine="1428"/>
        <w:spacing w:after="0" w:line="263" w:lineRule="auto"/>
        <w:tabs>
          <w:tab w:leader="none" w:pos="1691" w:val="left"/>
        </w:tabs>
        <w:numPr>
          <w:ilvl w:val="2"/>
          <w:numId w:val="52"/>
        </w:numPr>
        <w:rPr>
          <w:rFonts w:ascii="Arial" w:cs="Arial" w:eastAsia="Arial" w:hAnsi="Arial"/>
          <w:sz w:val="18"/>
          <w:szCs w:val="18"/>
          <w:color w:val="auto"/>
        </w:rPr>
      </w:pPr>
      <w:r>
        <w:rPr>
          <w:rFonts w:ascii="Arial" w:cs="Arial" w:eastAsia="Arial" w:hAnsi="Arial"/>
          <w:sz w:val="18"/>
          <w:szCs w:val="18"/>
          <w:color w:val="auto"/>
        </w:rPr>
        <w:t xml:space="preserve">Any holder of Series 1 Preferred Shares may exercise its optional right to convert to Common Shares by delivering an irrevocable written notice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“Optional Conversion Notice”) by first class mail, postage prepaid, to the Trust at 1626 East Jefferson Street, Rockville, Maryland 20852, Attention: Chief Accounting Officer.</w:t>
      </w:r>
    </w:p>
    <w:p>
      <w:pPr>
        <w:spacing w:after="0" w:line="75" w:lineRule="exact"/>
        <w:rPr>
          <w:rFonts w:ascii="Arial" w:cs="Arial" w:eastAsia="Arial" w:hAnsi="Arial"/>
          <w:sz w:val="18"/>
          <w:szCs w:val="18"/>
          <w:color w:val="auto"/>
        </w:rPr>
      </w:pPr>
    </w:p>
    <w:p>
      <w:pPr>
        <w:ind w:left="4" w:right="100" w:firstLine="1428"/>
        <w:spacing w:after="0" w:line="257" w:lineRule="auto"/>
        <w:tabs>
          <w:tab w:leader="none" w:pos="1691" w:val="left"/>
        </w:tabs>
        <w:numPr>
          <w:ilvl w:val="2"/>
          <w:numId w:val="52"/>
        </w:numPr>
        <w:rPr>
          <w:rFonts w:ascii="Arial" w:cs="Arial" w:eastAsia="Arial" w:hAnsi="Arial"/>
          <w:sz w:val="18"/>
          <w:szCs w:val="18"/>
          <w:color w:val="auto"/>
        </w:rPr>
      </w:pPr>
      <w:r>
        <w:rPr>
          <w:rFonts w:ascii="Arial" w:cs="Arial" w:eastAsia="Arial" w:hAnsi="Arial"/>
          <w:sz w:val="18"/>
          <w:szCs w:val="18"/>
          <w:color w:val="auto"/>
        </w:rPr>
        <w:t>Within five (5) Business Days after receipt of an Optional Conversion Notice from a holder of Series 1 Preferred Shares, the Trust shall establish a date for closing the conversion (“Optional Conversion Date”) which date shall not be more than fifteen (15) days after the date of the Optional Conversion Notice; provided, however, if the Trust receives the Optional Conversion Notice more than seven (7) days after the date thereof, then the Trust shall be entitled to extend the Optional Conversion Date for the number of days after such seven-day period that the Trust received the Optional</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024"/>
          </w:cols>
          <w:pgMar w:left="436" w:top="274" w:right="439" w:bottom="1440" w:gutter="0" w:footer="0" w:header="0"/>
        </w:sectPr>
      </w:pPr>
    </w:p>
    <w:bookmarkStart w:id="46" w:name="page47"/>
    <w:bookmarkEnd w:id="46"/>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Notice. Also within five (5) Business Days after receipt of an Optional Conversion Notice from a holder of Series 1 Preferred Shares, the Trust shall deliver instructions to the Transfer Agent to retire the Series 1 Preferred Shares being converted, reflect such retirement on the books and records of the Trust, issue the number of Common Shares to be issued to the converting holder as a result of such conversion, and reflect such issuance on the books and records of the Trust, in each case whether or not a certificate representing the Common Shares has been or will be issued and delivered to the converting holder as of such date.</w:t>
      </w:r>
    </w:p>
    <w:p>
      <w:pPr>
        <w:spacing w:after="0" w:line="80" w:lineRule="exact"/>
        <w:rPr>
          <w:sz w:val="20"/>
          <w:szCs w:val="20"/>
          <w:color w:val="auto"/>
        </w:rPr>
      </w:pPr>
    </w:p>
    <w:p>
      <w:pPr>
        <w:ind w:left="4" w:right="20" w:firstLine="1428"/>
        <w:spacing w:after="0" w:line="285" w:lineRule="auto"/>
        <w:tabs>
          <w:tab w:leader="none" w:pos="1691" w:val="left"/>
        </w:tabs>
        <w:numPr>
          <w:ilvl w:val="2"/>
          <w:numId w:val="53"/>
        </w:numPr>
        <w:rPr>
          <w:rFonts w:ascii="Arial" w:cs="Arial" w:eastAsia="Arial" w:hAnsi="Arial"/>
          <w:sz w:val="16"/>
          <w:szCs w:val="16"/>
          <w:color w:val="auto"/>
        </w:rPr>
      </w:pPr>
      <w:r>
        <w:rPr>
          <w:rFonts w:ascii="Arial" w:cs="Arial" w:eastAsia="Arial" w:hAnsi="Arial"/>
          <w:sz w:val="16"/>
          <w:szCs w:val="16"/>
          <w:color w:val="auto"/>
        </w:rPr>
        <w:t>Except as may be approved by the Trust in writing in its sole and absolute discretion, the right for holders to convert Series 1 Preferred Shares to Common Shares shall be subject to the following restrictions and limitations: (A) no conversion shall result in a holder and any related party, after giving effect to the conversion, owning Common Shares of the Trust in excess of the ownership limits specified in the Trust’s Declaration of Trust as in effect on the Optional Conversion Date after taking into account the actual and constructive stock ownership rules of the Code and any other additional Common Shares of the Trust which such holder has acquired or intends to acquire prior to the closing of such conversion;</w:t>
      </w:r>
    </w:p>
    <w:p>
      <w:pPr>
        <w:spacing w:after="0" w:line="1" w:lineRule="exact"/>
        <w:rPr>
          <w:rFonts w:ascii="Arial" w:cs="Arial" w:eastAsia="Arial" w:hAnsi="Arial"/>
          <w:sz w:val="16"/>
          <w:szCs w:val="16"/>
          <w:color w:val="auto"/>
        </w:rPr>
      </w:pPr>
    </w:p>
    <w:p>
      <w:pPr>
        <w:ind w:left="4" w:right="140" w:hanging="4"/>
        <w:spacing w:after="0" w:line="253" w:lineRule="auto"/>
        <w:tabs>
          <w:tab w:leader="none" w:pos="2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holder of Series 1 Preferred Shares may effect a conversion for Series 1 Preferred Shares having an aggregate value (determined by multiplying the number of Series 1 Preferred Shares to be converted by the Liquidation Price) of less than $50,000, or, if such holder holds less than $50,000 of Series 1 Preferred Shares, less than all of the Series 1 Preferred Shares held by such holder; (C) no holder may effect a conversion more than three (3) times during any consecutive twelve-month period; and (D) no holder may effect a conversion within ninety (90) days following the closing of any public offering of Common Shares by the Trust.</w:t>
      </w:r>
    </w:p>
    <w:p>
      <w:pPr>
        <w:spacing w:after="0" w:line="82" w:lineRule="exact"/>
        <w:rPr>
          <w:rFonts w:ascii="Arial" w:cs="Arial" w:eastAsia="Arial" w:hAnsi="Arial"/>
          <w:sz w:val="18"/>
          <w:szCs w:val="18"/>
          <w:color w:val="auto"/>
        </w:rPr>
      </w:pPr>
    </w:p>
    <w:p>
      <w:pPr>
        <w:ind w:left="1244" w:hanging="253"/>
        <w:spacing w:after="0"/>
        <w:tabs>
          <w:tab w:leader="none" w:pos="1244"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Trust Conversion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1428"/>
        <w:spacing w:after="0" w:line="255" w:lineRule="auto"/>
        <w:tabs>
          <w:tab w:leader="none" w:pos="1691"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The Trust shall have the right, at any time and from time to time, after the Issue Date and after the Elevated Price Level (defined below) has occurred, subject to the provisions of this </w:t>
      </w:r>
      <w:r>
        <w:rPr>
          <w:rFonts w:ascii="Arial" w:cs="Arial" w:eastAsia="Arial" w:hAnsi="Arial"/>
          <w:sz w:val="18"/>
          <w:szCs w:val="18"/>
          <w:u w:val="single" w:color="auto"/>
          <w:color w:val="auto"/>
        </w:rPr>
        <w:t>Section 7(b)</w:t>
      </w:r>
      <w:r>
        <w:rPr>
          <w:rFonts w:ascii="Arial" w:cs="Arial" w:eastAsia="Arial" w:hAnsi="Arial"/>
          <w:sz w:val="18"/>
          <w:szCs w:val="18"/>
          <w:color w:val="auto"/>
        </w:rPr>
        <w:t>, to convert all or any outstanding Series 1 Preferred Shares into a number of fully paid and nonassessable Common Shares determined by dividing (A) the product obtained by multiplying: (i) the number of Series 1 Preferred Shares being converted by (ii) the Liquidation Price; by (B) the Optional Conversion Price as in effect immediately prior to the close of business on the Mandatory Conversion Date (defined below). All dividends payable on any Series 1 Preferred Shares that are converted shall cease to accrue on the Mandatory Conversion Date.</w:t>
      </w:r>
    </w:p>
    <w:p>
      <w:pPr>
        <w:spacing w:after="0" w:line="84" w:lineRule="exact"/>
        <w:rPr>
          <w:rFonts w:ascii="Arial" w:cs="Arial" w:eastAsia="Arial" w:hAnsi="Arial"/>
          <w:sz w:val="18"/>
          <w:szCs w:val="18"/>
          <w:color w:val="auto"/>
        </w:rPr>
      </w:pPr>
    </w:p>
    <w:p>
      <w:pPr>
        <w:ind w:left="4" w:right="80" w:firstLine="1428"/>
        <w:spacing w:after="0" w:line="275" w:lineRule="auto"/>
        <w:tabs>
          <w:tab w:leader="none" w:pos="1691" w:val="left"/>
        </w:tabs>
        <w:numPr>
          <w:ilvl w:val="2"/>
          <w:numId w:val="54"/>
        </w:numPr>
        <w:rPr>
          <w:rFonts w:ascii="Arial" w:cs="Arial" w:eastAsia="Arial" w:hAnsi="Arial"/>
          <w:sz w:val="17"/>
          <w:szCs w:val="17"/>
          <w:color w:val="auto"/>
        </w:rPr>
      </w:pPr>
      <w:r>
        <w:rPr>
          <w:rFonts w:ascii="Arial" w:cs="Arial" w:eastAsia="Arial" w:hAnsi="Arial"/>
          <w:sz w:val="17"/>
          <w:szCs w:val="17"/>
          <w:color w:val="auto"/>
        </w:rPr>
        <w:t>The “Elevated Price Level” shall mean any time at which the trailing 200 consecutive Trading Day average closing price of the Common Shares as reported on the New York Stock Exchange (or if such securities are not listed or admitted for trading on the NYSE, on the principal national securities exchange on which such securities are listed or admitted, or if not listed or admitted for trading on any national securities exchange, in the applicable securities market in which the securities are traded) is greater than the Mandatory Conversion Trigger Price; provided, however, that the first day of any such 200-Trading Day period shall not be earlier than the Closing Date.</w:t>
      </w:r>
    </w:p>
    <w:p>
      <w:pPr>
        <w:spacing w:after="0" w:line="68" w:lineRule="exact"/>
        <w:rPr>
          <w:rFonts w:ascii="Arial" w:cs="Arial" w:eastAsia="Arial" w:hAnsi="Arial"/>
          <w:sz w:val="17"/>
          <w:szCs w:val="17"/>
          <w:color w:val="auto"/>
        </w:rPr>
      </w:pPr>
    </w:p>
    <w:p>
      <w:pPr>
        <w:ind w:left="4" w:right="60" w:firstLine="1428"/>
        <w:spacing w:after="0" w:line="273" w:lineRule="auto"/>
        <w:tabs>
          <w:tab w:leader="none" w:pos="1691" w:val="left"/>
        </w:tabs>
        <w:numPr>
          <w:ilvl w:val="2"/>
          <w:numId w:val="54"/>
        </w:numPr>
        <w:rPr>
          <w:rFonts w:ascii="Arial" w:cs="Arial" w:eastAsia="Arial" w:hAnsi="Arial"/>
          <w:sz w:val="17"/>
          <w:szCs w:val="17"/>
          <w:color w:val="auto"/>
        </w:rPr>
      </w:pPr>
      <w:r>
        <w:rPr>
          <w:rFonts w:ascii="Arial" w:cs="Arial" w:eastAsia="Arial" w:hAnsi="Arial"/>
          <w:sz w:val="17"/>
          <w:szCs w:val="17"/>
          <w:color w:val="auto"/>
        </w:rPr>
        <w:t xml:space="preserve">The Trust shall exercise its election to convert Series 1 Preferred Shares by delivering written notice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“Mandatory Conversion Notice”) by first class mail, postage prepaid, to each holder of record of Series 1 Preferred Shares to be converted at the addresses shown on the Trust’s records on the date of the Mandatory Conversion Notice. The Trust shall establish a date for closing the conversion (“Mandatory Conversion Date”) which date shall not be more than fifteen (15) days after the date of the Mandatory Conversion Notice. In addition to delivering the Mandatory Conversion Notice, the Trust shall also issue a press release containing the information in the Mandatory Conversion Notice, excepting any information that is personal to particular holders, and</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0984"/>
          </w:cols>
          <w:pgMar w:left="436" w:top="274" w:right="479" w:bottom="1440" w:gutter="0" w:footer="0" w:header="0"/>
        </w:sectPr>
      </w:pPr>
    </w:p>
    <w:bookmarkStart w:id="47" w:name="page48"/>
    <w:bookmarkEnd w:id="4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publish such information on its website, provided, however, that failure to issue such press release or publish such information on the Trust’s website shall not act to prevent, delay or void any conversion pursuant to this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If fewer than all the outstanding Series 1 Preferred Shares are to be converted pursuant to this </w:t>
      </w:r>
      <w:r>
        <w:rPr>
          <w:rFonts w:ascii="Arial" w:cs="Arial" w:eastAsia="Arial" w:hAnsi="Arial"/>
          <w:sz w:val="17"/>
          <w:szCs w:val="17"/>
          <w:u w:val="single" w:color="auto"/>
          <w:color w:val="auto"/>
        </w:rPr>
        <w:t>Section 7(b)</w:t>
      </w:r>
      <w:r>
        <w:rPr>
          <w:rFonts w:ascii="Arial" w:cs="Arial" w:eastAsia="Arial" w:hAnsi="Arial"/>
          <w:sz w:val="17"/>
          <w:szCs w:val="17"/>
          <w:color w:val="auto"/>
        </w:rPr>
        <w:t>, shares to be so converted shall be selected by the Trust by lot or pro rata (as nearly as may be) or by any other method determined by the Trust in its sole discretion to be equitable. Notwithstanding the foregoing, the Trust shall not be entitled to deliver a Mandatory Conversion Notice unless: (i) the Elevated Price Level shall have occurred no more than six (6) months prior to the date of the Mandatory Conversion Notice; and (ii) the Current Market Price of the Common Shares on the date of the Mandatory Conversion Notice shall be equal to or exceed the Mandatory Conversion Price. The Trust shall deliver instructions to the Transfer Agent to retire the Series 1 Preferred Shares being converted, reflect such retirement on the books and records of the Trust, issue the number of Common Shares to be issued to the converting holder as a result of such conversion, and reflect such issuance on the books and records of the Trust, in each case whether or not a certificate representing the Common Shares has been, or will be, issued and delivered to the converting holder as of such date.</w:t>
      </w:r>
    </w:p>
    <w:p>
      <w:pPr>
        <w:spacing w:after="0" w:line="77" w:lineRule="exact"/>
        <w:rPr>
          <w:sz w:val="20"/>
          <w:szCs w:val="20"/>
          <w:color w:val="auto"/>
        </w:rPr>
      </w:pPr>
    </w:p>
    <w:p>
      <w:pPr>
        <w:ind w:left="1240" w:hanging="253"/>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Conversion Mechanics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428"/>
        <w:spacing w:after="0" w:line="301" w:lineRule="auto"/>
        <w:tabs>
          <w:tab w:leader="none" w:pos="1687" w:val="left"/>
        </w:tabs>
        <w:numPr>
          <w:ilvl w:val="1"/>
          <w:numId w:val="55"/>
        </w:numPr>
        <w:rPr>
          <w:rFonts w:ascii="Arial" w:cs="Arial" w:eastAsia="Arial" w:hAnsi="Arial"/>
          <w:sz w:val="16"/>
          <w:szCs w:val="16"/>
          <w:color w:val="auto"/>
        </w:rPr>
      </w:pPr>
      <w:r>
        <w:rPr>
          <w:rFonts w:ascii="Arial" w:cs="Arial" w:eastAsia="Arial" w:hAnsi="Arial"/>
          <w:sz w:val="16"/>
          <w:szCs w:val="16"/>
          <w:color w:val="auto"/>
        </w:rPr>
        <w:t>Generally, all Common Shares issued on conversion will be issued in the same name as the name in which the Series 1 Preferred Shares are issued. If Common Shares are to be issued in any other name, then the holder or such holder’s duly authorized attorney shall deliver to the office of the Trust instruments of transfer, in form satisfactory to the Trust, duly executed by the holder or such holder’s duly authorized attorney, and an amount sufficient to pay any transfer or similar tax (or evidence reasonably satisfactory to the Trust demonstrating that such taxes have been paid).</w:t>
      </w:r>
    </w:p>
    <w:p>
      <w:pPr>
        <w:spacing w:after="0" w:line="49" w:lineRule="exact"/>
        <w:rPr>
          <w:rFonts w:ascii="Arial" w:cs="Arial" w:eastAsia="Arial" w:hAnsi="Arial"/>
          <w:sz w:val="16"/>
          <w:szCs w:val="16"/>
          <w:color w:val="auto"/>
        </w:rPr>
      </w:pPr>
    </w:p>
    <w:p>
      <w:pPr>
        <w:ind w:right="200" w:firstLine="1428"/>
        <w:spacing w:after="0" w:line="269" w:lineRule="auto"/>
        <w:tabs>
          <w:tab w:leader="none" w:pos="1687" w:val="left"/>
        </w:tabs>
        <w:numPr>
          <w:ilvl w:val="1"/>
          <w:numId w:val="55"/>
        </w:numPr>
        <w:rPr>
          <w:rFonts w:ascii="Arial" w:cs="Arial" w:eastAsia="Arial" w:hAnsi="Arial"/>
          <w:sz w:val="17"/>
          <w:szCs w:val="17"/>
          <w:color w:val="auto"/>
        </w:rPr>
      </w:pPr>
      <w:r>
        <w:rPr>
          <w:rFonts w:ascii="Arial" w:cs="Arial" w:eastAsia="Arial" w:hAnsi="Arial"/>
          <w:sz w:val="17"/>
          <w:szCs w:val="17"/>
          <w:color w:val="auto"/>
        </w:rPr>
        <w:t>Holders of Series 1 Preferred Shares at the close of business on a record date for any dividend payment shall be entitled to receive the distribution payable on such shares on the corresponding Dividend Payment Date notwithstanding the conversion thereof following such dividend payment record date and prior to such Dividend Payment Date. However, Series 1 Preferred Shares surrendered for conversion during the period between the close of business on any dividend payment record date and the opening of business on the corresponding Dividend Payment Date must be accompanied by payment of an amount equal to the distribution payable on such shares on such Dividend Payment Date. A holder of Series 1 Preferred Shares on a dividend payment record date who (or whose transferee) tenders any such shares for conversion into Common Shares on such Dividend Payment Date will receive the dividend payable by the Trust on such Series 1 Preferred Shares on such date, and the converting holder need not include payment of the amount of such dividend upon surrender of Series 1 Preferred Shares for conversion. Except as provided above, the Trust shall make no payment or allowance for unpaid dividends, whether or not in arrears, on converted shares or for distributions on the Common Shares issued upon such conversion.</w:t>
      </w:r>
    </w:p>
    <w:p>
      <w:pPr>
        <w:spacing w:after="0" w:line="77" w:lineRule="exact"/>
        <w:rPr>
          <w:rFonts w:ascii="Arial" w:cs="Arial" w:eastAsia="Arial" w:hAnsi="Arial"/>
          <w:sz w:val="17"/>
          <w:szCs w:val="17"/>
          <w:color w:val="auto"/>
        </w:rPr>
      </w:pPr>
    </w:p>
    <w:p>
      <w:pPr>
        <w:ind w:right="20" w:firstLine="1428"/>
        <w:spacing w:after="0" w:line="263" w:lineRule="auto"/>
        <w:tabs>
          <w:tab w:leader="none" w:pos="1687"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As promptly as practicable after the retirement of Series 1 Preferred Shares, as aforesaid, the Trust shall issue and shall deliver to such holder any amounts payable to such holder as a result of any fractional interest in respect of a Common Share arising upon such conversion as provided in </w:t>
      </w:r>
      <w:r>
        <w:rPr>
          <w:rFonts w:ascii="Arial" w:cs="Arial" w:eastAsia="Arial" w:hAnsi="Arial"/>
          <w:sz w:val="18"/>
          <w:szCs w:val="18"/>
          <w:u w:val="single" w:color="auto"/>
          <w:color w:val="auto"/>
        </w:rPr>
        <w:t>Section 7(d)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firstLine="1428"/>
        <w:spacing w:after="0" w:line="257" w:lineRule="auto"/>
        <w:tabs>
          <w:tab w:leader="none" w:pos="1687"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A conversion shall be deemed to have been effected: (A) in the case of optional conversion pursuant to </w:t>
      </w:r>
      <w:r>
        <w:rPr>
          <w:rFonts w:ascii="Arial" w:cs="Arial" w:eastAsia="Arial" w:hAnsi="Arial"/>
          <w:sz w:val="18"/>
          <w:szCs w:val="18"/>
          <w:u w:val="single" w:color="auto"/>
          <w:color w:val="auto"/>
        </w:rPr>
        <w:t>Section 7(a)</w:t>
      </w:r>
      <w:r>
        <w:rPr>
          <w:rFonts w:ascii="Arial" w:cs="Arial" w:eastAsia="Arial" w:hAnsi="Arial"/>
          <w:sz w:val="18"/>
          <w:szCs w:val="18"/>
          <w:color w:val="auto"/>
        </w:rPr>
        <w:t xml:space="preserve">, immediately prior to the close of business on the Optional Conversion Date set by the Trust; and (B) in the case of a mandatory conversion pursuant to </w:t>
      </w:r>
      <w:r>
        <w:rPr>
          <w:rFonts w:ascii="Arial" w:cs="Arial" w:eastAsia="Arial" w:hAnsi="Arial"/>
          <w:sz w:val="18"/>
          <w:szCs w:val="18"/>
          <w:u w:val="single" w:color="auto"/>
          <w:color w:val="auto"/>
        </w:rPr>
        <w:t>Section 7(b)</w:t>
      </w:r>
      <w:r>
        <w:rPr>
          <w:rFonts w:ascii="Arial" w:cs="Arial" w:eastAsia="Arial" w:hAnsi="Arial"/>
          <w:sz w:val="18"/>
          <w:szCs w:val="18"/>
          <w:color w:val="auto"/>
        </w:rPr>
        <w:t xml:space="preserve">, immediately prior to the close of business on the Mandatory Conversion Date, in each case provided that the provisions of </w:t>
      </w:r>
      <w:r>
        <w:rPr>
          <w:rFonts w:ascii="Arial" w:cs="Arial" w:eastAsia="Arial" w:hAnsi="Arial"/>
          <w:sz w:val="18"/>
          <w:szCs w:val="18"/>
          <w:u w:val="single" w:color="auto"/>
          <w:color w:val="auto"/>
        </w:rPr>
        <w:t>Section 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7(b)</w:t>
      </w:r>
      <w:r>
        <w:rPr>
          <w:rFonts w:ascii="Arial" w:cs="Arial" w:eastAsia="Arial" w:hAnsi="Arial"/>
          <w:sz w:val="18"/>
          <w:szCs w:val="18"/>
          <w:color w:val="auto"/>
        </w:rPr>
        <w:t>, as applicable, have been satisfied; and in each case, the Person or Persons in whose name or names the Common Shares shall be issuable upon such conversion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000"/>
          </w:cols>
          <w:pgMar w:left="440" w:top="274" w:right="459" w:bottom="1440" w:gutter="0" w:footer="0" w:header="0"/>
        </w:sectPr>
      </w:pPr>
    </w:p>
    <w:bookmarkStart w:id="48" w:name="page49"/>
    <w:bookmarkEnd w:id="48"/>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deemed to have become the holder or holders of record of the shares represented thereby at such time on such date, and such conversion shall be at the Mandatory Conversion Price or Optional Conversion Price, as applicable, in effect at such time and on such date unless the share transfer books of the Trust shall be closed on that date, in which event such Person or Persons shall be deemed to have become such holder or holders of record at the close of business on the next succeeding day on which such share transfer books are open, but such conversion shall be at the Mandatory Conversion Price or Optional Conversion Price, as applicable, in effect on the Optional Conversion Date or the Mandatory Conversion Date, as applicable.</w:t>
      </w:r>
    </w:p>
    <w:p>
      <w:pPr>
        <w:spacing w:after="0" w:line="53" w:lineRule="exact"/>
        <w:rPr>
          <w:sz w:val="20"/>
          <w:szCs w:val="20"/>
          <w:color w:val="auto"/>
        </w:rPr>
      </w:pPr>
    </w:p>
    <w:p>
      <w:pPr>
        <w:ind w:right="140" w:firstLine="987"/>
        <w:spacing w:after="0" w:line="255" w:lineRule="auto"/>
        <w:tabs>
          <w:tab w:leader="none" w:pos="124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or scrip representing fractions of Common Shares shall be issued upon conversion of Series 1 Preferred Shares. Instead of any fractional interest in a Common Share that would otherwise be deliverable upon the conversion of a Series 1 Preferred Share, the Trust shall pay to the holder of such share an amount in cash based upon the Current Market Price of Common Shares on the Business Day immediately preceding the date of conversion. If more than one Series 1 Preferred Share shall be surrendered for conversion at one time by the same holder, the number of full Common Shares issuable upon conversion thereof shall be computed on the basis of the aggregate number of Series 1 Preferred Shares so surrendered.</w:t>
      </w:r>
    </w:p>
    <w:p>
      <w:pPr>
        <w:spacing w:after="0" w:line="84" w:lineRule="exact"/>
        <w:rPr>
          <w:rFonts w:ascii="Arial" w:cs="Arial" w:eastAsia="Arial" w:hAnsi="Arial"/>
          <w:sz w:val="18"/>
          <w:szCs w:val="18"/>
          <w:color w:val="auto"/>
        </w:rPr>
      </w:pPr>
    </w:p>
    <w:p>
      <w:pPr>
        <w:ind w:right="180" w:firstLine="987"/>
        <w:spacing w:after="0" w:line="301" w:lineRule="auto"/>
        <w:tabs>
          <w:tab w:leader="none" w:pos="123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Adjustment of Conversion Price</w:t>
      </w:r>
      <w:r>
        <w:rPr>
          <w:rFonts w:ascii="Arial" w:cs="Arial" w:eastAsia="Arial" w:hAnsi="Arial"/>
          <w:sz w:val="16"/>
          <w:szCs w:val="16"/>
          <w:color w:val="auto"/>
        </w:rPr>
        <w:t xml:space="preserve">. The Conversion Price shall be adjusted from time to time as follows (for purposes of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“Mandatory Conversion Trigger Price” shall refer to the Initial Mandatory Conversion Trigger Price as adjusted from time to time pursuant to this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and “Optional Conversion Price” shall refer to the Initial Optional Conversion Price, as adjusted from time to time pursuant to this </w:t>
      </w:r>
      <w:r>
        <w:rPr>
          <w:rFonts w:ascii="Arial" w:cs="Arial" w:eastAsia="Arial" w:hAnsi="Arial"/>
          <w:sz w:val="16"/>
          <w:szCs w:val="16"/>
          <w:u w:val="single" w:color="auto"/>
          <w:color w:val="auto"/>
        </w:rPr>
        <w:t>Section 7(e)</w:t>
      </w:r>
      <w:r>
        <w:rPr>
          <w:rFonts w:ascii="Arial" w:cs="Arial" w:eastAsia="Arial" w:hAnsi="Arial"/>
          <w:sz w:val="16"/>
          <w:szCs w:val="16"/>
          <w:color w:val="auto"/>
        </w:rPr>
        <w:t>, and “Conversion Price” shall refer to the Mandatory Conversion Trigger Price or the Optional Conversion Price, as applicable):</w:t>
      </w:r>
    </w:p>
    <w:p>
      <w:pPr>
        <w:spacing w:after="0" w:line="49" w:lineRule="exact"/>
        <w:rPr>
          <w:rFonts w:ascii="Arial" w:cs="Arial" w:eastAsia="Arial" w:hAnsi="Arial"/>
          <w:sz w:val="16"/>
          <w:szCs w:val="16"/>
          <w:color w:val="auto"/>
        </w:rPr>
      </w:pPr>
    </w:p>
    <w:p>
      <w:pPr>
        <w:ind w:right="20" w:firstLine="1428"/>
        <w:spacing w:after="0" w:line="269" w:lineRule="auto"/>
        <w:tabs>
          <w:tab w:leader="none" w:pos="1687"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If the Trust shall after the Issue Date: (A) pay or make a distribution on its Common Shares in Common Shares; (B) subdivide its outstanding Common Shares into a greater number of shares; (C) combine its outstanding Common Shares into a smaller number of shares; or (D) issue any shares of beneficial interest by reclassification of its Common Shares, then in each such case the Conversion Price in effect at the opening of business on the day following the date fixed for the determination of shareholders entitled to receive such distribution or at the opening of business on the day following the day on which such subdivision, combination or reclassification becomes effective, as the case may be, shall be adjusted so that the holder of any Series 1 Preferred Shares thereafter surrendered for conversion shall be entitled to receive the number of Common Shares that such holder would have owned or have been entitled to receive after the happening of any of the events described above had such shares been converted immediately prior to the record date in the case of a distribution or the effective date in the case of a subdivision, combination or reclassification. An adjustment made pursuant to this </w:t>
      </w:r>
      <w:r>
        <w:rPr>
          <w:rFonts w:ascii="Arial" w:cs="Arial" w:eastAsia="Arial" w:hAnsi="Arial"/>
          <w:sz w:val="17"/>
          <w:szCs w:val="17"/>
          <w:u w:val="single" w:color="auto"/>
          <w:color w:val="auto"/>
        </w:rPr>
        <w:t>Section 7(e)(1)</w:t>
      </w:r>
      <w:r>
        <w:rPr>
          <w:rFonts w:ascii="Arial" w:cs="Arial" w:eastAsia="Arial" w:hAnsi="Arial"/>
          <w:sz w:val="17"/>
          <w:szCs w:val="17"/>
          <w:color w:val="auto"/>
        </w:rPr>
        <w:t xml:space="preserve"> shall become effective immediately after the opening of business on the day next following the record date (except as provided in </w:t>
      </w:r>
      <w:r>
        <w:rPr>
          <w:rFonts w:ascii="Arial" w:cs="Arial" w:eastAsia="Arial" w:hAnsi="Arial"/>
          <w:sz w:val="17"/>
          <w:szCs w:val="17"/>
          <w:u w:val="single" w:color="auto"/>
          <w:color w:val="auto"/>
        </w:rPr>
        <w:t>Section 7(i)</w:t>
      </w:r>
      <w:r>
        <w:rPr>
          <w:rFonts w:ascii="Arial" w:cs="Arial" w:eastAsia="Arial" w:hAnsi="Arial"/>
          <w:sz w:val="17"/>
          <w:szCs w:val="17"/>
          <w:color w:val="auto"/>
        </w:rPr>
        <w:t xml:space="preserve"> below) in the case of a dividend and shall become effective immediately after the opening of business on the day next following the effective date in the case of a subdivision, combination or reclassification. Such adjustment(s) shall be made successively whenever any of the events listed above shall occur.</w:t>
      </w:r>
    </w:p>
    <w:p>
      <w:pPr>
        <w:spacing w:after="0" w:line="70" w:lineRule="exact"/>
        <w:rPr>
          <w:rFonts w:ascii="Arial" w:cs="Arial" w:eastAsia="Arial" w:hAnsi="Arial"/>
          <w:sz w:val="17"/>
          <w:szCs w:val="17"/>
          <w:color w:val="auto"/>
        </w:rPr>
      </w:pPr>
    </w:p>
    <w:p>
      <w:pPr>
        <w:ind w:firstLine="1428"/>
        <w:spacing w:after="0" w:line="275" w:lineRule="auto"/>
        <w:tabs>
          <w:tab w:leader="none" w:pos="1687" w:val="left"/>
        </w:tabs>
        <w:numPr>
          <w:ilvl w:val="1"/>
          <w:numId w:val="56"/>
        </w:numPr>
        <w:rPr>
          <w:rFonts w:ascii="Arial" w:cs="Arial" w:eastAsia="Arial" w:hAnsi="Arial"/>
          <w:sz w:val="17"/>
          <w:szCs w:val="17"/>
          <w:color w:val="auto"/>
        </w:rPr>
      </w:pPr>
      <w:r>
        <w:rPr>
          <w:rFonts w:ascii="Arial" w:cs="Arial" w:eastAsia="Arial" w:hAnsi="Arial"/>
          <w:sz w:val="17"/>
          <w:szCs w:val="17"/>
          <w:color w:val="auto"/>
        </w:rPr>
        <w:t>If the Trust shall issue after the Issue Date rights, options or warrants to all holders of Common Shares entitling them (for a period expiring within 45 days after the record date mentioned below) to subscribe for or purchase Common Shares at a price per share less than the Fair Market Value per Common Share on the record date for the determination of shareholders entitled to receive such rights, options or warrants, then the Conversion Price in effect at the opening of business on the day next following such record date shall be adjusted to equal the price determined by multiplying: (A) the Conversion Price in effect immediately prior to the opening of business on the day following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000"/>
          </w:cols>
          <w:pgMar w:left="440" w:top="274" w:right="459" w:bottom="1440" w:gutter="0" w:footer="0" w:header="0"/>
        </w:sectPr>
      </w:pPr>
    </w:p>
    <w:bookmarkStart w:id="49" w:name="page50"/>
    <w:bookmarkEnd w:id="49"/>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date fixed for such determination by (B) a fraction, the numerator of which shall be the sum of: (1) the number of Common Shares outstanding on the close of business on the date fixed for such determination and (2) the number of Common Shares that the aggregate proceeds to the Trust from the exercise of such rights, options or warrants for Common Shares would purchase at such Fair Market Value, and the denominator of which shall be the sum of: (X) the number of Common Shares outstanding on the close of business on the date fixed for such determination and (Y) the number of additional Common Shares offered for subscription or purchase pursuant to such rights, options or warrants. Such adjustments shall be made successively whenever any such rights, options or warrants are issued, and shall become effective immediately after the opening of business on the day next following such record date (except as provided in </w:t>
      </w:r>
      <w:r>
        <w:rPr>
          <w:rFonts w:ascii="Arial" w:cs="Arial" w:eastAsia="Arial" w:hAnsi="Arial"/>
          <w:sz w:val="17"/>
          <w:szCs w:val="17"/>
          <w:u w:val="single" w:color="auto"/>
          <w:color w:val="auto"/>
        </w:rPr>
        <w:t>Section 7(i)</w:t>
      </w:r>
      <w:r>
        <w:rPr>
          <w:rFonts w:ascii="Arial" w:cs="Arial" w:eastAsia="Arial" w:hAnsi="Arial"/>
          <w:sz w:val="17"/>
          <w:szCs w:val="17"/>
          <w:color w:val="auto"/>
        </w:rPr>
        <w:t xml:space="preserve"> below). In determining whether any rights, options or warrants entitle the holders of Common Shares to subscribe for or purchase Common Shares at less than the Fair Market Value, there shall be taken into account any consideration received by the Trust upon issuance and upon exercise of such rights, options or warrants, the value of such consideration, if other than cash, to be determined by the Chief Executive Officer of the Trust or the Board of Trustees.</w:t>
      </w:r>
    </w:p>
    <w:p>
      <w:pPr>
        <w:spacing w:after="0" w:line="77" w:lineRule="exact"/>
        <w:rPr>
          <w:sz w:val="20"/>
          <w:szCs w:val="20"/>
          <w:color w:val="auto"/>
        </w:rPr>
      </w:pPr>
    </w:p>
    <w:p>
      <w:pPr>
        <w:ind w:right="40" w:firstLine="1428"/>
        <w:spacing w:after="0" w:line="272" w:lineRule="auto"/>
        <w:tabs>
          <w:tab w:leader="none" w:pos="1687"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No adjustment in the Conversion Price shall be required unless such adjustment would require a cumulative increase or decrease of at least 1% in such price; provided, however, that any adjustments that by reason of this </w:t>
      </w:r>
      <w:r>
        <w:rPr>
          <w:rFonts w:ascii="Arial" w:cs="Arial" w:eastAsia="Arial" w:hAnsi="Arial"/>
          <w:sz w:val="17"/>
          <w:szCs w:val="17"/>
          <w:u w:val="single" w:color="auto"/>
          <w:color w:val="auto"/>
        </w:rPr>
        <w:t>Section 7(e)(3)</w:t>
      </w:r>
      <w:r>
        <w:rPr>
          <w:rFonts w:ascii="Arial" w:cs="Arial" w:eastAsia="Arial" w:hAnsi="Arial"/>
          <w:sz w:val="17"/>
          <w:szCs w:val="17"/>
          <w:color w:val="auto"/>
        </w:rPr>
        <w:t xml:space="preserve"> are not required to be made shall be carried forward and taken into account in any subsequent adjustment until made. Notwithstanding any other provisions of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the Trust shall not be required to make any adjustment of the Conversion Price for the issuance of any Common Shares pursuant to any plan providing for the reinvestment of distributions or interest payable on securities of the Trust and the investment of additional optional amounts in Common Shares under such plan. All calculations under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be made to the nearest cent (with $.005 being rounded upward) or to the nearest one-ten-thousandth of a share (with .0005 of a share being rounded upward), as the case may be.</w:t>
      </w:r>
    </w:p>
    <w:p>
      <w:pPr>
        <w:spacing w:after="0" w:line="69" w:lineRule="exact"/>
        <w:rPr>
          <w:rFonts w:ascii="Arial" w:cs="Arial" w:eastAsia="Arial" w:hAnsi="Arial"/>
          <w:sz w:val="17"/>
          <w:szCs w:val="17"/>
          <w:color w:val="auto"/>
        </w:rPr>
      </w:pPr>
    </w:p>
    <w:p>
      <w:pPr>
        <w:ind w:firstLine="987"/>
        <w:spacing w:after="0" w:line="285" w:lineRule="auto"/>
        <w:tabs>
          <w:tab w:leader="none" w:pos="1216"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Transactions</w:t>
      </w:r>
      <w:r>
        <w:rPr>
          <w:rFonts w:ascii="Arial" w:cs="Arial" w:eastAsia="Arial" w:hAnsi="Arial"/>
          <w:sz w:val="16"/>
          <w:szCs w:val="16"/>
          <w:color w:val="auto"/>
        </w:rPr>
        <w:t xml:space="preserve">. If the Trust shall be a party to any transaction (including without limitation a merger, consolidation, statutory share exchange, self tender offer for all or substantially all of the Common Shares, sale of all or substantially all of the Trust’s assets or recapitalization of the Common Shares and excluding any transaction as to which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applied) (each of the foregoing being referred to herein as a “Transaction”), in each case as a result of which Common Shares shall be converted into the right to receive shares, stock, securities or other property (including cash or any combination thereof), each Series 1 Preferred Share which is not converted into the right to receive shares, stock, securities or other property in connection with such Transaction shall thereafter be convertible into the kind and amount of shares, stock, securities and other property (including cash or any combination thereof) receivable upon the consummation of such Transaction by a holder of that number of Common Shares into which one Series 1 Preferred Share was convertible immediately prior to such Transaction, assuming such holder of Common Shares (1) is not a Person with which the Trust consolidated or into which the Trust merged or which merged into the Trust or to which such sale or transfer was made, as the case may be (a “Constituent Person”), or an affiliate of a Constituent Person and (2) failed to exercise his rights of election, if any, as to the kind or amount of shares, stock, securities and other property (including cash) receivable upon such Transaction (each a “Non-Electing Share”) (provided that if the kind or amount of shares, stock, securities and other property (including cash) receivable upon such Transaction by each Non-Electing Share is not the same for each Non-Electing Share, then the kind and amount of shares, stock, securities and other property (including cash) receivable upon such Transaction for each Non-Electing Share shall be deemed to be the kind and amount so receivable per share by a plurality of the Non-Electing Shares). The Trust shall not be a party to any Transaction unless the terms of such Transaction are consistent with the provisions of this </w:t>
      </w:r>
      <w:r>
        <w:rPr>
          <w:rFonts w:ascii="Arial" w:cs="Arial" w:eastAsia="Arial" w:hAnsi="Arial"/>
          <w:sz w:val="16"/>
          <w:szCs w:val="16"/>
          <w:u w:val="single" w:color="auto"/>
          <w:color w:val="auto"/>
        </w:rPr>
        <w:t>Section 7(f)</w:t>
      </w:r>
      <w:r>
        <w:rPr>
          <w:rFonts w:ascii="Arial" w:cs="Arial" w:eastAsia="Arial" w:hAnsi="Arial"/>
          <w:sz w:val="16"/>
          <w:szCs w:val="16"/>
          <w:color w:val="auto"/>
        </w:rPr>
        <w:t>, and it shall not consent or agree to the occurrence of any Transaction until the Trust has entered into an agreement with the successor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000"/>
          </w:cols>
          <w:pgMar w:left="440" w:top="274" w:right="459" w:bottom="1440" w:gutter="0" w:footer="0" w:header="0"/>
        </w:sectPr>
      </w:pPr>
    </w:p>
    <w:bookmarkStart w:id="50" w:name="page51"/>
    <w:bookmarkEnd w:id="50"/>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purchasing entity, as the case may be, for the benefit of the holders of the Series 1 Preferred Shares that will require such successor or purchasing entity, as the case may be, to make provision in its certificate or articles of incorporation or other constituent documents to the end that the provisions of this </w:t>
      </w:r>
      <w:r>
        <w:rPr>
          <w:rFonts w:ascii="Arial" w:cs="Arial" w:eastAsia="Arial" w:hAnsi="Arial"/>
          <w:sz w:val="18"/>
          <w:szCs w:val="18"/>
          <w:u w:val="single" w:color="auto"/>
          <w:color w:val="auto"/>
        </w:rPr>
        <w:t>Section 7(f)</w:t>
      </w:r>
      <w:r>
        <w:rPr>
          <w:rFonts w:ascii="Arial" w:cs="Arial" w:eastAsia="Arial" w:hAnsi="Arial"/>
          <w:sz w:val="18"/>
          <w:szCs w:val="18"/>
          <w:color w:val="auto"/>
        </w:rPr>
        <w:t xml:space="preserve"> shall thereafter correspondingly be made applicable, as nearly as may reasonably be, in relation to any shares of stock or other securities or property thereafter deliverable upon conversion of the Series 1 Preferred Shares. The provisions of this </w:t>
      </w:r>
      <w:r>
        <w:rPr>
          <w:rFonts w:ascii="Arial" w:cs="Arial" w:eastAsia="Arial" w:hAnsi="Arial"/>
          <w:sz w:val="18"/>
          <w:szCs w:val="18"/>
          <w:u w:val="single" w:color="auto"/>
          <w:color w:val="auto"/>
        </w:rPr>
        <w:t>Section 7(f)</w:t>
      </w:r>
      <w:r>
        <w:rPr>
          <w:rFonts w:ascii="Arial" w:cs="Arial" w:eastAsia="Arial" w:hAnsi="Arial"/>
          <w:sz w:val="18"/>
          <w:szCs w:val="18"/>
          <w:color w:val="auto"/>
        </w:rPr>
        <w:t xml:space="preserve"> shall similarly apply to successive Transactions.</w:t>
      </w:r>
    </w:p>
    <w:p>
      <w:pPr>
        <w:spacing w:after="0" w:line="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 If:</w:t>
      </w:r>
    </w:p>
    <w:p>
      <w:pPr>
        <w:spacing w:after="0" w:line="117" w:lineRule="exact"/>
        <w:rPr>
          <w:sz w:val="20"/>
          <w:szCs w:val="20"/>
          <w:color w:val="auto"/>
        </w:rPr>
      </w:pPr>
    </w:p>
    <w:p>
      <w:pPr>
        <w:ind w:right="460" w:firstLine="1428"/>
        <w:spacing w:after="0" w:line="277" w:lineRule="auto"/>
        <w:tabs>
          <w:tab w:leader="none" w:pos="16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 shall authorize the granting to all holders of the Common Shares of rights, options or warrants to subscribe for or purchase any shares of any class or any other rights, options or warrants; or</w:t>
      </w:r>
    </w:p>
    <w:p>
      <w:pPr>
        <w:spacing w:after="0" w:line="62" w:lineRule="exact"/>
        <w:rPr>
          <w:rFonts w:ascii="Arial" w:cs="Arial" w:eastAsia="Arial" w:hAnsi="Arial"/>
          <w:sz w:val="18"/>
          <w:szCs w:val="18"/>
          <w:color w:val="auto"/>
        </w:rPr>
      </w:pPr>
    </w:p>
    <w:p>
      <w:pPr>
        <w:ind w:firstLine="1428"/>
        <w:spacing w:after="0" w:line="257" w:lineRule="auto"/>
        <w:tabs>
          <w:tab w:leader="none" w:pos="16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there shall be any reclassifications of the Common Shares (other than an event to which </w:t>
      </w:r>
      <w:r>
        <w:rPr>
          <w:rFonts w:ascii="Arial" w:cs="Arial" w:eastAsia="Arial" w:hAnsi="Arial"/>
          <w:sz w:val="18"/>
          <w:szCs w:val="18"/>
          <w:u w:val="single" w:color="auto"/>
          <w:color w:val="auto"/>
        </w:rPr>
        <w:t>Section 7(e)(1)</w:t>
      </w:r>
      <w:r>
        <w:rPr>
          <w:rFonts w:ascii="Arial" w:cs="Arial" w:eastAsia="Arial" w:hAnsi="Arial"/>
          <w:sz w:val="18"/>
          <w:szCs w:val="18"/>
          <w:color w:val="auto"/>
        </w:rPr>
        <w:t xml:space="preserve"> applied) or any consolidation or merger to which the Trust is a party and for which approval of any shareholders of the Trust is required, or a statutory share exchange involving the conversion or exchange of Common Shares into securities or other property, or a self tender offer by the Trust for all or substantially all of its outstanding Common Shares, or the sale or transfer of all or substantially all of the assets of the Trust and for which approval of any stockholder of the Trust is required; or</w:t>
      </w:r>
    </w:p>
    <w:p>
      <w:pPr>
        <w:spacing w:after="0" w:line="79" w:lineRule="exact"/>
        <w:rPr>
          <w:rFonts w:ascii="Arial" w:cs="Arial" w:eastAsia="Arial" w:hAnsi="Arial"/>
          <w:sz w:val="18"/>
          <w:szCs w:val="18"/>
          <w:color w:val="auto"/>
        </w:rPr>
      </w:pPr>
    </w:p>
    <w:p>
      <w:pPr>
        <w:ind w:left="1680" w:hanging="252"/>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 shall occur the voluntary or involuntary liquidation, dissolution or winding up of the Trust,</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then the Trust shall cause to be filed with the Transfer Agent and shall cause to be mailed to the holders of the Series 1 Preferred Shares at their addresses as shown on the share records of the Trust, as promptly as possible, but at least fifteen (15) days prior to the applicable date hereinafter specified, a notice stating: (A) the date on which a record is to be taken for the purpose of such grant of rights, options or warrants, or, if a record is not to be taken, the date as of which the holders of Common Shares of record to be entitled to such grant of rights, options or warrants are to be determined, provided, however, that no such notification need be made in respect of a record or determination date for a grant of rights unless the corresponding adjustment in the Conversion Price would be an increase or decrease of at least 1%; or (B) the date on which such reclassification, consolidation, merger, statutory share exchange, self tender offer, sale, transfer, liquidation, dissolution or winding up is expected to become effective, and the date as of which it is expected that holders of Common Shares of record shall be entitled to exchange their Common Shares for securities or other property, if any, deliverable upon such reclassification, consolidation, merger, statutory share exchange, self tender offer, sale, transfer, liquidation, dissolution or winding up. Failure to give or receive such notice or any defect therein shall not affect the legality or validity of the proceedings described in this </w:t>
      </w:r>
      <w:r>
        <w:rPr>
          <w:rFonts w:ascii="Arial" w:cs="Arial" w:eastAsia="Arial" w:hAnsi="Arial"/>
          <w:sz w:val="17"/>
          <w:szCs w:val="17"/>
          <w:u w:val="single" w:color="auto"/>
          <w:color w:val="auto"/>
        </w:rPr>
        <w:t>Section 7</w:t>
      </w:r>
      <w:r>
        <w:rPr>
          <w:rFonts w:ascii="Arial" w:cs="Arial" w:eastAsia="Arial" w:hAnsi="Arial"/>
          <w:sz w:val="17"/>
          <w:szCs w:val="17"/>
          <w:color w:val="auto"/>
        </w:rPr>
        <w:t>.</w:t>
      </w:r>
    </w:p>
    <w:p>
      <w:pPr>
        <w:spacing w:after="0" w:line="74" w:lineRule="exact"/>
        <w:rPr>
          <w:sz w:val="20"/>
          <w:szCs w:val="20"/>
          <w:color w:val="auto"/>
        </w:rPr>
      </w:pPr>
    </w:p>
    <w:p>
      <w:pPr>
        <w:ind w:right="380" w:firstLine="436"/>
        <w:spacing w:after="0" w:line="286" w:lineRule="auto"/>
        <w:tabs>
          <w:tab w:leader="none" w:pos="695"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Notification of Adjustment</w:t>
      </w:r>
      <w:r>
        <w:rPr>
          <w:rFonts w:ascii="Arial" w:cs="Arial" w:eastAsia="Arial" w:hAnsi="Arial"/>
          <w:sz w:val="17"/>
          <w:szCs w:val="17"/>
          <w:color w:val="auto"/>
        </w:rPr>
        <w:t>. Whenever the Conversion Price is adjusted as herein provided, the Trust shall promptly file with the Transfer Agent an officer’s certificate setting forth the Conversion Price after such adjustment and setting forth a brief statement of the facts requiring such adjustment, which certificate shall be conclusive evidence of the correctness of such adjustment absent manifest error.</w:t>
      </w:r>
    </w:p>
    <w:p>
      <w:pPr>
        <w:spacing w:after="0" w:line="57" w:lineRule="exact"/>
        <w:rPr>
          <w:rFonts w:ascii="Arial" w:cs="Arial" w:eastAsia="Arial" w:hAnsi="Arial"/>
          <w:sz w:val="17"/>
          <w:szCs w:val="17"/>
          <w:color w:val="auto"/>
        </w:rPr>
      </w:pPr>
    </w:p>
    <w:p>
      <w:pPr>
        <w:ind w:right="40" w:firstLine="987"/>
        <w:spacing w:after="0" w:line="296" w:lineRule="auto"/>
        <w:tabs>
          <w:tab w:leader="none" w:pos="1206"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In any case in which </w:t>
      </w:r>
      <w:r>
        <w:rPr>
          <w:rFonts w:ascii="Arial" w:cs="Arial" w:eastAsia="Arial" w:hAnsi="Arial"/>
          <w:sz w:val="16"/>
          <w:szCs w:val="16"/>
          <w:u w:val="single" w:color="auto"/>
          <w:color w:val="auto"/>
        </w:rPr>
        <w:t>Section 7(c)</w:t>
      </w:r>
      <w:r>
        <w:rPr>
          <w:rFonts w:ascii="Arial" w:cs="Arial" w:eastAsia="Arial" w:hAnsi="Arial"/>
          <w:sz w:val="16"/>
          <w:szCs w:val="16"/>
          <w:color w:val="auto"/>
        </w:rPr>
        <w:t xml:space="preserve"> provides that an adjustment shall become effective on the date next following the record date for an event, the Trust may defer until the occurrence of such event: (A) issuing to the holder of any Series 1 Preferred Shares converted after such record date and before the occurrence of such event the additional Common Shares issuable upon such conversion by reason of the adjustment required by such event over and above the Common Shares issuable upon such conversion before giving effect to such adjustment; and (B) fractionalizing any Series 1 Preferred Share and/or paying to such holder any amount of cash in lieu of any fraction pursuant to </w:t>
      </w:r>
      <w:r>
        <w:rPr>
          <w:rFonts w:ascii="Arial" w:cs="Arial" w:eastAsia="Arial" w:hAnsi="Arial"/>
          <w:sz w:val="16"/>
          <w:szCs w:val="16"/>
          <w:u w:val="single" w:color="auto"/>
          <w:color w:val="auto"/>
        </w:rPr>
        <w:t>Section 7(d)</w:t>
      </w:r>
      <w:r>
        <w:rPr>
          <w:rFonts w:ascii="Arial" w:cs="Arial" w:eastAsia="Arial" w:hAnsi="Arial"/>
          <w:sz w:val="16"/>
          <w:szCs w:val="16"/>
          <w:color w:val="auto"/>
        </w:rPr>
        <w:t>.</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0960"/>
          </w:cols>
          <w:pgMar w:left="440" w:top="274" w:right="499" w:bottom="1440" w:gutter="0" w:footer="0" w:header="0"/>
        </w:sectPr>
      </w:pPr>
    </w:p>
    <w:bookmarkStart w:id="51" w:name="page52"/>
    <w:bookmarkEnd w:id="51"/>
    <w:p>
      <w:pPr>
        <w:jc w:val="both"/>
        <w:ind w:left="4" w:right="140" w:firstLine="987"/>
        <w:spacing w:after="0" w:line="279" w:lineRule="auto"/>
        <w:tabs>
          <w:tab w:leader="none" w:pos="1210" w:val="left"/>
        </w:tabs>
        <w:numPr>
          <w:ilvl w:val="1"/>
          <w:numId w:val="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There shall be no adjustment of the Conversion Price in case of the issuance of any shares of beneficial interest of the Trust in a reorganization, acquisition or other similar transaction except as specifically set forth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If any action or transaction would require adjustment of the Conversion Price pursuant to more than one subsection of this </w:t>
      </w:r>
      <w:r>
        <w:rPr>
          <w:rFonts w:ascii="Arial" w:cs="Arial" w:eastAsia="Arial" w:hAnsi="Arial"/>
          <w:sz w:val="17"/>
          <w:szCs w:val="17"/>
          <w:u w:val="single" w:color="auto"/>
          <w:color w:val="auto"/>
        </w:rPr>
        <w:t>Section 7</w:t>
      </w:r>
      <w:r>
        <w:rPr>
          <w:rFonts w:ascii="Arial" w:cs="Arial" w:eastAsia="Arial" w:hAnsi="Arial"/>
          <w:sz w:val="17"/>
          <w:szCs w:val="17"/>
          <w:color w:val="auto"/>
        </w:rPr>
        <w:t>, only one adjustment shall be made to the Conversion Price, and such adjustment shall be the amount of adjustment that has the highest absolute value.</w:t>
      </w:r>
    </w:p>
    <w:p>
      <w:pPr>
        <w:spacing w:after="0" w:line="63" w:lineRule="exact"/>
        <w:rPr>
          <w:rFonts w:ascii="Arial" w:cs="Arial" w:eastAsia="Arial" w:hAnsi="Arial"/>
          <w:sz w:val="17"/>
          <w:szCs w:val="17"/>
          <w:color w:val="auto"/>
        </w:rPr>
      </w:pPr>
    </w:p>
    <w:p>
      <w:pPr>
        <w:jc w:val="both"/>
        <w:ind w:left="4" w:right="120" w:firstLine="987"/>
        <w:spacing w:after="0" w:line="259" w:lineRule="auto"/>
        <w:tabs>
          <w:tab w:leader="none" w:pos="125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If the Trust shall take any action affecting the Common Shares, other than action described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that in the opinion of the Board of Trustees would materially adversely affect the conversion rights of the holders of the Series 1 Preferred Shares, the Conversion Price may be adjusted, to the extent permitted by law, in such manner, if any, and at such time, as the Board of Trustees, in its sole discretion, may determine to be equitable in the circumstances.</w:t>
      </w:r>
    </w:p>
    <w:p>
      <w:pPr>
        <w:spacing w:after="0" w:line="78" w:lineRule="exact"/>
        <w:rPr>
          <w:rFonts w:ascii="Arial" w:cs="Arial" w:eastAsia="Arial" w:hAnsi="Arial"/>
          <w:sz w:val="18"/>
          <w:szCs w:val="18"/>
          <w:color w:val="auto"/>
        </w:rPr>
      </w:pPr>
    </w:p>
    <w:p>
      <w:pPr>
        <w:ind w:left="4" w:right="20" w:firstLine="987"/>
        <w:spacing w:after="0" w:line="269" w:lineRule="auto"/>
        <w:tabs>
          <w:tab w:leader="none" w:pos="1210" w:val="left"/>
        </w:tabs>
        <w:numPr>
          <w:ilvl w:val="1"/>
          <w:numId w:val="61"/>
        </w:numPr>
        <w:rPr>
          <w:rFonts w:ascii="Arial" w:cs="Arial" w:eastAsia="Arial" w:hAnsi="Arial"/>
          <w:sz w:val="17"/>
          <w:szCs w:val="17"/>
          <w:color w:val="auto"/>
        </w:rPr>
      </w:pPr>
      <w:r>
        <w:rPr>
          <w:rFonts w:ascii="Arial" w:cs="Arial" w:eastAsia="Arial" w:hAnsi="Arial"/>
          <w:sz w:val="17"/>
          <w:szCs w:val="17"/>
          <w:color w:val="auto"/>
        </w:rPr>
        <w:t xml:space="preserve">The Trust covenants that it will at all times reserve and keep available, free from preemptive rights, out of the aggregate of its authorized but unissued Common Shares, for the purpose of effecting conversion of the Series 1 Preferred Shares, the maximum number of Common Shares deliverable upon the conversion of all outstanding Series 1 Preferred Shares not theretofore converted. For purposes of this </w:t>
      </w:r>
      <w:r>
        <w:rPr>
          <w:rFonts w:ascii="Arial" w:cs="Arial" w:eastAsia="Arial" w:hAnsi="Arial"/>
          <w:sz w:val="17"/>
          <w:szCs w:val="17"/>
          <w:u w:val="single" w:color="auto"/>
          <w:color w:val="auto"/>
        </w:rPr>
        <w:t>Section 7(l)</w:t>
      </w:r>
      <w:r>
        <w:rPr>
          <w:rFonts w:ascii="Arial" w:cs="Arial" w:eastAsia="Arial" w:hAnsi="Arial"/>
          <w:sz w:val="17"/>
          <w:szCs w:val="17"/>
          <w:color w:val="auto"/>
        </w:rPr>
        <w:t>, the number of Common Shares that shall be deliverable upon the conversion of all outstanding Series 1 Preferred Shares shall be computed as if at the time of computation all such outstanding shares were held by a single holder. The Trust covenants that any Common Shares issued upon conversion of the Series 1 Preferred Shares shall be validly issued, fully paid and nonassessable. Before taking any action that would cause an adjustment reducing the Conversion Price below the then par value of the Common Shares deliverable upon conversion of the Series 1 Preferred Shares, the Trust will take any action that, in the opinion of its counsel, may be necessary in order that the Company may validly and legally issue fully paid and nonassessable Common Shares at such adjusted Conversion Price. The Trust shall endeavor to list the Common Shares required to be delivered upon conversion of the Series 1 Preferred Shares, prior to such delivery, upon each national securities exchange, if any, upon which the outstanding Common Shares are listed at the time of such delivery.</w:t>
      </w:r>
    </w:p>
    <w:p>
      <w:pPr>
        <w:spacing w:after="0" w:line="73" w:lineRule="exact"/>
        <w:rPr>
          <w:rFonts w:ascii="Arial" w:cs="Arial" w:eastAsia="Arial" w:hAnsi="Arial"/>
          <w:sz w:val="17"/>
          <w:szCs w:val="17"/>
          <w:color w:val="auto"/>
        </w:rPr>
      </w:pPr>
    </w:p>
    <w:p>
      <w:pPr>
        <w:ind w:left="4" w:firstLine="987"/>
        <w:spacing w:after="0" w:line="255"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Trust will pay any and all documentary stamp or similar issue or transfer taxes payable in respect of the issue or delivery of Common Shares or other securities or property on conversion of the Series 1 Preferred Shares pursuant hereto; provided, however, that the Trust shall not be required to pay any tax that may be payable in respect of any transfer involved in the issue or delivery of Common Shares or other securities or property in a name other than that of the holder of the Series 1 Preferred Shares to be converted, and no such issue or delivery shall be made unless and until the Person requesting such issue or delivery has paid to the Trust the amount of any such tax or has established, to the reasonable satisfaction of the Trust, that such tax has been paid.</w:t>
      </w:r>
    </w:p>
    <w:p>
      <w:pPr>
        <w:spacing w:after="0" w:line="84" w:lineRule="exact"/>
        <w:rPr>
          <w:rFonts w:ascii="Arial" w:cs="Arial" w:eastAsia="Arial" w:hAnsi="Arial"/>
          <w:sz w:val="18"/>
          <w:szCs w:val="18"/>
          <w:color w:val="auto"/>
        </w:rPr>
      </w:pPr>
    </w:p>
    <w:p>
      <w:pPr>
        <w:ind w:left="4" w:right="180" w:hanging="4"/>
        <w:spacing w:after="0" w:line="263" w:lineRule="auto"/>
        <w:tabs>
          <w:tab w:leader="none" w:pos="259"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Application of Article VII</w:t>
      </w:r>
      <w:r>
        <w:rPr>
          <w:rFonts w:ascii="Arial" w:cs="Arial" w:eastAsia="Arial" w:hAnsi="Arial"/>
          <w:sz w:val="18"/>
          <w:szCs w:val="18"/>
          <w:color w:val="auto"/>
        </w:rPr>
        <w:t xml:space="preserve">. The designations, powers, preferences and relative participating, optional or other special rights, and the qualifications, limitations or restrictions, of the Series 1 Preferred Shares shall be subject in all cases to the provisions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of the Declaration of Trust regarding limitations on beneficial ownership of the Trust’s equity securities.</w:t>
      </w:r>
    </w:p>
    <w:p>
      <w:pPr>
        <w:spacing w:after="0" w:line="75" w:lineRule="exact"/>
        <w:rPr>
          <w:rFonts w:ascii="Arial" w:cs="Arial" w:eastAsia="Arial" w:hAnsi="Arial"/>
          <w:sz w:val="18"/>
          <w:szCs w:val="18"/>
          <w:color w:val="auto"/>
        </w:rPr>
      </w:pPr>
    </w:p>
    <w:p>
      <w:pPr>
        <w:ind w:left="4" w:right="200" w:hanging="4"/>
        <w:spacing w:after="0" w:line="277" w:lineRule="auto"/>
        <w:tabs>
          <w:tab w:leader="none" w:pos="259"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Shares to be Retired</w:t>
      </w:r>
      <w:r>
        <w:rPr>
          <w:rFonts w:ascii="Arial" w:cs="Arial" w:eastAsia="Arial" w:hAnsi="Arial"/>
          <w:sz w:val="18"/>
          <w:szCs w:val="18"/>
          <w:color w:val="auto"/>
        </w:rPr>
        <w:t>. All Series 1 Preferred Shares which shall have been issued and reacquired in any manner by the Trust shall be restored to the status of authorized but unissued Preferred Shares, without designation as to class or series.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0984"/>
          </w:cols>
          <w:pgMar w:left="436" w:top="274" w:right="479" w:bottom="1440" w:gutter="0" w:footer="0" w:header="0"/>
        </w:sectPr>
      </w:pPr>
    </w:p>
    <w:bookmarkStart w:id="52" w:name="page53"/>
    <w:bookmarkEnd w:id="52"/>
    <w:p>
      <w:pPr>
        <w:ind w:left="4" w:right="200" w:hanging="4"/>
        <w:spacing w:after="0" w:line="308" w:lineRule="auto"/>
        <w:tabs>
          <w:tab w:leader="none" w:pos="349"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 Holders</w:t>
      </w:r>
      <w:r>
        <w:rPr>
          <w:rFonts w:ascii="Arial" w:cs="Arial" w:eastAsia="Arial" w:hAnsi="Arial"/>
          <w:sz w:val="17"/>
          <w:szCs w:val="17"/>
          <w:color w:val="auto"/>
        </w:rPr>
        <w:t>. The Trust and the Transfer Agent may deem and treat the record holder of any Series 1 Preferred Shares as the true and lawful owner thereof for all purposes, and neither the Trust nor the Transfer Agent shall be affected by any notice to the contrary.</w:t>
      </w:r>
    </w:p>
    <w:p>
      <w:pPr>
        <w:spacing w:after="0" w:line="38" w:lineRule="exact"/>
        <w:rPr>
          <w:rFonts w:ascii="Arial" w:cs="Arial" w:eastAsia="Arial" w:hAnsi="Arial"/>
          <w:sz w:val="17"/>
          <w:szCs w:val="17"/>
          <w:color w:val="auto"/>
        </w:rPr>
      </w:pPr>
    </w:p>
    <w:p>
      <w:pPr>
        <w:ind w:left="344" w:hanging="344"/>
        <w:spacing w:after="0"/>
        <w:tabs>
          <w:tab w:leader="none" w:pos="34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Sinking Fund</w:t>
      </w:r>
      <w:r>
        <w:rPr>
          <w:rFonts w:ascii="Arial" w:cs="Arial" w:eastAsia="Arial" w:hAnsi="Arial"/>
          <w:sz w:val="18"/>
          <w:szCs w:val="18"/>
          <w:color w:val="auto"/>
        </w:rPr>
        <w:t>. The Series 1 Preferred Shares shall not be entitled to the benefits of any retirement or sinking fund.</w:t>
      </w:r>
    </w:p>
    <w:p>
      <w:pPr>
        <w:spacing w:after="0" w:line="117" w:lineRule="exact"/>
        <w:rPr>
          <w:rFonts w:ascii="Arial" w:cs="Arial" w:eastAsia="Arial" w:hAnsi="Arial"/>
          <w:sz w:val="18"/>
          <w:szCs w:val="18"/>
          <w:color w:val="auto"/>
        </w:rPr>
      </w:pPr>
    </w:p>
    <w:p>
      <w:pPr>
        <w:ind w:left="4" w:hanging="4"/>
        <w:spacing w:after="0" w:line="286" w:lineRule="auto"/>
        <w:tabs>
          <w:tab w:leader="none" w:pos="349"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Certificates; Registration</w:t>
      </w:r>
      <w:r>
        <w:rPr>
          <w:rFonts w:ascii="Arial" w:cs="Arial" w:eastAsia="Arial" w:hAnsi="Arial"/>
          <w:sz w:val="17"/>
          <w:szCs w:val="17"/>
          <w:color w:val="auto"/>
        </w:rPr>
        <w:t>. The Series 1 Preferred Shares shall not be certificated at any time. Upon issuance, the Series 1 Preferred Shares shall be registered at the Transfer Agent in the names of the holders thereof, as applicable. The holders of the Series 1 Preferred Shares may not transfer the Series 1 Preferred Shares to brokerage accounts to be held in “street name” or otherwise at any time.</w:t>
      </w:r>
    </w:p>
    <w:p>
      <w:pPr>
        <w:spacing w:after="0" w:line="98"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0864"/>
          </w:cols>
          <w:pgMar w:left="436" w:top="274" w:right="59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 to Annex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OPTIONAL CONVERSION NOTICE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SERIES 1 PREFERRED SHARES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RESPONSE TO THIS NOTICE IS REQUIRED WITHIN FIVE (5) BUSINESS DAYS AFTER RECEIPT</w:t>
      </w:r>
    </w:p>
    <w:p>
      <w:pPr>
        <w:spacing w:after="0" w:line="22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_____________, 20___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909 Rose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Bethesda, MD 20852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Accounting Officer</w:t>
      </w:r>
    </w:p>
    <w:p>
      <w:pPr>
        <w:spacing w:after="0" w:line="1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Optional Conversion of Series 1 Preferred Shares</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Pursuant to the Declaration of Trust of the Trust as in effect on the date hereof, the undersigned holder of Series 1 Preferred Shares (“Holder”) hereby tenders to the Trust for conversion all or a portion of his/her/its Series 1 Preferred Shares into Common Shares of the Trust as follows: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Number of Series 1 Preferred Shares Held as of the date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Number of Series 1 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undersigned Holder hereby represents, warrants, certifies and agrees as of the date of this Optional Conversion Notice and as of the date of the closing of the conversion that:</w:t>
      </w:r>
    </w:p>
    <w:p>
      <w:pPr>
        <w:spacing w:after="0" w:line="62" w:lineRule="exact"/>
        <w:rPr>
          <w:sz w:val="20"/>
          <w:szCs w:val="20"/>
          <w:color w:val="auto"/>
        </w:rPr>
      </w:pPr>
    </w:p>
    <w:p>
      <w:pPr>
        <w:ind w:left="440" w:right="420" w:firstLine="419"/>
        <w:spacing w:after="0" w:line="308" w:lineRule="auto"/>
        <w:tabs>
          <w:tab w:leader="none" w:pos="110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undersigned Holder has, and at the closing of the conversion will have, good, marketable and unencumbered title to the Series 1 Preferred Shares being tendered for conversion, free and clear of the rights or interests of any other person or entity;</w:t>
      </w:r>
    </w:p>
    <w:p>
      <w:pPr>
        <w:spacing w:after="0" w:line="38" w:lineRule="exact"/>
        <w:rPr>
          <w:rFonts w:ascii="Arial" w:cs="Arial" w:eastAsia="Arial" w:hAnsi="Arial"/>
          <w:sz w:val="17"/>
          <w:szCs w:val="17"/>
          <w:color w:val="auto"/>
        </w:rPr>
      </w:pPr>
    </w:p>
    <w:p>
      <w:pPr>
        <w:ind w:left="440" w:right="60" w:firstLine="419"/>
        <w:spacing w:after="0" w:line="277" w:lineRule="auto"/>
        <w:tabs>
          <w:tab w:leader="none" w:pos="11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undersigned Holder has, and at the closing of the conversion will have, the full right, power and authority to tender and surrender the Series 1 Preferred Shares being tendered for conversion;</w:t>
      </w:r>
    </w:p>
    <w:p>
      <w:pPr>
        <w:spacing w:after="0" w:line="62" w:lineRule="exact"/>
        <w:rPr>
          <w:rFonts w:ascii="Arial" w:cs="Arial" w:eastAsia="Arial" w:hAnsi="Arial"/>
          <w:sz w:val="18"/>
          <w:szCs w:val="18"/>
          <w:color w:val="auto"/>
        </w:rPr>
      </w:pPr>
    </w:p>
    <w:p>
      <w:pPr>
        <w:ind w:left="440" w:right="140" w:firstLine="419"/>
        <w:spacing w:after="0" w:line="277" w:lineRule="auto"/>
        <w:tabs>
          <w:tab w:leader="none" w:pos="11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undersigned Holder has obtained the consent or approval of all persons and entities, if any, having the right to consent to or approve such conversion; and</w:t>
      </w:r>
    </w:p>
    <w:p>
      <w:pPr>
        <w:spacing w:after="0" w:line="62" w:lineRule="exact"/>
        <w:rPr>
          <w:rFonts w:ascii="Arial" w:cs="Arial" w:eastAsia="Arial" w:hAnsi="Arial"/>
          <w:sz w:val="18"/>
          <w:szCs w:val="18"/>
          <w:color w:val="auto"/>
        </w:rPr>
      </w:pPr>
    </w:p>
    <w:p>
      <w:pPr>
        <w:ind w:left="440" w:firstLine="419"/>
        <w:spacing w:after="0" w:line="259" w:lineRule="auto"/>
        <w:tabs>
          <w:tab w:leader="none" w:pos="11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after giving effect to the conversion, the undersigned Holder (or any related party) will not own Common Shares of the Trust in excess of the ownership limit specified in the Trust’s Declaration of Trust as in effect on the date hereof after taking into account (i) the actual and constructive stock ownership rules of the Internal Revenue Code of 1986, as amended, and (ii) any other additional Common Shares of the Trust which the undersigned Holder has acquired or intends to acquire prior to the closing the conversion.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000"/>
          </w:cols>
          <w:pgMar w:left="440" w:top="270" w:right="459" w:bottom="1440" w:gutter="0" w:footer="0" w:header="0"/>
        </w:sectPr>
      </w:pPr>
    </w:p>
    <w:bookmarkStart w:id="54" w:name="page55"/>
    <w:bookmarkEnd w:id="5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Common Shares to be issued upon this conversion are to be certificated, then the certificates will be delivered to the address for the Holder currently maintained on the books and records of the Trust unless a different address is specified below. If the Common Shares to be issued upon this conversion are not to be certificated, then the change in the Holder’s ownership of Common Shares shall be reflected in the books and records of the Trust and/or Transfer Agent, as applicable.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capitalized terms used herein and not otherwise defined shall have the meanings set forth in the Declaration of Trust of the Trust as in effect on the date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(Printed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 Guaranteed by:</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0820"/>
          </w:cols>
          <w:pgMar w:left="440" w:top="274" w:right="639" w:bottom="1440" w:gutter="0" w:footer="0" w:header="0"/>
        </w:sectPr>
      </w:pPr>
    </w:p>
    <w:bookmarkStart w:id="55" w:name="page56"/>
    <w:bookmarkEnd w:id="55"/>
    <w:p>
      <w:pPr>
        <w:jc w:val="center"/>
        <w:ind w:right="-1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 to Annex 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MANDATORY CONVERSION NOTICE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SERIES 1 PREFERRED 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27946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460375</wp:posOffset>
            </wp:positionV>
            <wp:extent cx="27946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614680</wp:posOffset>
            </wp:positionV>
            <wp:extent cx="27946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768985</wp:posOffset>
            </wp:positionV>
            <wp:extent cx="27946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Mandatory Conversion of Series 1 Preferred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_____________:</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Declaration of Trust of the Trust as in effect on the date hereof, the Trust hereby elects to convert to Common Shares all or a portion of your Series 1 Preferred Shares as follows: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Number of Series 1 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Mandatory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Number of Common Shares to be Issued upon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Mandatory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Amount of Accrued Dividends to be Paid on the Mandatory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-10795</wp:posOffset>
            </wp:positionV>
            <wp:extent cx="34201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Amount of Cash Payable for Fractional Shares upon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5715</wp:posOffset>
            </wp:positionV>
            <wp:extent cx="34201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herein and not otherwise defined shall have the meanings set forth in the Declaration of Trust of the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0840"/>
          </w:cols>
          <w:pgMar w:left="440" w:top="270" w:right="619" w:bottom="1440" w:gutter="0" w:footer="0" w:header="0"/>
        </w:sectPr>
      </w:pPr>
    </w:p>
    <w:bookmarkStart w:id="56" w:name="page57"/>
    <w:bookmarkEnd w:id="56"/>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Series C Preferred Shares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5.000% SERIES C CUMULATIVE REDEEMABLE PREFERRED SHARES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86" w:lineRule="auto"/>
        <w:rPr>
          <w:sz w:val="20"/>
          <w:szCs w:val="20"/>
          <w:color w:val="auto"/>
        </w:rPr>
      </w:pPr>
      <w:r>
        <w:rPr>
          <w:rFonts w:ascii="Arial" w:cs="Arial" w:eastAsia="Arial" w:hAnsi="Arial"/>
          <w:sz w:val="17"/>
          <w:szCs w:val="17"/>
          <w:color w:val="auto"/>
        </w:rPr>
        <w:t>Unless the context otherwise requires, the terms defined in this paragraph (A) shall have, for all purposes of the provisions of the Declaration in respect of the Series C Preferred Shares, the meanings herein specified (with terms defined in the singular having comparable meanings when used in the plural). Capitalized terms used but undefined in this Annex D have the meanings given to them in the Declaration.</w:t>
      </w:r>
    </w:p>
    <w:p>
      <w:pPr>
        <w:spacing w:after="0" w:line="165" w:lineRule="exact"/>
        <w:rPr>
          <w:sz w:val="20"/>
          <w:szCs w:val="20"/>
          <w:color w:val="auto"/>
        </w:rPr>
      </w:pPr>
    </w:p>
    <w:p>
      <w:pPr>
        <w:ind w:right="120" w:firstLine="991"/>
        <w:spacing w:after="0" w:line="308" w:lineRule="auto"/>
        <w:rPr>
          <w:sz w:val="20"/>
          <w:szCs w:val="20"/>
          <w:color w:val="auto"/>
        </w:rPr>
      </w:pPr>
      <w:r>
        <w:rPr>
          <w:rFonts w:ascii="Arial" w:cs="Arial" w:eastAsia="Arial" w:hAnsi="Arial"/>
          <w:sz w:val="17"/>
          <w:szCs w:val="17"/>
          <w:u w:val="single" w:color="auto"/>
          <w:color w:val="auto"/>
        </w:rPr>
        <w:t>Business Day</w:t>
      </w:r>
      <w:r>
        <w:rPr>
          <w:rFonts w:ascii="Arial" w:cs="Arial" w:eastAsia="Arial" w:hAnsi="Arial"/>
          <w:sz w:val="17"/>
          <w:szCs w:val="17"/>
          <w:color w:val="auto"/>
        </w:rPr>
        <w:t>. The term “Business Day” shall mean any day, other than a Saturday or Sunday, that is neither a legal holiday nor a day on which banking institutions in New York City are authorized or required by law, regulation or executive order to close.</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auto"/>
        </w:rPr>
        <w:t>Capital Gains Amount</w:t>
      </w:r>
      <w:r>
        <w:rPr>
          <w:rFonts w:ascii="Arial" w:cs="Arial" w:eastAsia="Arial" w:hAnsi="Arial"/>
          <w:sz w:val="16"/>
          <w:szCs w:val="16"/>
          <w:color w:val="auto"/>
        </w:rPr>
        <w:t>. The term “Capital Gains Amount” shall have the meaning set forth in subparagraph (7) of paragraph (B) below.</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The term “Code” shall mean the Internal Revenue Code of 1986, as amended from time to time.</w:t>
      </w:r>
    </w:p>
    <w:p>
      <w:pPr>
        <w:spacing w:after="0" w:line="225" w:lineRule="exact"/>
        <w:rPr>
          <w:sz w:val="20"/>
          <w:szCs w:val="20"/>
          <w:color w:val="auto"/>
        </w:rPr>
      </w:pPr>
    </w:p>
    <w:p>
      <w:pPr>
        <w:ind w:right="240" w:firstLine="991"/>
        <w:spacing w:after="0" w:line="286" w:lineRule="auto"/>
        <w:rPr>
          <w:sz w:val="20"/>
          <w:szCs w:val="20"/>
          <w:color w:val="auto"/>
        </w:rPr>
      </w:pPr>
      <w:r>
        <w:rPr>
          <w:rFonts w:ascii="Arial" w:cs="Arial" w:eastAsia="Arial" w:hAnsi="Arial"/>
          <w:sz w:val="17"/>
          <w:szCs w:val="17"/>
          <w:u w:val="single" w:color="auto"/>
          <w:color w:val="auto"/>
        </w:rPr>
        <w:t>Common Equity</w:t>
      </w:r>
      <w:r>
        <w:rPr>
          <w:rFonts w:ascii="Arial" w:cs="Arial" w:eastAsia="Arial" w:hAnsi="Arial"/>
          <w:sz w:val="17"/>
          <w:szCs w:val="17"/>
          <w:color w:val="auto"/>
        </w:rPr>
        <w:t>. The term “Common Equity” shall mean all Common Shares now or hereafter authorized, and any other Shares of the Trust, howsoever designated, authorized after the Initial Issue Date, which have the right (subject always to prior rights of any class or series of Preferred Shares) to participate in the distribution of the assets and earnings of the Trust without limit as to per share amount.</w:t>
      </w:r>
    </w:p>
    <w:p>
      <w:pPr>
        <w:spacing w:after="0" w:line="165"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u w:val="single" w:color="auto"/>
          <w:color w:val="auto"/>
        </w:rPr>
        <w:t>Depositary Shares</w:t>
      </w:r>
      <w:r>
        <w:rPr>
          <w:rFonts w:ascii="Arial" w:cs="Arial" w:eastAsia="Arial" w:hAnsi="Arial"/>
          <w:sz w:val="18"/>
          <w:szCs w:val="18"/>
          <w:color w:val="auto"/>
        </w:rPr>
        <w:t>. The term “Depositary Shares” shall mean the Depositary Shares each representing a one-one thousandth (1/1000) fractional interest in a Series C Preferred Share.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The term “Dividends” shall have the meaning set forth in subparagraph (7) of paragraph (B) below.</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auto"/>
        </w:rPr>
        <w:t>Dividend Payment Date</w:t>
      </w:r>
      <w:r>
        <w:rPr>
          <w:rFonts w:ascii="Arial" w:cs="Arial" w:eastAsia="Arial" w:hAnsi="Arial"/>
          <w:sz w:val="16"/>
          <w:szCs w:val="16"/>
          <w:color w:val="auto"/>
        </w:rPr>
        <w:t>. The term “Dividend Payment Date” shall have the meaning set forth in subparagraph (2) of paragraph (B) below.</w:t>
      </w:r>
    </w:p>
    <w:p>
      <w:pPr>
        <w:spacing w:after="0" w:line="248"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u w:val="single" w:color="auto"/>
          <w:color w:val="auto"/>
        </w:rPr>
        <w:t>Dividend Period</w:t>
      </w:r>
      <w:r>
        <w:rPr>
          <w:rFonts w:ascii="Arial" w:cs="Arial" w:eastAsia="Arial" w:hAnsi="Arial"/>
          <w:sz w:val="18"/>
          <w:szCs w:val="18"/>
          <w:color w:val="auto"/>
        </w:rPr>
        <w:t>. The term “Dividend Period” with respect to a Series C Preferred Share shall mean the period from, and including, the Initial Issue Date to, but excluding, the first Dividend Payment Date and thereafter, each quarterly period from, and including, the Dividend Payment Date commencing such period to, but excluding, the succeeding Dividend Payment Date.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u w:val="single" w:color="auto"/>
          <w:color w:val="auto"/>
        </w:rPr>
        <w:t>Initial Issue Date</w:t>
      </w:r>
      <w:r>
        <w:rPr>
          <w:rFonts w:ascii="Arial" w:cs="Arial" w:eastAsia="Arial" w:hAnsi="Arial"/>
          <w:sz w:val="17"/>
          <w:szCs w:val="17"/>
          <w:color w:val="auto"/>
        </w:rPr>
        <w:t>. The term “Initial Issue Date” shall mean the date that Series C Preferred Shares are first issued by the Trust.</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IRS</w:t>
      </w:r>
      <w:r>
        <w:rPr>
          <w:rFonts w:ascii="Arial" w:cs="Arial" w:eastAsia="Arial" w:hAnsi="Arial"/>
          <w:sz w:val="18"/>
          <w:szCs w:val="18"/>
          <w:i w:val="1"/>
          <w:iCs w:val="1"/>
          <w:color w:val="auto"/>
        </w:rPr>
        <w:t>.</w:t>
      </w:r>
      <w:r>
        <w:rPr>
          <w:rFonts w:ascii="Arial" w:cs="Arial" w:eastAsia="Arial" w:hAnsi="Arial"/>
          <w:sz w:val="18"/>
          <w:szCs w:val="18"/>
          <w:color w:val="auto"/>
        </w:rPr>
        <w:t xml:space="preserve"> The term “IRS” means the United States Internal Revenue Service.</w:t>
      </w:r>
    </w:p>
    <w:p>
      <w:pPr>
        <w:sectPr>
          <w:pgSz w:w="11900" w:h="16838" w:orient="portrait"/>
          <w:cols w:equalWidth="0" w:num="1">
            <w:col w:w="10940"/>
          </w:cols>
          <w:pgMar w:left="440" w:top="270" w:right="519" w:bottom="1440" w:gutter="0" w:footer="0" w:header="0"/>
        </w:sectPr>
      </w:pPr>
    </w:p>
    <w:bookmarkStart w:id="57" w:name="page58"/>
    <w:bookmarkEnd w:id="57"/>
    <w:p>
      <w:pPr>
        <w:ind w:left="4" w:firstLine="991"/>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Junior Shares</w:t>
      </w:r>
      <w:r>
        <w:rPr>
          <w:rFonts w:ascii="Arial" w:cs="Arial" w:eastAsia="Arial" w:hAnsi="Arial"/>
          <w:sz w:val="18"/>
          <w:szCs w:val="18"/>
          <w:color w:val="auto"/>
        </w:rPr>
        <w:t>. The term “Junior Shares” shall mean, as the case may be, (i) the Common Equity and any other class or series of Shares of the Trust which are not entitled to receive any dividends in any Dividend Period unless all dividends required to have been paid or declared and set apart for payment on the Series C Preferred Shares shall have been so paid or declared and set apart for payment or (ii) the Common Equity and any other class or series of Shares of the Trust, which are not entitled to receive any assets upon liquidation, dissolution or winding up of the affairs of the Trust until the Series C Preferred Shares shall have received the entire amount to which such Series C Preferred Shares are entitled upon such liquidation, dissolution or winding up.</w:t>
      </w:r>
    </w:p>
    <w:p>
      <w:pPr>
        <w:spacing w:after="0" w:line="84"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 The term “Liquidation Preference” shall mean $25,000.00 per Series C Preferred Share.</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The term “Notice” shall have the meaning set forth in subparagraph (4) of paragraph (D) below.</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NYSE</w:t>
      </w:r>
      <w:r>
        <w:rPr>
          <w:rFonts w:ascii="Arial" w:cs="Arial" w:eastAsia="Arial" w:hAnsi="Arial"/>
          <w:sz w:val="18"/>
          <w:szCs w:val="18"/>
          <w:color w:val="auto"/>
        </w:rPr>
        <w:t>. The term “NYSE” shall mean New York Stock Exchange, Inc., including any successor thereto.</w:t>
      </w:r>
    </w:p>
    <w:p>
      <w:pPr>
        <w:spacing w:after="0" w:line="117" w:lineRule="exact"/>
        <w:rPr>
          <w:sz w:val="20"/>
          <w:szCs w:val="20"/>
          <w:color w:val="auto"/>
        </w:rPr>
      </w:pPr>
    </w:p>
    <w:p>
      <w:pPr>
        <w:ind w:left="4" w:right="40" w:firstLine="991"/>
        <w:spacing w:after="0" w:line="286" w:lineRule="auto"/>
        <w:rPr>
          <w:sz w:val="20"/>
          <w:szCs w:val="20"/>
          <w:color w:val="auto"/>
        </w:rPr>
      </w:pPr>
      <w:r>
        <w:rPr>
          <w:rFonts w:ascii="Arial" w:cs="Arial" w:eastAsia="Arial" w:hAnsi="Arial"/>
          <w:sz w:val="17"/>
          <w:szCs w:val="17"/>
          <w:u w:val="single" w:color="auto"/>
          <w:color w:val="auto"/>
        </w:rPr>
        <w:t>Parity Shares</w:t>
      </w:r>
      <w:r>
        <w:rPr>
          <w:rFonts w:ascii="Arial" w:cs="Arial" w:eastAsia="Arial" w:hAnsi="Arial"/>
          <w:sz w:val="17"/>
          <w:szCs w:val="17"/>
          <w:color w:val="auto"/>
        </w:rPr>
        <w:t>. The term “Parity Shares” shall mean, as the case may be, (i) any class or series of Shares of the Trust which are entitled to receive payment of dividends on a parity with the Series C Preferred Shares or (ii) any class or series of Shares of the Trust which are entitled to receive assets upon liquidation, dissolution or winding up of the affairs of the Trust on a parity with the Series C Preferred Shares.</w:t>
      </w:r>
    </w:p>
    <w:p>
      <w:pPr>
        <w:spacing w:after="0" w:line="57"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The term “Record Date” shall mean the date designated by the Board of Trustees at the time a dividend is authorized as the date for determining shareholders entitled to payment of the dividend; provided, however, that such Record Date shall be the first day of the calendar month in which the applicable Dividend Payment Date falls or such other date designated by the Board of Trustees that is not more than thirty (30) days nor less than ten (10) days prior to such Dividend Payment Date.</w:t>
      </w:r>
    </w:p>
    <w:p>
      <w:pPr>
        <w:spacing w:after="0" w:line="79"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Redemption Date</w:t>
      </w:r>
      <w:r>
        <w:rPr>
          <w:rFonts w:ascii="Arial" w:cs="Arial" w:eastAsia="Arial" w:hAnsi="Arial"/>
          <w:sz w:val="18"/>
          <w:szCs w:val="18"/>
          <w:color w:val="auto"/>
        </w:rPr>
        <w:t>. The term “Redemption Date” shall have the meaning set forth in subparagraph (2) of paragraph (D) below.</w:t>
      </w:r>
    </w:p>
    <w:p>
      <w:pPr>
        <w:spacing w:after="0" w:line="117" w:lineRule="exact"/>
        <w:rPr>
          <w:sz w:val="20"/>
          <w:szCs w:val="20"/>
          <w:color w:val="auto"/>
        </w:rPr>
      </w:pPr>
    </w:p>
    <w:p>
      <w:pPr>
        <w:ind w:left="4" w:right="400" w:firstLine="991"/>
        <w:spacing w:after="0" w:line="308" w:lineRule="auto"/>
        <w:rPr>
          <w:sz w:val="20"/>
          <w:szCs w:val="20"/>
          <w:color w:val="auto"/>
        </w:rPr>
      </w:pPr>
      <w:r>
        <w:rPr>
          <w:rFonts w:ascii="Arial" w:cs="Arial" w:eastAsia="Arial" w:hAnsi="Arial"/>
          <w:sz w:val="17"/>
          <w:szCs w:val="17"/>
          <w:u w:val="single" w:color="auto"/>
          <w:color w:val="auto"/>
        </w:rPr>
        <w:t>Redemption Price</w:t>
      </w:r>
      <w:r>
        <w:rPr>
          <w:rFonts w:ascii="Arial" w:cs="Arial" w:eastAsia="Arial" w:hAnsi="Arial"/>
          <w:sz w:val="17"/>
          <w:szCs w:val="17"/>
          <w:color w:val="auto"/>
        </w:rPr>
        <w:t>. The term “Redemption Price” shall mean a price per share equal to $25,000.00 plus accrued and unpaid dividends thereon, if any, to, but excluding, the Redemption Date, and as adjusted in subparagraph (2) of paragraph (D) below.</w:t>
      </w:r>
    </w:p>
    <w:p>
      <w:pPr>
        <w:spacing w:after="0" w:line="38" w:lineRule="exact"/>
        <w:rPr>
          <w:sz w:val="20"/>
          <w:szCs w:val="20"/>
          <w:color w:val="auto"/>
        </w:rPr>
      </w:pPr>
    </w:p>
    <w:p>
      <w:pPr>
        <w:ind w:left="4" w:right="100" w:firstLine="991"/>
        <w:spacing w:after="0" w:line="287" w:lineRule="auto"/>
        <w:rPr>
          <w:sz w:val="20"/>
          <w:szCs w:val="20"/>
          <w:color w:val="auto"/>
        </w:rPr>
      </w:pPr>
      <w:r>
        <w:rPr>
          <w:rFonts w:ascii="Arial" w:cs="Arial" w:eastAsia="Arial" w:hAnsi="Arial"/>
          <w:sz w:val="16"/>
          <w:szCs w:val="16"/>
          <w:u w:val="single" w:color="auto"/>
          <w:color w:val="auto"/>
        </w:rPr>
        <w:t>Senior Shares</w:t>
      </w:r>
      <w:r>
        <w:rPr>
          <w:rFonts w:ascii="Arial" w:cs="Arial" w:eastAsia="Arial" w:hAnsi="Arial"/>
          <w:sz w:val="16"/>
          <w:szCs w:val="16"/>
          <w:color w:val="auto"/>
        </w:rPr>
        <w:t>. The term “Senior Shares” shall mean, as the case may be, (i) any class or series of Shares of the Trust created after the Initial Issue Date in accordance with subparagraph (1) of paragraph (E) ranking senior to the Series C Preferred Shares in respect of the right to receive dividends or (ii) any class or series of Shares of the Trust created after the Initial Issue Date in accordance with subparagraph (1) of paragraph</w:t>
      </w:r>
    </w:p>
    <w:p>
      <w:pPr>
        <w:spacing w:after="0" w:line="2" w:lineRule="exact"/>
        <w:rPr>
          <w:sz w:val="20"/>
          <w:szCs w:val="20"/>
          <w:color w:val="auto"/>
        </w:rPr>
      </w:pPr>
    </w:p>
    <w:p>
      <w:pPr>
        <w:ind w:left="4" w:right="40" w:hanging="4"/>
        <w:spacing w:after="0" w:line="260" w:lineRule="auto"/>
        <w:tabs>
          <w:tab w:leader="none" w:pos="279" w:val="left"/>
        </w:tabs>
        <w:numPr>
          <w:ilvl w:val="0"/>
          <w:numId w:val="65"/>
        </w:numPr>
        <w:rPr>
          <w:rFonts w:ascii="Arial" w:cs="Arial" w:eastAsia="Arial" w:hAnsi="Arial"/>
          <w:sz w:val="18"/>
          <w:szCs w:val="18"/>
          <w:color w:val="auto"/>
        </w:rPr>
      </w:pPr>
      <w:r>
        <w:rPr>
          <w:rFonts w:ascii="Arial" w:cs="Arial" w:eastAsia="Arial" w:hAnsi="Arial"/>
          <w:sz w:val="18"/>
          <w:szCs w:val="18"/>
          <w:color w:val="auto"/>
        </w:rPr>
        <w:t>ranking senior to the Series C Preferred Shares in respect of the right to participate in any distribution upon liquidation, dissolution or winding up of the affairs of the Trust.</w:t>
      </w:r>
    </w:p>
    <w:p>
      <w:pPr>
        <w:spacing w:after="0" w:line="77" w:lineRule="exact"/>
        <w:rPr>
          <w:sz w:val="20"/>
          <w:szCs w:val="20"/>
          <w:color w:val="auto"/>
        </w:rPr>
      </w:pPr>
    </w:p>
    <w:p>
      <w:pPr>
        <w:jc w:val="center"/>
        <w:ind w:right="196"/>
        <w:spacing w:after="0" w:line="449" w:lineRule="auto"/>
        <w:rPr>
          <w:sz w:val="20"/>
          <w:szCs w:val="20"/>
          <w:color w:val="auto"/>
        </w:rPr>
      </w:pPr>
      <w:r>
        <w:rPr>
          <w:rFonts w:ascii="Arial" w:cs="Arial" w:eastAsia="Arial" w:hAnsi="Arial"/>
          <w:sz w:val="18"/>
          <w:szCs w:val="18"/>
          <w:u w:val="single" w:color="auto"/>
          <w:color w:val="auto"/>
        </w:rPr>
        <w:t>Total Dividends</w:t>
      </w:r>
      <w:r>
        <w:rPr>
          <w:rFonts w:ascii="Arial" w:cs="Arial" w:eastAsia="Arial" w:hAnsi="Arial"/>
          <w:sz w:val="18"/>
          <w:szCs w:val="18"/>
          <w:color w:val="auto"/>
        </w:rPr>
        <w:t>. The term “Total Dividends” shall have the meaning set forth in subparagraph (7) of paragraph (B) below. D-2</w:t>
      </w:r>
    </w:p>
    <w:p>
      <w:pPr>
        <w:sectPr>
          <w:pgSz w:w="11900" w:h="16838" w:orient="portrait"/>
          <w:cols w:equalWidth="0" w:num="1">
            <w:col w:w="10984"/>
          </w:cols>
          <w:pgMar w:left="436" w:top="274" w:right="479" w:bottom="1440" w:gutter="0" w:footer="0" w:header="0"/>
        </w:sectPr>
      </w:pPr>
    </w:p>
    <w:bookmarkStart w:id="58" w:name="page59"/>
    <w:bookmarkEnd w:id="58"/>
    <w:p>
      <w:pPr>
        <w:ind w:left="600" w:hanging="204"/>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Dividends</w:t>
      </w:r>
      <w:r>
        <w:rPr>
          <w:rFonts w:ascii="Arial" w:cs="Arial" w:eastAsia="Arial" w:hAnsi="Arial"/>
          <w:sz w:val="18"/>
          <w:szCs w:val="18"/>
          <w:color w:val="auto"/>
        </w:rPr>
        <w:t>.</w:t>
      </w:r>
    </w:p>
    <w:p>
      <w:pPr>
        <w:spacing w:after="0" w:line="117" w:lineRule="exact"/>
        <w:rPr>
          <w:sz w:val="20"/>
          <w:szCs w:val="20"/>
          <w:color w:val="auto"/>
        </w:rPr>
      </w:pPr>
    </w:p>
    <w:p>
      <w:pPr>
        <w:ind w:left="-40" w:firstLine="436"/>
        <w:spacing w:after="0" w:line="263"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record holders of Series C Preferred Shares shall be entitled to receive dividends, when, as and if authorized by the Board of Trustees and declared by the Trust, out of funds legally available for payment of dividends. Such dividends shall be payable by the Trust in cash at the rate of 5.000% per annum of the Liquidation Preference.</w:t>
      </w:r>
    </w:p>
    <w:p>
      <w:pPr>
        <w:spacing w:after="0" w:line="75" w:lineRule="exact"/>
        <w:rPr>
          <w:rFonts w:ascii="Arial" w:cs="Arial" w:eastAsia="Arial" w:hAnsi="Arial"/>
          <w:sz w:val="18"/>
          <w:szCs w:val="18"/>
          <w:color w:val="auto"/>
        </w:rPr>
      </w:pPr>
    </w:p>
    <w:p>
      <w:pPr>
        <w:ind w:left="-40" w:right="40" w:firstLine="436"/>
        <w:spacing w:after="0" w:line="289" w:lineRule="auto"/>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Dividends on each outstanding Series C Preferred Share shall accrue as set and be cumulative from, and including, the Initial Issue Date. Dividends shall be payable, subject to authorization by our Board of Trustees and declaration by the Trust, quarterly in arrears on January 15, April 15, July 15 and October 15 of each year, commencing on January 15, 2018 (each, a “Dividend Payment Date”). If any Dividend Payment Date occurs on a day that is not a Business Day, any accrued dividends otherwise payable on such Dividend Payment Date shall be paid on the next succeeding Business Day. The amount of dividends payable for each Dividend Period will be computed on the basis of a 360-day year consisting of twelve 30-day months. Dividends shall be paid to the holders of record of the Series C Preferred Shares as their names shall appear on the Share transfer records of the Trust at the close of business on the Record Date for such dividends. Dividends in respect of any past Dividend Periods that are in arrears may be declared and paid at any time to holders of record on the Record Date therefor. Any dividend payment made on Series C Preferred Shares shall be first credited against the earliest accrued but unpaid dividend due with respect to the Series C Preferred Shares which remains payable.</w:t>
      </w:r>
    </w:p>
    <w:p>
      <w:pPr>
        <w:spacing w:after="0" w:line="58" w:lineRule="exact"/>
        <w:rPr>
          <w:rFonts w:ascii="Arial" w:cs="Arial" w:eastAsia="Arial" w:hAnsi="Arial"/>
          <w:sz w:val="16"/>
          <w:szCs w:val="16"/>
          <w:color w:val="auto"/>
        </w:rPr>
      </w:pPr>
    </w:p>
    <w:p>
      <w:pPr>
        <w:ind w:left="-40" w:right="100" w:firstLine="436"/>
        <w:spacing w:after="0" w:line="289" w:lineRule="auto"/>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any Series C Preferred Shares are outstanding, no full dividends shall be declared or paid or set apart for payment on any Parity Share or Junior Share for any period unless full cumulative dividends have been or contemporaneously are declared and paid (contemporaneously with the respective dates that the dividends on the Parity Share or Junior Share are so declared and so paid) or declared and a sum sufficient for the payment thereof set apart for such payment on the Series C Preferred Shares for all past Dividend Periods. When dividends are not paid in full (or a sum sufficient for such full payment is not so set apart) upon the shares of the Series C Preferred Shares and any Parity Shares, all dividends declared upon the shares of the Series C Preferred Shares and any such Parity Shares shall be declared pro rata so that the amount of dividends declared per share on the Series C Preferred Shares and all other such Parity Shares shall in all cases bear to each other the same ratio that accrued and unpaid dividends per share on the shares of the Series C Preferred Shares and all other such Parity Shares bear to each other. No interest, or sum of money in lieu of interest, shall be payable in respect of any dividend payment or payments on the Series C Preferred Shares which may be in arrears.</w:t>
      </w:r>
    </w:p>
    <w:p>
      <w:pPr>
        <w:spacing w:after="0" w:line="58" w:lineRule="exact"/>
        <w:rPr>
          <w:rFonts w:ascii="Arial" w:cs="Arial" w:eastAsia="Arial" w:hAnsi="Arial"/>
          <w:sz w:val="16"/>
          <w:szCs w:val="16"/>
          <w:color w:val="auto"/>
        </w:rPr>
      </w:pPr>
    </w:p>
    <w:p>
      <w:pPr>
        <w:ind w:left="-40" w:firstLine="436"/>
        <w:spacing w:after="0" w:line="293" w:lineRule="auto"/>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Except as provided in subparagraph (3) of this paragraph (B), unless full cumulative dividends on the Series C Preferred Shares for all past Dividend Periods for which dividends remain unpaid have been or contemporaneously are declared and paid or declared and a sum sufficient for the payment thereof set apart for payment, no dividends (other than in the form of Common Shares or other Junior Shares) shall be declared or paid or set apart for payment or other distribution shall be declared or made upon any Junior Shares or Parity Shares nor shall any Junior Shares or Parity Shares be redeemed, purchased or otherwise acquired for any consideration (or any moneys be paid to or made available for a sinking fund for the redemption of any shares of any such Junior Share or Parity Shares) by the Trust (except by conversion into or exchange for Junior Shares).</w:t>
      </w:r>
    </w:p>
    <w:p>
      <w:pPr>
        <w:spacing w:after="0" w:line="56" w:lineRule="exact"/>
        <w:rPr>
          <w:rFonts w:ascii="Arial" w:cs="Arial" w:eastAsia="Arial" w:hAnsi="Arial"/>
          <w:sz w:val="16"/>
          <w:szCs w:val="16"/>
          <w:color w:val="auto"/>
        </w:rPr>
      </w:pPr>
    </w:p>
    <w:p>
      <w:pPr>
        <w:ind w:left="-40" w:right="240" w:firstLine="436"/>
        <w:spacing w:after="0" w:line="257"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no dividends on Series C Preferred Shares shall be authorized by the Board of Trustees or declared by the Trust or paid or set apart for payment by the Trust at such time as the terms and provisions of any agreement of the Trust, including any agreement relating to its indebtedness, prohibits such authorization, declaration, payment or setting apart for payment or provides that such authorization, declaration, payment or setting apart for payment would constitute a breach thereof or a default thereunder, or to the extent such declaration or payment shall be restricted or prohibited by law.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0920"/>
          </w:cols>
          <w:pgMar w:left="480" w:top="274" w:right="499" w:bottom="1440" w:gutter="0" w:footer="0" w:header="0"/>
        </w:sectPr>
      </w:pPr>
    </w:p>
    <w:bookmarkStart w:id="59" w:name="page60"/>
    <w:bookmarkEnd w:id="59"/>
    <w:p>
      <w:pPr>
        <w:jc w:val="both"/>
        <w:ind w:left="-20" w:right="100" w:firstLine="436"/>
        <w:spacing w:after="0" w:line="263" w:lineRule="auto"/>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contained herein to the contrary, dividends on the Series C Preferred Shares will accrue whether or not the Trust has earnings, whether or not there are funds legally available for the payment of the dividends and whether or not the dividends are authorized or declared. Accrued but unpaid dividends on the Series C Preferred Shares will not bear interest.</w:t>
      </w:r>
    </w:p>
    <w:p>
      <w:pPr>
        <w:spacing w:after="0" w:line="75" w:lineRule="exact"/>
        <w:rPr>
          <w:rFonts w:ascii="Arial" w:cs="Arial" w:eastAsia="Arial" w:hAnsi="Arial"/>
          <w:sz w:val="18"/>
          <w:szCs w:val="18"/>
          <w:color w:val="auto"/>
        </w:rPr>
      </w:pPr>
    </w:p>
    <w:p>
      <w:pPr>
        <w:ind w:left="-20" w:firstLine="436"/>
        <w:spacing w:after="0" w:line="257" w:lineRule="auto"/>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for any taxable year, the Trust elects to designate as “capital gain dividends” (as defined in Section 857 of the Code) any portion (the “Capital Gains Amount”) of the dividends (as determined for federal income tax purposes) (the “Dividends”) paid or made available for the year to holders of all classes of shares (the “Total Dividends”) then, except as required by law, the portion of the Capital Gains Amount that shall be allocable to holders of the Series C Preferred Shares shall be the amount that the aggregate Dividends paid or made available to the holders of the Series C Preferred Shares for the year bears to the Total Dividends.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Distributions Upon Liquidation, Dissolution or Winding Up</w:t>
      </w:r>
      <w:r>
        <w:rPr>
          <w:rFonts w:ascii="Arial" w:cs="Arial" w:eastAsia="Arial" w:hAnsi="Arial"/>
          <w:sz w:val="18"/>
          <w:szCs w:val="18"/>
          <w:color w:val="auto"/>
        </w:rPr>
        <w:t>.</w:t>
      </w:r>
    </w:p>
    <w:p>
      <w:pPr>
        <w:spacing w:after="0" w:line="117" w:lineRule="exact"/>
        <w:rPr>
          <w:sz w:val="20"/>
          <w:szCs w:val="20"/>
          <w:color w:val="auto"/>
        </w:rPr>
      </w:pPr>
    </w:p>
    <w:p>
      <w:pPr>
        <w:ind w:left="-20" w:right="80" w:firstLine="436"/>
        <w:spacing w:after="0" w:line="271" w:lineRule="auto"/>
        <w:tabs>
          <w:tab w:leader="none" w:pos="6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Upon any voluntary or involuntary liquidation, dissolution or winding up of the affairs of the Trust, subject to the prior preferences and other rights of any Senior Shares as to the distribution of assets upon liquidation, dissolution or winding up of the affairs of the Trust, but before any distribution or payment shall be made to the holders of any Junior Shares, the holders of Series C Preferred Shares shall be entitled to be paid out of the assets of the Trust legally available for distribution to its shareholders liquidating distributions in cash or property at its fair market value as determined by the Board of Trustees in the amount of the Liquidation Preference plus an amount equal to all accrued and unpaid dividends to, but excluding, the date of such liquidation, dissolution or winding up. After payment of the full amount of the liquidating distributions to which they are entitled, the holders of Series C Preferred Shares will have no right or claim to any of the remaining assets of the Trust and shall not be entitled to any other distribution in the event of liquidation, dissolution or winding up of the affairs of the Trust.</w:t>
      </w:r>
    </w:p>
    <w:p>
      <w:pPr>
        <w:spacing w:after="0" w:line="70" w:lineRule="exact"/>
        <w:rPr>
          <w:rFonts w:ascii="Arial" w:cs="Arial" w:eastAsia="Arial" w:hAnsi="Arial"/>
          <w:sz w:val="17"/>
          <w:szCs w:val="17"/>
          <w:color w:val="auto"/>
        </w:rPr>
      </w:pPr>
    </w:p>
    <w:p>
      <w:pPr>
        <w:ind w:left="-20" w:firstLine="436"/>
        <w:spacing w:after="0" w:line="291" w:lineRule="auto"/>
        <w:tabs>
          <w:tab w:leader="none" w:pos="6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the event that, upon any such voluntary or involuntary liquidation, dissolution or winding up, the legally available assets of the Trust are insufficient to pay the amount of the Liquidation Preference plus an amount equal to all accrued and unpaid dividends on the Series C Preferred Shares and the corresponding amounts payable on Parity Shares upon any such liquidation, dissolution or winding up, then the holders of the Series C Preferred Shares and the holders of such Parity Shares shall share ratably in any such distribution of assets in proportion to the full liquidating distributions to which they otherwise would be respectively entitled. Neither the consolidation or merger of the Trust into or with another entity or entities nor the sale, lease, transfer or conveyance of all or substantially all of the property or business of the Trust to another trust or any other entity, individually or as part of a series of transactions, shall be deemed a liquidation, dissolution or winding up of the affairs of the Trust within the meaning of this paragraph (C).</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Redemption by the Trust.</w:t>
      </w:r>
    </w:p>
    <w:p>
      <w:pPr>
        <w:spacing w:after="0" w:line="117" w:lineRule="exact"/>
        <w:rPr>
          <w:sz w:val="20"/>
          <w:szCs w:val="20"/>
          <w:color w:val="auto"/>
        </w:rPr>
      </w:pPr>
    </w:p>
    <w:p>
      <w:pPr>
        <w:ind w:left="-20" w:right="160" w:firstLine="436"/>
        <w:spacing w:after="0" w:line="277"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Series C Preferred Shares may be redeemed for cash, in whole or from time to time in part, on any date on or after September 29, 2022 at the option of the Trust at the Redemption Price.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0960"/>
          </w:cols>
          <w:pgMar w:left="460" w:top="274" w:right="479" w:bottom="1440" w:gutter="0" w:footer="0" w:header="0"/>
        </w:sectPr>
      </w:pPr>
    </w:p>
    <w:bookmarkStart w:id="60" w:name="page61"/>
    <w:bookmarkEnd w:id="60"/>
    <w:p>
      <w:pPr>
        <w:ind w:left="-20" w:right="20" w:firstLine="436"/>
        <w:spacing w:after="0" w:line="275" w:lineRule="auto"/>
        <w:tabs>
          <w:tab w:leader="none" w:pos="600" w:val="left"/>
        </w:tabs>
        <w:numPr>
          <w:ilvl w:val="0"/>
          <w:numId w:val="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date fixed for redemption pursuant to subparagraph (1) of this paragraph (D) is called a “Redemption Date.” If the Redemption Date is after the Record Date and before the related Dividend Payment Date, the dividend payable on such Dividend Payment Date shall be paid to the holder in whose name the Series C Preferred Shares to be redeemed is registered at the close of business on such Record Date notwithstanding the redemption thereof between such Record Date and the related Dividend Payment Date or the Trust’s default in the payment of the dividend due, and the Redemption Price shall not include the amount of such dividend payable on such Dividend Payment Date.</w:t>
      </w:r>
    </w:p>
    <w:p>
      <w:pPr>
        <w:spacing w:after="0" w:line="68" w:lineRule="exact"/>
        <w:rPr>
          <w:rFonts w:ascii="Arial" w:cs="Arial" w:eastAsia="Arial" w:hAnsi="Arial"/>
          <w:sz w:val="17"/>
          <w:szCs w:val="17"/>
          <w:color w:val="auto"/>
        </w:rPr>
      </w:pPr>
    </w:p>
    <w:p>
      <w:pPr>
        <w:ind w:left="-20" w:right="80" w:firstLine="436"/>
        <w:spacing w:after="0" w:line="263"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case of redemption of less than all Series C Preferred Shares at the time outstanding, the shares to be redeemed shall be selected by the Trust pro rata from the holders of record of such shares in proportion to the number of shares held by such holders (with adjustments to avoid redemption of fractional shares) or by lot.</w:t>
      </w:r>
    </w:p>
    <w:p>
      <w:pPr>
        <w:spacing w:after="0" w:line="75" w:lineRule="exact"/>
        <w:rPr>
          <w:rFonts w:ascii="Arial" w:cs="Arial" w:eastAsia="Arial" w:hAnsi="Arial"/>
          <w:sz w:val="18"/>
          <w:szCs w:val="18"/>
          <w:color w:val="auto"/>
        </w:rPr>
      </w:pPr>
    </w:p>
    <w:p>
      <w:pPr>
        <w:ind w:left="-20" w:firstLine="436"/>
        <w:spacing w:after="0" w:line="269" w:lineRule="auto"/>
        <w:tabs>
          <w:tab w:leader="none" w:pos="6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order to exercise its redemption option, the Trust shall give written notice (“Notice”) of such redemption to each holder of record of the Series C Preferred Shares to be redeemed not less than 30 days or more than 60 days prior to the Redemption Date. The Notice will be mailed by the Trust, postage prepaid, addressed to the respective holders of record of the Series C Preferred Shares to be redeemed at their respective addresses as they appear on the share transfer records of the Trust. The notice of redemption may be contingent on the occurrence of a future event. No failure to give such Notice or any defect therein or in the mailing thereof shall affect the validity of the proceedings for the redemption of any Series C Preferred Shares, except as to any holder to whom the Trust has failed to give Notice or except as to any holder to whom Notice was defective. In addition to any information required by law or by the applicable rules of any exchange upon which Series C Preferred Shares may be listed or admitted to trading, such Notice shall state: (i) the Redemption Date; (ii) the Redemption Price; (iii) the number of Series C Preferred Shares to be redeemed and, if less than all shares held by the particular holder are to be redeemed, the number of such shares to be redeemed from such holder; (iv) the place or places where certificates for such shares are to be surrendered for payment of the Redemption Price; and (v) that dividends on the shares to be redeemed will cease to accrue on the Redemption Date.</w:t>
      </w:r>
    </w:p>
    <w:p>
      <w:pPr>
        <w:spacing w:after="0" w:line="73" w:lineRule="exact"/>
        <w:rPr>
          <w:rFonts w:ascii="Arial" w:cs="Arial" w:eastAsia="Arial" w:hAnsi="Arial"/>
          <w:sz w:val="17"/>
          <w:szCs w:val="17"/>
          <w:color w:val="auto"/>
        </w:rPr>
      </w:pPr>
    </w:p>
    <w:p>
      <w:pPr>
        <w:ind w:left="-20" w:right="20" w:firstLine="436"/>
        <w:spacing w:after="0" w:line="287" w:lineRule="auto"/>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Notice having been mailed in accordance with subparagraph (4) of this paragraph (D), from and after the Redemption Date (unless the Trust shall fail to make available an amount of cash necessary to pay the Redemption Price), (i) except as otherwise provided herein, dividends on the Series C Preferred Shares so called for redemption shall cease to accrue, (ii) said shares shall no longer be deemed to be outstanding, and (iii) all rights of the holders thereof as holders of Series C Preferred Shares of the Trust shall cease (except the rights to receive the Redemption Price in cash). The Trust’s obligation to provide cash in accordance with the preceding sentence shall be deemed fulfilled if, on or before the Redemption Date, the Trust shall deposit with a bank or trust company (which may be an affiliate of the Trust), cash necessary for such redemption, in trust, with irrevocable instructions that such cash be applied to the redemption of the Series C Preferred Shares so called for redemption. In this case, the Trust’s Notice shall (i) specify the office of such bank or trust company as the place of payment of the Redemption Price and (ii) call upon respective holders of record of the Series C Preferred Shares to surrender certificates for such shares, on the Redemption Date fixed in the Notice, for payment of the Redemption Price. No interest shall accrue for the benefit of any holder of Series C Preferred Shares to be redeemed on any cash so set aside by the Trust. Subject to applicable escheat laws, any such cash unclaimed at the end of two years from the Redemption Date shall revert to the general funds of the Trust, after which reversion, the holders of such shares so called for redemption shall look only to the general funds of the Trust for the payment of such cash.</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0980"/>
          </w:cols>
          <w:pgMar w:left="460" w:top="274" w:right="459" w:bottom="1440" w:gutter="0" w:footer="0" w:header="0"/>
        </w:sectPr>
      </w:pPr>
    </w:p>
    <w:bookmarkStart w:id="61" w:name="page62"/>
    <w:bookmarkEnd w:id="61"/>
    <w:p>
      <w:pPr>
        <w:ind w:left="4" w:right="20" w:firstLine="436"/>
        <w:spacing w:after="0" w:line="272" w:lineRule="auto"/>
        <w:tabs>
          <w:tab w:leader="none" w:pos="624" w:val="left"/>
        </w:tabs>
        <w:numPr>
          <w:ilvl w:val="0"/>
          <w:numId w:val="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promptly as practicable after the surrender of the certificates for any such Series C Preferred Shares so redeemed (properly endorsed or assigned for transfer, if the Trust shall so require and if the Notice shall so state) in accordance with said Notice, the Trust (or the related bank or trust company, if applicable) shall pay to the applicable holders the Redemption Price in cash (without interest thereon). In the event of the redemption of less than all Series C Preferred Shares at the time outstanding, the shares to be redeemed shall be selected by the Trust pro rata from the holders of record of such shares in proportion to the number of shares held by such holders (with adjustments to avoid redemption of fractional shares) or by lot. If fewer than all the Series C Preferred Shares represented by any certificate are redeemed, then new certificates representing the unredeemed Series C Preferred Shares shall be issued without cost to the holder thereof.</w:t>
      </w:r>
    </w:p>
    <w:p>
      <w:pPr>
        <w:spacing w:after="0" w:line="69" w:lineRule="exact"/>
        <w:rPr>
          <w:rFonts w:ascii="Arial" w:cs="Arial" w:eastAsia="Arial" w:hAnsi="Arial"/>
          <w:sz w:val="17"/>
          <w:szCs w:val="17"/>
          <w:color w:val="auto"/>
        </w:rPr>
      </w:pPr>
    </w:p>
    <w:p>
      <w:pPr>
        <w:ind w:left="4" w:firstLine="436"/>
        <w:spacing w:after="0" w:line="273" w:lineRule="auto"/>
        <w:tabs>
          <w:tab w:leader="none" w:pos="624" w:val="left"/>
        </w:tabs>
        <w:numPr>
          <w:ilvl w:val="0"/>
          <w:numId w:val="72"/>
        </w:numPr>
        <w:rPr>
          <w:rFonts w:ascii="Arial" w:cs="Arial" w:eastAsia="Arial" w:hAnsi="Arial"/>
          <w:sz w:val="17"/>
          <w:szCs w:val="17"/>
          <w:color w:val="auto"/>
        </w:rPr>
      </w:pPr>
      <w:r>
        <w:rPr>
          <w:rFonts w:ascii="Arial" w:cs="Arial" w:eastAsia="Arial" w:hAnsi="Arial"/>
          <w:sz w:val="17"/>
          <w:szCs w:val="17"/>
          <w:color w:val="auto"/>
        </w:rPr>
        <w:t>Unless full cumulative dividends on all outstanding Series C Preferred Shares for all past Dividend Periods for which dividends remain unpaid shall have been or contemporaneously are declared and paid or declared and a sum sufficient for the payment thereof set apart for payment, (i) no shares of any Series C Preferred Shares shall be redeemed, unless all outstanding Series C Preferred Shares are simultaneously redeemed and (ii) the Trust shall not purchase or otherwise acquire directly or indirectly any Series C Preferred Shares (except by conversion into or exchange for Junior Shares); provided, however, that the foregoing shall not prevent the purchase or acquisition of Series C Preferred Shares pursuant to a purchase or exchange offer made on the same terms to holders of all outstanding Series C Preferred Shares.</w:t>
      </w:r>
    </w:p>
    <w:p>
      <w:pPr>
        <w:spacing w:after="0" w:line="69" w:lineRule="exact"/>
        <w:rPr>
          <w:rFonts w:ascii="Arial" w:cs="Arial" w:eastAsia="Arial" w:hAnsi="Arial"/>
          <w:sz w:val="17"/>
          <w:szCs w:val="17"/>
          <w:color w:val="auto"/>
        </w:rPr>
      </w:pPr>
    </w:p>
    <w:p>
      <w:pPr>
        <w:ind w:left="4" w:right="440" w:firstLine="436"/>
        <w:spacing w:after="0" w:line="342" w:lineRule="auto"/>
        <w:tabs>
          <w:tab w:leader="none" w:pos="624" w:val="left"/>
        </w:tabs>
        <w:numPr>
          <w:ilvl w:val="0"/>
          <w:numId w:val="72"/>
        </w:numPr>
        <w:rPr>
          <w:rFonts w:ascii="Arial" w:cs="Arial" w:eastAsia="Arial" w:hAnsi="Arial"/>
          <w:sz w:val="16"/>
          <w:szCs w:val="16"/>
          <w:color w:val="auto"/>
        </w:rPr>
      </w:pPr>
      <w:r>
        <w:rPr>
          <w:rFonts w:ascii="Arial" w:cs="Arial" w:eastAsia="Arial" w:hAnsi="Arial"/>
          <w:sz w:val="16"/>
          <w:szCs w:val="16"/>
          <w:color w:val="auto"/>
        </w:rPr>
        <w:t>All Series C Preferred Shares redeemed pursuant to this paragraph (D) shall be retired and shall be reclassified as authorized and unissued Preferred Shares, without designation as to class or series, and may thereafter be reissued as shares of any class or series of Preferred Shares.</w:t>
      </w:r>
    </w:p>
    <w:p>
      <w:pPr>
        <w:spacing w:after="0" w:line="1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sz w:val="20"/>
          <w:szCs w:val="20"/>
          <w:color w:val="auto"/>
        </w:rPr>
      </w:pPr>
    </w:p>
    <w:p>
      <w:pPr>
        <w:ind w:left="624" w:hanging="184"/>
        <w:spacing w:after="0"/>
        <w:tabs>
          <w:tab w:leader="none" w:pos="624"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holders of record of Series C Preferred Shares shall not be entitled to any voting rights except as hereinafter provided in this paragraph</w:t>
      </w:r>
    </w:p>
    <w:p>
      <w:pPr>
        <w:spacing w:after="0" w:line="46" w:lineRule="exact"/>
        <w:rPr>
          <w:rFonts w:ascii="Arial" w:cs="Arial" w:eastAsia="Arial" w:hAnsi="Arial"/>
          <w:sz w:val="16"/>
          <w:szCs w:val="16"/>
          <w:color w:val="auto"/>
        </w:rPr>
      </w:pPr>
    </w:p>
    <w:p>
      <w:pPr>
        <w:ind w:left="4" w:right="20" w:hanging="4"/>
        <w:spacing w:after="0" w:line="285" w:lineRule="auto"/>
        <w:tabs>
          <w:tab w:leader="none" w:pos="279" w:val="left"/>
        </w:tabs>
        <w:numPr>
          <w:ilvl w:val="0"/>
          <w:numId w:val="74"/>
        </w:numPr>
        <w:rPr>
          <w:rFonts w:ascii="Arial" w:cs="Arial" w:eastAsia="Arial" w:hAnsi="Arial"/>
          <w:sz w:val="16"/>
          <w:szCs w:val="16"/>
          <w:color w:val="auto"/>
        </w:rPr>
      </w:pPr>
      <w:r>
        <w:rPr>
          <w:rFonts w:ascii="Arial" w:cs="Arial" w:eastAsia="Arial" w:hAnsi="Arial"/>
          <w:sz w:val="16"/>
          <w:szCs w:val="16"/>
          <w:color w:val="auto"/>
        </w:rPr>
        <w:t>or as required by applicable law. So long as any Series C Preferred Shares are outstanding, the Trust shall not, without the affirmative vote or consent of the holders of at least two-thirds (2/3) of the shares of the Series C Preferred Shares outstanding at the time, given in person or by proxy, either in writing or at a meeting (such Series C Preferred Shares voting separately as a class): (i) authorize or create, or increase the authorized or issued amount of, any class or series of Senior Shares, or reclassify any authorized Shares into Senior Shares, or create, authorize or issue any obligation or security convertible into or evidencing the right to purchase any Senior Shares; or (ii) amend, alter or repeal the provisions of the Declaration or bylaws, whether by merger, consolidation or otherwise, so as to materially and adversely affect any right, preference, privilege or voting power of the Series C Preferred Shares; except that (1) with respect to the occurrence of any of the events described in (ii) above, so long as the Series C Preferred Shares remain outstanding with the terms of the Series C Preferred Shares materially unchanged or are converted into a security in another entity with the terms materially unchanged, the occurrence of such event will not be deemed to materially and adversely affect the rights, preferences, privileges or voting powers of the Series C Preferred Shares and (2) (A) any increase in the amount of the authorized Series C Preferred Shares or the authorization or issuance of any Parity Shares or Junior Shares or (B) any increase in the number of authorized Series C Preferred Shares or Parity Shares or Junior Shares shall not be deemed to materially and adversely affect such rights, preferences, privileges or voting powers.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004"/>
          </w:cols>
          <w:pgMar w:left="436" w:top="274" w:right="459" w:bottom="1440" w:gutter="0" w:footer="0" w:header="0"/>
        </w:sectPr>
      </w:pPr>
    </w:p>
    <w:bookmarkStart w:id="62" w:name="page63"/>
    <w:bookmarkEnd w:id="62"/>
    <w:p>
      <w:pPr>
        <w:ind w:left="4" w:firstLine="436"/>
        <w:spacing w:after="0" w:line="296" w:lineRule="auto"/>
        <w:tabs>
          <w:tab w:leader="none" w:pos="624" w:val="left"/>
        </w:tabs>
        <w:numPr>
          <w:ilvl w:val="1"/>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and whenever dividends payable on Series C Preferred Shares shall be in arrears for six (6) or more Dividend Periods, whether or not consecutive, then the holders of Series C Preferred Shares (voting together as a class with Parity Shares upon which like voting rights have been conferred and are exercisable as provided in subparagraph (5) of this paragraph (E)) shall be entitled at the next annual meeting of the shareholders or at any special meeting of shareholders called for the purpose of electing Trustees to elect two (2) additional trustees. Upon election, such trustees shall become trustees of the Trust and the authorized number of trustees of the Trust shall thereupon be automatically increased by two.</w:t>
      </w:r>
    </w:p>
    <w:p>
      <w:pPr>
        <w:spacing w:after="0" w:line="53" w:lineRule="exact"/>
        <w:rPr>
          <w:rFonts w:ascii="Arial" w:cs="Arial" w:eastAsia="Arial" w:hAnsi="Arial"/>
          <w:sz w:val="16"/>
          <w:szCs w:val="16"/>
          <w:color w:val="auto"/>
        </w:rPr>
      </w:pPr>
    </w:p>
    <w:p>
      <w:pPr>
        <w:ind w:left="4" w:firstLine="436"/>
        <w:spacing w:after="0" w:line="269" w:lineRule="auto"/>
        <w:tabs>
          <w:tab w:leader="none" w:pos="624" w:val="left"/>
        </w:tabs>
        <w:numPr>
          <w:ilvl w:val="1"/>
          <w:numId w:val="75"/>
        </w:numPr>
        <w:rPr>
          <w:rFonts w:ascii="Arial" w:cs="Arial" w:eastAsia="Arial" w:hAnsi="Arial"/>
          <w:sz w:val="17"/>
          <w:szCs w:val="17"/>
          <w:color w:val="auto"/>
        </w:rPr>
      </w:pPr>
      <w:r>
        <w:rPr>
          <w:rFonts w:ascii="Arial" w:cs="Arial" w:eastAsia="Arial" w:hAnsi="Arial"/>
          <w:sz w:val="17"/>
          <w:szCs w:val="17"/>
          <w:color w:val="auto"/>
        </w:rPr>
        <w:t>Whenever the voting right described in subparagraph (2) of this paragraph (E) shall have vested, such right may be exercised initially either at a special meeting of the holders of Series C Preferred Shares and any Parity Shares entitled to vote as provided in subparagraph (5) of this paragraph (E), called as hereinafter provided, or at any annual meeting of shareholders held for the purpose of electing trustees and, thereafter, at such annual meetings or by the written consent of the holders of Series C Preferred Shares and any such Parity Shares. Such right of the holders of Series C Preferred Shares to elect trustees together with the holders of any such Parity Shares may be exercised until all dividends to which the holders of Series C Preferred Shares shall have been entitled for (i) all previous Dividend Periods and (ii) the current Dividend Period shall have been paid in full, at which time the right of the holders of Series C Preferred Shares to elect trustees together with holders of any such Parity Shares shall cease, the term of such trustees previously elected shall thereupon terminate, and the authorized number of trustees of the Trust shall thereupon return to the number of authorized trustees otherwise in effect, but subject always to the same provisions for the renewal and divestment of such special voting rights in the case of any such future dividend default or defaults.</w:t>
      </w:r>
    </w:p>
    <w:p>
      <w:pPr>
        <w:spacing w:after="0" w:line="77" w:lineRule="exact"/>
        <w:rPr>
          <w:rFonts w:ascii="Arial" w:cs="Arial" w:eastAsia="Arial" w:hAnsi="Arial"/>
          <w:sz w:val="17"/>
          <w:szCs w:val="17"/>
          <w:color w:val="auto"/>
        </w:rPr>
      </w:pPr>
    </w:p>
    <w:p>
      <w:pPr>
        <w:ind w:left="4" w:right="80" w:firstLine="436"/>
        <w:spacing w:after="0" w:line="284" w:lineRule="auto"/>
        <w:tabs>
          <w:tab w:leader="none" w:pos="624" w:val="left"/>
        </w:tabs>
        <w:numPr>
          <w:ilvl w:val="1"/>
          <w:numId w:val="75"/>
        </w:numPr>
        <w:rPr>
          <w:rFonts w:ascii="Arial" w:cs="Arial" w:eastAsia="Arial" w:hAnsi="Arial"/>
          <w:sz w:val="16"/>
          <w:szCs w:val="16"/>
          <w:color w:val="auto"/>
        </w:rPr>
      </w:pPr>
      <w:r>
        <w:rPr>
          <w:rFonts w:ascii="Arial" w:cs="Arial" w:eastAsia="Arial" w:hAnsi="Arial"/>
          <w:sz w:val="16"/>
          <w:szCs w:val="16"/>
          <w:color w:val="auto"/>
        </w:rPr>
        <w:t>At any time when the voting right described in subparagraph (2) of this paragraph (E) shall have vested in the holders of Series C Preferred Shares and if such right shall not already have been initially exercised, a proper officer of the Trust shall, upon the written request of any holder of record of Series C Preferred Shares then outstanding, addressed to the Secretary of the Trust , call a special meeting of holders of Series C Preferred Shares together with the holders of any Parity Shares entitled to vote as provided in subparagraph (5) of this paragraph (E). Such meeting shall be held on the earliest practicable date upon the notice required for annual meetings of shareholders at the place for holding annual meetings of shareholders of the Trust or, if none, at a place designated by the Secretary of the Trust. If such meeting shall not be called by a proper officer of the Trust within thirty</w:t>
      </w:r>
    </w:p>
    <w:p>
      <w:pPr>
        <w:spacing w:after="0" w:line="4" w:lineRule="exact"/>
        <w:rPr>
          <w:rFonts w:ascii="Arial" w:cs="Arial" w:eastAsia="Arial" w:hAnsi="Arial"/>
          <w:sz w:val="16"/>
          <w:szCs w:val="16"/>
          <w:color w:val="auto"/>
        </w:rPr>
      </w:pPr>
    </w:p>
    <w:p>
      <w:pPr>
        <w:ind w:left="4" w:right="80" w:hanging="4"/>
        <w:spacing w:after="0" w:line="281" w:lineRule="auto"/>
        <w:tabs>
          <w:tab w:leader="none" w:pos="349" w:val="left"/>
        </w:tabs>
        <w:numPr>
          <w:ilvl w:val="0"/>
          <w:numId w:val="76"/>
        </w:numPr>
        <w:rPr>
          <w:rFonts w:ascii="Arial" w:cs="Arial" w:eastAsia="Arial" w:hAnsi="Arial"/>
          <w:sz w:val="16"/>
          <w:szCs w:val="16"/>
          <w:color w:val="auto"/>
        </w:rPr>
      </w:pPr>
      <w:r>
        <w:rPr>
          <w:rFonts w:ascii="Arial" w:cs="Arial" w:eastAsia="Arial" w:hAnsi="Arial"/>
          <w:sz w:val="16"/>
          <w:szCs w:val="16"/>
          <w:color w:val="auto"/>
        </w:rPr>
        <w:t>days after the personal service of such written request upon the Secretary of the Trust, or within thirty (30) days after mailing the same within the United States, by registered mail, addressed to the Secretary of the Trust at its principal office (such mailing to be evidenced by the registry receipt issued by the postal authorities), then the holders of record of ten percent (10%) of the Series C Preferred Shares then outstanding may designate in writing a holder of Series C Preferred Shares to call such meeting at the expense of the Trust, and such meeting may be called by such person so designated upon the notice required for annual meetings of shareholders and shall be held at the place for holding annual meetings of the Trust or, if none, at a place designated by such holder. Any holder of Series C Preferred Shares that would be entitled to vote at such meeting shall have access to the share transfer records of the Trust for the purpose of causing a meeting of shareholders to be called pursuant to the provisions of this paragraph (E). Notwithstanding the provisions of this paragraph (E), however, no such special meeting shall be called if any such request is received less than ninety</w:t>
      </w:r>
    </w:p>
    <w:p>
      <w:pPr>
        <w:spacing w:after="0" w:line="4" w:lineRule="exact"/>
        <w:rPr>
          <w:rFonts w:ascii="Arial" w:cs="Arial" w:eastAsia="Arial" w:hAnsi="Arial"/>
          <w:sz w:val="16"/>
          <w:szCs w:val="16"/>
          <w:color w:val="auto"/>
        </w:rPr>
      </w:pPr>
    </w:p>
    <w:p>
      <w:pPr>
        <w:ind w:left="344" w:hanging="344"/>
        <w:spacing w:after="0"/>
        <w:tabs>
          <w:tab w:leader="none" w:pos="344" w:val="left"/>
        </w:tabs>
        <w:numPr>
          <w:ilvl w:val="0"/>
          <w:numId w:val="77"/>
        </w:numPr>
        <w:rPr>
          <w:rFonts w:ascii="Arial" w:cs="Arial" w:eastAsia="Arial" w:hAnsi="Arial"/>
          <w:sz w:val="18"/>
          <w:szCs w:val="18"/>
          <w:color w:val="auto"/>
        </w:rPr>
      </w:pPr>
      <w:r>
        <w:rPr>
          <w:rFonts w:ascii="Arial" w:cs="Arial" w:eastAsia="Arial" w:hAnsi="Arial"/>
          <w:sz w:val="18"/>
          <w:szCs w:val="18"/>
          <w:color w:val="auto"/>
        </w:rPr>
        <w:t>days before the date fixed for the next ensuing annual or special meeting of shareholders.</w:t>
      </w:r>
    </w:p>
    <w:p>
      <w:pPr>
        <w:spacing w:after="0" w:line="26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0964"/>
          </w:cols>
          <w:pgMar w:left="436" w:top="274" w:right="499" w:bottom="1440" w:gutter="0" w:footer="0" w:header="0"/>
        </w:sectPr>
      </w:pPr>
    </w:p>
    <w:bookmarkStart w:id="63" w:name="page64"/>
    <w:bookmarkEnd w:id="63"/>
    <w:p>
      <w:pPr>
        <w:ind w:right="40" w:firstLine="436"/>
        <w:spacing w:after="0" w:line="285" w:lineRule="auto"/>
        <w:tabs>
          <w:tab w:leader="none" w:pos="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at any time when the holders of Series C Preferred Shares are entitled to elect trustees pursuant to the foregoing provisions of this paragraph (E), the holders of any one or more classes or series of Parity Shares are entitled to elect one or more trustees by reason of any default or event specified in the Declaration, as in effect at the time, and if the terms for such classes or series of Parity Shares so provide, then the voting rights of the Series C Preferred Shares and the one or more classes or series of Parity Shares then entitled to vote shall be combined (with each having a number of votes proportional to the aggregate liquidation preference of its outstanding shares). In such case, the holders of Series C Preferred Shares and of all such classes or series of Parity Shares then entitled to so vote, voting together as a class, shall elect such trustees. If the holders of any such classes or series of Parity Shares have elected such trustees prior to the happening of the default or event providing for the election of trustees by the holders of Series C Preferred Shares, or prior to a written request for the holding of a special meeting being received by the Secretary of the Trust as elsewhere required in subparagraph (4) of paragraph (E) above, then a new election shall be held with all such classes or series of Parity Shares and the Series C Preferred Shares voting together as a single class for such trustee(s), resulting in the termination of the term of such previously elected trustee(s) upon the election of such new trustee(s). If the holders of any such classes or series of Parity Shares are entitled to elect two trustees, the Series C Preferred Shares shall not participate in the election of more than two such trustees, and such trustees whose terms first expire shall be deemed to be the trustees elected by the holders of Series C Preferred Shares; provided, that if at the expiration of such terms the holders of Series C Preferred Shares are entitled to vote in the election of trustees pursuant to the provisions of this paragraph (E), then the Secretary of the Trust shall call a meeting (which meeting may be the annual meeting or a special meeting of shareholders referred to in subparagraph (3) of this paragraph (E)) of holders of Series C Preferred Shares for the purpose of electing replacement trustees (in accordance with the provisions of this paragraph (E)) to be held at or prior to the time of expiration of the expiring terms referred to above.</w:t>
      </w:r>
    </w:p>
    <w:p>
      <w:pPr>
        <w:spacing w:after="0" w:line="65" w:lineRule="exact"/>
        <w:rPr>
          <w:rFonts w:ascii="Arial" w:cs="Arial" w:eastAsia="Arial" w:hAnsi="Arial"/>
          <w:sz w:val="16"/>
          <w:szCs w:val="16"/>
          <w:color w:val="auto"/>
        </w:rPr>
      </w:pPr>
    </w:p>
    <w:p>
      <w:pPr>
        <w:jc w:val="both"/>
        <w:ind w:firstLine="436"/>
        <w:spacing w:after="0" w:line="286" w:lineRule="auto"/>
        <w:tabs>
          <w:tab w:leader="none" w:pos="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and for so long as the Series C Preferred Shares are represented by Depositary Shares in accordance with paragraph (J) hereof, then in any matter in which the Series C Preferred Shares is entitled to vote (as expressly provided herein), including any action by written consent, each Series C Preferred Share shall be entitled to one thousand (1000) votes, each of which one thousand (1000) votes may be directed separately by the holder thereof (or by any proxy or proxies of such holder). With respect to each Series C Preferred Share, the holder thereof may designate up to one thousand</w:t>
      </w:r>
    </w:p>
    <w:p>
      <w:pPr>
        <w:spacing w:after="0" w:line="1" w:lineRule="exact"/>
        <w:rPr>
          <w:rFonts w:ascii="Arial" w:cs="Arial" w:eastAsia="Arial" w:hAnsi="Arial"/>
          <w:sz w:val="16"/>
          <w:szCs w:val="16"/>
          <w:color w:val="auto"/>
        </w:rPr>
      </w:pPr>
    </w:p>
    <w:p>
      <w:pPr>
        <w:ind w:right="540"/>
        <w:spacing w:after="0" w:line="260" w:lineRule="auto"/>
        <w:rPr>
          <w:rFonts w:ascii="Arial" w:cs="Arial" w:eastAsia="Arial" w:hAnsi="Arial"/>
          <w:sz w:val="16"/>
          <w:szCs w:val="16"/>
          <w:color w:val="auto"/>
        </w:rPr>
      </w:pPr>
      <w:r>
        <w:rPr>
          <w:rFonts w:ascii="Arial" w:cs="Arial" w:eastAsia="Arial" w:hAnsi="Arial"/>
          <w:sz w:val="18"/>
          <w:szCs w:val="18"/>
          <w:color w:val="auto"/>
        </w:rPr>
        <w:t>(1000) proxies, with each such proxy having the right to vote a whole number of votes (totaling one thousand (1000) votes per Series C Preferred Share).</w:t>
      </w:r>
    </w:p>
    <w:p>
      <w:pPr>
        <w:spacing w:after="0" w:line="77" w:lineRule="exact"/>
        <w:rPr>
          <w:rFonts w:ascii="Arial" w:cs="Arial" w:eastAsia="Arial" w:hAnsi="Arial"/>
          <w:sz w:val="16"/>
          <w:szCs w:val="16"/>
          <w:color w:val="auto"/>
        </w:rPr>
      </w:pPr>
    </w:p>
    <w:p>
      <w:pPr>
        <w:ind w:firstLine="436"/>
        <w:spacing w:after="0" w:line="263" w:lineRule="auto"/>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the foregoing voting provisions shall not apply if, at or prior to the time when the act with respect to which the vote would otherwise be required shall be effected, all outstanding Series C Preferred Shares shall have been redeemed or called for redemption and sufficient funds shall have been deposited in trust to effect the redemption.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000"/>
          </w:cols>
          <w:pgMar w:left="440" w:top="274" w:right="459" w:bottom="1440" w:gutter="0" w:footer="0" w:header="0"/>
        </w:sectPr>
      </w:pPr>
    </w:p>
    <w:bookmarkStart w:id="64" w:name="page65"/>
    <w:bookmarkEnd w:id="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 </w:t>
      </w:r>
      <w:r>
        <w:rPr>
          <w:rFonts w:ascii="Arial" w:cs="Arial" w:eastAsia="Arial" w:hAnsi="Arial"/>
          <w:sz w:val="18"/>
          <w:szCs w:val="18"/>
          <w:u w:val="single" w:color="auto"/>
          <w:color w:val="auto"/>
        </w:rPr>
        <w:t>Application of Article VII of Declaration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Series C Preferred Shares are subject to the provisions of Article VII of the Declaration.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Exclusion of Other Rights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Without prejudice to any contractual obligations existing from time to time between the holders of the Series C Preferred Shares and the Trust, the Series C Preferred Shares shall not have any rights granted to or imposed thereupon, including as to dividends, preferences, conversion rights or voting rights, other than those specifically set forth in the Declaration (including this Annex D), nor shall the Series C Preferred Shares have preemptive or subscription rights. The Series C Preferred Shares have no stated maturity and is not subject to any sinking fund or mandatory redemption.</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Headings of Subdivisions</w:t>
      </w:r>
      <w:r>
        <w:rPr>
          <w:rFonts w:ascii="Arial" w:cs="Arial" w:eastAsia="Arial" w:hAnsi="Arial"/>
          <w:sz w:val="18"/>
          <w:szCs w:val="18"/>
          <w:color w:val="auto"/>
        </w:rPr>
        <w:t>.</w:t>
      </w:r>
    </w:p>
    <w:p>
      <w:pPr>
        <w:spacing w:after="0" w:line="117"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The headings of the various subdivisions hereof are for convenience of reference only and shall not affect the interpretation of any of the provisions hereof.</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If any preferences, conversion or other rights, voting powers, restrictions, limitations as to dividends or other distributions, qualifications or terms or conditions of redemption of the Series C Preferred Shares set forth in the Declaration are invalid, unlawful or incapable of being enforced by reason of any rule of law or public policy, all other preferences, conversion or other rights, voting powers, restrictions, limitations as to dividends or other distributions, qualifications or terms or conditions of redemption of the Series C Preferred Shares set forth in the Declaration which can be given effect without the invalid, unlawful or unenforceable provision thereof shall, nevertheless, remain in full force and effect, and no preferences, conversion or other rights, voting powers, restrictions, limitations as to dividends or other distributions, qualifications or terms or conditions of redemption of the Series C Preferred Shares herein set forth shall be deemed dependent upon any other provision thereof unless so expressed therein.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Registration as Depositary Shares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Series C Preferred Shares shall be registered in the form of Depositary Shares each representing a one-one thousandth fractional interest in a Series C Preferred Share (“Depositary Shares”) on, and subject to, such terms and conditions as may be provided for in any agreement binding upon the Trust (whether directly or through merger with any other trust).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0960"/>
          </w:cols>
          <w:pgMar w:left="440" w:top="274" w:right="49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7"/>
          <w:szCs w:val="17"/>
          <w:color w:val="auto"/>
        </w:rPr>
        <w:t>, the undersigned have signed these Articles of Amendment and Restatement on this 8th day of December, 2021.</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2"/>
          </w:tcPr>
          <w:p>
            <w:pPr>
              <w:spacing w:after="0"/>
              <w:rPr>
                <w:sz w:val="20"/>
                <w:szCs w:val="20"/>
                <w:color w:val="auto"/>
              </w:rPr>
            </w:pPr>
            <w:r>
              <w:rPr>
                <w:rFonts w:ascii="Arial" w:cs="Arial" w:eastAsia="Arial" w:hAnsi="Arial"/>
                <w:sz w:val="18"/>
                <w:szCs w:val="18"/>
                <w:color w:val="auto"/>
              </w:rPr>
              <w:t>ATTEST:</w:t>
            </w:r>
          </w:p>
        </w:tc>
        <w:tc>
          <w:tcPr>
            <w:tcW w:w="5740" w:type="dxa"/>
            <w:vAlign w:val="bottom"/>
            <w:gridSpan w:val="2"/>
          </w:tcPr>
          <w:p>
            <w:pPr>
              <w:ind w:left="660"/>
              <w:spacing w:after="0"/>
              <w:rPr>
                <w:sz w:val="20"/>
                <w:szCs w:val="20"/>
                <w:color w:val="auto"/>
              </w:rPr>
            </w:pPr>
            <w:r>
              <w:rPr>
                <w:rFonts w:ascii="Arial" w:cs="Arial" w:eastAsia="Arial" w:hAnsi="Arial"/>
                <w:sz w:val="18"/>
                <w:szCs w:val="18"/>
                <w:color w:val="auto"/>
              </w:rPr>
              <w:t>FRT HOLDCO REIT</w:t>
            </w:r>
          </w:p>
        </w:tc>
      </w:tr>
      <w:tr>
        <w:trPr>
          <w:trHeight w:val="20"/>
        </w:trPr>
        <w:tc>
          <w:tcPr>
            <w:tcW w:w="6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r>
      <w:tr>
        <w:trPr>
          <w:trHeight w:val="453"/>
        </w:trPr>
        <w:tc>
          <w:tcPr>
            <w:tcW w:w="5280" w:type="dxa"/>
            <w:vAlign w:val="bottom"/>
            <w:gridSpan w:val="2"/>
          </w:tcPr>
          <w:p>
            <w:pPr>
              <w:spacing w:after="0"/>
              <w:rPr>
                <w:sz w:val="20"/>
                <w:szCs w:val="20"/>
                <w:color w:val="auto"/>
              </w:rPr>
            </w:pPr>
            <w:r>
              <w:rPr>
                <w:rFonts w:ascii="Arial" w:cs="Arial" w:eastAsia="Arial" w:hAnsi="Arial"/>
                <w:sz w:val="18"/>
                <w:szCs w:val="18"/>
                <w:color w:val="auto"/>
              </w:rPr>
              <w:t>/s/ Darlene Hough</w:t>
            </w:r>
          </w:p>
        </w:tc>
        <w:tc>
          <w:tcPr>
            <w:tcW w:w="5740" w:type="dxa"/>
            <w:vAlign w:val="bottom"/>
            <w:gridSpan w:val="2"/>
          </w:tcPr>
          <w:p>
            <w:pPr>
              <w:ind w:left="660"/>
              <w:spacing w:after="0"/>
              <w:rPr>
                <w:sz w:val="20"/>
                <w:szCs w:val="20"/>
                <w:color w:val="auto"/>
              </w:rPr>
            </w:pPr>
            <w:r>
              <w:rPr>
                <w:rFonts w:ascii="Arial" w:cs="Arial" w:eastAsia="Arial" w:hAnsi="Arial"/>
                <w:sz w:val="18"/>
                <w:szCs w:val="18"/>
                <w:color w:val="auto"/>
              </w:rPr>
              <w:t>/s/ Dawn M. Becker</w:t>
            </w:r>
          </w:p>
        </w:tc>
      </w:tr>
      <w:tr>
        <w:trPr>
          <w:trHeight w:val="209"/>
        </w:trPr>
        <w:tc>
          <w:tcPr>
            <w:tcW w:w="5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Darlene Hough</w:t>
            </w:r>
          </w:p>
        </w:tc>
        <w:tc>
          <w:tcPr>
            <w:tcW w:w="660" w:type="dxa"/>
            <w:vAlign w:val="bottom"/>
          </w:tcPr>
          <w:p>
            <w:pPr>
              <w:spacing w:after="0"/>
              <w:rPr>
                <w:sz w:val="18"/>
                <w:szCs w:val="18"/>
                <w:color w:val="auto"/>
              </w:rPr>
            </w:pPr>
          </w:p>
        </w:tc>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Dawn M. Becker</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Title: Assistant Secretary</w:t>
            </w:r>
          </w:p>
        </w:tc>
        <w:tc>
          <w:tcPr>
            <w:tcW w:w="5740" w:type="dxa"/>
            <w:vAlign w:val="bottom"/>
            <w:gridSpan w:val="2"/>
          </w:tcPr>
          <w:p>
            <w:pPr>
              <w:ind w:left="660"/>
              <w:spacing w:after="0"/>
              <w:rPr>
                <w:sz w:val="20"/>
                <w:szCs w:val="20"/>
                <w:color w:val="auto"/>
              </w:rPr>
            </w:pPr>
            <w:r>
              <w:rPr>
                <w:rFonts w:ascii="Arial" w:cs="Arial" w:eastAsia="Arial" w:hAnsi="Arial"/>
                <w:sz w:val="18"/>
                <w:szCs w:val="18"/>
                <w:color w:val="auto"/>
              </w:rPr>
              <w:t>Title: Vice President-General Counsel and Secretary</w:t>
            </w: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UNDERSIGNED officer of FRT Holdco REIT hereby acknowledges in the name and on behalf of said real estate investment trust the foregoing Articles of Amendment and Restatement to be the act of said real estate investment trust and hereby certifies that to the best of her knowledge, information and belief the matters and facts set forth therein with respect to the authorization and approval thereof are true in all material respects under penalties of perjury.</w:t>
      </w:r>
    </w:p>
    <w:p>
      <w:pPr>
        <w:spacing w:after="0" w:line="21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Dawn M. Becker, Vice President-General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Counsel and 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Amendment and Restatement</w:t>
      </w:r>
    </w:p>
    <w:p>
      <w:pPr>
        <w:sectPr>
          <w:pgSz w:w="11900" w:h="16838" w:orient="portrait"/>
          <w:cols w:equalWidth="0" w:num="1">
            <w:col w:w="11020"/>
          </w:cols>
          <w:pgMar w:left="440" w:top="270" w:right="4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DECLARATION OF TRUST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FRT HOLDCO REIT</w:t>
      </w:r>
    </w:p>
    <w:p>
      <w:pPr>
        <w:spacing w:after="0" w:line="103"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The undersigned, having been authorized by the Board of Trustees (the “Board”) of FRT Holdco REIT, a Maryland real estate investment trust (the “Company”), does hereby certify in accordance with the applicable provisions of Maryland law that:</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FIRST: Effective as of 12:00 a.m. Eastern Standard Time on January 1, 2022, the declaration of trust of the Company shall be amended and restated (the “Amended and Restated Declaration of Trust”) as provided in the Articles of Amendment and Restatement filed by the Company with the Maryland State Department of Assessments and Taxation (the “MSDAT”) on December 8, 2021.</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SECOND: Effective as of 12:00 a.m. Eastern Standard Time on January 1, 2022, pursuant to Articles of Merger filed with the MSDAT on December 8, 2021, the entity known as Federal Realty Investment Trust, a real estate investment trust formed in the State of Maryland on May 21, 1999, will change its name to “Federal Realty Interim Real Estate Investment Trust.”</w:t>
      </w:r>
    </w:p>
    <w:p>
      <w:pPr>
        <w:spacing w:after="0" w:line="184"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THIRD: The Board has unanimously adopted resolutions to amend the Amended and Restated Declaration of Trust as hereinafter set forth and has declared that such amendment is advisable. The amendment set forth herein is limited to a change expressly authorized by Section 8-501(e)(2) of the Maryland REIT Law and Section 2-605 of the Maryland General Corporation Law to be made without action by the shareholders of the Company.</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FOURTH: These Articles of Amendment shall be effective as of 12:01 a.m. on January 1, 2022.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Therefore, the Amended and Restated Declaration of Trust is hereby amended as follows.</w:t>
      </w:r>
    </w:p>
    <w:p>
      <w:pPr>
        <w:spacing w:after="0" w:line="248" w:lineRule="exact"/>
        <w:rPr>
          <w:sz w:val="20"/>
          <w:szCs w:val="20"/>
          <w:color w:val="auto"/>
        </w:rPr>
      </w:pPr>
    </w:p>
    <w:p>
      <w:pPr>
        <w:ind w:left="4620" w:right="100" w:hanging="4192"/>
        <w:spacing w:after="0" w:line="532" w:lineRule="auto"/>
        <w:tabs>
          <w:tab w:leader="none" w:pos="973"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1 – Name. </w:t>
      </w:r>
      <w:r>
        <w:rPr>
          <w:rFonts w:ascii="Arial" w:cs="Arial" w:eastAsia="Arial" w:hAnsi="Arial"/>
          <w:sz w:val="18"/>
          <w:szCs w:val="18"/>
          <w:color w:val="auto"/>
        </w:rPr>
        <w:t>Article I is hereby amended by deleting “FRT Holdco REIT” and replacing it with “Federal Realty Investment Trust.”</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 page follows]</w:t>
      </w:r>
    </w:p>
    <w:p>
      <w:pPr>
        <w:sectPr>
          <w:pgSz w:w="11900" w:h="16838" w:orient="portrait"/>
          <w:cols w:equalWidth="0" w:num="1">
            <w:col w:w="11020"/>
          </w:cols>
          <w:pgMar w:left="440" w:top="121" w:right="439" w:bottom="1440" w:gutter="0" w:footer="0" w:header="0"/>
        </w:sectPr>
      </w:pPr>
    </w:p>
    <w:bookmarkStart w:id="67" w:name="page68"/>
    <w:bookmarkEnd w:id="67"/>
    <w:p>
      <w:pPr>
        <w:ind w:right="2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Arial" w:cs="Arial" w:eastAsia="Arial" w:hAnsi="Arial"/>
          <w:sz w:val="18"/>
          <w:szCs w:val="18"/>
          <w:color w:val="auto"/>
        </w:rPr>
        <w:t>the Company has caused these Articles of Amendment to be signed and executed in its corporate name by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 on this 8</w:t>
      </w:r>
      <w:r>
        <w:rPr>
          <w:rFonts w:ascii="Arial" w:cs="Arial" w:eastAsia="Arial" w:hAnsi="Arial"/>
          <w:sz w:val="15"/>
          <w:szCs w:val="15"/>
          <w:color w:val="auto"/>
        </w:rPr>
        <w:t>th</w:t>
      </w:r>
      <w:r>
        <w:rPr>
          <w:rFonts w:ascii="Arial" w:cs="Arial" w:eastAsia="Arial" w:hAnsi="Arial"/>
          <w:sz w:val="18"/>
          <w:szCs w:val="18"/>
          <w:color w:val="auto"/>
        </w:rPr>
        <w:t xml:space="preserve"> day of December,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gridSpan w:val="2"/>
          </w:tcPr>
          <w:p>
            <w:pPr>
              <w:spacing w:after="0"/>
              <w:rPr>
                <w:sz w:val="20"/>
                <w:szCs w:val="20"/>
                <w:color w:val="auto"/>
              </w:rPr>
            </w:pPr>
            <w:r>
              <w:rPr>
                <w:rFonts w:ascii="Arial" w:cs="Arial" w:eastAsia="Arial" w:hAnsi="Arial"/>
                <w:sz w:val="18"/>
                <w:szCs w:val="18"/>
                <w:color w:val="auto"/>
              </w:rPr>
              <w:t>ATTEST:</w:t>
            </w:r>
          </w:p>
        </w:tc>
        <w:tc>
          <w:tcPr>
            <w:tcW w:w="100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FRT HOLDCO REIT</w:t>
            </w:r>
          </w:p>
        </w:tc>
      </w:tr>
      <w:tr>
        <w:trPr>
          <w:trHeight w:val="20"/>
        </w:trPr>
        <w:tc>
          <w:tcPr>
            <w:tcW w:w="64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453"/>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Darlene Hough</w:t>
            </w:r>
          </w:p>
        </w:tc>
        <w:tc>
          <w:tcPr>
            <w:tcW w:w="1000" w:type="dxa"/>
            <w:vAlign w:val="bottom"/>
          </w:tcPr>
          <w:p>
            <w:pPr>
              <w:spacing w:after="0"/>
              <w:rPr>
                <w:sz w:val="24"/>
                <w:szCs w:val="24"/>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Dawn M. Becker</w:t>
            </w:r>
          </w:p>
        </w:tc>
      </w:tr>
      <w:tr>
        <w:trPr>
          <w:trHeight w:val="209"/>
        </w:trPr>
        <w:tc>
          <w:tcPr>
            <w:tcW w:w="5080" w:type="dxa"/>
            <w:vAlign w:val="bottom"/>
            <w:gridSpan w:val="2"/>
          </w:tcPr>
          <w:p>
            <w:pPr>
              <w:spacing w:after="0"/>
              <w:rPr>
                <w:sz w:val="20"/>
                <w:szCs w:val="20"/>
                <w:color w:val="auto"/>
              </w:rPr>
            </w:pPr>
            <w:r>
              <w:rPr>
                <w:rFonts w:ascii="Arial" w:cs="Arial" w:eastAsia="Arial" w:hAnsi="Arial"/>
                <w:sz w:val="18"/>
                <w:szCs w:val="18"/>
                <w:color w:val="auto"/>
              </w:rPr>
              <w:t>Name: Darlene Hough</w:t>
            </w:r>
          </w:p>
        </w:tc>
        <w:tc>
          <w:tcPr>
            <w:tcW w:w="10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Name: Dawn M. Becker</w:t>
            </w: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Title:  Assistant Secretary</w:t>
            </w:r>
          </w:p>
        </w:tc>
        <w:tc>
          <w:tcPr>
            <w:tcW w:w="10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Vice President-General Counsel and Secretary</w:t>
            </w:r>
          </w:p>
        </w:tc>
      </w:tr>
    </w:tbl>
    <w:p>
      <w:pPr>
        <w:spacing w:after="0" w:line="21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UNDERSIGNED officer of FRT Holdco REIT hereby acknowledges in the name and on behalf of said real estate investment trust the foregoing Articles of Amendment to be the act of said real estate investment trust and hereby certifies that to the best of her knowledge, information and belief the matters and facts set forth therein with respect to the authorization and approval thereof are true in all material respects under penalties of perjury.</w:t>
      </w:r>
    </w:p>
    <w:p>
      <w:pPr>
        <w:spacing w:after="0" w:line="17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 Vice President-General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and 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Holdco Articles of Amendment</w:t>
      </w:r>
    </w:p>
    <w:p>
      <w:pPr>
        <w:sectPr>
          <w:pgSz w:w="11900" w:h="16838" w:orient="portrait"/>
          <w:cols w:equalWidth="0" w:num="1">
            <w:col w:w="11020"/>
          </w:cols>
          <w:pgMar w:left="440" w:top="270" w:right="4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5474970</wp:posOffset>
            </wp:positionH>
            <wp:positionV relativeFrom="paragraph">
              <wp:posOffset>171450</wp:posOffset>
            </wp:positionV>
            <wp:extent cx="1517650" cy="4629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51765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699516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Federal Realty Investment Trust f/k/a FRT Holdco REIT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Amended and Restated 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(Effective as of January 1, 2022)</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b w:val="1"/>
          <w:bCs w:val="1"/>
          <w:i w:val="1"/>
          <w:iCs w:val="1"/>
          <w:color w:val="auto"/>
        </w:rPr>
        <w:t>ARTICLE I</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b w:val="1"/>
          <w:bCs w:val="1"/>
          <w:i w:val="1"/>
          <w:iCs w:val="1"/>
          <w:color w:val="auto"/>
        </w:rPr>
        <w:t>OFFICES</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Section 1. PRINCIPAL OFFICE. The principal office of the Trust shall be located at such place or places as the Board of Trustees (“Board”) may designate.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Section 2. ADDITIONAL OFFICES. The Trust may have additional offices at such places as the Board may from time to time determine or the business of the Trust may require.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Section 1. PLACE. All meetings of shareholders shall be held at the principal executive office of the Trust or at such other place within the United States as shall be stated in the notice of the meeting. In determining the location of any meeting of shareholders, the Board may determine that the meeting not be held at any place, but instead may be held solely by means of remote communication. If a meeting is held solely by means of remote communication, the Trust shall implement reasonable measures (a) to verify that each person considered present and authorized to vote at the meeting by means of remote communication is a shareholder or proxy holder and (b) to provide the shareholders and proxy holders a reasonable opportunity to participate in the meeting and to vote on matters submitted to the shareholders, including an opportunity to read or hear the proceedings of the meeting substantially concurrently with the proceedings.</w:t>
      </w:r>
    </w:p>
    <w:p>
      <w:pPr>
        <w:spacing w:after="0" w:line="1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Section 2. ANNUAL MEETING. An annual meeting of the shareholders for the election of Trustees and the transaction of any business within the powers of the Trust shall be held during the month of May of each year, after the delivery of the annual report referred to in Section 12 of this Article II, at a convenient location and on proper notice, on a date and at the time set by the Trustees, beginning with the year 2022. Failure to hold an annual meeting does not invalidate the Trust’s existence or affect any otherwise valid acts of the Trust.</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Section 3. SPECIAL MEETINGS. The Chairman of the Board, the Chief Executive Officer, the President or one-third of the Trustees may call special meetings of the shareholders. Special meetings of shareholders shall also be called by the Secretary upon the written request of the holders of shares entitled to cast not less than a twenty-five percent of all the votes entitled to be cast at such meeting. Such request shall state the purpose of such meeting and the matters proposed to be acted on at such meeting. The Secretary shall inform such shareholders of the reasonably estimated cost of preparing and mailing notice of the meeting and, upon payment by such shareholders to the Trust of such costs, the Secretary shall give notice to each shareholder entitled to notice of the meeting. Unless requested by shareholders entitled to cast a majority of all the votes entitled to be cast at such meeting, a special meeting need not be called to consider any matter which is substantially the same as a matter voted on at any meeting of the shareholders held during the preceding twelve months.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Section 4. NOTICE. Not less than ten nor more than 90 days before each meeting of shareholders, the Secretary shall give to each shareholder entitled to vote at such meeting and to each shareholder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or by presenting it to such shareholder personally or by leaving it at his residence or usual place of business. If mailed, such notice shall be deemed to be given when deposited in the United States mail addressed to the shareholder at his post office address as it appears on the records of the Trust, with postage thereon prepaid.</w:t>
      </w:r>
    </w:p>
    <w:p>
      <w:pPr>
        <w:sectPr>
          <w:pgSz w:w="11900" w:h="16838" w:orient="portrait"/>
          <w:cols w:equalWidth="0" w:num="1">
            <w:col w:w="11020"/>
          </w:cols>
          <w:pgMar w:left="440" w:top="121" w:right="439" w:bottom="1440" w:gutter="0" w:footer="0" w:header="0"/>
        </w:sectPr>
      </w:pPr>
    </w:p>
    <w:bookmarkStart w:id="69" w:name="page70"/>
    <w:bookmarkEnd w:id="6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 SCOPE OF NOTICE. Any business of the Trust may be transacted at an annual meeting of shareholders without being specifically designated in the notice, except such business as is required by any statute to be stated in such notice. No business shall be transacted at a special meeting of shareholders except as specifically designated in the notice.</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Section 6. ORGANIZATION. The Chairman of the Board shall preside over every meeting of the shareholders. If there is no Chairman or the Chairman is not present at any meeting of the shareholders, the Chief Executive Officer shall preside. In the case of a vacancy in office or an absence of both the Chairman and the Chief Executive Officer, one of the following officers present shall conduct the meeting in the order stated: the President, the Vice Presidents (as defined in Article V, Section 8) in their order of rank and seniority, or a Chairman chosen by the shareholders entitled to cast a majority of the votes which all shareholders present in person or by proxy are entitled to cast, shall act as Chairman. The Secretary, or, in his absence, an Assistant Secretary, or in the absence of both the Secretary and Assistant Secretaries, a person appointed by the Chief Executive Officer, shall act as Secretary of the meeting.</w:t>
      </w:r>
    </w:p>
    <w:p>
      <w:pPr>
        <w:spacing w:after="0" w:line="19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Section 7. QUORUM. At any meeting of shareholders, the presence in person or by proxy of shareholders entitled to cast a majority of all the votes entitled to be cast at such meeting shall constitute a quorum; but this section shall not affect any requirement under any statute or the Declaration of Trust for the vote necessary for the adoption of any measure. The shareholders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9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Section 8. VOTING. In any uncontested election, a majority of all the votes cast at a meeting of shareholders duly called and at which a quorum is present shall be required to elect a Trustee. A majority of the votes cast means that the number of shares voted “for” a Trustee must exceed 50% of the votes cast with respect to that Trustee. In any contested election (in which the number of nominees exceeds the number of trustees to be elected), a plurality of all the votes cast at a meeting of shareholders duly called and at which a quorum is present shall be sufficient to elect a Trustee. Each share may be voted for as many individuals as there are Trustees to be elected and for whose election the share is entitled to be voted. 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any nominee for Trustee in an uncontested election does not receive a majority of votes cast “for” his/her election shall promptly tender his or her resignation to the Chair of the Nominating and Corporate Governance Committee following certification of the shareholder vote. The Nominating and Corporate Governance Committee shall promptly consider the resignation and recommend to the Board whether to accept the tendered resignation or reject it. In considering whether to accept or reject the tendered resignation, the Nominating and Corporate Governance Committee shall consider the stated reasons, if any, why shareholders did not cast votes “for” the election of such Trustee, the length of service and qualifications of the Trustee whose resignation has been tendered, the Trustee’s contributions to the Trust, all requirements of the Trust’s governing documents, all legal requirements and such other information and factors as members of the Nominating and Corporate Governance Committee shall determine are relevant.</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Board will act on the recommendation of the Nominating and Corporate Governance Committee no later than ninety (90) days following the date of the shareholders’ meeting where the election occurred, or the date set forth in any applicable requirement of the Securities and Exchange Commission (“SEC”) or the NYSE, whichever is earlier. In considering the Nominating and Corporate Governance Committee’s recommendation, the Board will analyze the factors considered by the committee and such additional information and factors the Board believes to be relevant. Following the Board’s decision on the committee’s recommendation, the Trust will promptly disclose the Board’s decision whether to accept the resignation as tendered (providing a full explanation of the process by which the decision was reached and, if applicable, the reasons for rejecting the tendered resignation) in a press release, a filing with the SEC or other broadly disseminated means of communication. If the Board accepts a Trustee’s resignation, the Board may fill the resulting vacancy or decrease the size of the Board pursuant to the Bylaws.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00"/>
          </w:cols>
          <w:pgMar w:left="440" w:top="274" w:right="459" w:bottom="1440" w:gutter="0" w:footer="0" w:header="0"/>
        </w:sectPr>
      </w:pPr>
    </w:p>
    <w:bookmarkStart w:id="70" w:name="page71"/>
    <w:bookmarkEnd w:id="70"/>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Trustee who tenders his or her resignation pursuant to this provision shall not participate in the Nominating and Corporate Governance Committee recommendation or Board action regarding whether or not to accept the tendered resignation. However, if each member of the Nominating and Corporate Governance Committee fails to receive a majority of “for” votes at the same election, then the non-management Trustees who did receive a majority of “for” votes shall appoint a committee amongst themselves to consider the tendered resignations and recommend to the Board whether to accept or reject them.</w:t>
      </w:r>
    </w:p>
    <w:p>
      <w:pPr>
        <w:spacing w:after="0" w:line="18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Section 9. PROXIES. A shareholder may cast the votes entitled to be cast by the shares owned of record by him either in person or by proxy executed by the shareholder or by his duly authorized agent in any manner allowed by law. Such proxy shall be filed with the Secretary of the Trust before or at the time of the meeting. No proxy shall be valid after eleven months from the date of its execution, unless otherwise provided in the proxy.</w:t>
      </w:r>
    </w:p>
    <w:p>
      <w:pPr>
        <w:spacing w:after="0" w:line="1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Section 10. VOTING OF SHARES BY CERTAIN HOLDERS. Shares of the Trust registered in the name of a corporation, partnership, limited liability company, trust or other entity, if entitled to be voted, may be voted by the president or a vice president, a general partner, a manager, a managing member or trustee thereof, as the case may be, or a proxy appointed by any of the foregoing individuals, unless some other person who has been appointed to vote such shares pursuant to a bylaw or a resolution of the governing board of such corporation or other entity or agreement of the partners of the partnership or agreement of the members of the limited liability company presents a certified copy of such bylaw, resolution or agreement, in which case such person may vote such shares. Any trustee or other fiduciary may vote shares registered in his name as such fiduciary, either in person or by proxy.</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Shares of the Trust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Trustees may adopt by resolution a procedure by which a shareholder may certify in writing to the Trust that any shares registered in the name of the shareholder are held for the account of a specified person other than the shareholder. The resolution shall set forth the class of shareholders who may make the certification, the purpose for which the certification may be made, the form of certification and the information to be contained in it; if the certification is with respect to a record date or closing of the share transfer books, the time after the record date or closing of the share transfer books within which the certification must be received by the Trust; and any other provisions with respect to the procedure which the Trustees consider necessary or desirable. On receipt of such certification, the person specified in the certification shall be regarded as, for the purposes set forth in the certification, the shareholder of record of the specified shares in place of the shareholder who makes the certification.</w:t>
      </w:r>
    </w:p>
    <w:p>
      <w:pPr>
        <w:spacing w:after="0" w:line="166"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Notwithstanding any other provision contained herein or in the Declaration of Trust or these Bylaws, Title 3, Subtitle 7 of the Corporations and Associations Article of the Annotated Code of Maryland (or any successor statute) shall not apply to any acquisition by any person of shares of beneficial interest of the Trust. This section may be repealed, in whole or in part, at any time, whether before or after an acquisition of control shares and, upon such repeal, may, to the extent provided by any successor bylaw, apply to any prior or subsequent control share acquisition; provided, however, that this section may be repealed only with the approval of at least a majority of the shares then outstanding and entitled to vote on the matter.</w:t>
      </w:r>
    </w:p>
    <w:p>
      <w:pPr>
        <w:spacing w:after="0" w:line="16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Section 11. INSPECTORS. At any meeting of shareholders, the chairman of the meeting may appoint one or more persons as inspectors for such meeting. Such inspectors shall ascertain and report the number of shares represented at the meeting based upon their determination of the validity and effect of proxies, count all votes, report the results and perform such other acts as are proper to conduct the election and voting with impartiality and fairness to all the shareholders.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00"/>
          </w:cols>
          <w:pgMar w:left="440" w:top="274" w:right="459" w:bottom="1440" w:gutter="0" w:footer="0" w:header="0"/>
        </w:sectPr>
      </w:pPr>
    </w:p>
    <w:bookmarkStart w:id="71" w:name="page72"/>
    <w:bookmarkEnd w:id="71"/>
    <w:p>
      <w:pPr>
        <w:jc w:val="both"/>
        <w:ind w:left="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84"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color w:val="auto"/>
        </w:rPr>
        <w:t>Section 12. REPORTS TO SHAREHOLDERS. The Trustees shall submit to the shareholders at or before the annual meeting of shareholders a report of the business and operations of the Trust during such fiscal year, containing a balance sheet and a statement of income and surplus of the Trust, accompanied by the certification of an independent certified public accountant, and such further information as the Trustees may determine is required pursuant to any law or regulation to which the Trust is subject. Within the earlier of 20 days after the annual meeting of shareholders or 120 days after the end of the fiscal year of the Trust, the Trustees shall place the annual report on file at the principal office of the Trust and with any governmental agencies as may be required by law and as the Trustees may deem appropriate.</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13. NOMINATIONS AND PROPOSALS BY SHAREHOLDERS.</w:t>
      </w:r>
    </w:p>
    <w:p>
      <w:pPr>
        <w:spacing w:after="0" w:line="117" w:lineRule="exact"/>
        <w:rPr>
          <w:sz w:val="20"/>
          <w:szCs w:val="20"/>
          <w:color w:val="auto"/>
        </w:rPr>
      </w:pPr>
    </w:p>
    <w:p>
      <w:pPr>
        <w:ind w:left="4" w:right="140" w:hanging="4"/>
        <w:spacing w:after="0" w:line="263" w:lineRule="auto"/>
        <w:tabs>
          <w:tab w:leader="none" w:pos="249"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Annual Meetings of Shareholders. Nominations of persons for election to the Board and the proposal of business to be considered by the shareholders may be made at an annual meeting of shareholders: (i) pursuant to the Trust’s notice of meeting; (ii) by or at the direction of the Trustees; or (iii) by any shareholder of the Trust in accordance with the requirements of Section 13.</w:t>
      </w:r>
    </w:p>
    <w:p>
      <w:pPr>
        <w:spacing w:after="0" w:line="75" w:lineRule="exact"/>
        <w:rPr>
          <w:rFonts w:ascii="Arial" w:cs="Arial" w:eastAsia="Arial" w:hAnsi="Arial"/>
          <w:sz w:val="18"/>
          <w:szCs w:val="18"/>
          <w:color w:val="auto"/>
        </w:rPr>
      </w:pPr>
    </w:p>
    <w:p>
      <w:pPr>
        <w:ind w:left="264" w:hanging="264"/>
        <w:spacing w:after="0"/>
        <w:tabs>
          <w:tab w:leader="none" w:pos="2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Shareholder Nominees in Proxy Statement</w:t>
      </w:r>
    </w:p>
    <w:p>
      <w:pPr>
        <w:spacing w:after="0" w:line="117" w:lineRule="exact"/>
        <w:rPr>
          <w:rFonts w:ascii="Arial" w:cs="Arial" w:eastAsia="Arial" w:hAnsi="Arial"/>
          <w:sz w:val="18"/>
          <w:szCs w:val="18"/>
          <w:color w:val="auto"/>
        </w:rPr>
      </w:pPr>
    </w:p>
    <w:p>
      <w:pPr>
        <w:jc w:val="both"/>
        <w:ind w:left="444" w:right="20" w:hanging="4"/>
        <w:spacing w:after="0" w:line="286" w:lineRule="auto"/>
        <w:tabs>
          <w:tab w:leader="none" w:pos="699" w:val="left"/>
        </w:tabs>
        <w:numPr>
          <w:ilvl w:val="1"/>
          <w:numId w:val="80"/>
        </w:numPr>
        <w:rPr>
          <w:rFonts w:ascii="Arial" w:cs="Arial" w:eastAsia="Arial" w:hAnsi="Arial"/>
          <w:sz w:val="16"/>
          <w:szCs w:val="16"/>
          <w:color w:val="auto"/>
        </w:rPr>
      </w:pPr>
      <w:r>
        <w:rPr>
          <w:rFonts w:ascii="Arial" w:cs="Arial" w:eastAsia="Arial" w:hAnsi="Arial"/>
          <w:sz w:val="16"/>
          <w:szCs w:val="16"/>
          <w:color w:val="auto"/>
        </w:rPr>
        <w:t>Subject to the provisions of this Section 13(b), the Trust shall include in its proxy statement and ballot for any annual meeting of shareholders the name of any person nominated for election (the “Nominee”), by any Eligible Holder (as defined below) or group of up to 20 Eligible Holders that has (individually and collectively, in the case of a group) satisfied, as determined by the Board all applicable conditions and complied with all applicable procedures set forth in this Section 13(b) (such Eligible Holder or group of Eligible Holders being a “Nominating Shareholder”).</w:t>
      </w:r>
    </w:p>
    <w:p>
      <w:pPr>
        <w:spacing w:after="0" w:line="1" w:lineRule="exact"/>
        <w:rPr>
          <w:rFonts w:ascii="Arial" w:cs="Arial" w:eastAsia="Arial" w:hAnsi="Arial"/>
          <w:sz w:val="16"/>
          <w:szCs w:val="16"/>
          <w:color w:val="auto"/>
        </w:rPr>
      </w:pPr>
    </w:p>
    <w:p>
      <w:pPr>
        <w:ind w:left="444" w:right="60"/>
        <w:spacing w:after="0" w:line="287" w:lineRule="auto"/>
        <w:rPr>
          <w:rFonts w:ascii="Arial" w:cs="Arial" w:eastAsia="Arial" w:hAnsi="Arial"/>
          <w:sz w:val="16"/>
          <w:szCs w:val="16"/>
          <w:color w:val="auto"/>
        </w:rPr>
      </w:pPr>
      <w:r>
        <w:rPr>
          <w:rFonts w:ascii="Arial" w:cs="Arial" w:eastAsia="Arial" w:hAnsi="Arial"/>
          <w:sz w:val="16"/>
          <w:szCs w:val="16"/>
          <w:color w:val="auto"/>
        </w:rPr>
        <w:t>Whenever the Eligible Holder consists of a group of shareholders: (i) each provision in this Section 13(b) that requires the Eligible Holder to provide any written information, statements, representations, undertakings, agreements or other instruments or to meet any other conditions shall be deemed to require each shareholder (including each individual fund) that is a member of such group to provide such information, statements, representations, undertakings, agreements or other instruments and to meet such other conditions (except that the members of such group may aggregate the shares that each member has Owned continuously throughout the three-year period preceding and including the date of submission of the Nomination Notice in order to meet the 3% Ownership requirement), and (ii) a breach of any obligation, agreement or representation under this Section 13(b) by any member of such group shall be deemed a breach by the Eligible Holder. No shareholder may be a member of more than one group of shareholders constituting an Eligible Holder with respect to any annual meeting.</w:t>
      </w:r>
    </w:p>
    <w:p>
      <w:pPr>
        <w:spacing w:after="0" w:line="61" w:lineRule="exact"/>
        <w:rPr>
          <w:rFonts w:ascii="Arial" w:cs="Arial" w:eastAsia="Arial" w:hAnsi="Arial"/>
          <w:sz w:val="16"/>
          <w:szCs w:val="16"/>
          <w:color w:val="auto"/>
        </w:rPr>
      </w:pPr>
    </w:p>
    <w:p>
      <w:pPr>
        <w:ind w:left="444" w:hanging="4"/>
        <w:spacing w:after="0" w:line="287" w:lineRule="auto"/>
        <w:tabs>
          <w:tab w:leader="none" w:pos="699"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maximum number of Nominees nominated by all Eligible Holders that will be included in the Trust’s proxy statement with respect to an annual meeting of shareholders shall not exceed the greater of two or 20% of the number of trustees in office as of the last day on which a Nomination Notice may be submitted pursuant to and in accordance with this Section 13(b) or, if such amount is not a whole number, the closest whole number below 20% (the “Maximum Number”). For purposes of determining when the maximum number of Nominees provided for in Section 13 has been reached, each of the following persons shall be counted as one of the Nominees: (i) any individual nominated by an Eligible Holder for inclusion in the Trust’s proxy statement pursuant to Section 13 whose nomination is subsequently withdrawn; and (ii) any individual nominated by an Eligible Holder for inclusion in the Trust’s proxy statement pursuant to Section 13 whom the Board decides to nominate for election to the Board; and (iii) any trustee in office as of the Nomination Notice who was included in the Trust’s proxy statement as a Nominee for either of the two (2) preceding annual meetings of shareholders (including any individual counted as a Nominee pursuant to the immediately preceding clause (ii)) and whom the Board decides to renominate for election to the Board. In the event that one or more vacancies for any reason occurs on the Board after the deadline set forth in this Section 13(b) but before the date of the annual meeting, and the</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0984"/>
          </w:cols>
          <w:pgMar w:left="436" w:top="274" w:right="479" w:bottom="1440" w:gutter="0" w:footer="0" w:header="0"/>
        </w:sectPr>
      </w:pPr>
    </w:p>
    <w:bookmarkStart w:id="72" w:name="page73"/>
    <w:bookmarkEnd w:id="72"/>
    <w:p>
      <w:pPr>
        <w:ind w:left="4"/>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resolves to reduce the size of the board in connection therewith, the Maximum Number shall be calculated based on the number of trustees in office as so reduced. Any Eligible Holder submitting more than one Nominee for inclusion in the Trust’s proxy statement pursuant to Section 13 shall rank such Nominees based on the order in which the Eligible Holder desires such Nominees to be selected for inclusion in the Trust’s proxy statement in the event that the total number of Nominees submitted by all Eligible Holders pursuant to Section 13 exceeds the maximum number of Nominees provided for in this Section 13(b). In the event that the number of Nominees submitted by Eligible Holders pursuant to Section 13(b) exceeds the maximum number of Nominees provided for in Section 13(b), the highest ranking Nominee who meets the requirements of Section 13 from each Eligible Holder will be selected for inclusion in the Trust’s proxy statement until the maximum number is reached, going in order of the amount (largest to smallest) of shares of beneficial interest of the Trust each Eligible Holder disclosed as owned in its Nomination Notice. If the maximum number is not reached after the highest ranking Nominee who meets the requirements of Section 13 from each Eligible Holder has been selected, then the next highest ranking Nominee who meets the requirements of this Section 13(b) from each Eligible Holder will be selected for inclusion in the Trust’s proxy statement, and this process will continue as many times as necessary, following the same order each time, until the maximum number is reached. If, after the deadline for submitting a Nomination Notice as set forth in this Section 13(b), a Nominating Shareholder becomes ineligible or withdraws its nomination or a Nominee becomes unwilling to serve on the Board, whether before or after the mailing of the definitive proxy statement, then the nomination shall be disregarded, and the Trust shall not be required to include in its proxy statement or on any ballot or form of proxy the disregarded Nominee or any successor or replacement nominee proposed by the Nominating Shareholder and may so communicate to its shareholders, including without limitation by amending or supplementing its proxy statement or ballot or form of proxy, that the Nominee will not be included as a Nominee in the proxy statement or on any ballot or form of proxy and will not be voted on at the annual meeting.</w:t>
      </w:r>
    </w:p>
    <w:p>
      <w:pPr>
        <w:spacing w:after="0" w:line="82" w:lineRule="exact"/>
        <w:rPr>
          <w:sz w:val="20"/>
          <w:szCs w:val="20"/>
          <w:color w:val="auto"/>
        </w:rPr>
      </w:pPr>
    </w:p>
    <w:p>
      <w:pPr>
        <w:ind w:left="4" w:right="20" w:hanging="4"/>
        <w:spacing w:after="0" w:line="284" w:lineRule="auto"/>
        <w:tabs>
          <w:tab w:leader="none" w:pos="258"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 purposes of this Section 13(b), an “Eligible Holder” is a person who has owned at least 3% of the Trust’s outstanding common shares of beneficial interest (“Required Shares”) continuously for the three-year period preceding and including the date of submission of the Nomination Notice (“Required Holding Period”) and continues to own such minimum amount through the date of the annual shareholder meeting. The foregoing 3% ownership requirement can be satisfied collectively by a group of up to 20 shareholders each of whom has owned its portion of the Trust’s common shares of beneficial interest continuously for the three-year period preceding and including the date of submission of the Nomination Notice. Concurrently with delivery of the Nomination Notice, the Eligible Holder or group of Eligible Holders shall provide to the Secretary of the Trust evidence of its satisfaction of the ownership requirements in a form that the Board or its designee, acting in good faith, determines would be deemed acceptable for purposes of a shareholder proposal under Rule 14a-8(b)(2) under the Securities Exchange Act of 1934 (the “Exchange Act”) (or any successor rule). For purposes of this Section 13(b), an Eligible Holder shall be deemed to “own” only those outstanding shares of beneficial interest of the Trust as to which the shareholder possesses both (i) the full voting and investment rights pertaining to the shares; and (ii) the full economic interest in (including the opportunity for profit from and risk of loss on) such shares; provided that the number of shares calculated in accordance with clauses (i) and (ii) shall not include any shares: (x) sold by such shareholder or any of its affiliates in any transaction that has not been settled or closed; (y) borrowed by such shareholder or any of its affiliates for any purposes or purchased by such shareholder or any of its affiliates pursuant to an agreement to resell; or (z) subject to any option, warrant, forward contract, swap, contract of sale, other derivative or similar instrument or agreement entered into by such shareholder or any of its affiliates, whether any such instrument or agreement is to be settled with shares or with cash based on the notional amount or value of shares of beneficial interest outstanding of the Trust, if, in any such case, such instrument or agreement has, or is intended to have, the purpose or effect of reducing in any manner, to any extent or at any time in the future, such shareholder’s or its affiliates’ full right to vote or direct the voting of any such shares and/or hedging, offsetting or altering to any degree any gain or loss realized or realizable from maintaining the full economic ownership of such shares by such shareholder or affiliate. Without limiting the foregoing, to the extent not excluded by the immediately preceding sentence, an Eligible Shareholder’s “short position” as defined in Rule 14e-4 under the Exchange Act shall be deducted from the shares otherwise “owned.” A</w:t>
      </w:r>
    </w:p>
    <w:p>
      <w:pPr>
        <w:spacing w:after="0" w:line="112"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0584"/>
          </w:cols>
          <w:pgMar w:left="876" w:top="274" w:right="439" w:bottom="1440" w:gutter="0" w:footer="0" w:header="0"/>
        </w:sectPr>
      </w:pPr>
    </w:p>
    <w:bookmarkStart w:id="73" w:name="page74"/>
    <w:bookmarkEnd w:id="73"/>
    <w:p>
      <w:pPr>
        <w:ind w:left="4"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shareholder shall “own” shares held in the name of a nominee or other intermediary so long as the shareholder retains the right to instruct how the shares are voted with respect to the election of trustees and possesses the full economic interest in the shares. A shareholder’s ownership of shares shall be deemed to continue during any period in which: (A) the shareholder has loaned such shares, provided that the shareholder has the power to recall such loaned shares on five business days’ notice and includes with the Nomination Notice an agreement that it will promptly recall such loaned shares upon being notified that any of its Nominees will be included in the Trust’s proxy statement and will continue to hold such shares through the date of the annual meeting; or (B) the shareholder has delegated any voting power by means of a proxy, power of attorney or other instrument or arrangement which is revocable at any time by the shareholder. The terms “owned,” “owning” and other variations of the word “own” shall have correlative meanings. Whether outstanding shares of beneficial interest of the Trust are “owned” for these purposes shall be determined by the Board or any committee thereof. For purposes of this Section 13(b), the term “affiliate” or “affiliates” shall have the meaning ascribed thereto under the General Rules and Regulations under the Exchange Act.</w:t>
      </w:r>
    </w:p>
    <w:p>
      <w:pPr>
        <w:spacing w:after="0" w:line="60" w:lineRule="exact"/>
        <w:rPr>
          <w:sz w:val="20"/>
          <w:szCs w:val="20"/>
          <w:color w:val="auto"/>
        </w:rPr>
      </w:pPr>
    </w:p>
    <w:p>
      <w:pPr>
        <w:ind w:left="264" w:hanging="264"/>
        <w:spacing w:after="0"/>
        <w:tabs>
          <w:tab w:leader="none" w:pos="2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13(b), the Nomination Notice must include the following:</w:t>
      </w:r>
    </w:p>
    <w:p>
      <w:pPr>
        <w:spacing w:after="0" w:line="117" w:lineRule="exact"/>
        <w:rPr>
          <w:rFonts w:ascii="Arial" w:cs="Arial" w:eastAsia="Arial" w:hAnsi="Arial"/>
          <w:sz w:val="18"/>
          <w:szCs w:val="18"/>
          <w:color w:val="auto"/>
        </w:rPr>
      </w:pPr>
    </w:p>
    <w:p>
      <w:pPr>
        <w:ind w:left="544" w:right="40" w:firstLine="7"/>
        <w:spacing w:after="0" w:line="263" w:lineRule="auto"/>
        <w:tabs>
          <w:tab w:leader="none" w:pos="758"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written statement by the Eligible Holder setting forth and certifying as to the number of shares it owns and has owned continuously during the Required Holding Period, and the Eligible Holder’s agreement to provide immediate notice if the Eligible Holder ceases to own any of the Required Shares prior to the date of the annual meeting;</w:t>
      </w:r>
    </w:p>
    <w:p>
      <w:pPr>
        <w:spacing w:after="0" w:line="75" w:lineRule="exact"/>
        <w:rPr>
          <w:rFonts w:ascii="Arial" w:cs="Arial" w:eastAsia="Arial" w:hAnsi="Arial"/>
          <w:sz w:val="18"/>
          <w:szCs w:val="18"/>
          <w:color w:val="auto"/>
        </w:rPr>
      </w:pPr>
    </w:p>
    <w:p>
      <w:pPr>
        <w:ind w:left="544" w:firstLine="7"/>
        <w:spacing w:after="0" w:line="254" w:lineRule="auto"/>
        <w:tabs>
          <w:tab w:leader="none" w:pos="808" w:val="left"/>
        </w:tabs>
        <w:numPr>
          <w:ilvl w:val="1"/>
          <w:numId w:val="82"/>
        </w:numPr>
        <w:rPr>
          <w:rFonts w:ascii="Arial" w:cs="Arial" w:eastAsia="Arial" w:hAnsi="Arial"/>
          <w:sz w:val="18"/>
          <w:szCs w:val="18"/>
          <w:color w:val="auto"/>
        </w:rPr>
      </w:pPr>
      <w:r>
        <w:rPr>
          <w:rFonts w:ascii="Arial" w:cs="Arial" w:eastAsia="Arial" w:hAnsi="Arial"/>
          <w:sz w:val="18"/>
          <w:szCs w:val="18"/>
          <w:color w:val="auto"/>
        </w:rPr>
        <w:t>one or more written statements from the record holder of the Required Shares (and from each intermediary through which the Required Shares are or have been held during the Required Holding Period) verifying that, as of a date within seven calendar days prior to the date the Nomination Notice is delivered to the Secretary of the Trust, the Eligible Holder owns, and has owned continuously for the Required Holding Period, the Required Shares, and the Eligible Holder’s agreement to provide, within five business days after the later of the record date for the annual meeting and the date on which notice of the record date is first publicly disclosed, one or more written statements from the record holder and such intermediaries verifying the Eligible Holder’s continuous ownership of the Required Shares through the record date;</w:t>
      </w:r>
    </w:p>
    <w:p>
      <w:pPr>
        <w:spacing w:after="0" w:line="86" w:lineRule="exact"/>
        <w:rPr>
          <w:rFonts w:ascii="Arial" w:cs="Arial" w:eastAsia="Arial" w:hAnsi="Arial"/>
          <w:sz w:val="18"/>
          <w:szCs w:val="18"/>
          <w:color w:val="auto"/>
        </w:rPr>
      </w:pPr>
    </w:p>
    <w:p>
      <w:pPr>
        <w:ind w:left="544" w:right="180" w:firstLine="7"/>
        <w:spacing w:after="0" w:line="277" w:lineRule="auto"/>
        <w:tabs>
          <w:tab w:leader="none" w:pos="858"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copy of the Schedule 14N (or any successor form) that has been filed with the United States Securities and Exchange Commission (“SEC”) as required by Rule 14a-18 under the Exchange Act;</w:t>
      </w:r>
    </w:p>
    <w:p>
      <w:pPr>
        <w:spacing w:after="0" w:line="62" w:lineRule="exact"/>
        <w:rPr>
          <w:rFonts w:ascii="Arial" w:cs="Arial" w:eastAsia="Arial" w:hAnsi="Arial"/>
          <w:sz w:val="18"/>
          <w:szCs w:val="18"/>
          <w:color w:val="auto"/>
        </w:rPr>
      </w:pPr>
    </w:p>
    <w:p>
      <w:pPr>
        <w:ind w:left="544" w:firstLine="7"/>
        <w:spacing w:after="0" w:line="277" w:lineRule="auto"/>
        <w:tabs>
          <w:tab w:leader="none" w:pos="848"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information required by Section 13(c) (including the consent of each Nominee to being named in the proxy statement as a nominee and to serving as a trustee if elected);</w:t>
      </w:r>
    </w:p>
    <w:p>
      <w:pPr>
        <w:spacing w:after="0" w:line="62" w:lineRule="exact"/>
        <w:rPr>
          <w:rFonts w:ascii="Arial" w:cs="Arial" w:eastAsia="Arial" w:hAnsi="Arial"/>
          <w:sz w:val="18"/>
          <w:szCs w:val="18"/>
          <w:color w:val="auto"/>
        </w:rPr>
      </w:pPr>
    </w:p>
    <w:p>
      <w:pPr>
        <w:ind w:left="544" w:right="100" w:firstLine="7"/>
        <w:spacing w:after="0" w:line="269" w:lineRule="auto"/>
        <w:tabs>
          <w:tab w:leader="none" w:pos="798" w:val="left"/>
        </w:tabs>
        <w:numPr>
          <w:ilvl w:val="1"/>
          <w:numId w:val="82"/>
        </w:numPr>
        <w:rPr>
          <w:rFonts w:ascii="Arial" w:cs="Arial" w:eastAsia="Arial" w:hAnsi="Arial"/>
          <w:sz w:val="17"/>
          <w:szCs w:val="17"/>
          <w:color w:val="auto"/>
        </w:rPr>
      </w:pPr>
      <w:r>
        <w:rPr>
          <w:rFonts w:ascii="Arial" w:cs="Arial" w:eastAsia="Arial" w:hAnsi="Arial"/>
          <w:sz w:val="17"/>
          <w:szCs w:val="17"/>
          <w:color w:val="auto"/>
        </w:rPr>
        <w:t>a representation that the Eligible Holder: (A) will continue to hold the Required Shares through the annual meeting date; (B) acquired the Required Shares in the ordinary course of business and not with the intent to change or influence control at the Trust, and does not presently have such intent; (C) has not nominated and will not nominate for election to the Board at the annual meeting any person other than the Nominee(s) it is nominating pursuant to Section 13; (D) has not engaged and will not engage in, and has not and will not be a “participant” in another person’s, “solicitation” within the meaning of Rule 14a-1(l) under the Exchange Act in support of the election of any individual as a trustee at the annual meeting other than its Nominee(s) or a nominee of the Board; (E) has not distributed and will not distribute to any shareholder of the Trust any form of proxy for the annual meeting other than the form distributed by the Trust; (F) has complied with and will comply with all laws and regulations applicable to solicitations and the use, if any, of soliciting material in connection with the annual meeting; and (G) has provided and will provide facts, statements and other information in all communications with the Trust and its shareholders that are or will be true and correct in all material respects and do not and will not omit to state a material fact necessary in order to make such information, in light of the circumstances under which it was or will be made or provided, not misleading; and</w:t>
      </w:r>
    </w:p>
    <w:p>
      <w:pPr>
        <w:spacing w:after="0" w:line="11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0564"/>
          </w:cols>
          <w:pgMar w:left="876" w:top="274" w:right="459" w:bottom="1440" w:gutter="0" w:footer="0" w:header="0"/>
        </w:sectPr>
      </w:pPr>
    </w:p>
    <w:bookmarkStart w:id="74" w:name="page75"/>
    <w:bookmarkEnd w:id="74"/>
    <w:p>
      <w:pPr>
        <w:ind w:left="544" w:right="60" w:firstLine="7"/>
        <w:spacing w:after="0" w:line="287" w:lineRule="auto"/>
        <w:tabs>
          <w:tab w:leader="none" w:pos="848" w:val="left"/>
        </w:tabs>
        <w:numPr>
          <w:ilvl w:val="1"/>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undertaking that the Eligible Holder agrees to: (A) assume all liability stemming from any legal or regulatory violation arising out communications with the shareholders of the Trust by the Eligible Holder, its affiliates and associates or their respective agents and representatives, either before or after providing a Nomination Notice pursuant to Section 13, or out of the facts, statements or other information that the Eligible Holder or its Nominee(s) provided to the Trust pursuant to this Section 13(b) or otherwise in connection with the inclusion of such Nominee(s) in the Trust’s proxy statement pursuant to Section 13; (B) indemnify and hold harmless the Trust and each of its trustees, directors, officers and employees individually against any liability, loss or damages in connection with any threatened or pending action, suit or proceeding, whether legal, administrative or investigative, against the Trust or any of its trustees, directors, officers or employees arising out of any nomination submitted by the Eligible Holder pursuant to Section 13; and (C) file with the SEC any solicitation or other communication with the shareholders of the Trust relating to the meeting at which its Nominee(s) will be nominated, regardless of whether any such filing is required under Regulation 14A of the Exchange Act or whether any exemption from filing is available for such solicitation or other communication under Regulation 14A of the Exchange Act.</w:t>
      </w:r>
    </w:p>
    <w:p>
      <w:pPr>
        <w:spacing w:after="0" w:line="63" w:lineRule="exact"/>
        <w:rPr>
          <w:rFonts w:ascii="Arial" w:cs="Arial" w:eastAsia="Arial" w:hAnsi="Arial"/>
          <w:sz w:val="16"/>
          <w:szCs w:val="16"/>
          <w:color w:val="auto"/>
        </w:rPr>
      </w:pPr>
    </w:p>
    <w:p>
      <w:pPr>
        <w:ind w:left="4" w:right="80" w:hanging="4"/>
        <w:spacing w:after="0" w:line="269" w:lineRule="auto"/>
        <w:tabs>
          <w:tab w:leader="none" w:pos="258"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addition to the information required pursuant to Section 13(b)(4) or any other provision of these Bylaws, the Trust may require: (i) each Nominee to furnish any other information: (A) that may reasonably be requested by the Trust to determine whether the Nominee would be independent under the rules and listing standards of the principal United States securities exchanges upon which the common shares of beneficial interest of the Trust is listed or traded, any applicable rules of the SEC or any publicly disclosed standards used by the Board in determining and disclosing the independence of the Trust’s trustees (collectively, the “Independence Standards”); (B) that could be material to a reasonable shareholder’s understanding of the independence, or lack thereof, of such Nominee; or (C) that may reasonably be requested by the Trust to determine the eligibility of such Nominee to be included in the Trust’s proxy statement pursuant to Section 13 or to serve as a trustee of the Trust; (ii) each Nominee to complete the Trust’s director’s and officer’s questionnaire; and (iii) the Eligible Holder to furnish any other information that may reasonably be requested by the Trust to verify the Eligible Holder’s continuous ownership of the Required Shares for the Minimum Holding Period and through the date of the annual meeting.</w:t>
      </w:r>
    </w:p>
    <w:p>
      <w:pPr>
        <w:spacing w:after="0" w:line="77" w:lineRule="exact"/>
        <w:rPr>
          <w:rFonts w:ascii="Arial" w:cs="Arial" w:eastAsia="Arial" w:hAnsi="Arial"/>
          <w:sz w:val="17"/>
          <w:szCs w:val="17"/>
          <w:color w:val="auto"/>
        </w:rPr>
      </w:pPr>
    </w:p>
    <w:p>
      <w:pPr>
        <w:ind w:left="4" w:hanging="4"/>
        <w:spacing w:after="0" w:line="275" w:lineRule="auto"/>
        <w:tabs>
          <w:tab w:leader="none" w:pos="258"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Eligible Holder may, at its option, provide to the Secretary of the Trust, at the time the Nomination Notice is provided, a written statement, not to exceed 500 words, in support of Nominee(s)’ candidacy (a “Supporting Statement”). Only one Supporting Statement may be submitted by an Eligible Holder (including any group of shareholders together constituting an Eligible Holder) in support of its Nominee(s). Notwithstanding anything to the contrary contained in Section 13, the Trust may omit from its proxy materials any information or Supporting Statement (or portion thereof) that it, in good faith, believes would violate any applicable law or regulation.</w:t>
      </w:r>
    </w:p>
    <w:p>
      <w:pPr>
        <w:spacing w:after="0" w:line="68" w:lineRule="exact"/>
        <w:rPr>
          <w:rFonts w:ascii="Arial" w:cs="Arial" w:eastAsia="Arial" w:hAnsi="Arial"/>
          <w:sz w:val="17"/>
          <w:szCs w:val="17"/>
          <w:color w:val="auto"/>
        </w:rPr>
      </w:pPr>
    </w:p>
    <w:p>
      <w:pPr>
        <w:ind w:left="4" w:hanging="4"/>
        <w:spacing w:after="0" w:line="289" w:lineRule="auto"/>
        <w:tabs>
          <w:tab w:leader="none" w:pos="258"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13(b), the Trust may omit from its proxy statement any Nominee and any information concerning such Nominee (including a Nominating Shareholder’s statement in support) and no vote on such Nominee will occur (notwithstanding that proxies in respect of such vote may have been received by the Trust), and the Nominating Shareholder may not, after the last day on which a Nomination Notice would be timely, cure in any way any defect preventing the nomination of the Nominee, if: (A) the Trust receives a notice pursuant to Section 13(c) of Article II of these Bylaws that a shareholder intends to nominate a candidate for trustee at the annual meeting; (B) the Nominating Shareholder or the designated lead group member, as applicable, or any qualified representative thereof, does not appear at the meeting of shareholders to present the nomination submitted or the Nominating Shareholder withdraws its nomination; (C) the Board determines that such Nominee’s nomination or election to the Board would result in the Trust violating or failing to be in compliance with the Trust’s bylaws or declaration of trust or any applicable law, rule or regulation to which the Trust is</w:t>
      </w:r>
    </w:p>
    <w:p>
      <w:pPr>
        <w:spacing w:after="0" w:line="9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0564"/>
          </w:cols>
          <w:pgMar w:left="876" w:top="274" w:right="459" w:bottom="1440" w:gutter="0" w:footer="0" w:header="0"/>
        </w:sectPr>
      </w:pPr>
    </w:p>
    <w:bookmarkStart w:id="75" w:name="page76"/>
    <w:bookmarkEnd w:id="75"/>
    <w:p>
      <w:pPr>
        <w:ind w:left="444"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including any rules or regulations of any share exchange on which the Trust’s securities are traded; (D) the Nominee was nominated for election to the Board pursuant to this Section 13(b) at one of the Trust’s two preceding annual meetings of shareholders and either withdrew or became ineligible or received a vote of less than 25% of the common shares of beneficial interests entitled to vote for such Nominee; (E) the Nominee has been, within the past three years, an officer or director of a competitor; or (F) the Trust is notified, or the Board acting in good faith determines, that a Nominating Shareholder has failed to continue to satisfy the ownership requirements described above, any of the representations and warranties made in the Nomination Notice ceases to be true and accurate in all material respects (or omits a material fact necessary to make the statement not misleading), the Nominee becomes unwilling or unable to serve on the Board or any material violation or breach occurs of the obligations, agreements, representations or warranties of the Nominating Shareholder or the Nominee made under this Section 13(b). Further, notwithstanding anything to the contrary, the Trust may omit from its proxy statement, or may supplement or correct, any information, including all or any portion of the statement in support of the Nominee included in the Nomination Notice, if the Board in good faith determines that: (1) such information is not true in all material respects or omits a material statement necessary to make the statements made not misleading; (2) such information directly or indirectly impugns character, integrity or personal reputation of, or directly or indirectly makes charges concerning improper, illegal or immoral conduct or associations, without factual foundation, with respect to, any person; or (3) the inclusion of such information in the proxy statement would otherwise violate the SEC proxy rules or any other applicable law, rule or regulation. The Trust may solicit against, and include in the proxy statement its own statement relating to, any Nominee.</w:t>
      </w:r>
    </w:p>
    <w:p>
      <w:pPr>
        <w:spacing w:after="0" w:line="59" w:lineRule="exact"/>
        <w:rPr>
          <w:sz w:val="20"/>
          <w:szCs w:val="20"/>
          <w:color w:val="auto"/>
        </w:rPr>
      </w:pPr>
    </w:p>
    <w:p>
      <w:pPr>
        <w:ind w:left="4" w:hanging="4"/>
        <w:spacing w:after="0" w:line="282" w:lineRule="auto"/>
        <w:tabs>
          <w:tab w:leader="none" w:pos="249"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Nomination Notice or submission for other business to be properly brought before an annual meeting by a shareholder pursuant to this Section 13, the shareholder must have given timely notice thereof in writing to the Secretary of the Trust and such other business must otherwise be a proper matter for action by shareholders. To be timely, a shareholder’s notice shall be delivered to the Secretary at the principal executive offices of the Trust not later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calendar day and not earlier than the 150th calendar day prior to the first anniversary of the date of the Trust’s proxy statement released to shareholders in connection with the preceding year’s annual meeting; provided, however, that in the event that the date of the current year’s annual meeting has been changed by more than 30 days from the date of the preceding year’s meeting or if the Trust did not hold an annual meeting the preceding year, notice by the shareholder to be timely must be so delivered within a reasonable time before the Trust begins to print and mail its proxy materials. In no event shall the public announcement of a postponement or adjournment of an annual meeting to a later date or time commence a new time period for the giving of a shareholder’s notice as described above. Such shareholder’s notice shall set forth: (1) as to each person whom the shareholder proposes to nominate for election or reelection as a director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(2)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together and (3) as to the shareholder giving the notice and the beneficial owner, if any, on whose behalf the nomination or proposal is made, (A) the name and address of such shareholder, as they appear on the Trust’s books, and of such beneficial owner and</w:t>
      </w:r>
    </w:p>
    <w:p>
      <w:pPr>
        <w:spacing w:after="0" w:line="1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(B) the number of each class of shares of the Trust which are owned beneficially and of record by such shareholder and such beneficial owner.</w:t>
      </w:r>
    </w:p>
    <w:p>
      <w:pPr>
        <w:spacing w:after="0" w:line="114" w:lineRule="exact"/>
        <w:rPr>
          <w:rFonts w:ascii="Arial" w:cs="Arial" w:eastAsia="Arial" w:hAnsi="Arial"/>
          <w:sz w:val="16"/>
          <w:szCs w:val="16"/>
          <w:color w:val="auto"/>
        </w:rPr>
      </w:pPr>
    </w:p>
    <w:p>
      <w:pPr>
        <w:ind w:left="4" w:hanging="4"/>
        <w:spacing w:after="0" w:line="254" w:lineRule="auto"/>
        <w:tabs>
          <w:tab w:leader="none" w:pos="259" w:val="left"/>
        </w:tabs>
        <w:numPr>
          <w:ilvl w:val="0"/>
          <w:numId w:val="85"/>
        </w:numPr>
        <w:rPr>
          <w:rFonts w:ascii="Arial" w:cs="Arial" w:eastAsia="Arial" w:hAnsi="Arial"/>
          <w:sz w:val="18"/>
          <w:szCs w:val="18"/>
          <w:color w:val="auto"/>
        </w:rPr>
      </w:pPr>
      <w:r>
        <w:rPr>
          <w:rFonts w:ascii="Arial" w:cs="Arial" w:eastAsia="Arial" w:hAnsi="Arial"/>
          <w:sz w:val="18"/>
          <w:szCs w:val="18"/>
          <w:color w:val="auto"/>
        </w:rPr>
        <w:t>Special Meetings of Shareholders. Only such business shall be conducted at a special meeting of shareholders as shall have been brought before the meeting pursuant to the Trust’s notice of meeting. Nominations of persons for election to the Board may be made at a special meeting of shareholders at which Trustees are to be elected: (i) pursuant to the Trust’s notice of meeting; (ii) by or at the direction of the Board; or (iii) provided that the Board has determined that Trustees shall be elected at such special meeting, by any shareholder of the Trust who was a shareholder of record both at the time of giving of notice provided for in this Section 13(d) and at the time of the special meeting, who is entitled to vote at the meeting and who complied with the notice procedures set forth in this Section 13(d). In the event the Trust calls a special meeting of shareholders for the purpose of electing one or more Trustees to the Board, any</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0984"/>
          </w:cols>
          <w:pgMar w:left="436" w:top="274" w:right="479" w:bottom="1440" w:gutter="0" w:footer="0" w:header="0"/>
        </w:sectPr>
      </w:pPr>
    </w:p>
    <w:bookmarkStart w:id="76" w:name="page77"/>
    <w:bookmarkEnd w:id="76"/>
    <w:p>
      <w:pPr>
        <w:ind w:left="4"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shareholder may nominate a person or persons (as the case may be) for election to such position as specified in the Trust’s notice of meeting, if the shareholder’s notice containing the information required by paragraph (a)(2) of this Section 13(d) shall be delivered to the Secretary at the principal executive offices of the Trust not earlier than the close of business on the 120th day prior to such special meeting and not later than the close of business on the later of the 90th day prior to such special meeting or the tenth day following the day on which public announcement is first made of the date of the special meeting and of the nominees proposed by the Trustees to be elected at such meeting. In no event shall the public announcement of a postponement or adjournment of a special meeting to a later date or time commence a new time period for the giving of a shareholder’s notice as described above.</w:t>
      </w:r>
    </w:p>
    <w:p>
      <w:pPr>
        <w:spacing w:after="0" w:line="87" w:lineRule="exact"/>
        <w:rPr>
          <w:sz w:val="20"/>
          <w:szCs w:val="20"/>
          <w:color w:val="auto"/>
        </w:rPr>
      </w:pPr>
    </w:p>
    <w:p>
      <w:pPr>
        <w:ind w:left="244" w:hanging="244"/>
        <w:spacing w:after="0"/>
        <w:tabs>
          <w:tab w:leader="none" w:pos="244" w:val="left"/>
        </w:tabs>
        <w:numPr>
          <w:ilvl w:val="0"/>
          <w:numId w:val="86"/>
        </w:numPr>
        <w:rPr>
          <w:rFonts w:ascii="Arial" w:cs="Arial" w:eastAsia="Arial" w:hAnsi="Arial"/>
          <w:sz w:val="18"/>
          <w:szCs w:val="18"/>
          <w:color w:val="auto"/>
        </w:rPr>
      </w:pPr>
      <w:r>
        <w:rPr>
          <w:rFonts w:ascii="Arial" w:cs="Arial" w:eastAsia="Arial" w:hAnsi="Arial"/>
          <w:sz w:val="18"/>
          <w:szCs w:val="18"/>
          <w:color w:val="auto"/>
        </w:rPr>
        <w:t>General.</w:t>
      </w:r>
    </w:p>
    <w:p>
      <w:pPr>
        <w:spacing w:after="0" w:line="117" w:lineRule="exact"/>
        <w:rPr>
          <w:rFonts w:ascii="Arial" w:cs="Arial" w:eastAsia="Arial" w:hAnsi="Arial"/>
          <w:sz w:val="18"/>
          <w:szCs w:val="18"/>
          <w:color w:val="auto"/>
        </w:rPr>
      </w:pPr>
    </w:p>
    <w:p>
      <w:pPr>
        <w:ind w:left="444" w:hanging="4"/>
        <w:spacing w:after="0" w:line="255" w:lineRule="auto"/>
        <w:tabs>
          <w:tab w:leader="none" w:pos="699" w:val="left"/>
        </w:tabs>
        <w:numPr>
          <w:ilvl w:val="1"/>
          <w:numId w:val="86"/>
        </w:numPr>
        <w:rPr>
          <w:rFonts w:ascii="Arial" w:cs="Arial" w:eastAsia="Arial" w:hAnsi="Arial"/>
          <w:sz w:val="18"/>
          <w:szCs w:val="18"/>
          <w:color w:val="auto"/>
        </w:rPr>
      </w:pPr>
      <w:r>
        <w:rPr>
          <w:rFonts w:ascii="Arial" w:cs="Arial" w:eastAsia="Arial" w:hAnsi="Arial"/>
          <w:sz w:val="18"/>
          <w:szCs w:val="18"/>
          <w:color w:val="auto"/>
        </w:rPr>
        <w:t>Only such persons who are nominated in accordance with the procedures set forth in Section 13(b) shall be eligible to serve as Trustees and only such business shall be conducted at a meeting of shareholders as shall have been brought before the meeting in accordance with the procedures set forth in this Section 13. The chairman of the meeting shall have the power and duty to determine whether a nomination or any business proposed to be brought before the meeting was made or proposed, as the case may be, in accordance with the procedures set forth in this Section 13 and, if any proposed nomination or business is not in compliance with this Section 13, to declare that such nomination or proposal shall be disregarded.</w:t>
      </w:r>
    </w:p>
    <w:p>
      <w:pPr>
        <w:spacing w:after="0" w:line="84" w:lineRule="exact"/>
        <w:rPr>
          <w:rFonts w:ascii="Arial" w:cs="Arial" w:eastAsia="Arial" w:hAnsi="Arial"/>
          <w:sz w:val="18"/>
          <w:szCs w:val="18"/>
          <w:color w:val="auto"/>
        </w:rPr>
      </w:pPr>
    </w:p>
    <w:p>
      <w:pPr>
        <w:ind w:left="444" w:right="60" w:hanging="4"/>
        <w:spacing w:after="0" w:line="263" w:lineRule="auto"/>
        <w:tabs>
          <w:tab w:leader="none" w:pos="699" w:val="left"/>
        </w:tabs>
        <w:numPr>
          <w:ilvl w:val="1"/>
          <w:numId w:val="86"/>
        </w:numPr>
        <w:rPr>
          <w:rFonts w:ascii="Arial" w:cs="Arial" w:eastAsia="Arial" w:hAnsi="Arial"/>
          <w:sz w:val="18"/>
          <w:szCs w:val="18"/>
          <w:color w:val="auto"/>
        </w:rPr>
      </w:pPr>
      <w:r>
        <w:rPr>
          <w:rFonts w:ascii="Arial" w:cs="Arial" w:eastAsia="Arial" w:hAnsi="Arial"/>
          <w:sz w:val="18"/>
          <w:szCs w:val="18"/>
          <w:color w:val="auto"/>
        </w:rPr>
        <w:t>For purposes of this Section 13, “public announcement” shall mean disclosure in a press release reported by the Dow Jones News Service, Associated Press or comparable news service or in a document publicly filed by the Trust with the Securities and Exchange Commission pursuant to Section 13, 14 or 15(d) of the Exchange Act.</w:t>
      </w:r>
    </w:p>
    <w:p>
      <w:pPr>
        <w:spacing w:after="0" w:line="75" w:lineRule="exact"/>
        <w:rPr>
          <w:rFonts w:ascii="Arial" w:cs="Arial" w:eastAsia="Arial" w:hAnsi="Arial"/>
          <w:sz w:val="18"/>
          <w:szCs w:val="18"/>
          <w:color w:val="auto"/>
        </w:rPr>
      </w:pPr>
    </w:p>
    <w:p>
      <w:pPr>
        <w:ind w:left="444" w:right="100" w:hanging="4"/>
        <w:spacing w:after="0" w:line="259" w:lineRule="auto"/>
        <w:tabs>
          <w:tab w:leader="none" w:pos="699" w:val="left"/>
        </w:tabs>
        <w:numPr>
          <w:ilvl w:val="1"/>
          <w:numId w:val="86"/>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13, a shareholder shall also comply with all applicable requirements of state law and of the Exchange Act and the rules and regulations thereunder with respect to the matters set forth in this Section 13. Nothing in this Section 13 shall be deemed to affect any rights of shareholders to request inclusion of proposals in, nor the right of the Trust to omit a proposal from, the Trust’s proxy statement pursuant to Rule 14a-8 under the Exchange Act.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14. INFORMAL ACTION BY SHAREHOLDERS.</w:t>
      </w:r>
    </w:p>
    <w:p>
      <w:pPr>
        <w:spacing w:after="0" w:line="117" w:lineRule="exact"/>
        <w:rPr>
          <w:sz w:val="20"/>
          <w:szCs w:val="20"/>
          <w:color w:val="auto"/>
        </w:rPr>
      </w:pPr>
    </w:p>
    <w:p>
      <w:pPr>
        <w:ind w:left="4" w:right="380" w:hanging="4"/>
        <w:spacing w:after="0" w:line="263" w:lineRule="auto"/>
        <w:tabs>
          <w:tab w:leader="none" w:pos="249"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75" w:lineRule="exact"/>
        <w:rPr>
          <w:rFonts w:ascii="Arial" w:cs="Arial" w:eastAsia="Arial" w:hAnsi="Arial"/>
          <w:sz w:val="18"/>
          <w:szCs w:val="18"/>
          <w:color w:val="auto"/>
        </w:rPr>
      </w:pPr>
    </w:p>
    <w:p>
      <w:pPr>
        <w:ind w:left="4" w:hanging="4"/>
        <w:spacing w:after="0" w:line="286" w:lineRule="auto"/>
        <w:tabs>
          <w:tab w:leader="none" w:pos="259"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order that the Trust may determine the shareholders entitled to consent to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Any shareholder of record seeking to have the shareholders authorize or take action by written consent shall, by written notice to the Secretary of the Trust, request the Board to fix a record date. The Board shall promptly, but in all events within ten (10) days of the date on which such a request is received, adopt a resolution fixing the record date. If no record date has been fixed by the Board within ten (10) days of the date on which such a request is received and no prior action by the Board is required by applicable law, the record date for determining shareholders entitled to consent to action in writing without a meeting shall be the first date on which a signed written consent setting forth the action taken or proposed to be taken is delivered to the Trust by delivery to its registered office in the State of Maryland, its principal place of business, or an officer or agent of the Trust having custody of the book in which proceedings of shareholders meetings are recorded, in each case to the attention of the Secretary of Trust. Delivery shall be by hand or by certified or registered mail, return receipt requested. If no record date has been fixed by the Board within ten (10) days of the date on which such a request is received and prior action by the Board is required by applicable law, the record date for determining shareholders entitled to consent to action in writing without a meeting shall be at the close of business on the date on which the Board adopts the resolution taking such prior action.</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004"/>
          </w:cols>
          <w:pgMar w:left="436" w:top="274" w:right="459" w:bottom="1440" w:gutter="0" w:footer="0" w:header="0"/>
        </w:sectPr>
      </w:pPr>
    </w:p>
    <w:bookmarkStart w:id="77" w:name="page78"/>
    <w:bookmarkEnd w:id="77"/>
    <w:p>
      <w:pPr>
        <w:ind w:right="7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15. VOTING BY BALLOT. Voting on any question or in any election may be viva voce unless the presiding officer shall order or any shareholder shall demand that voting be by ballot.</w:t>
      </w:r>
    </w:p>
    <w:p>
      <w:pPr>
        <w:spacing w:after="0" w:line="386" w:lineRule="exact"/>
        <w:rPr>
          <w:sz w:val="20"/>
          <w:szCs w:val="20"/>
          <w:color w:val="auto"/>
        </w:rPr>
      </w:pPr>
    </w:p>
    <w:p>
      <w:pPr>
        <w:ind w:left="5000"/>
        <w:spacing w:after="0"/>
        <w:rPr>
          <w:sz w:val="20"/>
          <w:szCs w:val="20"/>
          <w:color w:val="auto"/>
        </w:rPr>
      </w:pPr>
      <w:r>
        <w:rPr>
          <w:rFonts w:ascii="Arial" w:cs="Arial" w:eastAsia="Arial" w:hAnsi="Arial"/>
          <w:sz w:val="18"/>
          <w:szCs w:val="18"/>
          <w:b w:val="1"/>
          <w:bCs w:val="1"/>
          <w:i w:val="1"/>
          <w:iCs w:val="1"/>
          <w:color w:val="auto"/>
        </w:rPr>
        <w:t>ARTICLE III</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b w:val="1"/>
          <w:bCs w:val="1"/>
          <w:i w:val="1"/>
          <w:iCs w:val="1"/>
          <w:color w:val="auto"/>
        </w:rPr>
        <w:t>TRUSTEES</w:t>
      </w:r>
    </w:p>
    <w:p>
      <w:pPr>
        <w:spacing w:after="0" w:line="21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Section 1. GENERAL POWERS; QUALIFICATIONS; TRUSTEES HOLDING OVER. The business and affairs of the Trust shall be managed under the direction of its Board. A Trustee shall be an individual at least 21 years of age who is not under legal disability. In case of failure to elect Trustees at an annual meeting of the shareholders, the Trustees holding over shall continue to direct the management of the business and affairs of the Trust until their successors are elected and qualify. At no time shall there be less than a majority of Trustees on the Board that fail to satisfy the definitions for independence as established from time to time in the Securities Exchange Act of 1934, the New York Stock Exchange’s Listed Company Manual and other laws, rules and regulations applicable to the Trust from time to time.</w:t>
      </w:r>
    </w:p>
    <w:p>
      <w:pPr>
        <w:spacing w:after="0" w:line="17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Section 2. NUMBER. At any regular meeting or at any special meeting called for that purpose, a majority of the entire Board may establish, increase or decrease the number of Trustees; provided, however, that the total number of Trustees shall not be less than five (5) or more than ten (10).</w:t>
      </w:r>
    </w:p>
    <w:p>
      <w:pPr>
        <w:spacing w:after="0" w:line="124"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Section 3. ANNUAL AND REGULAR MEETINGS. An annual meeting of the Trustees shall be held immediately after and at the same place as the annual meeting of shareholders, no notice other than this Bylaw being necessary. The Trustees may provide, by resolution, the time and place, either within or without the State of Maryland, for the holding of regular meetings of the Trustees without other notice than such resolution.</w:t>
      </w:r>
    </w:p>
    <w:p>
      <w:pPr>
        <w:spacing w:after="0" w:line="14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Section 4. SPECIAL MEETINGS. Special meetings of the Trustees may be called by or at the request of the Chairman of the Board, the Chief Executive Officer or the President or by a majority of the Trustees then in office. The person or persons authorized to call special meetings of the Trustees may fix any place, either within or without the State of Maryland, as the place for holding any special meeting of the Trustees called by them.</w:t>
      </w:r>
    </w:p>
    <w:p>
      <w:pPr>
        <w:spacing w:after="0" w:line="1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Section 5. NOTICE. Notice of any special meeting shall be given by written notice delivered personally, telegraphed, facsimile-transmitted or mailed to each Trustee at his business or residence address. Personally delivered or telegraphed notices shall be given at least two days prior to the meeting. Notice by mail shall be given at least five days prior to the meeting. Telephone or facsimile-transmission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Trustee is personally given such notice in a telephone call to which the Trustee is a party. Facsimile-transmission notice shall be deemed given upon completion of the transmission of the message to the number given to the Trust by the Trustee and receipt of a completed transmission report confirming delivery. Neither the business to be transacted at, nor the purpose of, any annual, regular or special meeting of the Trustees need be stated in the notice, unless specifically required by statute or these Bylaws.</w:t>
      </w:r>
    </w:p>
    <w:p>
      <w:pPr>
        <w:spacing w:after="0" w:line="18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Section 6. QUORUM. A majority of the Trustees shall constitute a quorum for transaction of business at any meeting of the Trustees, provided that, if less than a majority of such Trustees are present at said meeting, a majority of the Trustees present may adjourn the meeting from time to time without further notice, and provided further that if, pursuant to the Declaration of Trust or these Bylaws, the vote of a majority of a particular group of Trustees is required for action, a quorum must also include a majority of such group.</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Trustees present at a meeting which has been duly called and convened may continue to transact business until adjournment, notwithstanding the withdrawal of enough Trustees to leave less than a quorum.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020"/>
          </w:cols>
          <w:pgMar w:left="440" w:top="274" w:right="439" w:bottom="1440" w:gutter="0" w:footer="0" w:header="0"/>
        </w:sectPr>
      </w:pPr>
    </w:p>
    <w:bookmarkStart w:id="78" w:name="page79"/>
    <w:bookmarkEnd w:id="78"/>
    <w:p>
      <w:pPr>
        <w:ind w:left="4"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 VOTING. The action of the majority of the Trustees present at a meeting at which a quorum is present shall be the action of the Trustees, unless the concurrence of a greater proportion is required for such action by applicable statute.</w:t>
      </w:r>
    </w:p>
    <w:p>
      <w:pPr>
        <w:spacing w:after="0" w:line="170"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Section 8. TELEPHONE MEETINGS.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84"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Section 9. INFORMAL ACTION BY TRUSTEES. Any action required or permitted to be taken at any meeting of the Trustees may be taken without a meeting, if a consent in writing to such action is signed by each Trustee and such written consent is filed with the minutes of proceedings of the Trustees.</w:t>
      </w:r>
    </w:p>
    <w:p>
      <w:pPr>
        <w:spacing w:after="0" w:line="184"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color w:val="auto"/>
        </w:rPr>
        <w:t>Section 10. VACANCIES. If for any reason any or all the Trustees cease to be Trustees, such event shall not terminate the Trust or affect these Bylaws or the powers of the remaining Trustees hereunder (even if fewer than 3 Trustees remain). Subject to the rights of holders of one or more classes or series of preferred shares then outstanding, any vacancy on the Board (including a vacancy created by an increase in the number of Trustees) may be filled by a majority of the remaining Trustees or, if the remaining Trustees fail to act or there is no remaining Trustee, by the vote of holders of at least a majority of the Shares entitled to vote thereon and present in person or by proxy at any meeting of the shareholders called for that purpose. Any individual so elected as Trustee shall serve for the unexpired term of the Trustee he is replacing.</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11. COMPENSATION; FINANCIAL ASSISTANCE.</w:t>
      </w:r>
    </w:p>
    <w:p>
      <w:pPr>
        <w:spacing w:after="0" w:line="117" w:lineRule="exact"/>
        <w:rPr>
          <w:sz w:val="20"/>
          <w:szCs w:val="20"/>
          <w:color w:val="auto"/>
        </w:rPr>
      </w:pPr>
    </w:p>
    <w:p>
      <w:pPr>
        <w:ind w:left="4" w:hanging="4"/>
        <w:spacing w:after="0" w:line="255" w:lineRule="auto"/>
        <w:tabs>
          <w:tab w:leader="none" w:pos="249"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Compensation. Trustees shall not receive any stated salary for their services as Trustees but, by resolution of the Trustees, may receive compensation per year and/or per meeting and/or per visit to real property owned or to be acquired by the Trust and for any service or activity they performed or engaged in as Trustees. Trustees may be reimbursed for expenses of attendance, if any, at each annual, regular or special meeting of the Trustees or of any committee thereof; and for their expenses, if any, in connection with each property visit and any other service or activity performed or engaged in as Trustees; but nothing herein contained shall be construed to preclude any Trustees from serving the Trust in any other capacity and receiving compensation therefor.</w:t>
      </w:r>
    </w:p>
    <w:p>
      <w:pPr>
        <w:spacing w:after="0" w:line="84" w:lineRule="exact"/>
        <w:rPr>
          <w:rFonts w:ascii="Arial" w:cs="Arial" w:eastAsia="Arial" w:hAnsi="Arial"/>
          <w:sz w:val="18"/>
          <w:szCs w:val="18"/>
          <w:color w:val="auto"/>
        </w:rPr>
      </w:pPr>
    </w:p>
    <w:p>
      <w:pPr>
        <w:ind w:left="4" w:right="160" w:hanging="4"/>
        <w:spacing w:after="0" w:line="263" w:lineRule="auto"/>
        <w:tabs>
          <w:tab w:leader="none" w:pos="259"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Financial Assistance to Trustees. To the extent permitted by law, the Trust may lend money to, guarantee an obligation of or otherwise assist a Trustee or a trustee of its direct or indirect subsidiary. The loan, guarantee or other assistance may be with or without interest, unsecured, or secured in any manner that the Board approves, including a pledge of Shares.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12. REMOVAL OF TRUSTEES. The shareholders may, at any time, remove any Trustee in the manner provided in the Declaration of Trust.</w:t>
      </w:r>
    </w:p>
    <w:p>
      <w:pPr>
        <w:spacing w:after="0" w:line="248"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Section 13. LOSS OF DEPOSITS. No Trustee shall be liable for any loss which may occur by reason of the failure of the bank, trust company, savings and loan association, or other institution with whom moneys or shares have been deposited.</w:t>
      </w:r>
    </w:p>
    <w:p>
      <w:pPr>
        <w:spacing w:after="0" w:line="170"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Section 14. SURETY BONDS. Unless required by law, no Trustee shall be obligated to give any bond or surety or other security for the performance of any of his duties.</w:t>
      </w:r>
    </w:p>
    <w:p>
      <w:pPr>
        <w:spacing w:after="0" w:line="170"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Section 15. RELIANCE. Each Trustee, officer, employee and agent of the Trust shall, in the performance of his duties with respect to the Trust, be fully justified and protected with regard to any act or failure to act in reliance in good faith upon the books of account or other records of the Trust, upon an opinion of counsel or upon reports made to the Trust by any of its officers or employees or by the adviser, accountants, appraisers or other experts or consultants selected by the Trustees or officers of the Trust, regardless of whether such counsel or expert may also be a Trustee.</w:t>
      </w:r>
    </w:p>
    <w:p>
      <w:pPr>
        <w:spacing w:after="0" w:line="157"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Section 16. INTERESTED TRUSTEE TRANSACTIONS. Section 2-419 of the Maryland General Corporation Law (the “MGCL”) shall be available for and apply to any contract or other transaction between the Trust and any of its Trustees or between the Trust and any other trust, corporation, firm or other entity in which any of its Trustees is a trustee or director or has a material financial interest.</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0984"/>
          </w:cols>
          <w:pgMar w:left="436" w:top="274" w:right="479" w:bottom="1440" w:gutter="0" w:footer="0" w:header="0"/>
        </w:sectPr>
      </w:pPr>
    </w:p>
    <w:bookmarkStart w:id="79" w:name="page80"/>
    <w:bookmarkEnd w:id="79"/>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17. CERTAIN RIGHTS OF TRUSTEES, OFFICERS, EMPLOYEES AND AGENTS. The Trustees shall have no responsibility to devote their full time to the affairs of the Trust. Any Trustee or officer, employee or agent of the Trust (other than a full-time officer, employee or agent of the Trust), in his personal capacity or in a capacity as an affiliate, employee, or agent of any other person, or otherwise, may have business interests and engage in business activities similar or in addition to those of or relating to the Trust, subject to any limitations imposed by applicable law or any policies adopted by the Board.</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Section 18. CHAIRMAN OF THE BOARD OF TRUSTEES. The Board may elect from among the Trustees a Chairman of the Board by the affirmative vote of a majority of the full Board taken at any regular or special meeting of the Trustees. The Chairman shall preside over the meetings of shareholders and the meetings of the Trustees at which he shall be present. The Chairman may be removed at any time by the affirmative vote of a majority of the full Board taken at any regular or special meeting of the Trustees. The Chairman may resign from the position of Chairman at any time by written notice to the Board effective upon execution and delivery to the Trust of such written notice or upon any future date specified in such notice, provided that such notice shall not constitute written notice to resign as a Trustee unless so designated.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COMMITTEES</w:t>
      </w:r>
    </w:p>
    <w:p>
      <w:pPr>
        <w:spacing w:after="0" w:line="21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Section 1. NUMBER, TENURE AND QUALIFICATIONS. The Trustees shall appoint from among its members an Audit Committee, a Compensation and Human Capital Management Committee, and a Nominating and Corporate Governance Committee. The Trustees may appoint from among its members an Executive Committee and such other committees as they may deem necessary or appropriate. All committees so appointed shall be composed of one or more Trustees to serve at the pleasure of the Trustees; provided, however, that the following committees, to the extent they are created by the Trustees, shall always consist of two or more Trustees: (a) Audit Committee; (b) Compensation and Human Capital Management Committee; (c) Executive Committee; and (d) Nominating and Corporate Governance Committee.</w:t>
      </w:r>
    </w:p>
    <w:p>
      <w:pPr>
        <w:spacing w:after="0" w:line="1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Section 2. POWERS. The Trustees may delegate to committees appointed under Section 1 of this Article any of the powers of the Trustees, except as prohibited by law.</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Section 3. MEETINGS. In the absence of any member of any such committee, the members thereof present at any meeting, whether or not they constitute a quorum, may appoint another Trustee to act in the place of such absent member. Notice of committee meetings shall be given in the same manner as notice for special meetings of the Board.</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One-third, but not less than two, of the members of any committee shall be present in person at any meeting of such committee in order to constitute a quorum for the transaction of business at such meeting, and the act of a majority present shall be the act of such committee. The Board may designate a chairman of any committee, and such chairman or any two members of any committee may fix the time and place of its meetings unless the Board shall otherwise provide. In the absence or disqualification of any member of any such committee, the members thereof present at any meeting and not disqualified from voting, whether or not they constitute a quorum, may unanimously appoint another Trustee to act at the meeting in the place of such absent or disqualified members.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Each committee shall keep minutes of its proceedings and shall report the same to the Board at the next succeeding meeting, and any action by the committee shall be subject to revision and alteration by the Board, provided that no vested or contractual rights of third persons shall be affected by any such revision or alteration.</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Section 4. TELEPHONE MEETINGS. Members of a committee of the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000"/>
          </w:cols>
          <w:pgMar w:left="440" w:top="274" w:right="459" w:bottom="1440" w:gutter="0" w:footer="0" w:header="0"/>
        </w:sectPr>
      </w:pPr>
    </w:p>
    <w:bookmarkStart w:id="80" w:name="page81"/>
    <w:bookmarkEnd w:id="80"/>
    <w:p>
      <w:pPr>
        <w:jc w:val="both"/>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 INFORMAL ACTION BY COMMITTEES. Any action required or permitted to be taken at any meeting of a committee of the Trustees may be taken without a meeting, if a consent in writing to such action is signed by each member of the committee and such written consent is filed with the minutes of proceedings of such committee.</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Section 6. VACANCIES. Subject to the provisions hereof, the Board shall have the power at any time to change the membership of any committee, to fill all vacancies, to designate alternate members to replace any absent or disqualified member or to dissolve any such committee unless such committee is required to be maintained pursuant to any applicable law, rule or regulation.</w:t>
      </w:r>
    </w:p>
    <w:p>
      <w:pPr>
        <w:spacing w:after="0" w:line="400" w:lineRule="exact"/>
        <w:rPr>
          <w:sz w:val="20"/>
          <w:szCs w:val="20"/>
          <w:color w:val="auto"/>
        </w:rPr>
      </w:pPr>
    </w:p>
    <w:p>
      <w:pPr>
        <w:ind w:left="5040"/>
        <w:spacing w:after="0"/>
        <w:rPr>
          <w:sz w:val="20"/>
          <w:szCs w:val="20"/>
          <w:color w:val="auto"/>
        </w:rPr>
      </w:pPr>
      <w:r>
        <w:rPr>
          <w:rFonts w:ascii="Arial" w:cs="Arial" w:eastAsia="Arial" w:hAnsi="Arial"/>
          <w:sz w:val="18"/>
          <w:szCs w:val="18"/>
          <w:b w:val="1"/>
          <w:bCs w:val="1"/>
          <w:i w:val="1"/>
          <w:iCs w:val="1"/>
          <w:color w:val="auto"/>
        </w:rPr>
        <w:t>ARTICLE V</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i w:val="1"/>
          <w:iCs w:val="1"/>
          <w:color w:val="auto"/>
        </w:rPr>
        <w:t>OFFICERS</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Section 1. GENERAL PROVISIONS. The officers of the Trust shall include a President, a Secretary and a Treasurer and may include a Chief Executive Officer, a Chief Operating Officer, a Chief Financial Officer, one or more Vice Presidents, one or more Assistant Secretaries and one or more Assistant Treasurers. In addition: (a) the Trustees may from time to time appoint such other officers who the Trustees designate by resolution as “Executive Officers” of the Trust with such powers and duties as they shall deem necessary or desirable; and (b) the Chief Executive Officer (or, if there is no Chief Executive Officer, the President) may from time to time appoint any other officers with such powers and duties as the Chief Executive Officer (or the President, as applicable) shall deem necessary or desirable. The Chief Executive Officer and other Executive Officers of the Trust shall be appointed at such intervals as the Trustees may determine, and all other officers of the Trust shall be appointed at such intervals as the Chief Executive Officer (or, if there is no Chief Executive Officer, the President) may determine. Each officer shall hold office until his successor is elected and qualifies or until the earlier of his death, resignation or removal in the manner hereinafter provided. Any two or more offices except President and Vice President may be held by the same person. The Trustees, in their discretion, or the Chief Executive Officer (or, if there is no Chief Executive Officer, the President) may leave unfilled any office except those of President, Secretary and Treasurer. Appointment of an officer or agent shall not of itself create contract rights between the Trust and such officer or agent.</w:t>
      </w:r>
    </w:p>
    <w:p>
      <w:pPr>
        <w:spacing w:after="0" w:line="17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Section 2. REMOVAL AND RESIGNATION. Any officer or agent of the Trust may be removed at any time by the affirmative vote of two-thirds of the full Board taken at any regular or special meeting of the Trustees if in their judgment the best interests of the Trust would be served thereby, but such removal shall be without prejudice to the contract rights, if any, of the person so removed. In addition, the Chief Executive Officer (or, if there is no Chief Executive Officer at such time, the President) may remove any officer or agent of the Trust other than an Executive Officer at any time if, in his judgment, the best interests of the Trust would be served thereby, but such removal shall be without prejudice to the contract rights, if any, of the person so removed. Any officer of the Trust may resign at any time by giving written notice of his resignation to the Trustees, the Chairman of the Board, the Chief Executive Officer,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Trust.</w:t>
      </w:r>
    </w:p>
    <w:p>
      <w:pPr>
        <w:spacing w:after="0" w:line="16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Section 3. VACANCIES. A vacancy in any office may be filled by the Trustees for the balance of the term of office, and a vacancy in any office other than those of Chief Executive Officer, President and any other Executive Officer may be filled by the Chief Executive Officer (or, if there is no Chief Executive Officer at such time, the President) for the balance of the term of office.</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Section 4. CHIEF EXECUTIVE OFFICER. The Trustees may designate a Chief Executive Officer from among the elected or appointed officers. The Chief Executive Officer shall have responsibility for implementation of the policies of the Trust, as determined by the Trustees, and for the administration of the business affairs of the Trust. In the absence of the Chairman of the Board or if there is no Chairman of the Board, the Chief Executive Officer shall preside over the meetings of the shareholders and the meetings of the Trustees at which he shall be present. The Chief Executive Officer shall have the right to delegate any rights and responsibilities relating to the appointment and removal of officers to any other Executive Officer, subject to such limitations as the Chief Executive Officer shall determine.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000"/>
          </w:cols>
          <w:pgMar w:left="440" w:top="274" w:right="459" w:bottom="1440" w:gutter="0" w:footer="0" w:header="0"/>
        </w:sectPr>
      </w:pPr>
    </w:p>
    <w:bookmarkStart w:id="81" w:name="page82"/>
    <w:bookmarkEnd w:id="81"/>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 CHIEF OPERATING OFFICER. The Trustees may designate a Chief Operating Officer from among the elected or appointed officers. The Chief Operating Officer shall have the responsibilities and duties as set forth by the Trustees or the Chief Executive Officer (or, if there is no Chief Executive Officer at such time, the President).</w:t>
      </w:r>
    </w:p>
    <w:p>
      <w:pPr>
        <w:spacing w:after="0" w:line="18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Section 6. CHIEF FINANCIAL OFFICER. The Trustees may designate a Chief Financial Officer from among the elected or appointed officers. The Chief Financial Officer shall have the responsibilities and duties as set forth by the Trustees or the Chief Executive Officer (or, if there is no Chief Executive Officer at such time, the President).</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Section 7. PRESIDENT. In the absence of the Chairman of the Board (or if there is no Chairman of the Board) and the absence of the Chief Executive Officer, the President shall preside over the meetings of the shareholders and meetings of the Trustees at which he shall be present. In the absence of a designation of a Chief Executive Officer by the Trustees, the President shall be the Chief Executive Officer and shall be ex officio a member of all committees that may, from time to time, be constituted by the Trustees. The President may execute any deed, mortgage, bond, contract or other instrument, except in cases where the execution thereof shall be expressly delegated by the Trustees or by these Bylaws to some other officer or agent of the Trust or shall be required by law to be otherwise executed; and in general shall perform all duties incident to the office of President and such other duties as may be prescribed by the Trustees from time to time. The President shall have the right to delegate any rights and responsibilities relating to the appointment and removal of officers to any other Executive Officer, subject to such limitations as the President shall determine.</w:t>
      </w:r>
    </w:p>
    <w:p>
      <w:pPr>
        <w:spacing w:after="0" w:line="16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Section 8. VICE PRESIDENTS.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Trustees. The Trustees may designate one or more Vice Presidents as Executive Vice Presidents, Senior Vice Presidents or Vice Presidents for particular areas of responsibility.</w:t>
      </w:r>
    </w:p>
    <w:p>
      <w:pPr>
        <w:spacing w:after="0" w:line="16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Section 9. SECRETARY. The Secretary shall: (a) keep the minutes of the proceedings of the shareholders, the Trustees and committees of the Trustees in one or more books provided for that purpose; (b) see that all notices are duly given in accordance with the provisions of these Bylaws or as required by law; (c) be custodian of the Trust records and of the seal of the Trust; (d) keep a register of the post office address of each shareholder which shall be furnished to the Secretary by such shareholder; (e) have general charge of the share transfer books of the Trust; (f) vote, on behalf of the Trust, all of the shares of any subsidiary of the Trust, whether currently existing or created in the future, on each matter presented to shareholders of any such subsidiary for a vote; and (g) in general, perform such other duties as from time to time may be assigned to him or her by the Chief Executive Officer, the President or the Trustees.</w:t>
      </w:r>
    </w:p>
    <w:p>
      <w:pPr>
        <w:spacing w:after="0" w:line="19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Section 10. TREASURER. The Treasurer shall have the custody of the funds and securities of the Trust and shall keep full and accurate accounts of receipts and disbursements in books belonging to the Trust and shall deposit all moneys and other valuable effects in the name and to the credit of the Trust in such depositories as may be designated by the Trustees.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He shall disburse the funds of the Trust in accordance with the authority granted by the Chief Executive Officer, the President or the Trustees, taking proper vouchers for such disbursements, and shall render to the President and Trustees, whenever they may require it, an account of all his transactions as Treasurer and of the financial condition of the Trust.</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If required by the Trustees, he shall give the Trust a bond in such sum and with such surety or sureties as shall be satisfactory to the Trustees for the faithful performance of the duties of his office and for the restoration to the Trust, in case of his death, resignation, retirement or removal from office, of all books, papers, vouchers, moneys and other property of whatever kind in his possession or under his control belonging to the Trust.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000"/>
          </w:cols>
          <w:pgMar w:left="440" w:top="274" w:right="459" w:bottom="1440" w:gutter="0" w:footer="0" w:header="0"/>
        </w:sectPr>
      </w:pPr>
    </w:p>
    <w:bookmarkStart w:id="82" w:name="page83"/>
    <w:bookmarkEnd w:id="82"/>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 ASSISTANT SECRETARIES AND ASSISTANT TREASURERS. The Assistant Secretaries and Assistant Treasurers, in general, shall perform such duties as shall be assigned to them by the Secretary or Treasurer, respectively, or by the Chief Executive Officer, the President or the Trustees. The Assistant Treasurers shall, if required by the Trustees, give bonds for the faithful performance of their duties in such sums and with such surety or sureties as shall be satisfactory to the Trustees.</w:t>
      </w:r>
    </w:p>
    <w:p>
      <w:pPr>
        <w:spacing w:after="0" w:line="1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Section 12. SALARIES. The salaries and other compensation of the officers shall be fixed from time to time by or with the approval of the Trustees and no officer shall be prevented from receiving such salary or other compensation by reason of the fact that he is also a Trustee.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CONTRACTS, LOANS, CHECKS AND DEPOSITS</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Section 1. CONTRACTS. The Trustees may authorize any officer or agent to enter into any contract or to execute and deliver any instrument in the name of and on behalf of the Trust and such authority may be general or confined to specific instances. Any agreement, deed, mortgage, lease or other document executed by one or more of the Trustees or by an authorized person shall be valid and binding upon the Trustees and upon the Trust when authorized or ratified by action of the Trustees.</w:t>
      </w:r>
    </w:p>
    <w:p>
      <w:pPr>
        <w:spacing w:after="0" w:line="1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Section 2. CHECKS AND DRAFTS. All checks, drafts or other orders for the payment of money, notes or other evidences of indebtedness issued in the name of the Trust shall be signed by such officer or agent of the Trust in such manner as shall from time to time be determined by the Trustees.</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Section 3. DEPOSITS. All funds of the Trust not otherwise employed shall be deposited from time to time to the credit of the Trust in such banks, trust companies or other depositories as the Trustees may designate. If the Trustees fail to designate a depository, the Chief Executive Officer (or if there is no Chief Executive Officer, the President) may do so.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SHARES</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Section 1. CERTIFICATES. Each shareholder shall be entitled to a certificate or certificates which shall represent and certify the number of shares of each class of beneficial interests held by him in the Trust. Each certificate shall be signed by the Chief Executive Officer, the President or an Executive Officer and countersigned by the Secretary or an Assistant Secretary or the Treasurer or an Assistant Treasurer and may be sealed with the seal, if any, of the Trust. The signatures may be either manual or facsimile. Certificates shall be consecutively numbered; and if the Trust shall, from time to time, issue several classes of shares, each class may have its own number series. A certificate is valid and may be issued whether or not an officer who signed it is still an officer when it is issued. Each certificate representing shares which are restricted as to their transferability or voting powers, which are preferred or limited as to their dividends or as to their allocable portion of the assets upon liquidation or which are redeemable at the option of the Trust, shall have a statement of such restriction, limitation, preference or redemption provision, or a summary thereof, plainly stated on the certificate. In lieu of such statement or summary, the Trust may set forth upon the face or back of the certificate a statement that the Trust will furnish to any shareholder, upon request and without charge, a full statement of such information.</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Section 2. TRANSFERS. Certificates shall be treated as negotiable and title thereto and to the shares they represent shall be transferred by delivery thereof to the same extent as those of a Maryland stock corporation. Upon surrender to the Trust or the transfer agent of the Trust of a share certificate duly endorsed or accompanied by proper evidence of succession, assignment or authority to transfer, the Trust shall issue a new certificate to the person entitled thereto, cancel the old certificate and record the transaction upon its books.</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Trust shall be entitled to treat the holder of record of any share or shares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Maryland.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020"/>
          </w:cols>
          <w:pgMar w:left="440" w:top="274" w:right="439" w:bottom="1440" w:gutter="0" w:footer="0" w:header="0"/>
        </w:sectPr>
      </w:pPr>
    </w:p>
    <w:bookmarkStart w:id="83" w:name="page84"/>
    <w:bookmarkEnd w:id="83"/>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transfers of shares of beneficial interest of the Trust will be subject in all respects to the Declaration of Trust and all of the terms and conditions contained therein.</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Section 3. REPLACEMENT CERTIFICATE. Any officer designated by the Trustees may direct a new certificate to be issued in place of any certificate previously issued by the Trust alleged to have been lost, stolen or destroyed upon the making of an affidavit of that fact by the person claiming the certificate to be lost, stolen or destroyed. When authorizing the issuance of a new certificate, an officer designated by the Trustees may, in his discretion and as a condition precedent to the issuance thereof, require the owner of such lost, stolen or destroyed certificate or the owner’s legal representative to advertise the same in such manner as the officer shall require and/or to give bond, with sufficient surety, to the Trust to indemnify it against any loss or claim which may arise as a result of the issuance of a new certificate.</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Section 4. CLOSING OF TRANSFER BOOKS OR FIXING OF RECORD DATE. The Trustees may set, in advance, a record date for the purpose of determining shareholders entitled to notice of or to vote at any meeting of shareholders or determining shareholders entitled to receive payment of any dividend or the allotment of any other rights, or in order to make a determination of shareholders for any other proper purpose. Such date, in any case, shall not be prior to the close of business on the day the record date is fixed and shall be not more than 90 days and, in the case of a meeting of shareholders not less than ten days, before the date on which the meeting or particular action requiring such determination of shareholders of record is to be held or taken.</w:t>
      </w:r>
    </w:p>
    <w:p>
      <w:pPr>
        <w:spacing w:after="0" w:line="19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lieu of fixing a record date, the Trustees may provide that the share transfer books shall be closed for a stated period but not longer than 20 days. If the share transfer books are closed for the purpose of determining shareholders entitled to notice of or to vote at a meeting of shareholders, such books shall be closed for at least ten days before the date of such meeting.</w:t>
      </w:r>
    </w:p>
    <w:p>
      <w:pPr>
        <w:spacing w:after="0" w:line="18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If no record date is fixed and the share transfer books are not closed for the determination of shareholders: (a) the record date for the determination of shareholders entitled to notice of or to vote at a meeting of shareholders shall be at the close of business on the day on which the notice of meeting is mailed or the 30th day before the meeting, whichever is the closer date to the meeting; and (b) the record date for the determination of shareholders entitled to receive payment of a dividend or an allotment of any other rights shall be the close of business on the day on which the resolution of the Trustees, declaring the dividend or allotment of rights, is adopted.</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 a determination of shareholders entitled to vote at any meeting of shareholders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18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Section 5. STOCK LEDGER. The Trust shall maintain at its principal office or at the office of its counsel, accountants or transfer agent, an original or duplicate share ledger containing the name and address of each shareholder and the number of shares of each class held by such shareholder.</w:t>
      </w:r>
    </w:p>
    <w:p>
      <w:pPr>
        <w:spacing w:after="0" w:line="124"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Section 6. FRACTIONAL SHARES; ISSUANCE OF UNITS. The Trustees may issue fractional shares or provide for the issuance of scrip, all on such terms and under such conditions as they may determine. Notwithstanding any other provision of the Declaration of Trust or these Bylaws, the Trustees may issue units consisting of different securities of the Trust. Any security issued in a unit shall have the same characteristics as any identical securities issued by the Trust, except that the Trustees may provide that for a specified period securities of the Trust issued in such unit may be transferred on the books of the Trust only in such unit.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ACCOUNTING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Trustees shall have the power, from time to time, to fix the fiscal year of the Trust by a duly adopted resolution.</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000"/>
          </w:cols>
          <w:pgMar w:left="440" w:top="274" w:right="459" w:bottom="1440" w:gutter="0" w:footer="0" w:header="0"/>
        </w:sectPr>
      </w:pPr>
    </w:p>
    <w:bookmarkStart w:id="84" w:name="page85"/>
    <w:bookmarkEnd w:id="84"/>
    <w:p>
      <w:pPr>
        <w:jc w:val="center"/>
        <w:ind w:right="-23"/>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i w:val="1"/>
          <w:iCs w:val="1"/>
          <w:color w:val="auto"/>
        </w:rPr>
        <w:t>DISTRIBUTIONS</w:t>
      </w:r>
    </w:p>
    <w:p>
      <w:pPr>
        <w:spacing w:after="0" w:line="211" w:lineRule="exact"/>
        <w:rPr>
          <w:sz w:val="20"/>
          <w:szCs w:val="20"/>
          <w:color w:val="auto"/>
        </w:rPr>
      </w:pPr>
    </w:p>
    <w:p>
      <w:pPr>
        <w:jc w:val="both"/>
        <w:ind w:left="4" w:right="160"/>
        <w:spacing w:after="0" w:line="263" w:lineRule="auto"/>
        <w:rPr>
          <w:sz w:val="20"/>
          <w:szCs w:val="20"/>
          <w:color w:val="auto"/>
        </w:rPr>
      </w:pPr>
      <w:r>
        <w:rPr>
          <w:rFonts w:ascii="Arial" w:cs="Arial" w:eastAsia="Arial" w:hAnsi="Arial"/>
          <w:sz w:val="18"/>
          <w:szCs w:val="18"/>
          <w:color w:val="auto"/>
        </w:rPr>
        <w:t>Section 1. AUTHORIZATION. Dividends and other distributions upon the shares of beneficial interest of the Trust may be authorized and declared by the Trustees, subject to the provisions of law and the Declaration of Trust. Dividends and other distributions may be paid in cash, property or shares of the Trust, subject to the provisions of law and the Declaration of Trust.</w:t>
      </w:r>
    </w:p>
    <w:p>
      <w:pPr>
        <w:spacing w:after="0" w:line="184"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Section 2. CONTINGENCIES. Before payment of any dividends or other distributions, there may be set aside out of any funds of the Trust available for dividends or other distributions such sum or sums as the Trustees may from time to time, in their absolute discretion, think proper as a reserve fund for contingencies, for equalizing dividends or other distributions, for repairing or maintaining any property of the Trust or for such other purpose as the Trustees shall determine to be in the best interest of the Trust, and the Trustees may modify or abolish any such reserve in the manner in which it was created.</w:t>
      </w:r>
    </w:p>
    <w:p>
      <w:pPr>
        <w:spacing w:after="0" w:line="200" w:lineRule="exact"/>
        <w:rPr>
          <w:sz w:val="20"/>
          <w:szCs w:val="20"/>
          <w:color w:val="auto"/>
        </w:rPr>
      </w:pPr>
    </w:p>
    <w:p>
      <w:pPr>
        <w:spacing w:after="0" w:line="20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i w:val="1"/>
          <w:iCs w:val="1"/>
          <w:color w:val="auto"/>
        </w:rPr>
        <w:t>ARTICLE X</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i w:val="1"/>
          <w:iCs w:val="1"/>
          <w:color w:val="auto"/>
        </w:rPr>
        <w:t>INVESTMENT POLICY</w:t>
      </w:r>
    </w:p>
    <w:p>
      <w:pPr>
        <w:spacing w:after="0" w:line="211"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Subject to the provisions of the Declaration of Trust, the Board may from time to time adopt, amend, revise or terminate any policy or policies with respect to investments by the Trust as it shall deem appropriate in its sole discretion.</w:t>
      </w:r>
    </w:p>
    <w:p>
      <w:pPr>
        <w:spacing w:after="0" w:line="38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i w:val="1"/>
          <w:iCs w:val="1"/>
          <w:color w:val="auto"/>
        </w:rPr>
        <w:t>ARTICLE XI</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i w:val="1"/>
          <w:iCs w:val="1"/>
          <w:color w:val="auto"/>
        </w:rPr>
        <w:t>SEAL</w:t>
      </w:r>
    </w:p>
    <w:p>
      <w:pPr>
        <w:spacing w:after="0" w:line="211"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Section 1. SEAL. The Trustees may authorize the adoption of a seal by the Trust. The seal shall have inscribed thereon the name of the Trust and the year of its formation. The Trustees may authorize one or more duplicate seals and provide for the custody thereof.</w:t>
      </w:r>
    </w:p>
    <w:p>
      <w:pPr>
        <w:spacing w:after="0" w:line="170"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Section 2. AFFIXING SEAL. Whenever the Trust is permitted or required to affix its seal to a document, it shall be sufficient to meet the requirements of any law, rule or regulation relating to a seal to place the word “(SEAL)” adjacent to the signature of the person authorized to execute the document on behalf of the Trust.</w:t>
      </w:r>
    </w:p>
    <w:p>
      <w:pPr>
        <w:spacing w:after="0" w:line="40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i w:val="1"/>
          <w:iCs w:val="1"/>
          <w:color w:val="auto"/>
        </w:rPr>
        <w:t>ARTICLE XII</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i w:val="1"/>
          <w:iCs w:val="1"/>
          <w:color w:val="auto"/>
        </w:rPr>
        <w:t>INDEMNIFICATION AND ADVANCE OF EXPENSES</w:t>
      </w:r>
    </w:p>
    <w:p>
      <w:pPr>
        <w:spacing w:after="0" w:line="211" w:lineRule="exact"/>
        <w:rPr>
          <w:sz w:val="20"/>
          <w:szCs w:val="20"/>
          <w:color w:val="auto"/>
        </w:rPr>
      </w:pPr>
    </w:p>
    <w:p>
      <w:pPr>
        <w:ind w:left="4" w:right="80"/>
        <w:spacing w:after="0" w:line="284" w:lineRule="auto"/>
        <w:rPr>
          <w:sz w:val="20"/>
          <w:szCs w:val="20"/>
          <w:color w:val="auto"/>
        </w:rPr>
      </w:pPr>
      <w:r>
        <w:rPr>
          <w:rFonts w:ascii="Arial" w:cs="Arial" w:eastAsia="Arial" w:hAnsi="Arial"/>
          <w:sz w:val="16"/>
          <w:szCs w:val="16"/>
          <w:color w:val="auto"/>
        </w:rPr>
        <w:t>To the maximum extent permitted by Maryland law in effect from time to time, the Trust shall indemnify: (a) any Trustee, officer or shareholder or any former Trustee, officer or shareholder (including among the foregoing, for all purposes of this Article XII and without limitation, any individual who, while a Trustee, officer or shareholder and at the express request of the Trust,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or she was made a party by reason of service in such capacity, against reasonable expenses incurred by him or her in connection with the proceeding; (b) any Trustee or officer or any former Trustee or officer against any claim or liability to which he or she may become subject by reason of such status unless it is established that:</w:t>
      </w:r>
    </w:p>
    <w:p>
      <w:pPr>
        <w:spacing w:after="0" w:line="1" w:lineRule="exact"/>
        <w:rPr>
          <w:sz w:val="20"/>
          <w:szCs w:val="20"/>
          <w:color w:val="auto"/>
        </w:rPr>
      </w:pPr>
    </w:p>
    <w:p>
      <w:pPr>
        <w:ind w:left="4" w:right="180" w:hanging="4"/>
        <w:spacing w:after="0" w:line="288" w:lineRule="auto"/>
        <w:tabs>
          <w:tab w:leader="none" w:pos="219" w:val="left"/>
        </w:tabs>
        <w:numPr>
          <w:ilvl w:val="0"/>
          <w:numId w:val="89"/>
        </w:numPr>
        <w:rPr>
          <w:rFonts w:ascii="Arial" w:cs="Arial" w:eastAsia="Arial" w:hAnsi="Arial"/>
          <w:sz w:val="16"/>
          <w:szCs w:val="16"/>
          <w:color w:val="auto"/>
        </w:rPr>
      </w:pPr>
      <w:r>
        <w:rPr>
          <w:rFonts w:ascii="Arial" w:cs="Arial" w:eastAsia="Arial" w:hAnsi="Arial"/>
          <w:sz w:val="16"/>
          <w:szCs w:val="16"/>
          <w:color w:val="auto"/>
        </w:rPr>
        <w:t>his or her act or omission was material to the matter giving rise to the proceeding and was committed in bad faith or was the result of active and deliberate dishonesty; (ii) he or she actually received an improper personal benefit in money, property or services; or (iii) in the case of a criminal proceeding, he or she had reasonable cause to believe that his or her act or omission was unlawful; and (c) each shareholder or former shareholder against any claim or liability to which he or she may become subject by reason of such status. In addition, the Trust shall,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such status, provided that, in the case of a Trustee or officer, the Trust shall have received: (1) a written affirmation by the Trustee or officer of his or her good</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0984"/>
          </w:cols>
          <w:pgMar w:left="436" w:top="274" w:right="479" w:bottom="1440" w:gutter="0" w:footer="0" w:header="0"/>
        </w:sectPr>
      </w:pPr>
    </w:p>
    <w:bookmarkStart w:id="85" w:name="page86"/>
    <w:bookmarkEnd w:id="8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faith belief that he or she has met the applicable standard of conduct necessary for indemnification by the Trust as authorized by these Bylaws; and (2) a written undertaking by or on his or her behalf to repay the amount paid or reimbursed by the Trust if it shall ultimately be determined that the applicable standard of conduct was not met. The Trust may, with the approval of its Trustees, provide such indemnification or payment or reimbursement of expenses to any Trustee, officer or shareholder or any former Trustee, officer or shareholder who served a predecessor of the Trust and to any employee or agent of the Trust or a predecessor of the Trust. Neither the amendment nor repeal of this Article, nor the adoption or amendment of any other provision of the Declaration of Trust or these Bylaws inconsistent with this Article, shall apply to or affect in any respect the applicability of this Article with respect to any act or failure to act which occurred prior to such amendment, repeal or adoption.</w:t>
      </w:r>
    </w:p>
    <w:p>
      <w:pPr>
        <w:spacing w:after="0" w:line="17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Trust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ARTICLE XIII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WAIVER OF NOTICE</w:t>
      </w:r>
    </w:p>
    <w:p>
      <w:pPr>
        <w:spacing w:after="0" w:line="21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Whenever any notice is required to be given pursuant to the Declaration of Trust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ARTICLE XIV</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AMENDMENT OF BYLAWS</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Section 1. AMENDMENT BY SHAREHOLDERS. Any provision of these Bylaws may be adopted, altered or repealed by the shareholders at any meeting of shareholders called for that purpose, by the affirmative vote of holders of not less than a majority of the shares then outstanding and entitled to vote.</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Section 2. AMENDMENT BY TRUSTEES. Except as otherwise provided in any Bylaws adopted pursuant to Section 1 of this Article XIV or as otherwise required pursuant to the last paragraph of Section 10 of Article II, any provision of these Bylaws may be adopted, altered or repealed by the Trustees provided that the Trustees may not repeal Section 1 of this Article XIV, or the last paragraph of Section 10 of Article II, or increase the shareholder vote required under either of such sections.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ARTICLE XV</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MISCELLANEOUS</w:t>
      </w:r>
    </w:p>
    <w:p>
      <w:pPr>
        <w:spacing w:after="0" w:line="211" w:lineRule="exact"/>
        <w:rPr>
          <w:sz w:val="20"/>
          <w:szCs w:val="20"/>
          <w:color w:val="auto"/>
        </w:rPr>
      </w:pPr>
    </w:p>
    <w:p>
      <w:pPr>
        <w:jc w:val="right"/>
        <w:ind w:right="5160"/>
        <w:spacing w:after="0" w:line="449" w:lineRule="auto"/>
        <w:rPr>
          <w:sz w:val="20"/>
          <w:szCs w:val="20"/>
          <w:color w:val="auto"/>
        </w:rPr>
      </w:pPr>
      <w:r>
        <w:rPr>
          <w:rFonts w:ascii="Arial" w:cs="Arial" w:eastAsia="Arial" w:hAnsi="Arial"/>
          <w:sz w:val="18"/>
          <w:szCs w:val="18"/>
          <w:color w:val="auto"/>
        </w:rPr>
        <w:t>All references to the Declaration of Trust shall include any amendments thereto. Page 18</w:t>
      </w:r>
    </w:p>
    <w:p>
      <w:pPr>
        <w:sectPr>
          <w:pgSz w:w="11900" w:h="16838" w:orient="portrait"/>
          <w:cols w:equalWidth="0" w:num="1">
            <w:col w:w="10960"/>
          </w:cols>
          <w:pgMar w:left="440" w:top="274" w:right="49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FRT MERGER SUB REIT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Maryland real estate investment trust)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and into</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Maryland real estate investment trust)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IS TO CERTIFY THAT:</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FIRST: Each of FRT Merger Sub REIT, a Maryland real estate investment trust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and Federal Realty Investment Trust, a Maryland real estate investment trust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does hereby agree to effect a merger of said entities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upon the terms and conditions set forth herein and as contemplated by the Merger Agreement and Plan of Reorganization, dated as of December 2, 2021, by and among the Company, FRT Holdco REIT, a Maryland real estate investment trust (“</w:t>
      </w:r>
      <w:r>
        <w:rPr>
          <w:rFonts w:ascii="Arial" w:cs="Arial" w:eastAsia="Arial" w:hAnsi="Arial"/>
          <w:sz w:val="17"/>
          <w:szCs w:val="17"/>
          <w:b w:val="1"/>
          <w:bCs w:val="1"/>
          <w:i w:val="1"/>
          <w:iCs w:val="1"/>
          <w:color w:val="auto"/>
        </w:rPr>
        <w:t>Holdco</w:t>
      </w:r>
      <w:r>
        <w:rPr>
          <w:rFonts w:ascii="Arial" w:cs="Arial" w:eastAsia="Arial" w:hAnsi="Arial"/>
          <w:sz w:val="17"/>
          <w:szCs w:val="17"/>
          <w:color w:val="auto"/>
        </w:rPr>
        <w:t>”), and Merger Sub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SECOND: Merger Sub and the Company were each formed under the laws of the State of Maryland. The Company shall survive the Merger as the surviving Maryland real estate investment trust (the “</w:t>
      </w:r>
      <w:r>
        <w:rPr>
          <w:rFonts w:ascii="Arial" w:cs="Arial" w:eastAsia="Arial" w:hAnsi="Arial"/>
          <w:sz w:val="17"/>
          <w:szCs w:val="17"/>
          <w:b w:val="1"/>
          <w:bCs w:val="1"/>
          <w:i w:val="1"/>
          <w:iCs w:val="1"/>
          <w:color w:val="auto"/>
        </w:rPr>
        <w:t>Surviving Entity</w:t>
      </w:r>
      <w:r>
        <w:rPr>
          <w:rFonts w:ascii="Arial" w:cs="Arial" w:eastAsia="Arial" w:hAnsi="Arial"/>
          <w:sz w:val="17"/>
          <w:szCs w:val="17"/>
          <w:color w:val="auto"/>
        </w:rPr>
        <w:t>”). At the Effective Time (as defined below) of the Merger and pursuant to Article SIXTH hereof, the name of the Surviving Entity shall be Federal Realty Interim Real Estate Investment Trust.</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THIRD: The principal offices of Merger Sub and the Company in the State of Maryland are located in Montgomery County, and the address of such principal offices is 909 Rose Avenue, Suite 200, North Bethesda, MD 20852.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FOURTH: Merger Sub does not own any interest in land in the State of Maryland.</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FIFTH: The terms and conditions of the transaction described in these Articles of Merger were advised, authorized and approved by each real estate investment trust party to these Articles of Merger in the manner and by the vote required by its declaration of trust and the laws of the State of Maryland. The manner of approval was as follows:</w:t>
      </w:r>
    </w:p>
    <w:p>
      <w:pPr>
        <w:spacing w:after="0" w:line="184" w:lineRule="exact"/>
        <w:rPr>
          <w:sz w:val="20"/>
          <w:szCs w:val="20"/>
          <w:color w:val="auto"/>
        </w:rPr>
      </w:pPr>
    </w:p>
    <w:p>
      <w:pPr>
        <w:jc w:val="both"/>
        <w:ind w:right="760" w:firstLine="436"/>
        <w:spacing w:after="0" w:line="263" w:lineRule="auto"/>
        <w:tabs>
          <w:tab w:leader="none" w:pos="68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a meeting of the board of trustees of Merger Sub held on December 2, 2021, the Merger was approved and declared advisable and recommended for approval by the shareholders of Merger Sub; by the unanimous written consent of the sole shareholder of Merger Sub, dated December 2, 2021, the Merger was approved; and</w:t>
      </w:r>
    </w:p>
    <w:p>
      <w:pPr>
        <w:sectPr>
          <w:pgSz w:w="11900" w:h="16838" w:orient="portrait"/>
          <w:cols w:equalWidth="0" w:num="1">
            <w:col w:w="11020"/>
          </w:cols>
          <w:pgMar w:left="440" w:top="121" w:right="439" w:bottom="1440" w:gutter="0" w:footer="0" w:header="0"/>
        </w:sectPr>
      </w:pPr>
    </w:p>
    <w:bookmarkStart w:id="87" w:name="page88"/>
    <w:bookmarkEnd w:id="87"/>
    <w:p>
      <w:pPr>
        <w:ind w:right="80" w:firstLine="436"/>
        <w:spacing w:after="0" w:line="277"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a meeting of the board of trustees of the Company held on December 2, 2021, the Merger was approved; pursuant to Section 8-501.1(c)(6) of the Maryland REIT Law, the approval of the Company’s shareholders is not required.</w:t>
      </w:r>
    </w:p>
    <w:p>
      <w:pPr>
        <w:spacing w:after="0" w:line="17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SIXTH: The bylaws of the Company immediately prior to the Effective Time shall be the bylaws of the Surviving Entity. The declaration of trust of the Company immediately prior to the Effective Time shall be the declaration of trust of the Surviving Entity, except that, as part of the Merger and in accordance with Section 8-501.1(h) of the Maryland REIT Law and Section 3-109(d)(1)(i) of the Maryland General Corporation Law, Article I of the declaration of trust of the Surviving Entity is hereby amended, as of the Effective Time, to change the name of the Surviving Entity to the following:</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Federal Realty Interim Real Estate Investment Trust</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SEVENTH: At the Effective Time, Merger Sub shall be merged with and into the Company with the Company surviving the Merger as the Surviving Entity; and thereupon the separate existence of Merger Sub shall cease, the Surviving Entity shall possess any and all powers of Merger Sub, and all leases, licenses, property, rights, privileges and powers of whatever nature and description of Merger Sub shall be transferred to, vested in and devolved upon the Surviving Entity without further act or deed, and the Surviving Entity shall be liable for all the debts, liabilities, duties and obligations of Merger Sub. Except as otherwise specifically provided in these Articles of Merger, consummation of the Merger shall have the effects set forth in Section 8-501.1(o) of the Maryland REIT Law.</w:t>
      </w:r>
    </w:p>
    <w:p>
      <w:pPr>
        <w:spacing w:after="0" w:line="19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EIGHTH: (a) The total number of shares of beneficial interest that Merger Sub has authority to issue is 200 shares of beneficial interest, consisting of 100 common shares of beneficial interest, par value $.01 per share, and 100 preferred shares of beneficial interest, par value $.01 per share. The aggregate par value of all shares of beneficial interest Merger Sub has authority to issue is $2.00.</w:t>
      </w:r>
    </w:p>
    <w:p>
      <w:pPr>
        <w:spacing w:after="0" w:line="165" w:lineRule="exact"/>
        <w:rPr>
          <w:sz w:val="20"/>
          <w:szCs w:val="20"/>
          <w:color w:val="auto"/>
        </w:rPr>
      </w:pPr>
    </w:p>
    <w:p>
      <w:pPr>
        <w:jc w:val="both"/>
        <w:ind w:firstLine="436"/>
        <w:spacing w:after="0" w:line="242" w:lineRule="auto"/>
        <w:tabs>
          <w:tab w:leader="none" w:pos="695"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The total number of shares of beneficial interest that the Company has authority to issue is 115,000,000 shares of beneficial interest, consisting of 100,000,000 common shares of beneficial interest, par value $.01 per share; and 15,000,000 preferred shares of beneficial interest, par value $.01 per share, of which 4,000,000 shares are designated as Series A Cumulative Redeemable Preferred Shares, 5,750,000 shares are designated as 8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Series B Cumulative Redeemable Preferred Shares of Beneficial Interest, 399,896 shares are designated as 5.417% Series 1 Cumulative Convertible Preferred Shares of Beneficial Interest, and 6,400 shares are designated as 5.000% Series C Cumulative Redeemable Preferred Shares. The aggregate par value of all shares of beneficial interest the Company has authority to issue is $1,150,000.</w:t>
      </w:r>
    </w:p>
    <w:p>
      <w:pPr>
        <w:spacing w:after="0" w:line="201" w:lineRule="exact"/>
        <w:rPr>
          <w:rFonts w:ascii="Arial" w:cs="Arial" w:eastAsia="Arial" w:hAnsi="Arial"/>
          <w:sz w:val="17"/>
          <w:szCs w:val="17"/>
          <w:color w:val="auto"/>
        </w:rPr>
      </w:pPr>
    </w:p>
    <w:p>
      <w:pPr>
        <w:ind w:right="380" w:firstLine="436"/>
        <w:spacing w:after="0" w:line="277" w:lineRule="auto"/>
        <w:tabs>
          <w:tab w:leader="none" w:pos="68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These Articles of Merger do not change the total authorized shares of beneficial interest or the authorized number of any class or series of shares of beneficial interest of the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88" w:name="page89"/>
    <w:bookmarkEnd w:id="88"/>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NINTH: The manner and basis of converting or exchanging the issued shares of beneficial interest of the merging real estate investment trusts, and the treatment of any issued shares of beneficial interest of the merging real estate investment trusts not to be converted or exchanged, as more fully described in the Merger Agreement, are as follows:</w:t>
      </w:r>
    </w:p>
    <w:p>
      <w:pPr>
        <w:spacing w:after="0" w:line="184" w:lineRule="exact"/>
        <w:rPr>
          <w:sz w:val="20"/>
          <w:szCs w:val="20"/>
          <w:color w:val="auto"/>
        </w:rPr>
      </w:pPr>
    </w:p>
    <w:p>
      <w:pPr>
        <w:ind w:firstLine="436"/>
        <w:spacing w:after="0" w:line="342" w:lineRule="auto"/>
        <w:tabs>
          <w:tab w:leader="none" w:pos="685" w:val="left"/>
        </w:tabs>
        <w:numPr>
          <w:ilvl w:val="0"/>
          <w:numId w:val="93"/>
        </w:numPr>
        <w:rPr>
          <w:rFonts w:ascii="Arial" w:cs="Arial" w:eastAsia="Arial" w:hAnsi="Arial"/>
          <w:sz w:val="16"/>
          <w:szCs w:val="16"/>
          <w:color w:val="auto"/>
        </w:rPr>
      </w:pPr>
      <w:r>
        <w:rPr>
          <w:rFonts w:ascii="Arial" w:cs="Arial" w:eastAsia="Arial" w:hAnsi="Arial"/>
          <w:sz w:val="16"/>
          <w:szCs w:val="16"/>
          <w:color w:val="auto"/>
        </w:rPr>
        <w:t>Each common share of beneficial interest, par value $.01 per share, of Merger Sub issued and outstanding immediately prior to the Effective Time shall automatically convert, on a one-for-one basis, into one common share of beneficial interest, par value $.01 per share, of the Surviving Entity.</w:t>
      </w:r>
    </w:p>
    <w:p>
      <w:pPr>
        <w:spacing w:after="0" w:line="123" w:lineRule="exact"/>
        <w:rPr>
          <w:rFonts w:ascii="Arial" w:cs="Arial" w:eastAsia="Arial" w:hAnsi="Arial"/>
          <w:sz w:val="16"/>
          <w:szCs w:val="16"/>
          <w:color w:val="auto"/>
        </w:rPr>
      </w:pPr>
    </w:p>
    <w:p>
      <w:pPr>
        <w:ind w:right="100" w:firstLine="436"/>
        <w:spacing w:after="0" w:line="342"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Each share of beneficial interest of the Company issued and outstanding immediately prior to the Effective Time shall automatically convert, on a one-for-one basis, into one equivalent share of beneficial interest of Holdco as provided for in Section 1.7 of the Merger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TENTH: The Merger shall become effective at 12:00 a.m. Eastern Standard Time on January 1, 2022 (the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ELEVENTH: These Articles of Merger may be executed in multiple counterparts, with multiple signature pages, each bearing one or more signatures, but all such counterparts and multiple signature pages constitute one and the same instrument.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undersigned have signed these Articles of Merger on this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December,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gridSpan w:val="2"/>
          </w:tcPr>
          <w:p>
            <w:pPr>
              <w:spacing w:after="0"/>
              <w:rPr>
                <w:sz w:val="20"/>
                <w:szCs w:val="20"/>
                <w:color w:val="auto"/>
              </w:rPr>
            </w:pPr>
            <w:r>
              <w:rPr>
                <w:rFonts w:ascii="Arial" w:cs="Arial" w:eastAsia="Arial" w:hAnsi="Arial"/>
                <w:sz w:val="18"/>
                <w:szCs w:val="18"/>
                <w:color w:val="auto"/>
              </w:rPr>
              <w:t>ATTEST:</w:t>
            </w:r>
          </w:p>
        </w:tc>
        <w:tc>
          <w:tcPr>
            <w:tcW w:w="5840" w:type="dxa"/>
            <w:vAlign w:val="bottom"/>
            <w:gridSpan w:val="2"/>
          </w:tcPr>
          <w:p>
            <w:pPr>
              <w:ind w:left="880"/>
              <w:spacing w:after="0"/>
              <w:rPr>
                <w:sz w:val="20"/>
                <w:szCs w:val="20"/>
                <w:color w:val="auto"/>
              </w:rPr>
            </w:pPr>
            <w:r>
              <w:rPr>
                <w:rFonts w:ascii="Arial" w:cs="Arial" w:eastAsia="Arial" w:hAnsi="Arial"/>
                <w:sz w:val="18"/>
                <w:szCs w:val="18"/>
                <w:color w:val="auto"/>
              </w:rPr>
              <w:t>FRT MERGER SUB REIT</w:t>
            </w:r>
          </w:p>
        </w:tc>
      </w:tr>
      <w:tr>
        <w:trPr>
          <w:trHeight w:val="20"/>
        </w:trPr>
        <w:tc>
          <w:tcPr>
            <w:tcW w:w="64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r>
      <w:tr>
        <w:trPr>
          <w:trHeight w:val="453"/>
        </w:trPr>
        <w:tc>
          <w:tcPr>
            <w:tcW w:w="5180" w:type="dxa"/>
            <w:vAlign w:val="bottom"/>
            <w:gridSpan w:val="2"/>
          </w:tcPr>
          <w:p>
            <w:pPr>
              <w:spacing w:after="0"/>
              <w:rPr>
                <w:sz w:val="20"/>
                <w:szCs w:val="20"/>
                <w:color w:val="auto"/>
              </w:rPr>
            </w:pPr>
            <w:r>
              <w:rPr>
                <w:rFonts w:ascii="Arial" w:cs="Arial" w:eastAsia="Arial" w:hAnsi="Arial"/>
                <w:sz w:val="18"/>
                <w:szCs w:val="18"/>
                <w:color w:val="auto"/>
              </w:rPr>
              <w:t>/s/ Darlene Hough</w:t>
            </w:r>
          </w:p>
        </w:tc>
        <w:tc>
          <w:tcPr>
            <w:tcW w:w="5840" w:type="dxa"/>
            <w:vAlign w:val="bottom"/>
            <w:gridSpan w:val="2"/>
          </w:tcPr>
          <w:p>
            <w:pPr>
              <w:ind w:left="880"/>
              <w:spacing w:after="0"/>
              <w:rPr>
                <w:sz w:val="20"/>
                <w:szCs w:val="20"/>
                <w:color w:val="auto"/>
              </w:rPr>
            </w:pPr>
            <w:r>
              <w:rPr>
                <w:rFonts w:ascii="Arial" w:cs="Arial" w:eastAsia="Arial" w:hAnsi="Arial"/>
                <w:sz w:val="18"/>
                <w:szCs w:val="18"/>
                <w:color w:val="auto"/>
              </w:rPr>
              <w:t>/s/ Dawn M. Becker</w:t>
            </w:r>
          </w:p>
        </w:tc>
      </w:tr>
      <w:tr>
        <w:trPr>
          <w:trHeight w:val="209"/>
        </w:trPr>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Darlene Hough</w:t>
            </w:r>
          </w:p>
        </w:tc>
        <w:tc>
          <w:tcPr>
            <w:tcW w:w="88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Dawn M. Becker</w:t>
            </w: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Title: Assistant Secretary</w:t>
            </w:r>
          </w:p>
        </w:tc>
        <w:tc>
          <w:tcPr>
            <w:tcW w:w="5840" w:type="dxa"/>
            <w:vAlign w:val="bottom"/>
            <w:gridSpan w:val="2"/>
          </w:tcPr>
          <w:p>
            <w:pPr>
              <w:ind w:left="880"/>
              <w:spacing w:after="0"/>
              <w:rPr>
                <w:sz w:val="20"/>
                <w:szCs w:val="20"/>
                <w:color w:val="auto"/>
              </w:rPr>
            </w:pPr>
            <w:r>
              <w:rPr>
                <w:rFonts w:ascii="Arial" w:cs="Arial" w:eastAsia="Arial" w:hAnsi="Arial"/>
                <w:sz w:val="18"/>
                <w:szCs w:val="18"/>
                <w:color w:val="auto"/>
              </w:rPr>
              <w:t>Title: Vice President-General Counsel and Secretary</w:t>
            </w:r>
          </w:p>
        </w:tc>
      </w:tr>
      <w:tr>
        <w:trPr>
          <w:trHeight w:val="392"/>
        </w:trPr>
        <w:tc>
          <w:tcPr>
            <w:tcW w:w="5180" w:type="dxa"/>
            <w:vAlign w:val="bottom"/>
            <w:gridSpan w:val="2"/>
          </w:tcPr>
          <w:p>
            <w:pPr>
              <w:spacing w:after="0"/>
              <w:rPr>
                <w:sz w:val="20"/>
                <w:szCs w:val="20"/>
                <w:color w:val="auto"/>
              </w:rPr>
            </w:pPr>
            <w:r>
              <w:rPr>
                <w:rFonts w:ascii="Arial" w:cs="Arial" w:eastAsia="Arial" w:hAnsi="Arial"/>
                <w:sz w:val="18"/>
                <w:szCs w:val="18"/>
                <w:color w:val="auto"/>
              </w:rPr>
              <w:t>ATTEST:</w:t>
            </w:r>
          </w:p>
        </w:tc>
        <w:tc>
          <w:tcPr>
            <w:tcW w:w="5840" w:type="dxa"/>
            <w:vAlign w:val="bottom"/>
            <w:gridSpan w:val="2"/>
          </w:tcPr>
          <w:p>
            <w:pPr>
              <w:ind w:left="880"/>
              <w:spacing w:after="0"/>
              <w:rPr>
                <w:sz w:val="20"/>
                <w:szCs w:val="20"/>
                <w:color w:val="auto"/>
              </w:rPr>
            </w:pPr>
            <w:r>
              <w:rPr>
                <w:rFonts w:ascii="Arial" w:cs="Arial" w:eastAsia="Arial" w:hAnsi="Arial"/>
                <w:sz w:val="18"/>
                <w:szCs w:val="18"/>
                <w:color w:val="auto"/>
              </w:rPr>
              <w:t>FEDERAL REALTY INVESTMENT TRUST</w:t>
            </w:r>
          </w:p>
        </w:tc>
      </w:tr>
      <w:tr>
        <w:trPr>
          <w:trHeight w:val="20"/>
        </w:trPr>
        <w:tc>
          <w:tcPr>
            <w:tcW w:w="64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r>
      <w:tr>
        <w:trPr>
          <w:trHeight w:val="453"/>
        </w:trPr>
        <w:tc>
          <w:tcPr>
            <w:tcW w:w="5180" w:type="dxa"/>
            <w:vAlign w:val="bottom"/>
            <w:gridSpan w:val="2"/>
          </w:tcPr>
          <w:p>
            <w:pPr>
              <w:spacing w:after="0"/>
              <w:rPr>
                <w:sz w:val="20"/>
                <w:szCs w:val="20"/>
                <w:color w:val="auto"/>
              </w:rPr>
            </w:pPr>
            <w:r>
              <w:rPr>
                <w:rFonts w:ascii="Arial" w:cs="Arial" w:eastAsia="Arial" w:hAnsi="Arial"/>
                <w:sz w:val="18"/>
                <w:szCs w:val="18"/>
                <w:color w:val="auto"/>
              </w:rPr>
              <w:t>/s/ Darlene Hough</w:t>
            </w:r>
          </w:p>
        </w:tc>
        <w:tc>
          <w:tcPr>
            <w:tcW w:w="5840" w:type="dxa"/>
            <w:vAlign w:val="bottom"/>
            <w:gridSpan w:val="2"/>
          </w:tcPr>
          <w:p>
            <w:pPr>
              <w:ind w:left="880"/>
              <w:spacing w:after="0"/>
              <w:rPr>
                <w:sz w:val="20"/>
                <w:szCs w:val="20"/>
                <w:color w:val="auto"/>
              </w:rPr>
            </w:pPr>
            <w:r>
              <w:rPr>
                <w:rFonts w:ascii="Arial" w:cs="Arial" w:eastAsia="Arial" w:hAnsi="Arial"/>
                <w:sz w:val="18"/>
                <w:szCs w:val="18"/>
                <w:color w:val="auto"/>
              </w:rPr>
              <w:t>/s/ Dawn M. Becker</w:t>
            </w:r>
          </w:p>
        </w:tc>
      </w:tr>
      <w:tr>
        <w:trPr>
          <w:trHeight w:val="209"/>
        </w:trPr>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Darlene Hough</w:t>
            </w:r>
          </w:p>
        </w:tc>
        <w:tc>
          <w:tcPr>
            <w:tcW w:w="88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Dawn M. Becker</w:t>
            </w: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Title: Assistant Secretary</w:t>
            </w:r>
          </w:p>
        </w:tc>
        <w:tc>
          <w:tcPr>
            <w:tcW w:w="5840" w:type="dxa"/>
            <w:vAlign w:val="bottom"/>
            <w:gridSpan w:val="2"/>
          </w:tcPr>
          <w:p>
            <w:pPr>
              <w:ind w:left="880"/>
              <w:spacing w:after="0"/>
              <w:rPr>
                <w:sz w:val="20"/>
                <w:szCs w:val="20"/>
                <w:color w:val="auto"/>
              </w:rPr>
            </w:pPr>
            <w:r>
              <w:rPr>
                <w:rFonts w:ascii="Arial" w:cs="Arial" w:eastAsia="Arial" w:hAnsi="Arial"/>
                <w:sz w:val="18"/>
                <w:szCs w:val="18"/>
                <w:color w:val="auto"/>
              </w:rPr>
              <w:t>Title: Executive Vice President-Corporate</w:t>
            </w: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Holdco executes these Articles of Merger for the sole purpose of acknowledging its obligation to issue and deliver the Holdco shares of beneficial interest contemplated by Section 1.7 of the Merger Agreement.</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FRT HOLDCO REIT</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Dawn M. Becker</w:t>
      </w:r>
    </w:p>
    <w:p>
      <w:pPr>
        <w:spacing w:after="0" w:line="23"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8"/>
          <w:szCs w:val="18"/>
          <w:color w:val="auto"/>
        </w:rPr>
        <w:t>Title:</w:t>
        <w:tab/>
        <w:t>Vice President-General Counsel and 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Merger</w:t>
      </w:r>
    </w:p>
    <w:p>
      <w:pPr>
        <w:sectPr>
          <w:pgSz w:w="11900" w:h="16838" w:orient="portrait"/>
          <w:cols w:equalWidth="0" w:num="1">
            <w:col w:w="11020"/>
          </w:cols>
          <w:pgMar w:left="440" w:top="270" w:right="439" w:bottom="1440" w:gutter="0" w:footer="0" w:header="0"/>
        </w:sectPr>
      </w:pPr>
    </w:p>
    <w:bookmarkStart w:id="90" w:name="page91"/>
    <w:bookmarkEnd w:id="90"/>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officer of FRT Merger Sub REIT hereby acknowledges in the name and on behalf of said real estate investment trust the foregoing Articles of Merger to be the act of said real estate investment trust and hereby certifies that to the best of her knowledge, information and belief the matters and facts set forth therein with respect to the authorization and approval thereof are true in all material respects under penalties of perjury.</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Dawn M. Becker, Vice President-General Counsel and</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officer of Federal Realty Investment Trust hereby acknowledges in the name and on behalf of said real estate investment trust the foregoing Articles of Merger to be the act of said real estate investment trust and hereby certifies that to the best of her knowledge, information and belief the matters and facts set forth therein with respect to the authorization and approval thereof are true in all material respects under penalties of perjury.</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Dawn M. Becker, Executive Vice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President-Corporate</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Articles of Merger - Certification</w:t>
      </w:r>
    </w:p>
    <w:p>
      <w:pPr>
        <w:sectPr>
          <w:pgSz w:w="11900" w:h="16838" w:orient="portrait"/>
          <w:cols w:equalWidth="0" w:num="1">
            <w:col w:w="10860"/>
          </w:cols>
          <w:pgMar w:left="440" w:top="274" w:right="59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ASSIGNMENT, ASSUMPTION AND AMENDMENT</w:t>
      </w:r>
    </w:p>
    <w:p>
      <w:pPr>
        <w:spacing w:after="0" w:line="229"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This Omnibus Assignment, Assumption and Amendment (this “Agreement”) is made by and between Federal Realty Investment Trust, a Maryland real estate Investment Trust (“Assignor”), and FRT Holdco REIT, a Maryland real estate investment trust (“Assignee”), effective as of the effective time (“Effective Time”) of the Merger (defined below).</w:t>
      </w:r>
    </w:p>
    <w:p>
      <w:pPr>
        <w:spacing w:after="0" w:line="184"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Pursuant to the Merger Agreement and Plan of Reorganization dated as of December 2, 2021 (“Merger Agreement”), among Assignor, Assignee and FRT Merger Sub REIT, a Maryland real estate investment trust (“Merger Sub”), Merger Sub will be merged with and into Assignor, with Assignor being the surviving entity and becoming a subsidiary of Assignee (the “Merger”). In the Merger, each of Assignor’s capital shares will be converted into a capital share of Assignee. Following the Merger, Assignor will convert into a Delaware limited partnership and change its name to Federal Realty OP LP, and Assignee will change its name to “Federal Realty Investment Trust.” In connection with the Merger, Assignor has agreed to assign to Assignee, and Assignee has agreed to assume from Assignor and modify as necessary, all of the agreements, plans, policies and other commitments listed in </w:t>
      </w:r>
      <w:r>
        <w:rPr>
          <w:rFonts w:ascii="Arial" w:cs="Arial" w:eastAsia="Arial" w:hAnsi="Arial"/>
          <w:sz w:val="18"/>
          <w:szCs w:val="18"/>
          <w:u w:val="single" w:color="auto"/>
          <w:color w:val="auto"/>
        </w:rPr>
        <w:t>Paragraph 2</w:t>
      </w:r>
      <w:r>
        <w:rPr>
          <w:rFonts w:ascii="Arial" w:cs="Arial" w:eastAsia="Arial" w:hAnsi="Arial"/>
          <w:sz w:val="18"/>
          <w:szCs w:val="18"/>
          <w:color w:val="auto"/>
        </w:rPr>
        <w:t xml:space="preserve"> below.</w:t>
      </w:r>
    </w:p>
    <w:p>
      <w:pPr>
        <w:spacing w:after="0" w:line="191"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covenants and agreements set forth herein, the receipt and sufficiency of which are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parties hereto, the parties, intending to be legally bound, agree as follows:</w:t>
      </w:r>
    </w:p>
    <w:p>
      <w:pPr>
        <w:spacing w:after="0" w:line="54" w:lineRule="exact"/>
        <w:rPr>
          <w:sz w:val="20"/>
          <w:szCs w:val="20"/>
          <w:color w:val="auto"/>
        </w:rPr>
      </w:pPr>
    </w:p>
    <w:p>
      <w:pPr>
        <w:ind w:right="60" w:firstLine="436"/>
        <w:spacing w:after="0" w:line="282" w:lineRule="auto"/>
        <w:tabs>
          <w:tab w:leader="none" w:pos="6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Capitalized terms used in this Agreement and not otherwise defined shall have the respective meanings assigned to them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Realty Investment Trust 2020 Performance Incentive Plan (“2020 Plan”).</w:t>
      </w:r>
    </w:p>
    <w:p>
      <w:pPr>
        <w:spacing w:after="0" w:line="53" w:lineRule="exact"/>
        <w:rPr>
          <w:rFonts w:ascii="Arial" w:cs="Arial" w:eastAsia="Arial" w:hAnsi="Arial"/>
          <w:sz w:val="18"/>
          <w:szCs w:val="18"/>
          <w:b w:val="1"/>
          <w:bCs w:val="1"/>
          <w:color w:val="auto"/>
        </w:rPr>
      </w:pPr>
    </w:p>
    <w:p>
      <w:pPr>
        <w:ind w:right="1040" w:firstLine="436"/>
        <w:spacing w:after="0" w:line="282" w:lineRule="auto"/>
        <w:tabs>
          <w:tab w:leader="none" w:pos="6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Assignor hereby assigns to Assignee all of its rights and obligations under the following (collectively, the “Assumed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w:t>
      </w:r>
    </w:p>
    <w:p>
      <w:pPr>
        <w:spacing w:after="0" w:line="58" w:lineRule="exact"/>
        <w:rPr>
          <w:sz w:val="20"/>
          <w:szCs w:val="20"/>
          <w:color w:val="auto"/>
        </w:rPr>
      </w:pPr>
    </w:p>
    <w:p>
      <w:pPr>
        <w:ind w:right="660" w:firstLine="436"/>
        <w:spacing w:after="0" w:line="277" w:lineRule="auto"/>
        <w:tabs>
          <w:tab w:leader="none" w:pos="695"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The 2020 Plan, together with all Awards and Award Agreements thereunder and any other obligations to issue securities in connection therewith;</w:t>
      </w:r>
    </w:p>
    <w:p>
      <w:pPr>
        <w:spacing w:after="0" w:line="62" w:lineRule="exact"/>
        <w:rPr>
          <w:rFonts w:ascii="Arial" w:cs="Arial" w:eastAsia="Arial" w:hAnsi="Arial"/>
          <w:sz w:val="18"/>
          <w:szCs w:val="18"/>
          <w:b w:val="1"/>
          <w:bCs w:val="1"/>
          <w:color w:val="auto"/>
        </w:rPr>
      </w:pPr>
    </w:p>
    <w:p>
      <w:pPr>
        <w:ind w:left="700" w:hanging="264"/>
        <w:spacing w:after="0"/>
        <w:tabs>
          <w:tab w:leader="none" w:pos="70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Federal Realty Investment Trust 2007 Employee Share Purchase Plan;</w:t>
      </w:r>
    </w:p>
    <w:p>
      <w:pPr>
        <w:spacing w:after="0" w:line="117" w:lineRule="exact"/>
        <w:rPr>
          <w:rFonts w:ascii="Arial" w:cs="Arial" w:eastAsia="Arial" w:hAnsi="Arial"/>
          <w:sz w:val="18"/>
          <w:szCs w:val="18"/>
          <w:b w:val="1"/>
          <w:bCs w:val="1"/>
          <w:color w:val="auto"/>
        </w:rPr>
      </w:pPr>
    </w:p>
    <w:p>
      <w:pPr>
        <w:ind w:left="680" w:hanging="244"/>
        <w:spacing w:after="0"/>
        <w:tabs>
          <w:tab w:leader="none" w:pos="68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Dividend Reinvestment and Share Purchase Plan;</w:t>
      </w:r>
    </w:p>
    <w:p>
      <w:pPr>
        <w:spacing w:after="0" w:line="117" w:lineRule="exact"/>
        <w:rPr>
          <w:rFonts w:ascii="Arial" w:cs="Arial" w:eastAsia="Arial" w:hAnsi="Arial"/>
          <w:sz w:val="18"/>
          <w:szCs w:val="18"/>
          <w:b w:val="1"/>
          <w:bCs w:val="1"/>
          <w:color w:val="auto"/>
        </w:rPr>
      </w:pPr>
    </w:p>
    <w:p>
      <w:pPr>
        <w:ind w:right="220" w:firstLine="436"/>
        <w:spacing w:after="0" w:line="277" w:lineRule="auto"/>
        <w:tabs>
          <w:tab w:leader="none" w:pos="705"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any other plans, policies, agreements and commitments of Assignor in effect as of immediately before the Effective Time with respect to the issuance of capital shares of Assignor, as compensation or otherwise, to employees, trustees or other persons;</w:t>
      </w:r>
    </w:p>
    <w:p>
      <w:pPr>
        <w:spacing w:after="0" w:line="62" w:lineRule="exact"/>
        <w:rPr>
          <w:rFonts w:ascii="Arial" w:cs="Arial" w:eastAsia="Arial" w:hAnsi="Arial"/>
          <w:sz w:val="18"/>
          <w:szCs w:val="18"/>
          <w:b w:val="1"/>
          <w:bCs w:val="1"/>
          <w:color w:val="auto"/>
        </w:rPr>
      </w:pPr>
    </w:p>
    <w:p>
      <w:pPr>
        <w:ind w:right="120" w:firstLine="436"/>
        <w:spacing w:after="0" w:line="257" w:lineRule="auto"/>
        <w:tabs>
          <w:tab w:leader="none" w:pos="685"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the rights of Assignor under the partnership and limited liability company agreements governing the following entities and any registration rights agreements entered into in connection therewith: (i) NVI-Avenue, LLC, a Maryland limited liability company; (ii) Route 35 Shrewsbury Limited Partnership, a New Jersey limited partnership; (iii) Shrewsbury Commons L.P., a Washington limited partnership; (iv) Sea Girt Limited Partnership, a Washington limited partnership; (v) 35 West, LLC, a Washington limited liability company; and (vi) Federal Realty Partners L.P., a Delaware limited partnership;</w:t>
      </w:r>
    </w:p>
    <w:p>
      <w:pPr>
        <w:spacing w:after="0" w:line="79" w:lineRule="exact"/>
        <w:rPr>
          <w:rFonts w:ascii="Arial" w:cs="Arial" w:eastAsia="Arial" w:hAnsi="Arial"/>
          <w:sz w:val="18"/>
          <w:szCs w:val="18"/>
          <w:b w:val="1"/>
          <w:bCs w:val="1"/>
          <w:color w:val="auto"/>
        </w:rPr>
      </w:pPr>
    </w:p>
    <w:p>
      <w:pPr>
        <w:ind w:right="480" w:firstLine="436"/>
        <w:spacing w:after="0" w:line="342" w:lineRule="auto"/>
        <w:tabs>
          <w:tab w:leader="none" w:pos="665" w:val="left"/>
        </w:tabs>
        <w:numPr>
          <w:ilvl w:val="0"/>
          <w:numId w:val="95"/>
        </w:numPr>
        <w:rPr>
          <w:rFonts w:ascii="Arial" w:cs="Arial" w:eastAsia="Arial" w:hAnsi="Arial"/>
          <w:sz w:val="16"/>
          <w:szCs w:val="16"/>
          <w:b w:val="1"/>
          <w:bCs w:val="1"/>
          <w:color w:val="auto"/>
        </w:rPr>
      </w:pPr>
      <w:r>
        <w:rPr>
          <w:rFonts w:ascii="Arial" w:cs="Arial" w:eastAsia="Arial" w:hAnsi="Arial"/>
          <w:sz w:val="16"/>
          <w:szCs w:val="16"/>
          <w:color w:val="auto"/>
        </w:rPr>
        <w:t>in accordance with Section 1.7 of the Merger Agreement and for the avoidance of doubt, all of Assignor’s obligations with respect to any dividends or other distributions to Assignor’s shareholders that have been declared by Assignor but not paid prior to the Effective Time; and</w:t>
      </w:r>
    </w:p>
    <w:p>
      <w:pPr>
        <w:spacing w:after="0" w:line="15" w:lineRule="exact"/>
        <w:rPr>
          <w:rFonts w:ascii="Arial" w:cs="Arial" w:eastAsia="Arial" w:hAnsi="Arial"/>
          <w:sz w:val="16"/>
          <w:szCs w:val="16"/>
          <w:b w:val="1"/>
          <w:bCs w:val="1"/>
          <w:color w:val="auto"/>
        </w:rPr>
      </w:pPr>
    </w:p>
    <w:p>
      <w:pPr>
        <w:ind w:right="680" w:firstLine="436"/>
        <w:spacing w:after="0" w:line="277" w:lineRule="auto"/>
        <w:tabs>
          <w:tab w:leader="none" w:pos="695"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the Deposit Agreement dated as of September 29, 2017 by and among Assignor, American Stock Transfer &amp; Trust Company, LLC, as Depositary, and all holders from time to time of Receipts (as defined therein) issued thereunder.</w:t>
      </w:r>
    </w:p>
    <w:p>
      <w:pPr>
        <w:spacing w:after="0" w:line="58" w:lineRule="exact"/>
        <w:rPr>
          <w:sz w:val="20"/>
          <w:szCs w:val="20"/>
          <w:color w:val="auto"/>
        </w:rPr>
      </w:pPr>
    </w:p>
    <w:p>
      <w:pPr>
        <w:ind w:right="60" w:firstLine="436"/>
        <w:spacing w:after="0" w:line="277" w:lineRule="auto"/>
        <w:tabs>
          <w:tab w:leader="none" w:pos="620"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Assumption</w:t>
      </w:r>
      <w:r>
        <w:rPr>
          <w:rFonts w:ascii="Arial" w:cs="Arial" w:eastAsia="Arial" w:hAnsi="Arial"/>
          <w:sz w:val="17"/>
          <w:szCs w:val="17"/>
          <w:color w:val="auto"/>
        </w:rPr>
        <w:t>. Assignee hereby assumes all of the rights and obligations of Assignor under the Assumed Obligations, and agrees to abide by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all terms, covenants and conditions of Assignor under such Assumed Obligations. In consideration of the assumption by Assignee of all of the rights and obligations of Assignor under the Assumed Obligations, Assignor agrees to pay: (a) all expenses incurred by Assignee in connection with the assumption of the Assumed Obligations; and (b) all expenses incurred by Assignee in connection with the registration on Form S-8 of the common shares of Assignee, including, without limitation, registration fees imposed by the Securities and Exchange Commission.</w:t>
      </w:r>
    </w:p>
    <w:p>
      <w:pPr>
        <w:sectPr>
          <w:pgSz w:w="11900" w:h="16838" w:orient="portrait"/>
          <w:cols w:equalWidth="0" w:num="1">
            <w:col w:w="11020"/>
          </w:cols>
          <w:pgMar w:left="440" w:top="121" w:right="439" w:bottom="1440" w:gutter="0" w:footer="0" w:header="0"/>
        </w:sectPr>
      </w:pPr>
    </w:p>
    <w:bookmarkStart w:id="92" w:name="page93"/>
    <w:bookmarkEnd w:id="92"/>
    <w:p>
      <w:pPr>
        <w:jc w:val="both"/>
        <w:ind w:right="160" w:firstLine="436"/>
        <w:spacing w:after="0" w:line="266" w:lineRule="auto"/>
        <w:tabs>
          <w:tab w:leader="none" w:pos="6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From and after the Effective Time, all documentation pertaining to the Assumed Obligations shall each be deemed amended as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provide that references to Assignor in such agreements shall be read to refer to Assignee. Without limiting the generality of the foregoing, each of the Assumed Obligations shall be amended as follows:</w:t>
      </w:r>
    </w:p>
    <w:p>
      <w:pPr>
        <w:spacing w:after="0" w:line="72" w:lineRule="exact"/>
        <w:rPr>
          <w:sz w:val="20"/>
          <w:szCs w:val="20"/>
          <w:color w:val="auto"/>
        </w:rPr>
      </w:pPr>
    </w:p>
    <w:p>
      <w:pPr>
        <w:ind w:right="220" w:firstLine="436"/>
        <w:spacing w:after="0" w:line="308" w:lineRule="auto"/>
        <w:tabs>
          <w:tab w:leader="none" w:pos="695" w:val="left"/>
        </w:tabs>
        <w:numPr>
          <w:ilvl w:val="0"/>
          <w:numId w:val="98"/>
        </w:numPr>
        <w:rPr>
          <w:rFonts w:ascii="Arial" w:cs="Arial" w:eastAsia="Arial" w:hAnsi="Arial"/>
          <w:sz w:val="17"/>
          <w:szCs w:val="17"/>
          <w:b w:val="1"/>
          <w:bCs w:val="1"/>
          <w:color w:val="auto"/>
        </w:rPr>
      </w:pPr>
      <w:r>
        <w:rPr>
          <w:rFonts w:ascii="Arial" w:cs="Arial" w:eastAsia="Arial" w:hAnsi="Arial"/>
          <w:sz w:val="17"/>
          <w:szCs w:val="17"/>
          <w:color w:val="auto"/>
        </w:rPr>
        <w:t>All references to the “Board” or “Board of Trustees” shall mean and refer to the Board of Trustees of Assignee or any successor thereto, and all references to “Trustee” shall mean and refer to any member of the Board of Trustees of Assignee or any successor thereto.</w:t>
      </w:r>
    </w:p>
    <w:p>
      <w:pPr>
        <w:spacing w:after="0" w:line="38" w:lineRule="exact"/>
        <w:rPr>
          <w:rFonts w:ascii="Arial" w:cs="Arial" w:eastAsia="Arial" w:hAnsi="Arial"/>
          <w:sz w:val="17"/>
          <w:szCs w:val="17"/>
          <w:b w:val="1"/>
          <w:bCs w:val="1"/>
          <w:color w:val="auto"/>
        </w:rPr>
      </w:pPr>
    </w:p>
    <w:p>
      <w:pPr>
        <w:ind w:right="80" w:firstLine="436"/>
        <w:spacing w:after="0" w:line="277" w:lineRule="auto"/>
        <w:tabs>
          <w:tab w:leader="none" w:pos="705"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All references to the “Trust,” the “Company,” “Federal,” “FRT,” “FRIT,” “Federal Realty,” and “Federal Realty Investment Trust,” shall mean and refer to Assignee or any successor thereto.</w:t>
      </w:r>
    </w:p>
    <w:p>
      <w:pPr>
        <w:spacing w:after="0" w:line="62" w:lineRule="exact"/>
        <w:rPr>
          <w:rFonts w:ascii="Arial" w:cs="Arial" w:eastAsia="Arial" w:hAnsi="Arial"/>
          <w:sz w:val="18"/>
          <w:szCs w:val="18"/>
          <w:b w:val="1"/>
          <w:bCs w:val="1"/>
          <w:color w:val="auto"/>
        </w:rPr>
      </w:pPr>
    </w:p>
    <w:p>
      <w:pPr>
        <w:ind w:right="120" w:firstLine="436"/>
        <w:spacing w:after="0" w:line="277" w:lineRule="auto"/>
        <w:tabs>
          <w:tab w:leader="none" w:pos="685"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All references to the “Committee” or “Compensation Committee” shall mean and refer to the Compensation and Human Capital Management Committee of the Board of Trustees of Assignee or any successor thereto.</w:t>
      </w:r>
    </w:p>
    <w:p>
      <w:pPr>
        <w:spacing w:after="0" w:line="62" w:lineRule="exact"/>
        <w:rPr>
          <w:rFonts w:ascii="Arial" w:cs="Arial" w:eastAsia="Arial" w:hAnsi="Arial"/>
          <w:sz w:val="18"/>
          <w:szCs w:val="18"/>
          <w:b w:val="1"/>
          <w:bCs w:val="1"/>
          <w:color w:val="auto"/>
        </w:rPr>
      </w:pPr>
    </w:p>
    <w:p>
      <w:pPr>
        <w:ind w:right="140" w:firstLine="436"/>
        <w:spacing w:after="0" w:line="263" w:lineRule="auto"/>
        <w:tabs>
          <w:tab w:leader="none" w:pos="705"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All references to the common shares of beneficial interest of Assignor shall mean and refer to the common shares of beneficial interest of Assignee, and all references to any series of preferred shares of beneficial interest of Assignor shall mean and refer to such series of preferred shares of beneficial interest of Assignee.</w:t>
      </w:r>
    </w:p>
    <w:p>
      <w:pPr>
        <w:spacing w:after="0" w:line="72" w:lineRule="exact"/>
        <w:rPr>
          <w:sz w:val="20"/>
          <w:szCs w:val="20"/>
          <w:color w:val="auto"/>
        </w:rPr>
      </w:pPr>
    </w:p>
    <w:p>
      <w:pPr>
        <w:jc w:val="both"/>
        <w:ind w:right="120" w:firstLine="436"/>
        <w:spacing w:after="0" w:line="289" w:lineRule="auto"/>
        <w:tabs>
          <w:tab w:leader="none" w:pos="620"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Further Assurances</w:t>
      </w:r>
      <w:r>
        <w:rPr>
          <w:rFonts w:ascii="Arial" w:cs="Arial" w:eastAsia="Arial" w:hAnsi="Arial"/>
          <w:sz w:val="17"/>
          <w:szCs w:val="17"/>
          <w:color w:val="auto"/>
        </w:rPr>
        <w:t>. Subject to the terms of this Agreement, the parties hereto shall take all reasonable and lawful action as may be necessary</w:t>
      </w:r>
      <w:r>
        <w:rPr>
          <w:rFonts w:ascii="Arial" w:cs="Arial" w:eastAsia="Arial" w:hAnsi="Arial"/>
          <w:sz w:val="17"/>
          <w:szCs w:val="17"/>
          <w:b w:val="1"/>
          <w:bCs w:val="1"/>
          <w:color w:val="auto"/>
        </w:rPr>
        <w:t xml:space="preserve"> </w:t>
      </w:r>
      <w:r>
        <w:rPr>
          <w:rFonts w:ascii="Arial" w:cs="Arial" w:eastAsia="Arial" w:hAnsi="Arial"/>
          <w:sz w:val="17"/>
          <w:szCs w:val="17"/>
          <w:color w:val="auto"/>
        </w:rPr>
        <w:t>or appropriate to cause the intent of this Agreement to be carried out, including, without limitation, and in their discretion, entering into amendments to the Assumed Agreements and notifying the other parties thereto of such assignment and assumption.</w:t>
      </w:r>
    </w:p>
    <w:p>
      <w:pPr>
        <w:spacing w:after="0" w:line="49" w:lineRule="exact"/>
        <w:rPr>
          <w:rFonts w:ascii="Arial" w:cs="Arial" w:eastAsia="Arial" w:hAnsi="Arial"/>
          <w:sz w:val="17"/>
          <w:szCs w:val="17"/>
          <w:b w:val="1"/>
          <w:bCs w:val="1"/>
          <w:color w:val="auto"/>
        </w:rPr>
      </w:pPr>
    </w:p>
    <w:p>
      <w:pPr>
        <w:ind w:right="80" w:firstLine="436"/>
        <w:spacing w:after="0" w:line="282" w:lineRule="auto"/>
        <w:tabs>
          <w:tab w:leader="none" w:pos="6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Agreement shall be binding upon Assignor and Assignee, and their respective successors and assigns.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this Agreement shall survive the consummation of the Merger.</w:t>
      </w:r>
    </w:p>
    <w:p>
      <w:pPr>
        <w:spacing w:after="0" w:line="53" w:lineRule="exact"/>
        <w:rPr>
          <w:rFonts w:ascii="Arial" w:cs="Arial" w:eastAsia="Arial" w:hAnsi="Arial"/>
          <w:sz w:val="18"/>
          <w:szCs w:val="18"/>
          <w:b w:val="1"/>
          <w:bCs w:val="1"/>
          <w:color w:val="auto"/>
        </w:rPr>
      </w:pPr>
    </w:p>
    <w:p>
      <w:pPr>
        <w:ind w:right="380" w:firstLine="436"/>
        <w:spacing w:after="0" w:line="282" w:lineRule="auto"/>
        <w:tabs>
          <w:tab w:leader="none" w:pos="6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conflicts of laws principles.</w:t>
      </w:r>
    </w:p>
    <w:p>
      <w:pPr>
        <w:spacing w:after="0" w:line="53" w:lineRule="exact"/>
        <w:rPr>
          <w:rFonts w:ascii="Arial" w:cs="Arial" w:eastAsia="Arial" w:hAnsi="Arial"/>
          <w:sz w:val="18"/>
          <w:szCs w:val="18"/>
          <w:b w:val="1"/>
          <w:bCs w:val="1"/>
          <w:color w:val="auto"/>
        </w:rPr>
      </w:pPr>
    </w:p>
    <w:p>
      <w:pPr>
        <w:ind w:right="200" w:firstLine="436"/>
        <w:spacing w:after="0" w:line="266" w:lineRule="auto"/>
        <w:tabs>
          <w:tab w:leader="none" w:pos="6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together with the Merger Agreement, constitute the entire agreement and supersede all other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undertakings, both written and oral, among the parties, or any of them, with respect to the subject matter hereof. This Agreement may not be modified or amended except by a writing executed by the parties hereto.</w:t>
      </w:r>
    </w:p>
    <w:p>
      <w:pPr>
        <w:spacing w:after="0" w:line="67" w:lineRule="exact"/>
        <w:rPr>
          <w:rFonts w:ascii="Arial" w:cs="Arial" w:eastAsia="Arial" w:hAnsi="Arial"/>
          <w:sz w:val="18"/>
          <w:szCs w:val="18"/>
          <w:b w:val="1"/>
          <w:bCs w:val="1"/>
          <w:color w:val="auto"/>
        </w:rPr>
      </w:pPr>
    </w:p>
    <w:p>
      <w:pPr>
        <w:ind w:right="800" w:firstLine="436"/>
        <w:spacing w:after="0" w:line="347" w:lineRule="auto"/>
        <w:tabs>
          <w:tab w:leader="none" w:pos="62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The provisions of this Agreement are severable, and in the event any provision hereof is determined to be invalid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unenforceable, such invalidity or unenforceability shall not in any way affect the validity or enforceability of the remaining provisions hereof.</w:t>
      </w:r>
    </w:p>
    <w:p>
      <w:pPr>
        <w:spacing w:after="0" w:line="7" w:lineRule="exact"/>
        <w:rPr>
          <w:rFonts w:ascii="Arial" w:cs="Arial" w:eastAsia="Arial" w:hAnsi="Arial"/>
          <w:sz w:val="16"/>
          <w:szCs w:val="16"/>
          <w:b w:val="1"/>
          <w:bCs w:val="1"/>
          <w:color w:val="auto"/>
        </w:rPr>
      </w:pPr>
    </w:p>
    <w:p>
      <w:pPr>
        <w:ind w:right="540" w:firstLine="436"/>
        <w:spacing w:after="0" w:line="282" w:lineRule="auto"/>
        <w:tabs>
          <w:tab w:leader="none" w:pos="71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Third Party Beneficiaries</w:t>
      </w:r>
      <w:r>
        <w:rPr>
          <w:rFonts w:ascii="Arial" w:cs="Arial" w:eastAsia="Arial" w:hAnsi="Arial"/>
          <w:sz w:val="18"/>
          <w:szCs w:val="18"/>
          <w:color w:val="auto"/>
        </w:rPr>
        <w:t>. Except as amended by this Agreement, all of the Assumed Obligations shall remain in full force and effect.</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Grantees under the 2020 Plan are intended to be third party beneficiaries to this Agreement.</w:t>
      </w:r>
    </w:p>
    <w:p>
      <w:pPr>
        <w:spacing w:after="0" w:line="53" w:lineRule="exact"/>
        <w:rPr>
          <w:rFonts w:ascii="Arial" w:cs="Arial" w:eastAsia="Arial" w:hAnsi="Arial"/>
          <w:sz w:val="18"/>
          <w:szCs w:val="18"/>
          <w:b w:val="1"/>
          <w:bCs w:val="1"/>
          <w:color w:val="auto"/>
        </w:rPr>
      </w:pPr>
    </w:p>
    <w:p>
      <w:pPr>
        <w:ind w:left="700" w:hanging="264"/>
        <w:spacing w:after="0"/>
        <w:tabs>
          <w:tab w:leader="none" w:pos="70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or more counterparts, each of which shall be deemed an original.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is signed and effective as of the Effective Time.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ASSIGNOR:</w:t>
            </w:r>
          </w:p>
        </w:tc>
        <w:tc>
          <w:tcPr>
            <w:tcW w:w="4160" w:type="dxa"/>
            <w:vAlign w:val="bottom"/>
          </w:tcPr>
          <w:p>
            <w:pPr>
              <w:spacing w:after="0"/>
              <w:rPr>
                <w:sz w:val="18"/>
                <w:szCs w:val="18"/>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ASSIGNEE:</w:t>
            </w:r>
          </w:p>
        </w:tc>
      </w:tr>
      <w:tr>
        <w:trPr>
          <w:trHeight w:val="438"/>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FEDERAL REALTY INVESTMENT TRUST,</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FRT HOLDCO REIT,</w:t>
            </w:r>
          </w:p>
        </w:tc>
      </w:tr>
      <w:tr>
        <w:trPr>
          <w:trHeight w:val="230"/>
        </w:trPr>
        <w:tc>
          <w:tcPr>
            <w:tcW w:w="5160" w:type="dxa"/>
            <w:vAlign w:val="bottom"/>
            <w:gridSpan w:val="3"/>
          </w:tcPr>
          <w:p>
            <w:pPr>
              <w:spacing w:after="0"/>
              <w:rPr>
                <w:sz w:val="20"/>
                <w:szCs w:val="20"/>
                <w:color w:val="auto"/>
              </w:rPr>
            </w:pPr>
            <w:r>
              <w:rPr>
                <w:rFonts w:ascii="Arial" w:cs="Arial" w:eastAsia="Arial" w:hAnsi="Arial"/>
                <w:sz w:val="18"/>
                <w:szCs w:val="18"/>
                <w:color w:val="auto"/>
              </w:rPr>
              <w:t>a Maryland real estate investment trust</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a Maryland real estate investment trust</w:t>
            </w:r>
          </w:p>
        </w:tc>
      </w:tr>
      <w:tr>
        <w:trPr>
          <w:trHeight w:val="432"/>
        </w:trPr>
        <w:tc>
          <w:tcPr>
            <w:tcW w:w="5160" w:type="dxa"/>
            <w:vAlign w:val="bottom"/>
            <w:gridSpan w:val="3"/>
          </w:tcPr>
          <w:p>
            <w:pPr>
              <w:spacing w:after="0"/>
              <w:rPr>
                <w:sz w:val="20"/>
                <w:szCs w:val="20"/>
                <w:color w:val="auto"/>
              </w:rPr>
            </w:pPr>
            <w:r>
              <w:rPr>
                <w:rFonts w:ascii="Arial" w:cs="Arial" w:eastAsia="Arial" w:hAnsi="Arial"/>
                <w:sz w:val="18"/>
                <w:szCs w:val="18"/>
                <w:color w:val="auto"/>
              </w:rPr>
              <w:t>By:  /s/ Dawn M. Becker</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  /s/ Dawn M. Becker</w:t>
            </w:r>
          </w:p>
        </w:tc>
      </w:tr>
      <w:tr>
        <w:trPr>
          <w:trHeight w:val="209"/>
        </w:trPr>
        <w:tc>
          <w:tcPr>
            <w:tcW w:w="420" w:type="dxa"/>
            <w:vAlign w:val="bottom"/>
          </w:tcPr>
          <w:p>
            <w:pPr>
              <w:spacing w:after="0"/>
              <w:rPr>
                <w:sz w:val="18"/>
                <w:szCs w:val="18"/>
                <w:color w:val="auto"/>
              </w:rPr>
            </w:pPr>
          </w:p>
        </w:tc>
        <w:tc>
          <w:tcPr>
            <w:tcW w:w="4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Dawn. M. Becker</w:t>
            </w:r>
          </w:p>
        </w:tc>
        <w:tc>
          <w:tcPr>
            <w:tcW w:w="1120" w:type="dxa"/>
            <w:vAlign w:val="bottom"/>
          </w:tcPr>
          <w:p>
            <w:pPr>
              <w:ind w:left="700"/>
              <w:spacing w:after="0"/>
              <w:rPr>
                <w:sz w:val="20"/>
                <w:szCs w:val="20"/>
                <w:color w:val="auto"/>
              </w:rPr>
            </w:pPr>
            <w:r>
              <w:rPr>
                <w:rFonts w:ascii="Arial" w:cs="Arial" w:eastAsia="Arial" w:hAnsi="Arial"/>
                <w:sz w:val="18"/>
                <w:szCs w:val="18"/>
                <w:color w:val="auto"/>
                <w:w w:val="78"/>
              </w:rPr>
              <w:t>Dawn.</w:t>
            </w:r>
          </w:p>
        </w:tc>
        <w:tc>
          <w:tcPr>
            <w:tcW w:w="4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 Becker</w:t>
            </w:r>
          </w:p>
        </w:tc>
      </w:tr>
      <w:tr>
        <w:trPr>
          <w:trHeight w:val="230"/>
        </w:trPr>
        <w:tc>
          <w:tcPr>
            <w:tcW w:w="4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Executive Vice President-Corporate</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Vice President-General Counsel and Secretary</w:t>
            </w:r>
          </w:p>
        </w:tc>
      </w:tr>
      <w:tr>
        <w:trPr>
          <w:trHeight w:val="364"/>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2</w:t>
            </w: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 AND CONSENT</w:t>
      </w:r>
    </w:p>
    <w:p>
      <w:pPr>
        <w:spacing w:after="0" w:line="21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THIS SECOND AMENDMENT TO AMENDED AND RESTATED CREDIT AGREEMENT AND CONSENT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January 1, 2022, by and among FEDERAL REALTY INVESTMENT TRUST, a real estate investment trust formed under the laws of the State of Maryland (the “</w:t>
      </w:r>
      <w:r>
        <w:rPr>
          <w:rFonts w:ascii="Arial" w:cs="Arial" w:eastAsia="Arial" w:hAnsi="Arial"/>
          <w:sz w:val="18"/>
          <w:szCs w:val="18"/>
          <w:u w:val="single" w:color="auto"/>
          <w:color w:val="auto"/>
        </w:rPr>
        <w:t>Borrower</w:t>
      </w:r>
      <w:r>
        <w:rPr>
          <w:rFonts w:ascii="Arial" w:cs="Arial" w:eastAsia="Arial" w:hAnsi="Arial"/>
          <w:sz w:val="18"/>
          <w:szCs w:val="18"/>
          <w:color w:val="auto"/>
        </w:rPr>
        <w:t>”), each of the Lenders party hereto and WELLS FARGO BANK, NATIONAL ASSOCIATION,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WHEREAS, the Borrower, the Lenders, the Administrative Agent and certain other parties have entered into that certain Amended and Restated Credit Agreement dated as of July 25, 2019 (as amended by that certain First Amendment to Amended and Restated Credit Agreement dated as of May 6, 2020 and as otherwise amended and in effect immediately prior to the effectiveness of this Amendment,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and</w:t>
      </w:r>
    </w:p>
    <w:p>
      <w:pPr>
        <w:spacing w:after="0" w:line="149"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WHEREAS, the Borrower intends to enter into certain reorganization transactions pursuant to which, (i) the Borrower will form a Maryland real estate investment trust which shall be a wholly-owned subsidiary of the Borrower (the “</w:t>
      </w:r>
      <w:r>
        <w:rPr>
          <w:rFonts w:ascii="Arial" w:cs="Arial" w:eastAsia="Arial" w:hAnsi="Arial"/>
          <w:sz w:val="17"/>
          <w:szCs w:val="17"/>
          <w:u w:val="single" w:color="auto"/>
          <w:color w:val="auto"/>
        </w:rPr>
        <w:t>Parent</w:t>
      </w:r>
      <w:r>
        <w:rPr>
          <w:rFonts w:ascii="Arial" w:cs="Arial" w:eastAsia="Arial" w:hAnsi="Arial"/>
          <w:sz w:val="17"/>
          <w:szCs w:val="17"/>
          <w:color w:val="auto"/>
        </w:rPr>
        <w:t>”), (ii) the Parent shall form a new wholly-owned Maryland real estate investment trust (“</w:t>
      </w:r>
      <w:r>
        <w:rPr>
          <w:rFonts w:ascii="Arial" w:cs="Arial" w:eastAsia="Arial" w:hAnsi="Arial"/>
          <w:sz w:val="17"/>
          <w:szCs w:val="17"/>
          <w:u w:val="single" w:color="auto"/>
          <w:color w:val="auto"/>
        </w:rPr>
        <w:t>Merger Sub</w:t>
      </w:r>
      <w:r>
        <w:rPr>
          <w:rFonts w:ascii="Arial" w:cs="Arial" w:eastAsia="Arial" w:hAnsi="Arial"/>
          <w:sz w:val="17"/>
          <w:szCs w:val="17"/>
          <w:color w:val="auto"/>
        </w:rPr>
        <w:t>”) and (iii) Merger Sub shall be merged with and into the Borrower (the “</w:t>
      </w:r>
      <w:r>
        <w:rPr>
          <w:rFonts w:ascii="Arial" w:cs="Arial" w:eastAsia="Arial" w:hAnsi="Arial"/>
          <w:sz w:val="17"/>
          <w:szCs w:val="17"/>
          <w:u w:val="single" w:color="auto"/>
          <w:color w:val="auto"/>
        </w:rPr>
        <w:t>Merger</w:t>
      </w:r>
      <w:r>
        <w:rPr>
          <w:rFonts w:ascii="Arial" w:cs="Arial" w:eastAsia="Arial" w:hAnsi="Arial"/>
          <w:sz w:val="17"/>
          <w:szCs w:val="17"/>
          <w:color w:val="auto"/>
        </w:rPr>
        <w:t>”) such that, after giving effect to such merger, the Borrower shall initially be the wholly-owned subsidiary of the Parent and shall, prior to the Conversion (as defined below), be temporarily renamed “Federal Realty Interim Real Estate Investment Trust” or such other name as determined by the Borrower (provided that if such name is not “Federal Realty Interim Real Estate Investment Trust” and it remains the name of the Borrower for more than 10 calendar days, the Borrower shall give the Administrative Agent prompt notice of such changed name);</w:t>
      </w:r>
    </w:p>
    <w:p>
      <w:pPr>
        <w:spacing w:after="0" w:line="17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WHEREAS, immediately after the effectiveness of the Merger, the Parent shall change its name to “Federal Realty Investment Trust” and shall maintain its status as a real estate investment trust;</w:t>
      </w:r>
    </w:p>
    <w:p>
      <w:pPr>
        <w:spacing w:after="0" w:line="170" w:lineRule="exact"/>
        <w:rPr>
          <w:sz w:val="20"/>
          <w:szCs w:val="20"/>
          <w:color w:val="auto"/>
        </w:rPr>
      </w:pPr>
    </w:p>
    <w:p>
      <w:pPr>
        <w:ind w:right="280" w:firstLine="440"/>
        <w:spacing w:after="0" w:line="257" w:lineRule="auto"/>
        <w:rPr>
          <w:sz w:val="20"/>
          <w:szCs w:val="20"/>
          <w:color w:val="auto"/>
        </w:rPr>
      </w:pPr>
      <w:r>
        <w:rPr>
          <w:rFonts w:ascii="Arial" w:cs="Arial" w:eastAsia="Arial" w:hAnsi="Arial"/>
          <w:sz w:val="18"/>
          <w:szCs w:val="18"/>
          <w:color w:val="auto"/>
        </w:rPr>
        <w:t>WHEREAS, after the effectiveness of the Merger, and in any event within ten (10) calendar days thereafter, (i) the Borrower shall convert to a limited partnership known as “Federal Realty OP LP” (the “</w:t>
      </w:r>
      <w:r>
        <w:rPr>
          <w:rFonts w:ascii="Arial" w:cs="Arial" w:eastAsia="Arial" w:hAnsi="Arial"/>
          <w:sz w:val="18"/>
          <w:szCs w:val="18"/>
          <w:u w:val="single" w:color="auto"/>
          <w:color w:val="auto"/>
        </w:rPr>
        <w:t>Conversion</w:t>
      </w:r>
      <w:r>
        <w:rPr>
          <w:rFonts w:ascii="Arial" w:cs="Arial" w:eastAsia="Arial" w:hAnsi="Arial"/>
          <w:sz w:val="18"/>
          <w:szCs w:val="18"/>
          <w:color w:val="auto"/>
        </w:rPr>
        <w:t>”) with the Parent acting as the initial sole limited partner thereof, and the Borrower shall no longer maintain its status as a real estate investment trust, and (ii) Federal Realty GP LLC, a Delaware limited liability company wholly-owned by the Parent (the “</w:t>
      </w:r>
      <w:r>
        <w:rPr>
          <w:rFonts w:ascii="Arial" w:cs="Arial" w:eastAsia="Arial" w:hAnsi="Arial"/>
          <w:sz w:val="18"/>
          <w:szCs w:val="18"/>
          <w:u w:val="single" w:color="auto"/>
          <w:color w:val="auto"/>
        </w:rPr>
        <w:t>General Partner</w:t>
      </w:r>
      <w:r>
        <w:rPr>
          <w:rFonts w:ascii="Arial" w:cs="Arial" w:eastAsia="Arial" w:hAnsi="Arial"/>
          <w:sz w:val="18"/>
          <w:szCs w:val="18"/>
          <w:color w:val="auto"/>
        </w:rPr>
        <w:t>”) shall be the general partner of the Borrower (collectively, with the Merger and the name changes referenced above, the “</w:t>
      </w:r>
      <w:r>
        <w:rPr>
          <w:rFonts w:ascii="Arial" w:cs="Arial" w:eastAsia="Arial" w:hAnsi="Arial"/>
          <w:sz w:val="18"/>
          <w:szCs w:val="18"/>
          <w:u w:val="single" w:color="auto"/>
          <w:color w:val="auto"/>
        </w:rPr>
        <w:t>Reorganization Transactions</w:t>
      </w:r>
      <w:r>
        <w:rPr>
          <w:rFonts w:ascii="Arial" w:cs="Arial" w:eastAsia="Arial" w:hAnsi="Arial"/>
          <w:sz w:val="18"/>
          <w:szCs w:val="18"/>
          <w:color w:val="auto"/>
        </w:rPr>
        <w:t>”); and</w:t>
      </w:r>
    </w:p>
    <w:p>
      <w:pPr>
        <w:spacing w:after="0" w:line="18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WHEREAS, the Borrower has requested that the Lenders and the Administrative Agent consent to the Reorganization Transactions, including the change of control effected thereby, and the Borrower, the Lenders and the Administrative Agent desire to amend certain provisions of the Credit Agreement on the terms and conditions contained herein.</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agree as follows:</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Specific Amendments to the Credit Agreement</w:t>
      </w:r>
      <w:r>
        <w:rPr>
          <w:rFonts w:ascii="Arial" w:cs="Arial" w:eastAsia="Arial" w:hAnsi="Arial"/>
          <w:sz w:val="18"/>
          <w:szCs w:val="18"/>
          <w:color w:val="auto"/>
        </w:rPr>
        <w:t>. As of the Second Amendment Date, the parties hereto agree that the Credit Agreement shall be amended as follows:</w:t>
      </w:r>
    </w:p>
    <w:p>
      <w:pPr>
        <w:sectPr>
          <w:pgSz w:w="11900" w:h="16838" w:orient="portrait"/>
          <w:cols w:equalWidth="0" w:num="1">
            <w:col w:w="11020"/>
          </w:cols>
          <w:pgMar w:left="440" w:top="121" w:right="439" w:bottom="1440" w:gutter="0" w:footer="0" w:header="0"/>
        </w:sectPr>
      </w:pPr>
    </w:p>
    <w:bookmarkStart w:id="94" w:name="page95"/>
    <w:bookmarkEnd w:id="94"/>
    <w:p>
      <w:pPr>
        <w:ind w:left="-20" w:firstLine="436"/>
        <w:spacing w:after="0" w:line="342" w:lineRule="auto"/>
        <w:tabs>
          <w:tab w:leader="none" w:pos="665" w:val="left"/>
        </w:tabs>
        <w:numPr>
          <w:ilvl w:val="0"/>
          <w:numId w:val="1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Credit Agreement is amended by restating the definitions of “Anti-Corruption Laws”, “Eligible Assignee”, “Guarantor”, “Interest Period”, “Mandatorily Redeemable Stock”, “Material Adverse Effect”, and “Preferred Dividends” contained in Section 1.1. thereof in their entirety as follows:</w:t>
      </w:r>
    </w:p>
    <w:p>
      <w:pPr>
        <w:spacing w:after="0" w:line="12" w:lineRule="exact"/>
        <w:rPr>
          <w:sz w:val="20"/>
          <w:szCs w:val="20"/>
          <w:color w:val="auto"/>
        </w:rPr>
      </w:pPr>
    </w:p>
    <w:p>
      <w:pPr>
        <w:ind w:left="420" w:right="320" w:firstLine="42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all laws, rules, and regulations of any jurisdiction applicable to the Parent, the General Partner, the Borrower or their respective Subsidiaries from time to time concerning or relating to bribery or corruption, including, without limitation, the United States Foreign Corrupt Practices Act of 1977 and the rules and regulations thereunder and the U.K. Bribery Act 2010 and the rules and regulations thereunder.</w:t>
      </w:r>
    </w:p>
    <w:p>
      <w:pPr>
        <w:spacing w:after="0" w:line="72" w:lineRule="exact"/>
        <w:rPr>
          <w:sz w:val="20"/>
          <w:szCs w:val="20"/>
          <w:color w:val="auto"/>
        </w:rPr>
      </w:pPr>
    </w:p>
    <w:p>
      <w:pPr>
        <w:ind w:left="420" w:right="200" w:firstLine="42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means (a) a Lender, (b) an Affiliate of a Lender, (c) an Approved Fund and (d) any other Person (other than a natural person) approved by the Administrative Agent (such approval not to be unreasonably withheld or delayed); provided that notwithstanding the foregoing, “Eligible Assignee” shall not include the Parent, the General Partner, the Borrower, any of the Parent’s, the General Partner’s or the Borrower’s Affiliates or Subsidiaries or any Defaulting Lender.</w:t>
      </w:r>
    </w:p>
    <w:p>
      <w:pPr>
        <w:spacing w:after="0" w:line="72" w:lineRule="exact"/>
        <w:rPr>
          <w:sz w:val="20"/>
          <w:szCs w:val="20"/>
          <w:color w:val="auto"/>
        </w:rPr>
      </w:pPr>
    </w:p>
    <w:p>
      <w:pPr>
        <w:ind w:left="420" w:firstLine="423"/>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w:t>
      </w:r>
      <w:r>
        <w:rPr>
          <w:rFonts w:ascii="Arial" w:cs="Arial" w:eastAsia="Arial" w:hAnsi="Arial"/>
          <w:sz w:val="16"/>
          <w:szCs w:val="16"/>
          <w:color w:val="auto"/>
        </w:rPr>
        <w:t>” means any Person that guarantees all or a portion of the Obligations including, at all times after delivery of the Parent/General Partner Guaranty (if ever), the Parent and, at all times after delivery of the Parent/General Partner Guaranty (if ever), the General Partner.</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w:t>
      </w:r>
    </w:p>
    <w:p>
      <w:pPr>
        <w:spacing w:after="0" w:line="121" w:lineRule="exact"/>
        <w:rPr>
          <w:sz w:val="20"/>
          <w:szCs w:val="20"/>
          <w:color w:val="auto"/>
        </w:rPr>
      </w:pPr>
    </w:p>
    <w:p>
      <w:pPr>
        <w:ind w:left="420" w:right="100" w:firstLine="948"/>
        <w:spacing w:after="0" w:line="271" w:lineRule="auto"/>
        <w:tabs>
          <w:tab w:leader="none" w:pos="161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with respect to each LIBOR Loan, each period commencing on the date such LIBOR Loan is made, or in the case of the Continuation of a LIBOR Loan the last day of the preceding Interest Period for such Loan, and ending on the numerically corresponding day in the first, third or sixth calendar month thereafter, as the Borrower may select in a Notice of Borrowing, Notice of Continuation or Notice of Conversion, as the case may be,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 Notwithstanding the foregoing, each Interest Period that would otherwise end on a day which is not a Business Day shall end on the immediately following Business Day (or, if such immediately following Business Day falls in the next calendar month, on the immediately preceding Business Day); and</w:t>
      </w:r>
    </w:p>
    <w:p>
      <w:pPr>
        <w:spacing w:after="0" w:line="70" w:lineRule="exact"/>
        <w:rPr>
          <w:rFonts w:ascii="Arial" w:cs="Arial" w:eastAsia="Arial" w:hAnsi="Arial"/>
          <w:sz w:val="17"/>
          <w:szCs w:val="17"/>
          <w:color w:val="auto"/>
        </w:rPr>
      </w:pPr>
    </w:p>
    <w:p>
      <w:pPr>
        <w:ind w:left="420" w:right="60" w:firstLine="948"/>
        <w:spacing w:after="0" w:line="277" w:lineRule="auto"/>
        <w:tabs>
          <w:tab w:leader="none" w:pos="162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with respect to each Bid Rate Loan, the period commencing on the date such Bid Rate Loan is made and ending on any Business Day not less than 7 nor more than 180 days thereafter, as the Borrower may select as provided in Section 2.2.(b).</w:t>
      </w:r>
    </w:p>
    <w:p>
      <w:pPr>
        <w:spacing w:after="0" w:line="62" w:lineRule="exact"/>
        <w:rPr>
          <w:sz w:val="20"/>
          <w:szCs w:val="20"/>
          <w:color w:val="auto"/>
        </w:rPr>
      </w:pPr>
    </w:p>
    <w:p>
      <w:pPr>
        <w:ind w:left="420" w:right="240" w:firstLine="423"/>
        <w:spacing w:after="0" w:line="259" w:lineRule="auto"/>
        <w:rPr>
          <w:sz w:val="20"/>
          <w:szCs w:val="20"/>
          <w:color w:val="auto"/>
        </w:rPr>
      </w:pPr>
      <w:r>
        <w:rPr>
          <w:rFonts w:ascii="Arial" w:cs="Arial" w:eastAsia="Arial" w:hAnsi="Arial"/>
          <w:sz w:val="18"/>
          <w:szCs w:val="18"/>
          <w:color w:val="auto"/>
        </w:rPr>
        <w:t>Notwithstanding the foregoing: (i) if any Interest Period would otherwise end after the Revolving Termination Date, such Interest Period shall end on the Revolving Termination Date; and (ii) each Interest Period that would otherwise end on a day which is not a Business Day shall end on the immediately following Business Day (or, if such immediately following Business Day falls in the next calendar month, on the immediately preceding Business Day).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4" w:right="479" w:bottom="1440" w:gutter="0" w:footer="0" w:header="0"/>
        </w:sectPr>
      </w:pPr>
    </w:p>
    <w:bookmarkStart w:id="95" w:name="page96"/>
    <w:bookmarkEnd w:id="95"/>
    <w:p>
      <w:pPr>
        <w:ind w:left="420" w:right="40" w:firstLine="42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Mandatorily Redeemable Stock</w:t>
      </w:r>
      <w:r>
        <w:rPr>
          <w:rFonts w:ascii="Arial" w:cs="Arial" w:eastAsia="Arial" w:hAnsi="Arial"/>
          <w:sz w:val="16"/>
          <w:szCs w:val="16"/>
          <w:color w:val="auto"/>
        </w:rPr>
        <w:t>” means, with respect to a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 (c) is redeemable at the option of the holder thereof, in whole or in part (other than an Equity Interest (including interests in the Borrower and in “downREIT” Subsidiaries of the Borrower) which is redeemable solely in exchange for common stock or other equivalent common Equity Interests); in each case, on or prior to the Revolving Termination Date. For purposes of this definition, Equity Interests in any of the following Subsidiaries which the Borrower is obligated to acquire pursuant to currently existing agreements (as in effect on the April 20, 2016) with the holders of such Equity Interest shall not be considered to be Mandatorily Redeemable Stock: Congressional Plaza Associates, LLC; NVI-Avenue, LLC; Shrewsbury Commons LP; Route 35 Shrewsbury LP; Sea Girt LP; San Antonio Center II, LLC; FR Montrose Crossing LLC; Rosecrans-Sepulveda Partners 3, LLC; and Federal Realty Partners L.P.</w:t>
      </w:r>
    </w:p>
    <w:p>
      <w:pPr>
        <w:spacing w:after="0" w:line="55" w:lineRule="exact"/>
        <w:rPr>
          <w:sz w:val="20"/>
          <w:szCs w:val="20"/>
          <w:color w:val="auto"/>
        </w:rPr>
      </w:pPr>
    </w:p>
    <w:p>
      <w:pPr>
        <w:ind w:left="420" w:right="120" w:firstLine="42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 materially adverse effect on (a) the business, assets, liabilities, financial condition or results of operations of the Borrower and/or the Parent and their respective Subsidiaries taken as a whole, (b) the ability of the Borrower or any other Loan Party to perform its obligations under any Loan Document to which it is a party, (c) the validity or enforceability of any of the Loan Documents,</w:t>
      </w:r>
    </w:p>
    <w:p>
      <w:pPr>
        <w:spacing w:after="0" w:line="2" w:lineRule="exact"/>
        <w:rPr>
          <w:sz w:val="20"/>
          <w:szCs w:val="20"/>
          <w:color w:val="auto"/>
        </w:rPr>
      </w:pPr>
    </w:p>
    <w:p>
      <w:pPr>
        <w:ind w:left="420" w:hanging="4"/>
        <w:spacing w:after="0" w:line="255" w:lineRule="auto"/>
        <w:tabs>
          <w:tab w:leader="none" w:pos="67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rights and remedies of the Lenders, the Issuing Bank and the Administrative Agent under any of the Loan Documents or (e) the timely payment of the principal of or interest on the Loans or other amounts payable in connection therewith or the timely payment of all Reimbursement Obligations.</w:t>
      </w:r>
    </w:p>
    <w:p>
      <w:pPr>
        <w:spacing w:after="0" w:line="78" w:lineRule="exact"/>
        <w:rPr>
          <w:sz w:val="20"/>
          <w:szCs w:val="20"/>
          <w:color w:val="auto"/>
        </w:rPr>
      </w:pPr>
    </w:p>
    <w:p>
      <w:pPr>
        <w:ind w:left="420" w:right="20" w:firstLine="42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Dividends</w:t>
      </w:r>
      <w:r>
        <w:rPr>
          <w:rFonts w:ascii="Arial" w:cs="Arial" w:eastAsia="Arial" w:hAnsi="Arial"/>
          <w:sz w:val="18"/>
          <w:szCs w:val="18"/>
          <w:color w:val="auto"/>
        </w:rPr>
        <w:t>” means, for any period and without duplication, all Restricted Payments paid during such period on Preferred Equity issued by the Borrower, a Subsidiary or an Unconsolidated Affiliate (including any distributions by the Borrower to the General Partner or Parent to make payments with respect to Preferred Equity of the Parent or the General Partner). Preferred Dividends shall not include dividends or distributions (a) 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 full.</w:t>
      </w:r>
    </w:p>
    <w:p>
      <w:pPr>
        <w:spacing w:after="0" w:line="83" w:lineRule="exact"/>
        <w:rPr>
          <w:sz w:val="20"/>
          <w:szCs w:val="20"/>
          <w:color w:val="auto"/>
        </w:rPr>
      </w:pPr>
    </w:p>
    <w:p>
      <w:pPr>
        <w:ind w:left="-20" w:right="640" w:firstLine="436"/>
        <w:spacing w:after="0" w:line="308" w:lineRule="auto"/>
        <w:tabs>
          <w:tab w:leader="none" w:pos="67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Credit Agreement is further amended by adding the following definitions of “General Partner”, “Parent”, “Parent/General Partner Guaranty”, “Second Amendment” and “Second Amendment Date” in the appropriate alphabetical location:</w:t>
      </w:r>
    </w:p>
    <w:p>
      <w:pPr>
        <w:spacing w:after="0" w:line="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Partner</w:t>
      </w:r>
      <w:r>
        <w:rPr>
          <w:rFonts w:ascii="Arial" w:cs="Arial" w:eastAsia="Arial" w:hAnsi="Arial"/>
          <w:sz w:val="18"/>
          <w:szCs w:val="18"/>
          <w:color w:val="auto"/>
        </w:rPr>
        <w:t>” means Federal Realty GP LLC, a limited liability company formed under the laws of the State of Delaware.</w:t>
      </w:r>
    </w:p>
    <w:p>
      <w:pPr>
        <w:spacing w:after="0" w:line="117" w:lineRule="exact"/>
        <w:rPr>
          <w:sz w:val="20"/>
          <w:szCs w:val="20"/>
          <w:color w:val="auto"/>
        </w:rPr>
      </w:pPr>
    </w:p>
    <w:p>
      <w:pPr>
        <w:ind w:left="420" w:right="26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Federal Realty Investment Trust, a real estate investment trust formed under the laws of the State of Maryland, formerly known as FRT Holdco REIT.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70" w:right="479" w:bottom="1440" w:gutter="0" w:footer="0" w:header="0"/>
        </w:sectPr>
      </w:pPr>
    </w:p>
    <w:bookmarkStart w:id="96" w:name="page97"/>
    <w:bookmarkEnd w:id="96"/>
    <w:p>
      <w:pPr>
        <w:ind w:left="4" w:right="700" w:firstLine="42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Parent/General Partner Guaranty</w:t>
      </w:r>
      <w:r>
        <w:rPr>
          <w:rFonts w:ascii="Arial" w:cs="Arial" w:eastAsia="Arial" w:hAnsi="Arial"/>
          <w:sz w:val="18"/>
          <w:szCs w:val="18"/>
          <w:color w:val="auto"/>
        </w:rPr>
        <w:t>” means the Parent/General Partner Guaranty delivered (if ever) pursuant to Section 7.14. and substantially in the form of Exhibit R.</w:t>
      </w:r>
    </w:p>
    <w:p>
      <w:pPr>
        <w:spacing w:after="0" w:line="54" w:lineRule="exact"/>
        <w:rPr>
          <w:sz w:val="20"/>
          <w:szCs w:val="20"/>
          <w:color w:val="auto"/>
        </w:rPr>
      </w:pPr>
    </w:p>
    <w:p>
      <w:pPr>
        <w:ind w:left="4" w:right="32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w:t>
      </w:r>
      <w:r>
        <w:rPr>
          <w:rFonts w:ascii="Arial" w:cs="Arial" w:eastAsia="Arial" w:hAnsi="Arial"/>
          <w:sz w:val="18"/>
          <w:szCs w:val="18"/>
          <w:color w:val="auto"/>
        </w:rPr>
        <w:t>” means that certain Second Amendment to Amended and Restated Credit Agreement dated as of January 1, 2022 relating to this Agreement.</w:t>
      </w:r>
    </w:p>
    <w:p>
      <w:pPr>
        <w:spacing w:after="0" w:line="54" w:lineRule="exact"/>
        <w:rPr>
          <w:sz w:val="20"/>
          <w:szCs w:val="20"/>
          <w:color w:val="auto"/>
        </w:rPr>
      </w:pPr>
    </w:p>
    <w:p>
      <w:pPr>
        <w:ind w:left="4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Date</w:t>
      </w:r>
      <w:r>
        <w:rPr>
          <w:rFonts w:ascii="Arial" w:cs="Arial" w:eastAsia="Arial" w:hAnsi="Arial"/>
          <w:sz w:val="18"/>
          <w:szCs w:val="18"/>
          <w:color w:val="auto"/>
        </w:rPr>
        <w:t>” means January 1, 2022.</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(c) The Credit Agreement is further amended by restating Section 1.4 thereof in its entirety as follows: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1.4. Rates.</w:t>
      </w:r>
    </w:p>
    <w:p>
      <w:pPr>
        <w:spacing w:after="0" w:line="121" w:lineRule="exact"/>
        <w:rPr>
          <w:sz w:val="20"/>
          <w:szCs w:val="20"/>
          <w:color w:val="auto"/>
        </w:rPr>
      </w:pPr>
    </w:p>
    <w:p>
      <w:pPr>
        <w:ind w:left="4" w:right="40" w:firstLine="423"/>
        <w:spacing w:after="0" w:line="285" w:lineRule="auto"/>
        <w:rPr>
          <w:sz w:val="20"/>
          <w:szCs w:val="20"/>
          <w:color w:val="auto"/>
        </w:rPr>
      </w:pPr>
      <w:r>
        <w:rPr>
          <w:rFonts w:ascii="Arial" w:cs="Arial" w:eastAsia="Arial" w:hAnsi="Arial"/>
          <w:sz w:val="16"/>
          <w:szCs w:val="16"/>
          <w:color w:val="auto"/>
        </w:rPr>
        <w:t>The interest rate on LIBOR Loans and Base Rate Loans may be determined by reference to LIBOR, which is derived from the London interbank offered rate. The London interbank offered rate is intended to represent the rate at which contributing banks may obtain short-term borrowings from each other in the London interbank market. On March 5, 2021, ICE Benchmark Administration (“IBA”), the administrator of the London interbank offered rate, and the Financial Conduct Authority (the “FCA”), the regulatory supervisor of IBA, announced in public statements (the “Announcements”) that the final publication or representativeness date for the London interbank offered rate for Dollars for: (a)</w:t>
      </w:r>
    </w:p>
    <w:p>
      <w:pPr>
        <w:spacing w:after="0" w:line="2" w:lineRule="exact"/>
        <w:rPr>
          <w:sz w:val="20"/>
          <w:szCs w:val="20"/>
          <w:color w:val="auto"/>
        </w:rPr>
      </w:pPr>
    </w:p>
    <w:p>
      <w:pPr>
        <w:ind w:left="4" w:right="20"/>
        <w:spacing w:after="0" w:line="281" w:lineRule="auto"/>
        <w:rPr>
          <w:sz w:val="20"/>
          <w:szCs w:val="20"/>
          <w:color w:val="auto"/>
        </w:rPr>
      </w:pPr>
      <w:r>
        <w:rPr>
          <w:rFonts w:ascii="Arial" w:cs="Arial" w:eastAsia="Arial" w:hAnsi="Arial"/>
          <w:sz w:val="16"/>
          <w:szCs w:val="16"/>
          <w:color w:val="auto"/>
        </w:rPr>
        <w:t>1-week and 2-month tenor settings will be December 31, 2021 and (b) overnight, 1-month, 3-month, 6-month and 12-month tenor settings will be June 30, 2023. No successor administrator for IBA was identified in such Announcements. As a result, it is possible that commencing immediately after such dates, the London interbank offered rate for such tenors may no longer be available or may no longer be deemed a representative reference rate upon which to determine the interest rate on LIBOR Loans or Base Rate Loans. There is no assurance that the dates set forth in the Announcements will not change or that IBA or the FCA will not take further action that could impact the availability, composition or characteristics of any London interbank offered rate. Public and private sector industry initiatives have been and continue, as of the date hereof, to be underway to implement new or alternative reference rates to be used in place of the London interbank offered rate. In the event that the London interbank offered rate or any other then-current index is no longer available or in certain other circumstances set forth in Sections 4.2.(b) —(e), such Section 4.2.(b)—(e) provides a mechanism for determining an alternative rate of interest. The Administrative Agent will notify the Borrower, pursuant to Section 4.2(d) , of any change to the reference rate upon which the interest rate on LIBOR Rate Loans and Base Rate Loans is based. However, the Administrative Agent does not warrant or accept any responsibility for, and shall not have any liability with respect to,</w:t>
      </w:r>
    </w:p>
    <w:p>
      <w:pPr>
        <w:spacing w:after="0" w:line="6" w:lineRule="exact"/>
        <w:rPr>
          <w:sz w:val="20"/>
          <w:szCs w:val="20"/>
          <w:color w:val="auto"/>
        </w:rPr>
      </w:pPr>
    </w:p>
    <w:p>
      <w:pPr>
        <w:ind w:left="4" w:hanging="4"/>
        <w:spacing w:after="0" w:line="285" w:lineRule="auto"/>
        <w:tabs>
          <w:tab w:leader="none" w:pos="21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continuation of, administration of, submission of, calculation of or any other matter related to the London interbank offered rate or other rates in the definition of “LIBOR” or with respect to any alternative, successor or replacement rate thereto (including any then-current index or any Benchmark Replacement), including whether the composition or characteristics of any such alternative, successor or replacement rate (including any Benchmark Replacement), as it may or may not be adjusted pursuant to Section 4.2(b) – (e), will be similar to, or produce the same value or economic equivalence of, LIBOR or any other index, or have the same volume or liquidity as did the London interbank offered rate or any other index prior to its discontinuance or unavailability, or (ii) the effect, implementation or composition of any Benchmark Replacement Conforming Changes. The Administrative Agent and its Affiliates or other related entities may engage in transactions that affect the calculation of an index, any alternative, successor or replacement rate (including any Benchmark Replacement) or any relevant adjustments thereto and such transactions may be adverse to the Borrower . The Administrative Agent may select information sources or services in its reasonable discretion to ascertain any index,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0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4"/>
          </w:cols>
          <w:pgMar w:left="876" w:top="270" w:right="459" w:bottom="1440" w:gutter="0" w:footer="0" w:header="0"/>
        </w:sectPr>
      </w:pPr>
    </w:p>
    <w:bookmarkStart w:id="97" w:name="page98"/>
    <w:bookmarkEnd w:id="9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The Credit Agreement is further amended by adding the following sentence to the end of Section 6.1(a):</w:t>
      </w:r>
    </w:p>
    <w:p>
      <w:pPr>
        <w:spacing w:after="0" w:line="117" w:lineRule="exact"/>
        <w:rPr>
          <w:sz w:val="20"/>
          <w:szCs w:val="20"/>
          <w:color w:val="auto"/>
        </w:rPr>
      </w:pPr>
    </w:p>
    <w:p>
      <w:pPr>
        <w:ind w:left="4" w:firstLine="423"/>
        <w:spacing w:after="0" w:line="257" w:lineRule="auto"/>
        <w:rPr>
          <w:sz w:val="20"/>
          <w:szCs w:val="20"/>
          <w:color w:val="auto"/>
        </w:rPr>
      </w:pPr>
      <w:r>
        <w:rPr>
          <w:rFonts w:ascii="Arial" w:cs="Arial" w:eastAsia="Arial" w:hAnsi="Arial"/>
          <w:sz w:val="18"/>
          <w:szCs w:val="18"/>
          <w:color w:val="auto"/>
        </w:rPr>
        <w:t>The Parent is a real estate investment trust, duly organized or formed, validly existing and in good standing under the laws of the State of Maryland, has the power and authority to own or lease its assets and to carry on its business as now being and hereafter proposed to be conducted and is duly qualified and is in good standing, and authorized to do business, in each jurisdiction in which the character of its assets or the nature of its business requires such qualification or authorization and where the failure to be so qualified or authorized could reasonably be expected to have a Material Adverse Effect.</w:t>
      </w:r>
    </w:p>
    <w:p>
      <w:pPr>
        <w:spacing w:after="0" w:line="80" w:lineRule="exact"/>
        <w:rPr>
          <w:sz w:val="20"/>
          <w:szCs w:val="20"/>
          <w:color w:val="auto"/>
        </w:rPr>
      </w:pPr>
    </w:p>
    <w:p>
      <w:pPr>
        <w:ind w:left="244" w:hanging="244"/>
        <w:spacing w:after="0"/>
        <w:tabs>
          <w:tab w:leader="none" w:pos="24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6.1(b) thereof in its entirety as follows:</w:t>
      </w:r>
    </w:p>
    <w:p>
      <w:pPr>
        <w:spacing w:after="0" w:line="117" w:lineRule="exact"/>
        <w:rPr>
          <w:rFonts w:ascii="Arial" w:cs="Arial" w:eastAsia="Arial" w:hAnsi="Arial"/>
          <w:sz w:val="18"/>
          <w:szCs w:val="18"/>
          <w:color w:val="auto"/>
        </w:rPr>
      </w:pPr>
    </w:p>
    <w:p>
      <w:pPr>
        <w:ind w:left="4" w:right="200" w:firstLine="419"/>
        <w:spacing w:after="0" w:line="291" w:lineRule="auto"/>
        <w:tabs>
          <w:tab w:leader="none" w:pos="681"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Ownership Structure</w:t>
      </w:r>
      <w:r>
        <w:rPr>
          <w:rFonts w:ascii="Arial" w:cs="Arial" w:eastAsia="Arial" w:hAnsi="Arial"/>
          <w:sz w:val="16"/>
          <w:szCs w:val="16"/>
          <w:color w:val="auto"/>
        </w:rPr>
        <w:t>. Part I of Schedule 6.1.(b) is, as of the Second Amendment Date, a complete and correct list of all Subsidiaries of the Parent, the General Partner and the Borrower setting forth for each such Subsidiary, (i) the jurisdiction of organization of such Subsidiary,</w:t>
      </w:r>
    </w:p>
    <w:p>
      <w:pPr>
        <w:jc w:val="both"/>
        <w:ind w:left="4" w:hanging="4"/>
        <w:spacing w:after="0" w:line="281" w:lineRule="auto"/>
        <w:tabs>
          <w:tab w:leader="none" w:pos="26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each Person holding any Equity Interest in such Subsidiary, (iii) the nature of the Equity Interests held by each such Person, (iv) the percentage of ownership of such Subsidiary represented by such Equity Interests and (v) in the case of Subsidiaries of the Borrower, whether such Subsidiary is a Material Subsidiary and/or an Excluded Subsidiary and whether such Subsidiary owns a Non-Controlled Property (and, if so, which one(s)).</w:t>
      </w:r>
    </w:p>
    <w:p>
      <w:pPr>
        <w:spacing w:after="0" w:line="1" w:lineRule="exact"/>
        <w:rPr>
          <w:rFonts w:ascii="Arial" w:cs="Arial" w:eastAsia="Arial" w:hAnsi="Arial"/>
          <w:sz w:val="16"/>
          <w:szCs w:val="16"/>
          <w:color w:val="auto"/>
        </w:rPr>
      </w:pPr>
    </w:p>
    <w:p>
      <w:pPr>
        <w:ind w:left="4" w:right="20"/>
        <w:spacing w:after="0" w:line="268" w:lineRule="auto"/>
        <w:rPr>
          <w:rFonts w:ascii="Arial" w:cs="Arial" w:eastAsia="Arial" w:hAnsi="Arial"/>
          <w:sz w:val="16"/>
          <w:szCs w:val="16"/>
          <w:color w:val="auto"/>
        </w:rPr>
      </w:pPr>
      <w:r>
        <w:rPr>
          <w:rFonts w:ascii="Arial" w:cs="Arial" w:eastAsia="Arial" w:hAnsi="Arial"/>
          <w:sz w:val="17"/>
          <w:szCs w:val="17"/>
          <w:color w:val="auto"/>
        </w:rPr>
        <w:t>As of the Second Amendment Date, except as disclosed in such Schedule, (A) each of the Parent, the General Partner and the Borrower and its respective Subsidiaries owns, free and clear of all Liens (other than Permitted Liens), and has the unencumbered right to vote, all outstanding Equity Interests in each Person shown to be held by it on such Schedule, (B) all of the issued and outstanding capital stock of each such Person organized as a corporation is validly issued, fully paid and nonassessable and (C)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Second Amendment Date, Part II of Schedule 6.1.(b) correctly sets forth all Unconsolidated Affiliates of the Parent, the General Partner and the Borrower, including the correct legal name of such Person, the type of legal entity which each such Person is, and all Equity Interests in such Person held directly or indirectly by the Parent, the General Partner and the Borrower.</w:t>
      </w:r>
    </w:p>
    <w:p>
      <w:pPr>
        <w:spacing w:after="0" w:line="70" w:lineRule="exact"/>
        <w:rPr>
          <w:rFonts w:ascii="Arial" w:cs="Arial" w:eastAsia="Arial" w:hAnsi="Arial"/>
          <w:sz w:val="16"/>
          <w:szCs w:val="16"/>
          <w:color w:val="auto"/>
        </w:rPr>
      </w:pPr>
    </w:p>
    <w:p>
      <w:pPr>
        <w:ind w:left="224" w:hanging="224"/>
        <w:spacing w:after="0"/>
        <w:tabs>
          <w:tab w:leader="none" w:pos="22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6.1(e) thereof in its entirety as follows:</w:t>
      </w:r>
    </w:p>
    <w:p>
      <w:pPr>
        <w:spacing w:after="0" w:line="117" w:lineRule="exact"/>
        <w:rPr>
          <w:rFonts w:ascii="Arial" w:cs="Arial" w:eastAsia="Arial" w:hAnsi="Arial"/>
          <w:sz w:val="18"/>
          <w:szCs w:val="18"/>
          <w:color w:val="auto"/>
        </w:rPr>
      </w:pPr>
    </w:p>
    <w:p>
      <w:pPr>
        <w:ind w:left="4" w:right="80" w:firstLine="419"/>
        <w:spacing w:after="0" w:line="301" w:lineRule="auto"/>
        <w:tabs>
          <w:tab w:leader="none" w:pos="671"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Compliance with Law; Governmental Approvals</w:t>
      </w:r>
      <w:r>
        <w:rPr>
          <w:rFonts w:ascii="Arial" w:cs="Arial" w:eastAsia="Arial" w:hAnsi="Arial"/>
          <w:sz w:val="16"/>
          <w:szCs w:val="16"/>
          <w:color w:val="auto"/>
        </w:rPr>
        <w:t>. Each of the Parent, the General Partner, the Borrower, the other Loan Parties and the other Subsidiaries is in compliance with each Governmental Approval applicable to it and all other Applicable Laws (including, without limitation, Environmental Laws) relating to it except for noncompliances which, and Governmental Approvals the failure to possess which, could not, individually or in the aggregate, reasonably be expected to cause a Default or Event of Default or have a Material Adverse Effect.</w:t>
      </w:r>
    </w:p>
    <w:p>
      <w:pPr>
        <w:spacing w:after="0" w:line="9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4"/>
          </w:cols>
          <w:pgMar w:left="876" w:top="274" w:right="459" w:bottom="1440" w:gutter="0" w:footer="0" w:header="0"/>
        </w:sectPr>
      </w:pPr>
    </w:p>
    <w:bookmarkStart w:id="98" w:name="page99"/>
    <w:bookmarkEnd w:id="98"/>
    <w:p>
      <w:pPr>
        <w:ind w:left="264" w:hanging="264"/>
        <w:spacing w:after="0"/>
        <w:tabs>
          <w:tab w:leader="none" w:pos="2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Credit Agreement is further amended by restating Section 6.1(h) thereof in its entirety as follows:</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None of the Parent, the General Partner or any Loan Party is an Affected Financial Institution.</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6.1(i) thereof in its entirety as follows:</w:t>
      </w:r>
    </w:p>
    <w:p>
      <w:pPr>
        <w:spacing w:after="0" w:line="117" w:lineRule="exact"/>
        <w:rPr>
          <w:rFonts w:ascii="Arial" w:cs="Arial" w:eastAsia="Arial" w:hAnsi="Arial"/>
          <w:sz w:val="18"/>
          <w:szCs w:val="18"/>
          <w:color w:val="auto"/>
        </w:rPr>
      </w:pPr>
    </w:p>
    <w:p>
      <w:pPr>
        <w:ind w:left="4" w:right="80" w:firstLine="419"/>
        <w:spacing w:after="0" w:line="272" w:lineRule="auto"/>
        <w:tabs>
          <w:tab w:leader="none" w:pos="641"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Except as set forth on Schedule 6.1.(i), there are no actions, suits or proceedings pending (nor, to the knowledge of any Loan Party, are there any actions, suits or proceedings threatened) against or in any other way relating adversely to or affecting the Parent, the General Partner, the Borrower, any other Loan Party, any other Subsidiary or any of their respective property in any court or before any arbitrator of any kind or before or by any other Governmental Authority which, (i) could reasonably be expected to have a Material Adverse Effect or (ii) in any manner draws into question the validity or enforceability of any Loan Document or the Fee Letter. There are no strikes, slow downs, work stoppages or walkouts or other labor disputes in progress or threatened relating to the Borrower, any Subsidiary or any other Loan Party which could reasonably be expected to have a Material Adverse Effect.</w:t>
      </w:r>
    </w:p>
    <w:p>
      <w:pPr>
        <w:spacing w:after="0" w:line="69" w:lineRule="exact"/>
        <w:rPr>
          <w:rFonts w:ascii="Arial" w:cs="Arial" w:eastAsia="Arial" w:hAnsi="Arial"/>
          <w:sz w:val="17"/>
          <w:szCs w:val="17"/>
          <w:color w:val="auto"/>
        </w:rPr>
      </w:pPr>
    </w:p>
    <w:p>
      <w:pPr>
        <w:ind w:left="224" w:hanging="224"/>
        <w:spacing w:after="0"/>
        <w:tabs>
          <w:tab w:leader="none" w:pos="22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6.1(j) thereof in its entirety as follows:</w:t>
      </w:r>
    </w:p>
    <w:p>
      <w:pPr>
        <w:spacing w:after="0" w:line="117" w:lineRule="exact"/>
        <w:rPr>
          <w:rFonts w:ascii="Arial" w:cs="Arial" w:eastAsia="Arial" w:hAnsi="Arial"/>
          <w:sz w:val="18"/>
          <w:szCs w:val="18"/>
          <w:color w:val="auto"/>
        </w:rPr>
      </w:pPr>
    </w:p>
    <w:p>
      <w:pPr>
        <w:ind w:left="4" w:firstLine="419"/>
        <w:spacing w:after="0" w:line="272" w:lineRule="auto"/>
        <w:tabs>
          <w:tab w:leader="none" w:pos="641"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All federal, state and other tax returns of the Parent, the General Partner, the Borrower, each other Loan Party and each other Subsidiary required by Applicable Law to be filed have been duly filed, and all federal, state and other taxes, assessments and other governmental charges or levies upon, the Parent, the General Partner, each Loan Party, each other Subsidiary and their respective properties, income, profits and assets which are due and payable have been paid, except any such nonpayment or non-filing which is at the time permitted under Section 7.6. As of the Second Amendment Date, none of the United States income tax returns of the Borrower, any other Loan Party or any other Subsidiary is under audit. All charges, accruals and reserves on the books of the Borrower, the other Loan Parties and the other Subsidiaries in respect of any taxes or other governmental charges are in accordance with GAAP.</w:t>
      </w:r>
    </w:p>
    <w:p>
      <w:pPr>
        <w:spacing w:after="0" w:line="69" w:lineRule="exact"/>
        <w:rPr>
          <w:rFonts w:ascii="Arial" w:cs="Arial" w:eastAsia="Arial" w:hAnsi="Arial"/>
          <w:sz w:val="17"/>
          <w:szCs w:val="17"/>
          <w:color w:val="auto"/>
        </w:rPr>
      </w:pPr>
    </w:p>
    <w:p>
      <w:pPr>
        <w:ind w:left="224" w:hanging="224"/>
        <w:spacing w:after="0"/>
        <w:tabs>
          <w:tab w:leader="none" w:pos="22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6.1(p) thereof in its entirety as follows:</w:t>
      </w:r>
    </w:p>
    <w:p>
      <w:pPr>
        <w:spacing w:after="0" w:line="117" w:lineRule="exact"/>
        <w:rPr>
          <w:rFonts w:ascii="Arial" w:cs="Arial" w:eastAsia="Arial" w:hAnsi="Arial"/>
          <w:sz w:val="18"/>
          <w:szCs w:val="18"/>
          <w:color w:val="auto"/>
        </w:rPr>
      </w:pPr>
    </w:p>
    <w:p>
      <w:pPr>
        <w:ind w:left="4" w:firstLine="419"/>
        <w:spacing w:after="0" w:line="257" w:lineRule="auto"/>
        <w:tabs>
          <w:tab w:leader="none" w:pos="681"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None of the Parent, the General Partner, the Borrower, any other Loan Party or any other Subsidiary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w:t>
      </w:r>
    </w:p>
    <w:p>
      <w:pPr>
        <w:spacing w:after="0" w:line="120"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04"/>
          </w:cols>
          <w:pgMar w:left="876" w:top="274" w:right="519" w:bottom="1440" w:gutter="0" w:footer="0" w:header="0"/>
        </w:sectPr>
      </w:pPr>
    </w:p>
    <w:bookmarkStart w:id="99" w:name="page100"/>
    <w:bookmarkEnd w:id="9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 The Credit Agreement is further amended by restating Section 6.1(x) thereof in its entirety as follows:</w:t>
      </w:r>
    </w:p>
    <w:p>
      <w:pPr>
        <w:spacing w:after="0" w:line="117" w:lineRule="exact"/>
        <w:rPr>
          <w:sz w:val="20"/>
          <w:szCs w:val="20"/>
          <w:color w:val="auto"/>
        </w:rPr>
      </w:pPr>
    </w:p>
    <w:p>
      <w:pPr>
        <w:ind w:left="684" w:hanging="261"/>
        <w:spacing w:after="0"/>
        <w:tabs>
          <w:tab w:leader="none" w:pos="684"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Anti-Corruption Laws; Anti-Money Laundering Laws and Sanctions</w:t>
      </w:r>
      <w:r>
        <w:rPr>
          <w:rFonts w:ascii="Arial" w:cs="Arial" w:eastAsia="Arial" w:hAnsi="Arial"/>
          <w:sz w:val="18"/>
          <w:szCs w:val="18"/>
          <w:color w:val="auto"/>
        </w:rPr>
        <w:t>.</w:t>
      </w:r>
    </w:p>
    <w:p>
      <w:pPr>
        <w:spacing w:after="0" w:line="117" w:lineRule="exact"/>
        <w:rPr>
          <w:sz w:val="20"/>
          <w:szCs w:val="20"/>
          <w:color w:val="auto"/>
        </w:rPr>
      </w:pPr>
    </w:p>
    <w:p>
      <w:pPr>
        <w:ind w:left="4" w:firstLine="419"/>
        <w:spacing w:after="0" w:line="284" w:lineRule="auto"/>
        <w:tabs>
          <w:tab w:leader="none" w:pos="641" w:val="left"/>
        </w:tabs>
        <w:numPr>
          <w:ilvl w:val="1"/>
          <w:numId w:val="113"/>
        </w:numPr>
        <w:rPr>
          <w:rFonts w:ascii="Arial" w:cs="Arial" w:eastAsia="Arial" w:hAnsi="Arial"/>
          <w:sz w:val="16"/>
          <w:szCs w:val="16"/>
          <w:color w:val="auto"/>
        </w:rPr>
      </w:pPr>
      <w:r>
        <w:rPr>
          <w:rFonts w:ascii="Arial" w:cs="Arial" w:eastAsia="Arial" w:hAnsi="Arial"/>
          <w:sz w:val="16"/>
          <w:szCs w:val="16"/>
          <w:color w:val="auto"/>
        </w:rPr>
        <w:t>None of (i) the Parent, the General Partner, the Borrower, any of their respective Subsidiaries, any of their respective directors, officers, or, to the knowledge of the Borrower or such Subsidiary, any of their respective employees or Affiliates, or (ii) any agent or representative of the Borrower or any Subsidiary that will act in any capacity in connection with or benefit from this Agreement, (A) is a Sanctioned Person or currently the express subject or express target of any Sanctions, (B) is controlled by or is acting on behalf of a Sanctioned Person, (C) has its assets located in a Sanctioned Country, (D)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directly or indirectly derives revenues from investments in, or transactions with, Sanctioned Persons.</w:t>
      </w:r>
    </w:p>
    <w:p>
      <w:pPr>
        <w:spacing w:after="0" w:line="102" w:lineRule="exact"/>
        <w:rPr>
          <w:rFonts w:ascii="Arial" w:cs="Arial" w:eastAsia="Arial" w:hAnsi="Arial"/>
          <w:sz w:val="18"/>
          <w:szCs w:val="18"/>
          <w:color w:val="auto"/>
        </w:rPr>
      </w:pPr>
    </w:p>
    <w:p>
      <w:pPr>
        <w:ind w:left="4" w:right="20" w:firstLine="419"/>
        <w:spacing w:after="0" w:line="263" w:lineRule="auto"/>
        <w:tabs>
          <w:tab w:leader="none" w:pos="691"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Each of the Parent, the General Partner, the Borrower and their respective Subsidiaries has implemented and maintains in effect policies and procedures designed to ensure compliance by such Person and their respective directors, officers, employees, agents and Affiliates with all Anti-Corruption Laws, Anti-Money Laundering Laws and applicable Sanctions.</w:t>
      </w:r>
    </w:p>
    <w:p>
      <w:pPr>
        <w:spacing w:after="0" w:line="75" w:lineRule="exact"/>
        <w:rPr>
          <w:rFonts w:ascii="Arial" w:cs="Arial" w:eastAsia="Arial" w:hAnsi="Arial"/>
          <w:sz w:val="18"/>
          <w:szCs w:val="18"/>
          <w:color w:val="auto"/>
        </w:rPr>
      </w:pPr>
    </w:p>
    <w:p>
      <w:pPr>
        <w:jc w:val="both"/>
        <w:ind w:left="4" w:right="100" w:firstLine="419"/>
        <w:spacing w:after="0" w:line="286" w:lineRule="auto"/>
        <w:tabs>
          <w:tab w:leader="none" w:pos="741" w:val="left"/>
        </w:tabs>
        <w:numPr>
          <w:ilvl w:val="1"/>
          <w:numId w:val="114"/>
        </w:numPr>
        <w:rPr>
          <w:rFonts w:ascii="Arial" w:cs="Arial" w:eastAsia="Arial" w:hAnsi="Arial"/>
          <w:sz w:val="17"/>
          <w:szCs w:val="17"/>
          <w:color w:val="auto"/>
        </w:rPr>
      </w:pPr>
      <w:r>
        <w:rPr>
          <w:rFonts w:ascii="Arial" w:cs="Arial" w:eastAsia="Arial" w:hAnsi="Arial"/>
          <w:sz w:val="17"/>
          <w:szCs w:val="17"/>
          <w:color w:val="auto"/>
        </w:rPr>
        <w:t>Each of the Parent, the General Partner, the Borrower and their respective Subsidiaries, each director, officer, and to the knowledge of Borrower, employee, agent and Affiliate of the Parent, the General Partner, the Borrower and their respective Subsidiaries, is in compliance with all Anti-Corruption Laws, Anti-Money Laundering Laws in all material respects and applicable Sanctions.</w:t>
      </w:r>
    </w:p>
    <w:p>
      <w:pPr>
        <w:spacing w:after="0" w:line="57" w:lineRule="exact"/>
        <w:rPr>
          <w:rFonts w:ascii="Arial" w:cs="Arial" w:eastAsia="Arial" w:hAnsi="Arial"/>
          <w:sz w:val="17"/>
          <w:szCs w:val="17"/>
          <w:color w:val="auto"/>
        </w:rPr>
      </w:pPr>
    </w:p>
    <w:p>
      <w:pPr>
        <w:ind w:left="4" w:right="40" w:firstLine="419"/>
        <w:spacing w:after="0" w:line="277" w:lineRule="auto"/>
        <w:tabs>
          <w:tab w:leader="none" w:pos="731"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 proceeds of any Loan or Letter of Credit have been used, directly or indirectly, by the Borrower, any of its Subsidiaries or any of its or their respective directors, officers, employees and agents in violation of Section 9.13.(c).</w:t>
      </w:r>
    </w:p>
    <w:p>
      <w:pPr>
        <w:spacing w:after="0" w:line="62" w:lineRule="exact"/>
        <w:rPr>
          <w:sz w:val="20"/>
          <w:szCs w:val="20"/>
          <w:color w:val="auto"/>
        </w:rPr>
      </w:pPr>
    </w:p>
    <w:p>
      <w:pPr>
        <w:ind w:left="224" w:hanging="224"/>
        <w:spacing w:after="0"/>
        <w:tabs>
          <w:tab w:leader="none" w:pos="22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6.1(y) thereof in its entirety as follows:</w:t>
      </w:r>
    </w:p>
    <w:p>
      <w:pPr>
        <w:spacing w:after="0" w:line="117" w:lineRule="exact"/>
        <w:rPr>
          <w:rFonts w:ascii="Arial" w:cs="Arial" w:eastAsia="Arial" w:hAnsi="Arial"/>
          <w:sz w:val="18"/>
          <w:szCs w:val="18"/>
          <w:color w:val="auto"/>
        </w:rPr>
      </w:pPr>
    </w:p>
    <w:p>
      <w:pPr>
        <w:ind w:left="4" w:right="80" w:firstLine="419"/>
        <w:spacing w:after="0" w:line="277" w:lineRule="auto"/>
        <w:tabs>
          <w:tab w:leader="none" w:pos="681"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REIT Status</w:t>
      </w:r>
      <w:r>
        <w:rPr>
          <w:rFonts w:ascii="Arial" w:cs="Arial" w:eastAsia="Arial" w:hAnsi="Arial"/>
          <w:sz w:val="18"/>
          <w:szCs w:val="18"/>
          <w:color w:val="auto"/>
        </w:rPr>
        <w:t>. The Parent qualifies as, and has elected to be treated as, a REIT and is in compliance with all requirements and conditions imposed under the Internal Revenue Code to allow the Parent to maintain its status as a REIT.</w:t>
      </w:r>
    </w:p>
    <w:p>
      <w:pPr>
        <w:spacing w:after="0" w:line="62" w:lineRule="exact"/>
        <w:rPr>
          <w:rFonts w:ascii="Arial" w:cs="Arial" w:eastAsia="Arial" w:hAnsi="Arial"/>
          <w:sz w:val="18"/>
          <w:szCs w:val="18"/>
          <w:color w:val="auto"/>
        </w:rPr>
      </w:pPr>
    </w:p>
    <w:p>
      <w:pPr>
        <w:ind w:left="304" w:hanging="304"/>
        <w:spacing w:after="0"/>
        <w:tabs>
          <w:tab w:leader="none" w:pos="30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Credit Agreement is further amended by adding the following sentence to the end of Section 7.1:</w:t>
      </w:r>
    </w:p>
    <w:p>
      <w:pPr>
        <w:spacing w:after="0" w:line="117" w:lineRule="exact"/>
        <w:rPr>
          <w:sz w:val="20"/>
          <w:szCs w:val="20"/>
          <w:color w:val="auto"/>
        </w:rPr>
      </w:pPr>
    </w:p>
    <w:p>
      <w:pPr>
        <w:ind w:left="4" w:right="40" w:firstLine="423"/>
        <w:spacing w:after="0" w:line="259" w:lineRule="auto"/>
        <w:rPr>
          <w:sz w:val="20"/>
          <w:szCs w:val="20"/>
          <w:color w:val="auto"/>
        </w:rPr>
      </w:pPr>
      <w:r>
        <w:rPr>
          <w:rFonts w:ascii="Arial" w:cs="Arial" w:eastAsia="Arial" w:hAnsi="Arial"/>
          <w:sz w:val="18"/>
          <w:szCs w:val="18"/>
          <w:color w:val="auto"/>
        </w:rPr>
        <w:t>The Parent shall preserve and maintain its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119"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4"/>
          </w:cols>
          <w:pgMar w:left="876" w:top="274" w:right="51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 The Credit Agreement is further amended by adding the following sentence to the end of Section 7.2:</w:t>
      </w:r>
    </w:p>
    <w:p>
      <w:pPr>
        <w:spacing w:after="0" w:line="117"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The Parent shall, comply with all Applicable Laws, including the obtaining of all Governmental Approvals, the failure with which to comply could reasonably be expected to have a Material Adverse Effect.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The Credit Agreement is further amended by adding the following sentence to the end of Section 7.6:</w:t>
      </w:r>
    </w:p>
    <w:p>
      <w:pPr>
        <w:spacing w:after="0" w:line="117" w:lineRule="exact"/>
        <w:rPr>
          <w:sz w:val="20"/>
          <w:szCs w:val="20"/>
          <w:color w:val="auto"/>
        </w:rPr>
      </w:pPr>
    </w:p>
    <w:p>
      <w:pPr>
        <w:ind w:right="100" w:firstLine="423"/>
        <w:spacing w:after="0" w:line="301" w:lineRule="auto"/>
        <w:rPr>
          <w:sz w:val="20"/>
          <w:szCs w:val="20"/>
          <w:color w:val="auto"/>
        </w:rPr>
      </w:pPr>
      <w:r>
        <w:rPr>
          <w:rFonts w:ascii="Arial" w:cs="Arial" w:eastAsia="Arial" w:hAnsi="Arial"/>
          <w:sz w:val="16"/>
          <w:szCs w:val="16"/>
          <w:color w:val="auto"/>
        </w:rPr>
        <w:t>The Parent shall pay and discharge when due all taxes, assessments and governmental charges or levies imposed upon it or upon its income or profits or upon any properties belonging to it;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Parent in accordance with GAAP.</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(p) The Credit Agreement is further amended by restating Section 7.11 thereof in its entirety as follows:</w:t>
      </w:r>
    </w:p>
    <w:p>
      <w:pPr>
        <w:spacing w:after="0" w:line="221"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Section 7.11. Compliance with Anti-Corruption Laws; Beneficial Ownership Regulation, Anti-Money Laundering Laws and Sanctions</w:t>
      </w:r>
      <w:r>
        <w:rPr>
          <w:rFonts w:ascii="Arial" w:cs="Arial" w:eastAsia="Arial" w:hAnsi="Arial"/>
          <w:sz w:val="16"/>
          <w:szCs w:val="16"/>
          <w:color w:val="auto"/>
        </w:rPr>
        <w:t>.</w:t>
      </w:r>
    </w:p>
    <w:p>
      <w:pPr>
        <w:spacing w:after="0" w:line="144" w:lineRule="exact"/>
        <w:rPr>
          <w:sz w:val="20"/>
          <w:szCs w:val="20"/>
          <w:color w:val="auto"/>
        </w:rPr>
      </w:pPr>
    </w:p>
    <w:p>
      <w:pPr>
        <w:ind w:right="180" w:firstLine="423"/>
        <w:spacing w:after="0" w:line="272" w:lineRule="auto"/>
        <w:rPr>
          <w:sz w:val="20"/>
          <w:szCs w:val="20"/>
          <w:color w:val="auto"/>
        </w:rPr>
      </w:pPr>
      <w:r>
        <w:rPr>
          <w:rFonts w:ascii="Arial" w:cs="Arial" w:eastAsia="Arial" w:hAnsi="Arial"/>
          <w:sz w:val="17"/>
          <w:szCs w:val="17"/>
          <w:color w:val="auto"/>
        </w:rPr>
        <w:t>The Parent, the General Partner and the Borrower will (a) maintain in effect and enforce policies and procedures designed to ensure compliance by the Parent, the General Partner, the Borrower, their respective Subsidiaries and their respective directors, officers, employees and agents with all Anti-Corruption Laws, Anti-Money Laundering Laws and applicable Sanctions, (b) notify the Administrative 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reasonably requested by it for purposes of complying with the Beneficial Ownership Regulation.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(q) The Credit Agreement is further amended by restating Section 7.12 thereof in its entirety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7.12. REIT Status.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Parent shall at all times maintain its status as, and election to be treated as, a REIT under the Internal Revenue Code.</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101" w:name="page102"/>
    <w:bookmarkEnd w:id="10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 The Credit Agreement is further amended by restating Section 7.13 in its entirety as follows: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7.13. Exchange Listing.</w:t>
      </w:r>
    </w:p>
    <w:p>
      <w:pPr>
        <w:spacing w:after="0" w:line="121" w:lineRule="exact"/>
        <w:rPr>
          <w:sz w:val="20"/>
          <w:szCs w:val="20"/>
          <w:color w:val="auto"/>
        </w:rPr>
      </w:pPr>
    </w:p>
    <w:p>
      <w:pPr>
        <w:jc w:val="both"/>
        <w:ind w:left="420" w:right="180" w:firstLine="423"/>
        <w:spacing w:after="0" w:line="263" w:lineRule="auto"/>
        <w:rPr>
          <w:sz w:val="20"/>
          <w:szCs w:val="20"/>
          <w:color w:val="auto"/>
        </w:rPr>
      </w:pPr>
      <w:r>
        <w:rPr>
          <w:rFonts w:ascii="Arial" w:cs="Arial" w:eastAsia="Arial" w:hAnsi="Arial"/>
          <w:sz w:val="18"/>
          <w:szCs w:val="18"/>
          <w:color w:val="auto"/>
        </w:rPr>
        <w:t>The Parent shall maintain at least one class of common shares of the Parent having trading privileges on the New York Stock Exchange or the NYSE American or other national exchange which is subject to price quotations on The NASDAQ Stock Market’s National Market System (or any successor exchanges or quotation systems thereto).</w:t>
      </w:r>
    </w:p>
    <w:p>
      <w:pPr>
        <w:spacing w:after="0" w:line="76" w:lineRule="exact"/>
        <w:rPr>
          <w:sz w:val="20"/>
          <w:szCs w:val="20"/>
          <w:color w:val="auto"/>
        </w:rPr>
      </w:pPr>
    </w:p>
    <w:p>
      <w:pPr>
        <w:ind w:left="-20" w:right="60" w:firstLine="436"/>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clauses (b) and (c) of Section 7.14 thereof in their entirety as follows (for the avoidance of doubt the remainder of Section 7.14 shall remain as in effect prior to the Second Amendment):</w:t>
      </w:r>
    </w:p>
    <w:p>
      <w:pPr>
        <w:spacing w:after="0" w:line="62" w:lineRule="exact"/>
        <w:rPr>
          <w:rFonts w:ascii="Arial" w:cs="Arial" w:eastAsia="Arial" w:hAnsi="Arial"/>
          <w:sz w:val="18"/>
          <w:szCs w:val="18"/>
          <w:color w:val="auto"/>
        </w:rPr>
      </w:pPr>
    </w:p>
    <w:p>
      <w:pPr>
        <w:ind w:left="420" w:firstLine="419"/>
        <w:spacing w:after="0" w:line="279" w:lineRule="auto"/>
        <w:tabs>
          <w:tab w:leader="none" w:pos="1098" w:val="left"/>
        </w:tabs>
        <w:numPr>
          <w:ilvl w:val="1"/>
          <w:numId w:val="116"/>
        </w:numPr>
        <w:rPr>
          <w:rFonts w:ascii="Arial" w:cs="Arial" w:eastAsia="Arial" w:hAnsi="Arial"/>
          <w:sz w:val="17"/>
          <w:szCs w:val="17"/>
          <w:color w:val="auto"/>
        </w:rPr>
      </w:pPr>
      <w:r>
        <w:rPr>
          <w:rFonts w:ascii="Arial" w:cs="Arial" w:eastAsia="Arial" w:hAnsi="Arial"/>
          <w:sz w:val="17"/>
          <w:szCs w:val="17"/>
          <w:color w:val="auto"/>
        </w:rPr>
        <w:t>Within 10 Business Days of the date on which any of the following conditions first applies to either the Parent or the General Partner, the Borrower shall deliver to the Administrative Agent each of the following in form and substance satisfactory to the Administrative Agent: (i) the Parent/General Partner Guaranty executed by such Person and (ii) the items that would have been delivered under subsections (iv) through (viii) of Section 5.1.(a) if such Person had been required to become a Guarantor on the Agreement Date:</w:t>
      </w:r>
    </w:p>
    <w:p>
      <w:pPr>
        <w:spacing w:after="0" w:line="63" w:lineRule="exact"/>
        <w:rPr>
          <w:rFonts w:ascii="Arial" w:cs="Arial" w:eastAsia="Arial" w:hAnsi="Arial"/>
          <w:sz w:val="17"/>
          <w:szCs w:val="17"/>
          <w:color w:val="auto"/>
        </w:rPr>
      </w:pPr>
    </w:p>
    <w:p>
      <w:pPr>
        <w:ind w:left="960" w:right="80" w:firstLine="408"/>
        <w:spacing w:after="0" w:line="277" w:lineRule="auto"/>
        <w:tabs>
          <w:tab w:leader="none" w:pos="1616"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Parent or General Partner, as the case may be, Guarantees, or otherwise becomes obligated in respect of, any Indebtedness of the Borrower or any Subsidiary of the Borrower; or</w:t>
      </w:r>
    </w:p>
    <w:p>
      <w:pPr>
        <w:spacing w:after="0" w:line="62" w:lineRule="exact"/>
        <w:rPr>
          <w:rFonts w:ascii="Arial" w:cs="Arial" w:eastAsia="Arial" w:hAnsi="Arial"/>
          <w:sz w:val="18"/>
          <w:szCs w:val="18"/>
          <w:color w:val="auto"/>
        </w:rPr>
      </w:pPr>
    </w:p>
    <w:p>
      <w:pPr>
        <w:ind w:left="1620" w:hanging="252"/>
        <w:spacing w:after="0"/>
        <w:tabs>
          <w:tab w:leader="none" w:pos="162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Parent or General Partner, as the case may be, fails to satisfy the requirements of Section 9.14 hereto.</w:t>
      </w:r>
    </w:p>
    <w:p>
      <w:pPr>
        <w:spacing w:after="0" w:line="117" w:lineRule="exact"/>
        <w:rPr>
          <w:rFonts w:ascii="Arial" w:cs="Arial" w:eastAsia="Arial" w:hAnsi="Arial"/>
          <w:sz w:val="18"/>
          <w:szCs w:val="18"/>
          <w:color w:val="auto"/>
        </w:rPr>
      </w:pPr>
    </w:p>
    <w:p>
      <w:pPr>
        <w:ind w:left="420" w:right="80" w:firstLine="419"/>
        <w:spacing w:after="0" w:line="290" w:lineRule="auto"/>
        <w:tabs>
          <w:tab w:leader="none" w:pos="1088"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Borrower may request in writing that the Administrative Agent release, and upon receipt of such request the Administrative Agent shall release, a Subsidiary of the Borrower that is a Guarantor from the Guaranty so long as: (i) such Guarantor is not required to be a party to the Guaranty under the immediately preceding subsection (a); (ii) no Default or Event of Default shall then be in existence or would occur as a result of such release, including without limitation, a Default or Event of Default resulting from a violation of any of the covenants contained in Section 9.1.; and (iii) the Administrative Agent shall have received such written request at least ten (10) Business Days (or such shorter period as 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pacing w:after="0" w:line="57" w:lineRule="exact"/>
        <w:rPr>
          <w:rFonts w:ascii="Arial" w:cs="Arial" w:eastAsia="Arial" w:hAnsi="Arial"/>
          <w:sz w:val="16"/>
          <w:szCs w:val="16"/>
          <w:color w:val="auto"/>
        </w:rPr>
      </w:pPr>
    </w:p>
    <w:p>
      <w:pPr>
        <w:ind w:left="640" w:hanging="224"/>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Credit Agreement is further amended by adding the following clause (t) to Section 8.4:</w:t>
      </w:r>
    </w:p>
    <w:p>
      <w:pPr>
        <w:spacing w:after="0" w:line="117" w:lineRule="exact"/>
        <w:rPr>
          <w:rFonts w:ascii="Arial" w:cs="Arial" w:eastAsia="Arial" w:hAnsi="Arial"/>
          <w:sz w:val="18"/>
          <w:szCs w:val="18"/>
          <w:color w:val="auto"/>
        </w:rPr>
      </w:pPr>
    </w:p>
    <w:p>
      <w:pPr>
        <w:ind w:left="420" w:right="440" w:firstLine="419"/>
        <w:spacing w:after="0" w:line="263" w:lineRule="auto"/>
        <w:tabs>
          <w:tab w:leader="none" w:pos="105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Promptly, upon any change in the tax identification number of the Borrower, and in any event within ten (10) Business Days of a Responsible Officer of the Borrower obtaining knowledge thereof, evidence of such new tax identification number issued by the appropriate Governmental Authority in form and substance satisfactory to the Administrative Agent.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60" w:top="274" w:right="479" w:bottom="1440" w:gutter="0" w:footer="0" w:header="0"/>
        </w:sectPr>
      </w:pPr>
    </w:p>
    <w:bookmarkStart w:id="102" w:name="page103"/>
    <w:bookmarkEnd w:id="102"/>
    <w:p>
      <w:pPr>
        <w:jc w:val="both"/>
        <w:ind w:left="-60" w:firstLine="436"/>
        <w:spacing w:after="0" w:line="342" w:lineRule="auto"/>
        <w:tabs>
          <w:tab w:leader="none" w:pos="635" w:val="left"/>
        </w:tabs>
        <w:numPr>
          <w:ilvl w:val="0"/>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Credit Agreement is further amended by restating clauses (a), (b), (c), (f), (g), (l) and (s) of Section 8.4 thereof in their entirety as follows (for the avoidance of doubt, except as otherwise set forth herein, the remainder of Section 8.4 shall remain as in effect prior to the Second Amendment):</w:t>
      </w:r>
    </w:p>
    <w:p>
      <w:pPr>
        <w:spacing w:after="0" w:line="15" w:lineRule="exact"/>
        <w:rPr>
          <w:rFonts w:ascii="Arial" w:cs="Arial" w:eastAsia="Arial" w:hAnsi="Arial"/>
          <w:sz w:val="16"/>
          <w:szCs w:val="16"/>
          <w:color w:val="auto"/>
        </w:rPr>
      </w:pPr>
    </w:p>
    <w:p>
      <w:pPr>
        <w:ind w:left="380" w:right="320" w:firstLine="419"/>
        <w:spacing w:after="0" w:line="277" w:lineRule="auto"/>
        <w:tabs>
          <w:tab w:leader="none" w:pos="104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Promptly upon receipt thereof, copies of all management reports, if any, submitted to the Borrower or its partners by its independent public accountants;</w:t>
      </w:r>
    </w:p>
    <w:p>
      <w:pPr>
        <w:spacing w:after="0" w:line="62" w:lineRule="exact"/>
        <w:rPr>
          <w:rFonts w:ascii="Arial" w:cs="Arial" w:eastAsia="Arial" w:hAnsi="Arial"/>
          <w:sz w:val="18"/>
          <w:szCs w:val="18"/>
          <w:color w:val="auto"/>
        </w:rPr>
      </w:pPr>
    </w:p>
    <w:p>
      <w:pPr>
        <w:ind w:left="380" w:right="40" w:firstLine="419"/>
        <w:spacing w:after="0" w:line="279" w:lineRule="auto"/>
        <w:tabs>
          <w:tab w:leader="none" w:pos="1058" w:val="left"/>
        </w:tabs>
        <w:numPr>
          <w:ilvl w:val="1"/>
          <w:numId w:val="118"/>
        </w:numPr>
        <w:rPr>
          <w:rFonts w:ascii="Arial" w:cs="Arial" w:eastAsia="Arial" w:hAnsi="Arial"/>
          <w:sz w:val="17"/>
          <w:szCs w:val="17"/>
          <w:color w:val="auto"/>
        </w:rPr>
      </w:pPr>
      <w:r>
        <w:rPr>
          <w:rFonts w:ascii="Arial" w:cs="Arial" w:eastAsia="Arial" w:hAnsi="Arial"/>
          <w:sz w:val="17"/>
          <w:szCs w:val="17"/>
          <w:color w:val="auto"/>
        </w:rPr>
        <w:t>Within five (5) Business Days of the filing thereof, copies of all registration statements (excluding the exhibits thereto (unless requested by the Administrative Agent) and any registration statements on Form S-8 or its equivalent), reports on Forms 10-K, 10-Q and 8-K (or their equivalents) and all other periodic reports which the Parent or any Loan Party or any other Subsidiary shall file with the Securities and Exchange Commission (or any Governmental Authority substituted therefor) or any national securities exchange;</w:t>
      </w:r>
    </w:p>
    <w:p>
      <w:pPr>
        <w:spacing w:after="0" w:line="63" w:lineRule="exact"/>
        <w:rPr>
          <w:rFonts w:ascii="Arial" w:cs="Arial" w:eastAsia="Arial" w:hAnsi="Arial"/>
          <w:sz w:val="17"/>
          <w:szCs w:val="17"/>
          <w:color w:val="auto"/>
        </w:rPr>
      </w:pPr>
    </w:p>
    <w:p>
      <w:pPr>
        <w:ind w:left="380" w:right="40" w:firstLine="419"/>
        <w:spacing w:after="0" w:line="263" w:lineRule="auto"/>
        <w:tabs>
          <w:tab w:leader="none" w:pos="104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Promptly upon the mailing thereof to the shareholders of the Parent or the Borrower generally, copies of all financial statements, reports and proxy statements so mailed and promptly upon the issuance thereof copies of all press releases issued by the Parent, the General Partner, the Borrower, any Subsidiary or any other Loan Party;</w:t>
      </w:r>
    </w:p>
    <w:p>
      <w:pPr>
        <w:spacing w:after="0" w:line="76" w:lineRule="exact"/>
        <w:rPr>
          <w:sz w:val="20"/>
          <w:szCs w:val="20"/>
          <w:color w:val="auto"/>
        </w:rPr>
      </w:pPr>
    </w:p>
    <w:p>
      <w:pPr>
        <w:ind w:left="380" w:firstLine="419"/>
        <w:spacing w:after="0" w:line="255" w:lineRule="auto"/>
        <w:tabs>
          <w:tab w:leader="none" w:pos="102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To the extent the Parent, the General Partner, any Loan Party or any other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Parent, the General Partner, any Loan Party or any other Subsidiary or any of their respective properties, assets or businesses which could reasonably be expected to have a Material Adverse Effect, and prompt notice of the receipt of notice that any United States income tax returns of any Loan Party or any other Subsidiary are being audited;</w:t>
      </w:r>
    </w:p>
    <w:p>
      <w:pPr>
        <w:spacing w:after="0" w:line="84" w:lineRule="exact"/>
        <w:rPr>
          <w:rFonts w:ascii="Arial" w:cs="Arial" w:eastAsia="Arial" w:hAnsi="Arial"/>
          <w:sz w:val="18"/>
          <w:szCs w:val="18"/>
          <w:color w:val="auto"/>
        </w:rPr>
      </w:pPr>
    </w:p>
    <w:p>
      <w:pPr>
        <w:ind w:left="1060" w:hanging="261"/>
        <w:spacing w:after="0"/>
        <w:tabs>
          <w:tab w:leader="none" w:pos="10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A copy of any amendment to the agreement of limited partnership or other organizational documents of the Borrower within fifteen</w:t>
      </w:r>
    </w:p>
    <w:p>
      <w:pPr>
        <w:spacing w:after="0" w:line="34" w:lineRule="exact"/>
        <w:rPr>
          <w:rFonts w:ascii="Arial" w:cs="Arial" w:eastAsia="Arial" w:hAnsi="Arial"/>
          <w:sz w:val="17"/>
          <w:szCs w:val="17"/>
          <w:color w:val="auto"/>
        </w:rPr>
      </w:pPr>
    </w:p>
    <w:p>
      <w:pPr>
        <w:ind w:left="380" w:right="440" w:hanging="4"/>
        <w:spacing w:after="0" w:line="260" w:lineRule="auto"/>
        <w:tabs>
          <w:tab w:leader="none" w:pos="72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Business Days after the effectiveness thereof, other than an amendment to such agreement of limited partnership to reflect issuances of additional interests in the Borrower as authorized by such agreement;</w:t>
      </w:r>
    </w:p>
    <w:p>
      <w:pPr>
        <w:spacing w:after="0" w:line="77" w:lineRule="exact"/>
        <w:rPr>
          <w:rFonts w:ascii="Arial" w:cs="Arial" w:eastAsia="Arial" w:hAnsi="Arial"/>
          <w:sz w:val="18"/>
          <w:szCs w:val="18"/>
          <w:color w:val="auto"/>
        </w:rPr>
      </w:pPr>
    </w:p>
    <w:p>
      <w:pPr>
        <w:ind w:left="380" w:right="100" w:firstLine="419"/>
        <w:spacing w:after="0" w:line="257" w:lineRule="auto"/>
        <w:tabs>
          <w:tab w:leader="none" w:pos="101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In the event the Parent does not provide the balance sheet of the Parent and its Subsidiaries and the related consolidated statements of operations, shareholders’ equity and cash flows for any quarterly or annual period on Form 10-K or 10-Q filed with the Securities and Exchange Commission, the Borrower shall deliver such information to the Administrative Agent for distribution to the Lenders as soon as available and in any event no later than 50 days after the end of each of the first, second and third fiscal quarters of the Parent and 90 days after the end of each fiscal year of the Parent;</w:t>
      </w:r>
    </w:p>
    <w:p>
      <w:pPr>
        <w:spacing w:after="0" w:line="80" w:lineRule="exact"/>
        <w:rPr>
          <w:sz w:val="20"/>
          <w:szCs w:val="20"/>
          <w:color w:val="auto"/>
        </w:rPr>
      </w:pPr>
    </w:p>
    <w:p>
      <w:pPr>
        <w:jc w:val="both"/>
        <w:ind w:left="380" w:firstLine="419"/>
        <w:spacing w:after="0" w:line="311" w:lineRule="auto"/>
        <w:tabs>
          <w:tab w:leader="none" w:pos="103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From time to time and promptly upon each request, such data, certificates, reports, statements, opinions of counsel, documents or further information regarding the business, assets, liabilities, financial condition or results of operations of the Parent, the General Partner, the Borrower, any of their respective Subsidiaries, or any other Loan Party as the Administrative Agent or any Lender may reasonably request; and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500" w:top="274" w:right="519" w:bottom="1440" w:gutter="0" w:footer="0" w:header="0"/>
        </w:sectPr>
      </w:pPr>
    </w:p>
    <w:bookmarkStart w:id="103" w:name="page104"/>
    <w:bookmarkEnd w:id="103"/>
    <w:p>
      <w:pPr>
        <w:ind w:left="264" w:hanging="264"/>
        <w:spacing w:after="0"/>
        <w:tabs>
          <w:tab w:leader="none" w:pos="264"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Credit Agreement is further amended by restating Section 9.1.(i) thereof in its entirety as follows:</w:t>
      </w:r>
    </w:p>
    <w:p>
      <w:pPr>
        <w:spacing w:after="0" w:line="117" w:lineRule="exact"/>
        <w:rPr>
          <w:rFonts w:ascii="Arial" w:cs="Arial" w:eastAsia="Arial" w:hAnsi="Arial"/>
          <w:sz w:val="18"/>
          <w:szCs w:val="18"/>
          <w:color w:val="auto"/>
        </w:rPr>
      </w:pPr>
    </w:p>
    <w:p>
      <w:pPr>
        <w:ind w:left="4" w:firstLine="419"/>
        <w:spacing w:after="0" w:line="288" w:lineRule="auto"/>
        <w:tabs>
          <w:tab w:leader="none" w:pos="641"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Dividends and Other Restricted Payments</w:t>
      </w:r>
      <w:r>
        <w:rPr>
          <w:rFonts w:ascii="Arial" w:cs="Arial" w:eastAsia="Arial" w:hAnsi="Arial"/>
          <w:sz w:val="16"/>
          <w:szCs w:val="16"/>
          <w:color w:val="auto"/>
        </w:rPr>
        <w:t>. The Borrower shall not, and shall not permit any of its Subsidiaries to, declare or make any Restricted Payment if an Event of Default shall have occurred and is continuing; except that the Borrower may, subject to the immediately following sentence, (i) declare and make cash distributions to its partners during any fiscal year in an aggregate amount not to exceed the minimum amount necessary for the Parent to maintain its status as a REIT and (ii) make cash distributions to the Parent to the extent required to fund administrative and operating expenses of the Parent to the extent attributable to any activity of or with respect to the Parent that is not otherwise prohibited by this Agreement (including liabilities incurred in connection with its maintenance of corporate status, preparation of Securities and Exchange Commission filings, accountant’s fees and similar administrative matters). Notwithstanding the foregoing, if an Event of Default specified in Section 10.1.(a), Section 10.1.(e) or Section 10.1.(f) shall have occurred and is continuing, or if as a result of the occurrence of any other Event of Default any of the Obligations have been accelerated pursuant to Section 10.2.(a), the Borrower shall not, and shall not permit any Subsidiary to, make any Restricted Payment to any Person other than to the Borrower or any Subsidiary.</w:t>
      </w:r>
    </w:p>
    <w:p>
      <w:pPr>
        <w:spacing w:after="0" w:line="60" w:lineRule="exact"/>
        <w:rPr>
          <w:rFonts w:ascii="Arial" w:cs="Arial" w:eastAsia="Arial" w:hAnsi="Arial"/>
          <w:sz w:val="16"/>
          <w:szCs w:val="16"/>
          <w:color w:val="auto"/>
        </w:rPr>
      </w:pPr>
    </w:p>
    <w:p>
      <w:pPr>
        <w:ind w:left="304" w:hanging="304"/>
        <w:spacing w:after="0"/>
        <w:tabs>
          <w:tab w:leader="none" w:pos="30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9.9. thereof in its entirety as follows: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9.9. Transactions with Affiliates.</w:t>
      </w:r>
    </w:p>
    <w:p>
      <w:pPr>
        <w:spacing w:after="0" w:line="121" w:lineRule="exact"/>
        <w:rPr>
          <w:sz w:val="20"/>
          <w:szCs w:val="20"/>
          <w:color w:val="auto"/>
        </w:rPr>
      </w:pPr>
    </w:p>
    <w:p>
      <w:pPr>
        <w:ind w:left="4" w:right="80" w:firstLine="423"/>
        <w:spacing w:after="0" w:line="270" w:lineRule="auto"/>
        <w:rPr>
          <w:sz w:val="20"/>
          <w:szCs w:val="20"/>
          <w:color w:val="auto"/>
        </w:rPr>
      </w:pPr>
      <w:r>
        <w:rPr>
          <w:rFonts w:ascii="Arial" w:cs="Arial" w:eastAsia="Arial" w:hAnsi="Arial"/>
          <w:sz w:val="17"/>
          <w:szCs w:val="17"/>
          <w:color w:val="auto"/>
        </w:rPr>
        <w:t>The Borrower shall not permit to exist or enter into, and shall not permit any other Loan Party or any other Subsidiary to permit to exist or enter into, any transaction (including the purchase, sale, lease or exchange of any property or the rendering of any service) with any Affiliate, except (a) compensation, bonus and benefit arrangements with employees, officers and trustees as permitted by Applicable Law, (b) transactions permitted by Section 9.5. to the extent among the Borrower, the other Loan Parties and other Subsidiaries, (c) Restricted Payments to the Parent and the other partners of the Borrower in accordance with Section 9.1.(i), (d) transactions relating to the Reorganization Transactions (as such term is defined in the Second Amendment) or (e) transactions in the ordinary course of and pursuant to the reasonable requirements of the business of the Borrower, such other Loan Party or such other Subsidiary and upon fair and reasonable terms which are no less favorable to the Borrower, such other Loan Party or such other Subsidiary than would be obtained in a comparable arm’s length transaction with a Person that is not an Affiliate.</w:t>
      </w:r>
    </w:p>
    <w:p>
      <w:pPr>
        <w:spacing w:after="0" w:line="113"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84"/>
          </w:cols>
          <w:pgMar w:left="876" w:top="274" w:right="539" w:bottom="1440" w:gutter="0" w:footer="0" w:header="0"/>
        </w:sectPr>
      </w:pPr>
    </w:p>
    <w:bookmarkStart w:id="104" w:name="page105"/>
    <w:bookmarkEnd w:id="10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 The Credit Agreement is further amended by adding the following Section 9.14:</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9.14. Parent and General Partner.</w:t>
      </w:r>
    </w:p>
    <w:p>
      <w:pPr>
        <w:spacing w:after="0" w:line="121" w:lineRule="exact"/>
        <w:rPr>
          <w:sz w:val="20"/>
          <w:szCs w:val="20"/>
          <w:color w:val="auto"/>
        </w:rPr>
      </w:pPr>
    </w:p>
    <w:p>
      <w:pPr>
        <w:ind w:left="440" w:right="100" w:firstLine="423"/>
        <w:spacing w:after="0" w:line="285" w:lineRule="auto"/>
        <w:rPr>
          <w:sz w:val="20"/>
          <w:szCs w:val="20"/>
          <w:color w:val="auto"/>
        </w:rPr>
      </w:pPr>
      <w:r>
        <w:rPr>
          <w:rFonts w:ascii="Arial" w:cs="Arial" w:eastAsia="Arial" w:hAnsi="Arial"/>
          <w:sz w:val="16"/>
          <w:szCs w:val="16"/>
          <w:color w:val="auto"/>
        </w:rPr>
        <w:t>For so long as the Parent is not a Guarantor, the Parent’s assets shall consist solely of Equity Interests in the Borrower or Equity Interests in any Wholly Owned Subsidiaries (including the General Partner) whose assets consist solely of direct or indirect Equity Interests in the Borrower; provided, that the Parent may (A) have cash and other assets of nominal value incidental to its ownership of such Equity Interests, (B) maintain assets on a temporary or pass-through basis that are held for subsequent payment of dividends or other Restricted Payments not prohibited by this Agreement or any other Loan Document or for contribution to any Subsidiary for a period not in excess of ten (10) Business Days and</w:t>
      </w:r>
    </w:p>
    <w:p>
      <w:pPr>
        <w:spacing w:after="0" w:line="2" w:lineRule="exact"/>
        <w:rPr>
          <w:sz w:val="20"/>
          <w:szCs w:val="20"/>
          <w:color w:val="auto"/>
        </w:rPr>
      </w:pPr>
    </w:p>
    <w:p>
      <w:pPr>
        <w:ind w:left="440" w:right="40" w:hanging="4"/>
        <w:spacing w:after="0" w:line="267" w:lineRule="auto"/>
        <w:tabs>
          <w:tab w:leader="none" w:pos="72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maintain reasonable reserves for liabilities of the type permitted by the remainder of this Section 9.14. In addition, none of the Parent, the General Partner, or any Wholly Owned Subsidiaries of the Parent whose assets consist solely of direct or indirect Equity Interests in the Borrower, shall have any liabilities other than liabilities that would be reflected in consolidated financial statements of the Borrower; provided, that the Parent may have (1) other liabilities incidental to its status as a publicly traded REIT and not constituting liabilities in respect of Indebtedness for borrowed money, including liabilities associated with employment contracts, employee benefit matters, indemnification obligations pursuant to purchase and sale agreements and tax liabilities, (2) nonconsensual obligations imposed by operation of Applicable Law, (3) immaterial intercompany obligations or other intercompany obligations owing by the Parent or any Subsidiary of the Parent that is not a Subsidiary of the Borrower to the Borrower or any Subsidiary of the Borrower, (4) liabilities incurred in connection with its maintenance of corporate status, preparation of Securities and Exchange Commission filings, accountants’ fees and similar administrative matters, (5) liabilities to underwriters and private placement agents incurred under underwriting agreements and private placement agreements in connection with offerings of securities by the Parent, (6) liabilities arising in connection with litigation or similar matters arising in the ordinary course of business, and (7) liabilities of a kind similar to those described above which are not, individually or in the aggregate, material to the Parent, the Borrower and their Subsidiaries taken as a whole.</w:t>
      </w:r>
    </w:p>
    <w:p>
      <w:pPr>
        <w:spacing w:after="0" w:line="75" w:lineRule="exact"/>
        <w:rPr>
          <w:sz w:val="20"/>
          <w:szCs w:val="20"/>
          <w:color w:val="auto"/>
        </w:rPr>
      </w:pPr>
    </w:p>
    <w:p>
      <w:pPr>
        <w:ind w:right="540" w:firstLine="436"/>
        <w:spacing w:after="0" w:line="277" w:lineRule="auto"/>
        <w:tabs>
          <w:tab w:leader="none" w:pos="6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clauses (e), (f), and (l) of Section 10.1. thereof in their entirety as follows (for the avoidance of doubt the remainder of Section 10.1 shall remain as in effect prior to the Second Amendment):</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Voluntary Bankruptcy Proceeding</w:t>
      </w:r>
      <w:r>
        <w:rPr>
          <w:rFonts w:ascii="Arial" w:cs="Arial" w:eastAsia="Arial" w:hAnsi="Arial"/>
          <w:sz w:val="16"/>
          <w:szCs w:val="16"/>
          <w:color w:val="auto"/>
        </w:rPr>
        <w:t>. The Borrower, any other Loan Party, the Parent, the General Partner, or any Significant Subsidiary,</w:t>
      </w:r>
    </w:p>
    <w:p>
      <w:pPr>
        <w:spacing w:after="0" w:line="46" w:lineRule="exact"/>
        <w:rPr>
          <w:rFonts w:ascii="Arial" w:cs="Arial" w:eastAsia="Arial" w:hAnsi="Arial"/>
          <w:sz w:val="16"/>
          <w:szCs w:val="16"/>
          <w:color w:val="auto"/>
        </w:rPr>
      </w:pPr>
    </w:p>
    <w:p>
      <w:pPr>
        <w:ind w:left="440" w:right="20"/>
        <w:spacing w:after="0" w:line="287" w:lineRule="auto"/>
        <w:rPr>
          <w:rFonts w:ascii="Arial" w:cs="Arial" w:eastAsia="Arial" w:hAnsi="Arial"/>
          <w:sz w:val="16"/>
          <w:szCs w:val="16"/>
          <w:color w:val="auto"/>
        </w:rPr>
      </w:pPr>
      <w:r>
        <w:rPr>
          <w:rFonts w:ascii="Arial" w:cs="Arial" w:eastAsia="Arial" w:hAnsi="Arial"/>
          <w:sz w:val="16"/>
          <w:szCs w:val="16"/>
          <w:color w:val="auto"/>
        </w:rPr>
        <w:t>shall: (i) commence a voluntary case under the Bankruptcy Code or other federal bankruptcy laws (as now or hereafter in effect); (ii) file a petition seeking to take advantage of any other Applicable Laws, domestic or foreign, relating to bankruptcy, insolvency, reorganization, winding- 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(f);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61" w:lineRule="exact"/>
        <w:rPr>
          <w:rFonts w:ascii="Arial" w:cs="Arial" w:eastAsia="Arial" w:hAnsi="Arial"/>
          <w:sz w:val="16"/>
          <w:szCs w:val="16"/>
          <w:color w:val="auto"/>
        </w:rPr>
      </w:pPr>
    </w:p>
    <w:p>
      <w:pPr>
        <w:ind w:left="440" w:firstLine="419"/>
        <w:spacing w:after="0" w:line="254" w:lineRule="auto"/>
        <w:tabs>
          <w:tab w:leader="none" w:pos="1088"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Involuntary Bankruptcy Proceeding</w:t>
      </w:r>
      <w:r>
        <w:rPr>
          <w:rFonts w:ascii="Arial" w:cs="Arial" w:eastAsia="Arial" w:hAnsi="Arial"/>
          <w:sz w:val="18"/>
          <w:szCs w:val="18"/>
          <w:color w:val="auto"/>
        </w:rPr>
        <w:t>. A case or other proceeding shall be commenced against the Borrower, any other Loan Party, the Parent, the General Partner, or any other Significant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in the case of either clause (i) or (ii) such case or proceeding shall continue undismissed or unstayed for a period of 60 consecutive days, or an order granting the remedy or other relief requested in such case or proceeding (including, but not limited to, an order for relief under such Bankruptcy Code or such other federal bankruptcy laws) shall be entered.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05" w:name="page106"/>
    <w:bookmarkEnd w:id="105"/>
    <w:p>
      <w:pPr>
        <w:ind w:left="1164" w:hanging="212"/>
        <w:spacing w:after="0"/>
        <w:tabs>
          <w:tab w:leader="none" w:pos="116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of Control/Change in Management</w:t>
      </w:r>
      <w:r>
        <w:rPr>
          <w:rFonts w:ascii="Arial" w:cs="Arial" w:eastAsia="Arial" w:hAnsi="Arial"/>
          <w:sz w:val="18"/>
          <w:szCs w:val="18"/>
          <w:color w:val="auto"/>
        </w:rPr>
        <w:t>.</w:t>
      </w:r>
    </w:p>
    <w:p>
      <w:pPr>
        <w:spacing w:after="0" w:line="117" w:lineRule="exact"/>
        <w:rPr>
          <w:sz w:val="20"/>
          <w:szCs w:val="20"/>
          <w:color w:val="auto"/>
        </w:rPr>
      </w:pPr>
    </w:p>
    <w:p>
      <w:pPr>
        <w:ind w:left="544" w:firstLine="408"/>
        <w:spacing w:after="0" w:line="293" w:lineRule="auto"/>
        <w:tabs>
          <w:tab w:leader="none" w:pos="1159" w:val="left"/>
        </w:tabs>
        <w:numPr>
          <w:ilvl w:val="1"/>
          <w:numId w:val="126"/>
        </w:numPr>
        <w:rPr>
          <w:rFonts w:ascii="Arial" w:cs="Arial" w:eastAsia="Arial" w:hAnsi="Arial"/>
          <w:sz w:val="16"/>
          <w:szCs w:val="16"/>
          <w:color w:val="auto"/>
        </w:rPr>
      </w:pPr>
      <w:r>
        <w:rPr>
          <w:rFonts w:ascii="Arial" w:cs="Arial" w:eastAsia="Arial" w:hAnsi="Arial"/>
          <w:sz w:val="16"/>
          <w:szCs w:val="16"/>
          <w:color w:val="auto"/>
        </w:rPr>
        <w:t>(x) Any “person” or “group” (as such terms are used in Sections 13(d) and 14(d) of the Securities Exchange Act),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35% of the total voting power of the then outstanding voting securities of the Parent, (y) the Parent shall cease to own, directly or indirectly, greater than 50% of the partnership interests of the Borrower or (z) the Parent ceases to, directly or indirectly, have the power to exercise management and control of the Borrower; or</w:t>
      </w:r>
    </w:p>
    <w:p>
      <w:pPr>
        <w:spacing w:after="0" w:line="56" w:lineRule="exact"/>
        <w:rPr>
          <w:rFonts w:ascii="Arial" w:cs="Arial" w:eastAsia="Arial" w:hAnsi="Arial"/>
          <w:sz w:val="16"/>
          <w:szCs w:val="16"/>
          <w:color w:val="auto"/>
        </w:rPr>
      </w:pPr>
    </w:p>
    <w:p>
      <w:pPr>
        <w:ind w:left="544" w:right="40" w:firstLine="408"/>
        <w:spacing w:after="0" w:line="275" w:lineRule="auto"/>
        <w:tabs>
          <w:tab w:leader="none" w:pos="1209" w:val="left"/>
        </w:tabs>
        <w:numPr>
          <w:ilvl w:val="1"/>
          <w:numId w:val="126"/>
        </w:numPr>
        <w:rPr>
          <w:rFonts w:ascii="Arial" w:cs="Arial" w:eastAsia="Arial" w:hAnsi="Arial"/>
          <w:sz w:val="17"/>
          <w:szCs w:val="17"/>
          <w:color w:val="auto"/>
        </w:rPr>
      </w:pPr>
      <w:r>
        <w:rPr>
          <w:rFonts w:ascii="Arial" w:cs="Arial" w:eastAsia="Arial" w:hAnsi="Arial"/>
          <w:sz w:val="17"/>
          <w:szCs w:val="17"/>
          <w:color w:val="auto"/>
        </w:rPr>
        <w:t>During any period of 12 consecutive months ending after the Agreement Date, individuals who at the beginning of any such 12 month period constituted the Board of Trustees of the Parent (together with any new trustees whose election by such Board or whose nomination for election by the shareholders of the Parent was approved by a vote of a majority of the trustees then still in office who were either trustees at the beginning of such period or whose election or nomination for election was previously so approved) cease for any reason to constitute two-thirds (2/3) of the Board of Trustees of the Parent then in office; or</w:t>
      </w:r>
    </w:p>
    <w:p>
      <w:pPr>
        <w:spacing w:after="0" w:line="68" w:lineRule="exact"/>
        <w:rPr>
          <w:rFonts w:ascii="Arial" w:cs="Arial" w:eastAsia="Arial" w:hAnsi="Arial"/>
          <w:sz w:val="17"/>
          <w:szCs w:val="17"/>
          <w:color w:val="auto"/>
        </w:rPr>
      </w:pPr>
    </w:p>
    <w:p>
      <w:pPr>
        <w:ind w:left="544" w:right="140" w:firstLine="408"/>
        <w:spacing w:after="0" w:line="277" w:lineRule="auto"/>
        <w:tabs>
          <w:tab w:leader="none" w:pos="125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Person other than the General Partner, the Parent or any Wholly Owned Subsidiary of the Parent shall become the general partner of the Borrower; or</w:t>
      </w:r>
    </w:p>
    <w:p>
      <w:pPr>
        <w:spacing w:after="0" w:line="62" w:lineRule="exact"/>
        <w:rPr>
          <w:rFonts w:ascii="Arial" w:cs="Arial" w:eastAsia="Arial" w:hAnsi="Arial"/>
          <w:sz w:val="18"/>
          <w:szCs w:val="18"/>
          <w:color w:val="auto"/>
        </w:rPr>
      </w:pPr>
    </w:p>
    <w:p>
      <w:pPr>
        <w:ind w:left="1264" w:hanging="312"/>
        <w:spacing w:after="0"/>
        <w:tabs>
          <w:tab w:leader="none" w:pos="126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Parent shall cease to be the sole member of the General Partner.</w:t>
      </w:r>
    </w:p>
    <w:p>
      <w:pPr>
        <w:spacing w:after="0" w:line="117" w:lineRule="exact"/>
        <w:rPr>
          <w:rFonts w:ascii="Arial" w:cs="Arial" w:eastAsia="Arial" w:hAnsi="Arial"/>
          <w:sz w:val="18"/>
          <w:szCs w:val="18"/>
          <w:color w:val="auto"/>
        </w:rPr>
      </w:pPr>
    </w:p>
    <w:p>
      <w:pPr>
        <w:ind w:left="244" w:hanging="244"/>
        <w:spacing w:after="0"/>
        <w:tabs>
          <w:tab w:leader="none" w:pos="24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12.15 thereof in its entirety as follows: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12.15. Obligations with Respect to Loan Parties and other Persons</w:t>
      </w:r>
      <w:r>
        <w:rPr>
          <w:rFonts w:ascii="Arial" w:cs="Arial" w:eastAsia="Arial" w:hAnsi="Arial"/>
          <w:sz w:val="18"/>
          <w:szCs w:val="18"/>
          <w:color w:val="auto"/>
        </w:rPr>
        <w:t>.</w:t>
      </w:r>
    </w:p>
    <w:p>
      <w:pPr>
        <w:spacing w:after="0" w:line="121" w:lineRule="exact"/>
        <w:rPr>
          <w:sz w:val="20"/>
          <w:szCs w:val="20"/>
          <w:color w:val="auto"/>
        </w:rPr>
      </w:pPr>
    </w:p>
    <w:p>
      <w:pPr>
        <w:ind w:left="4" w:right="100" w:firstLine="423"/>
        <w:spacing w:after="0" w:line="296" w:lineRule="auto"/>
        <w:rPr>
          <w:sz w:val="20"/>
          <w:szCs w:val="20"/>
          <w:color w:val="auto"/>
        </w:rPr>
      </w:pPr>
      <w:r>
        <w:rPr>
          <w:rFonts w:ascii="Arial" w:cs="Arial" w:eastAsia="Arial" w:hAnsi="Arial"/>
          <w:sz w:val="16"/>
          <w:szCs w:val="16"/>
          <w:color w:val="auto"/>
        </w:rPr>
        <w:t>The obligations of the Borrower including those obligations with respect to actions or inactions by the Parent, the General Partner or any Wholly Owned Subsidiary of the Parent and those obligations to direct or prohibit the taking of certain actions by other Loan Parties as specified herein shall be absolute and not subject to any defense the Borrower may have that the Borrower does not control the Parent, the General Partner or such Loan Parties. Any breach of any term, covenant, condition or agreement contained in this Agreement relating to the Parent, the General Partner or any Wholly Owned Subsidiary of the Parent shall be deemed to be breach of such term by the Borrower.</w:t>
      </w:r>
    </w:p>
    <w:p>
      <w:pPr>
        <w:spacing w:after="0" w:line="94"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24"/>
          </w:cols>
          <w:pgMar w:left="876" w:top="274" w:right="499" w:bottom="1440" w:gutter="0" w:footer="0" w:header="0"/>
        </w:sectPr>
      </w:pPr>
    </w:p>
    <w:bookmarkStart w:id="106" w:name="page107"/>
    <w:bookmarkEnd w:id="10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(aa) The Credit Agreement is further amended by restating Section 12.21 thereof in its entirety as follows: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12.21. Limitation of Liability of Trustees, Etc.</w:t>
      </w:r>
    </w:p>
    <w:p>
      <w:pPr>
        <w:spacing w:after="0" w:line="121" w:lineRule="exact"/>
        <w:rPr>
          <w:sz w:val="20"/>
          <w:szCs w:val="20"/>
          <w:color w:val="auto"/>
        </w:rPr>
      </w:pPr>
    </w:p>
    <w:p>
      <w:pPr>
        <w:ind w:left="440" w:right="40" w:firstLine="423"/>
        <w:spacing w:after="0" w:line="255" w:lineRule="auto"/>
        <w:rPr>
          <w:sz w:val="20"/>
          <w:szCs w:val="20"/>
          <w:color w:val="auto"/>
        </w:rPr>
      </w:pPr>
      <w:r>
        <w:rPr>
          <w:rFonts w:ascii="Arial" w:cs="Arial" w:eastAsia="Arial" w:hAnsi="Arial"/>
          <w:sz w:val="18"/>
          <w:szCs w:val="18"/>
          <w:color w:val="auto"/>
        </w:rPr>
        <w:t>NOTWITHSTANDING ANY OTHER PROVISION OF THIS AGREEMENT AND THE OTHER LOAN DOCUMENTS, THE AGENT AND THE LENDERS SHALL LOOK SOLELY TO THE BORROWER AND THE OTHER LOAN PARTIES FOR THE ENFORCEMENT OF ANY CLAIM AGAINST THE BORROWER AND SUCH LOAN PARTY UNDER OR IN RESPECT OF ANY OF THE LOAN DOCUMENTS AND ACCORDINGLY NEITHER THE TRUSTEES, OFFICERS, EMPLOYEES, SHAREHOLDERS NOR PARTNERS OF THE BORROWER, THE PARENT OR THE GENERAL PARTNER SHALL HAVE ANY PERSONAL LIABILITY FOR OBLIGATIONS ENTERED INTO BY OR ON BEHALF OF THE BORROWER OR ANY OTHER LOAN PARTY.</w:t>
      </w:r>
    </w:p>
    <w:p>
      <w:pPr>
        <w:spacing w:after="0" w:line="84" w:lineRule="exact"/>
        <w:rPr>
          <w:sz w:val="20"/>
          <w:szCs w:val="20"/>
          <w:color w:val="auto"/>
        </w:rPr>
      </w:pPr>
    </w:p>
    <w:p>
      <w:pPr>
        <w:ind w:left="780" w:hanging="344"/>
        <w:spacing w:after="0"/>
        <w:tabs>
          <w:tab w:leader="none" w:pos="7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Credit Agreement is further amended by replacing Schedule 6.1.(b) thereto with Schedule 6.1.(b) attached hereto.</w:t>
      </w:r>
    </w:p>
    <w:p>
      <w:pPr>
        <w:spacing w:after="0" w:line="117" w:lineRule="exact"/>
        <w:rPr>
          <w:rFonts w:ascii="Arial" w:cs="Arial" w:eastAsia="Arial" w:hAnsi="Arial"/>
          <w:sz w:val="18"/>
          <w:szCs w:val="18"/>
          <w:color w:val="auto"/>
        </w:rPr>
      </w:pPr>
    </w:p>
    <w:p>
      <w:pPr>
        <w:ind w:left="760" w:hanging="324"/>
        <w:spacing w:after="0"/>
        <w:tabs>
          <w:tab w:leader="none" w:pos="7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Credit Agreement is further amended by adding Exhibit R attached hereto as an exhibit thereto.</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Consent</w:t>
      </w:r>
      <w:r>
        <w:rPr>
          <w:rFonts w:ascii="Arial" w:cs="Arial" w:eastAsia="Arial" w:hAnsi="Arial"/>
          <w:sz w:val="17"/>
          <w:szCs w:val="17"/>
          <w:color w:val="auto"/>
        </w:rPr>
        <w:t>. The parties acknowledge that the Reorganization Transactions shall effect a change of control in violation of Section 10.1.(l) of the Credit Agreement. Notwithstanding Section 10.1.(l) of the Credit Agreement and subject to the satisfaction of the conditions precedent set forth in Section 3 below, the Administrative Agent and the Lenders hereby consent to the Reorganization Transactions as such Reorganization Transactions are described in the recitals hereto, including the change of control effected thereby and the Conversion. The Borrower hereby acknowledges and agrees that the consent contained in this Section 2 shall not waive or amend (or be deemed to be or constitute a consent with respect to, or modification or waiver of) any other covenant, term or provision in the Credit Agreement or any future compliance with any covenant, term or provision of the Credit Agreement except as otherwise expressly set forth herein.</w:t>
      </w:r>
    </w:p>
    <w:p>
      <w:pPr>
        <w:spacing w:after="0" w:line="17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Amendment is subject to receipt by the Administrative Agent of each of the following in form and substance satisfactory to the Administrative Agent:</w:t>
      </w:r>
    </w:p>
    <w:p>
      <w:pPr>
        <w:spacing w:after="0" w:line="62" w:lineRule="exact"/>
        <w:rPr>
          <w:sz w:val="20"/>
          <w:szCs w:val="20"/>
          <w:color w:val="auto"/>
        </w:rPr>
      </w:pPr>
    </w:p>
    <w:p>
      <w:pPr>
        <w:ind w:left="680" w:hanging="244"/>
        <w:spacing w:after="0"/>
        <w:tabs>
          <w:tab w:leader="none" w:pos="6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counterpart of this Amendment duly executed by the Borrower, the Administrative Agent and the Lenders;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 opinion of Pillsbury Winthrop Shaw Pittman LLP, counsel to the Borrower, addressed to the Administrative Agent and the Lenders;</w:t>
      </w:r>
    </w:p>
    <w:p>
      <w:pPr>
        <w:spacing w:after="0" w:line="128" w:lineRule="exact"/>
        <w:rPr>
          <w:rFonts w:ascii="Arial" w:cs="Arial" w:eastAsia="Arial" w:hAnsi="Arial"/>
          <w:sz w:val="17"/>
          <w:szCs w:val="17"/>
          <w:color w:val="auto"/>
        </w:rPr>
      </w:pPr>
    </w:p>
    <w:p>
      <w:pPr>
        <w:jc w:val="both"/>
        <w:ind w:right="140" w:firstLine="436"/>
        <w:spacing w:after="0" w:line="263" w:lineRule="auto"/>
        <w:tabs>
          <w:tab w:leader="none" w:pos="6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certificate or articles of incorporation or formation, articles of organization, certificate of limited partnership, declaration of trust or other comparable organizational instrument (if any) of the General Partner, the Parent and the Borrower certified as of a recent date by the Secretary of State of the state of formation of such Person;</w:t>
      </w:r>
    </w:p>
    <w:p>
      <w:pPr>
        <w:spacing w:after="0" w:line="75" w:lineRule="exact"/>
        <w:rPr>
          <w:rFonts w:ascii="Arial" w:cs="Arial" w:eastAsia="Arial" w:hAnsi="Arial"/>
          <w:sz w:val="18"/>
          <w:szCs w:val="18"/>
          <w:color w:val="auto"/>
        </w:rPr>
      </w:pPr>
    </w:p>
    <w:p>
      <w:pPr>
        <w:ind w:right="60" w:firstLine="436"/>
        <w:spacing w:after="0" w:line="277" w:lineRule="auto"/>
        <w:tabs>
          <w:tab w:leader="none" w:pos="69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certificate of good standing (or certificate of similar meaning) with respect to the General Partner, the Parent and the Borrower issued as of a recent date preceding the Merger by the Secretary of State of the state of formation of each such Person;</w:t>
      </w:r>
    </w:p>
    <w:p>
      <w:pPr>
        <w:spacing w:after="0" w:line="62" w:lineRule="exact"/>
        <w:rPr>
          <w:rFonts w:ascii="Arial" w:cs="Arial" w:eastAsia="Arial" w:hAnsi="Arial"/>
          <w:sz w:val="18"/>
          <w:szCs w:val="18"/>
          <w:color w:val="auto"/>
        </w:rPr>
      </w:pPr>
    </w:p>
    <w:p>
      <w:pPr>
        <w:jc w:val="both"/>
        <w:ind w:right="180" w:firstLine="436"/>
        <w:spacing w:after="0" w:line="263" w:lineRule="auto"/>
        <w:tabs>
          <w:tab w:leader="none" w:pos="6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certificate of incumbency signed by the Secretary or Assistant Secretary (or other individual performing similar functions) of the Borrower with respect to each of the officers of the Borrower authorized to execute and deliver the Loan Documents including Notices of Borrowing, Notices of Swingline Borrowing, requests for Letters of Credit, Notices of Conversion and Notices of Continuation;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07" w:name="page108"/>
    <w:bookmarkEnd w:id="107"/>
    <w:p>
      <w:pPr>
        <w:ind w:left="-20" w:right="320" w:firstLine="436"/>
        <w:spacing w:after="0" w:line="301" w:lineRule="auto"/>
        <w:tabs>
          <w:tab w:leader="none" w:pos="645" w:val="left"/>
        </w:tabs>
        <w:numPr>
          <w:ilvl w:val="0"/>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copies certified by the Secretary or Assistant Secretary (or other individual performing similar functions) of each such Person of (A) the by-laws of the General Partner, the Parent and the Borrower, if a corporation, the operating agreement, if a limited liability company, the partnership agreement, if a limited or general partnership, or other comparable document in the case of any other form of legal entity and (B) in the case of the Borrower, all necessary action taken by the Borrower to authorize the execution, delivery and performance of this Amendment;</w:t>
      </w:r>
    </w:p>
    <w:p>
      <w:pPr>
        <w:spacing w:after="0" w:line="49" w:lineRule="exact"/>
        <w:rPr>
          <w:rFonts w:ascii="Arial" w:cs="Arial" w:eastAsia="Arial" w:hAnsi="Arial"/>
          <w:sz w:val="16"/>
          <w:szCs w:val="16"/>
          <w:color w:val="auto"/>
        </w:rPr>
      </w:pPr>
    </w:p>
    <w:p>
      <w:pPr>
        <w:ind w:left="680" w:hanging="264"/>
        <w:spacing w:after="0"/>
        <w:tabs>
          <w:tab w:leader="none" w:pos="6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Merger shall have occurred or shall occur substantially simultaneous with the effectiveness of the Amendment;</w:t>
      </w:r>
    </w:p>
    <w:p>
      <w:pPr>
        <w:spacing w:after="0" w:line="117" w:lineRule="exact"/>
        <w:rPr>
          <w:rFonts w:ascii="Arial" w:cs="Arial" w:eastAsia="Arial" w:hAnsi="Arial"/>
          <w:sz w:val="18"/>
          <w:szCs w:val="18"/>
          <w:color w:val="auto"/>
        </w:rPr>
      </w:pPr>
    </w:p>
    <w:p>
      <w:pPr>
        <w:ind w:left="680" w:hanging="264"/>
        <w:spacing w:after="0"/>
        <w:tabs>
          <w:tab w:leader="none" w:pos="6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good faith judgment of the Administrative Agent:</w:t>
      </w:r>
    </w:p>
    <w:p>
      <w:pPr>
        <w:spacing w:after="0" w:line="117" w:lineRule="exact"/>
        <w:rPr>
          <w:rFonts w:ascii="Arial" w:cs="Arial" w:eastAsia="Arial" w:hAnsi="Arial"/>
          <w:sz w:val="18"/>
          <w:szCs w:val="18"/>
          <w:color w:val="auto"/>
        </w:rPr>
      </w:pPr>
    </w:p>
    <w:p>
      <w:pPr>
        <w:ind w:left="420" w:firstLine="419"/>
        <w:spacing w:after="0" w:line="279" w:lineRule="auto"/>
        <w:tabs>
          <w:tab w:leader="none" w:pos="1058"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there shall not have occurred or become known to the Administrative Agent or any of the Lenders any event, condition, situation or status since the date of the information contained in the financial and business projections, budgets, pro forma data and forecasts concerning the Borrower and its Subsidiaries or the Parent and its Subsidiaries delivered to the Administrative Agent and the Lenders prior to the Second Amendment Date that has had or could reasonably be expected to result in a Material Adverse Effect;</w:t>
      </w:r>
    </w:p>
    <w:p>
      <w:pPr>
        <w:spacing w:after="0" w:line="63" w:lineRule="exact"/>
        <w:rPr>
          <w:rFonts w:ascii="Arial" w:cs="Arial" w:eastAsia="Arial" w:hAnsi="Arial"/>
          <w:sz w:val="17"/>
          <w:szCs w:val="17"/>
          <w:color w:val="auto"/>
        </w:rPr>
      </w:pPr>
    </w:p>
    <w:p>
      <w:pPr>
        <w:ind w:left="420" w:right="40" w:firstLine="419"/>
        <w:spacing w:after="0" w:line="279" w:lineRule="auto"/>
        <w:tabs>
          <w:tab w:leader="none" w:pos="1108" w:val="left"/>
        </w:tabs>
        <w:numPr>
          <w:ilvl w:val="1"/>
          <w:numId w:val="130"/>
        </w:numPr>
        <w:rPr>
          <w:rFonts w:ascii="Arial" w:cs="Arial" w:eastAsia="Arial" w:hAnsi="Arial"/>
          <w:sz w:val="17"/>
          <w:szCs w:val="17"/>
          <w:color w:val="auto"/>
        </w:rPr>
      </w:pPr>
      <w:r>
        <w:rPr>
          <w:rFonts w:ascii="Arial" w:cs="Arial" w:eastAsia="Arial" w:hAnsi="Arial"/>
          <w:sz w:val="17"/>
          <w:szCs w:val="17"/>
          <w:color w:val="auto"/>
        </w:rPr>
        <w:t>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the Borrower, the General Partner or the Parent to enter into the Reorganization Transactions or this Amendment or to fulfill its obligations under the Loan Documents to which it is a party;</w:t>
      </w:r>
    </w:p>
    <w:p>
      <w:pPr>
        <w:spacing w:after="0" w:line="63" w:lineRule="exact"/>
        <w:rPr>
          <w:rFonts w:ascii="Arial" w:cs="Arial" w:eastAsia="Arial" w:hAnsi="Arial"/>
          <w:sz w:val="17"/>
          <w:szCs w:val="17"/>
          <w:color w:val="auto"/>
        </w:rPr>
      </w:pPr>
    </w:p>
    <w:p>
      <w:pPr>
        <w:ind w:left="420" w:right="100" w:firstLine="419"/>
        <w:spacing w:after="0" w:line="272" w:lineRule="auto"/>
        <w:tabs>
          <w:tab w:leader="none" w:pos="1158"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Parent, the General Partner and the Borrower shall have received all approvals, consents and waivers, and shall have made or given all necessary filings and notices as shall be required to consummate the Reorganization Transactions and the transactions contemplated hereby without the occurrence of any default under, conflict with or violation of (A) any Applicable Law or (B) any agreement, document or instrument to which any Loan Party is a party or by which any of them or their respective properties is bound, except for such approvals, consents, waivers, filings and notices the receipt, making or giving of which could not reasonably be likely to (x) have a Material Adverse Effect, or (y) restrain or enjoin impose materially burdensome conditions on, or otherwise materially and adversely affect the ability of the Borrower or any other Loan Party to fulfill its obligations under the Loan Documents to which it is a party;</w:t>
      </w:r>
    </w:p>
    <w:p>
      <w:pPr>
        <w:spacing w:after="0" w:line="69" w:lineRule="exact"/>
        <w:rPr>
          <w:rFonts w:ascii="Arial" w:cs="Arial" w:eastAsia="Arial" w:hAnsi="Arial"/>
          <w:sz w:val="17"/>
          <w:szCs w:val="17"/>
          <w:color w:val="auto"/>
        </w:rPr>
      </w:pPr>
    </w:p>
    <w:p>
      <w:pPr>
        <w:ind w:left="-20" w:right="180" w:firstLine="436"/>
        <w:spacing w:after="0" w:line="286" w:lineRule="auto"/>
        <w:tabs>
          <w:tab w:leader="none" w:pos="63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Borrower and, if applicable, the Parent and the General Partner shall have provided to the Administrative Agent and the Lenders the documentation and other information requested by the Administrative Agent in order to comply with the requirements of any Anti-Money Laundering Laws, including, without limitation, the PATRIOT Act and any applicable “know your customer” rules and regulations;</w:t>
      </w:r>
    </w:p>
    <w:p>
      <w:pPr>
        <w:spacing w:after="0" w:line="57" w:lineRule="exact"/>
        <w:rPr>
          <w:rFonts w:ascii="Arial" w:cs="Arial" w:eastAsia="Arial" w:hAnsi="Arial"/>
          <w:sz w:val="17"/>
          <w:szCs w:val="17"/>
          <w:color w:val="auto"/>
        </w:rPr>
      </w:pPr>
    </w:p>
    <w:p>
      <w:pPr>
        <w:ind w:left="-20" w:right="100" w:firstLine="436"/>
        <w:spacing w:after="0" w:line="263" w:lineRule="auto"/>
        <w:tabs>
          <w:tab w:leader="none" w:pos="63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Loan Party or Subsidiary thereof that qualifies as a “legal entity customer” under the Beneficial Ownership Regulation shall have delivered to the Administrative Agent, and any Lender requesting the same, a Beneficial Ownership Certification in relation to such Loan Party or such Subsidiary, in each case at least five Business Days prior to the Second Amendment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108" w:name="page109"/>
    <w:bookmarkEnd w:id="108"/>
    <w:p>
      <w:pPr>
        <w:jc w:val="both"/>
        <w:ind w:right="20" w:firstLine="436"/>
        <w:spacing w:after="0" w:line="263" w:lineRule="auto"/>
        <w:tabs>
          <w:tab w:leader="none" w:pos="695"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evidence that all fees, expenses and reimbursement amounts due and payable to the Administrative Agent and the arrangers, including without limitation, (i) the costs and expenses set forth in Section 8 hereto, and (ii) the reasonable fees and expenses of counsel to the Administrative Agent, have been paid; and</w:t>
      </w:r>
    </w:p>
    <w:p>
      <w:pPr>
        <w:spacing w:after="0" w:line="75" w:lineRule="exact"/>
        <w:rPr>
          <w:rFonts w:ascii="Arial" w:cs="Arial" w:eastAsia="Arial" w:hAnsi="Arial"/>
          <w:sz w:val="18"/>
          <w:szCs w:val="18"/>
          <w:color w:val="auto"/>
        </w:rPr>
      </w:pPr>
    </w:p>
    <w:p>
      <w:pPr>
        <w:ind w:right="620" w:firstLine="436"/>
        <w:spacing w:after="0" w:line="277"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such other documents, agreements and instruments as the Administrative Agent, or any Lender through the Administrative Agent, may reasonably request.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w:t>
      </w:r>
      <w:r>
        <w:rPr>
          <w:rFonts w:ascii="Arial" w:cs="Arial" w:eastAsia="Arial" w:hAnsi="Arial"/>
          <w:sz w:val="18"/>
          <w:szCs w:val="18"/>
          <w:color w:val="auto"/>
        </w:rPr>
        <w:t>. The Borrower represents and warrants to the Administrative Agent and the Lenders that:</w:t>
      </w:r>
    </w:p>
    <w:p>
      <w:pPr>
        <w:spacing w:after="0" w:line="117" w:lineRule="exact"/>
        <w:rPr>
          <w:sz w:val="20"/>
          <w:szCs w:val="20"/>
          <w:color w:val="auto"/>
        </w:rPr>
      </w:pPr>
    </w:p>
    <w:p>
      <w:pPr>
        <w:ind w:firstLine="436"/>
        <w:spacing w:after="0" w:line="254" w:lineRule="auto"/>
        <w:tabs>
          <w:tab w:leader="none" w:pos="68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Authorization of Loan Documents and Borrowings</w:t>
      </w:r>
      <w:r>
        <w:rPr>
          <w:rFonts w:ascii="Arial" w:cs="Arial" w:eastAsia="Arial" w:hAnsi="Arial"/>
          <w:sz w:val="18"/>
          <w:szCs w:val="18"/>
          <w:color w:val="auto"/>
        </w:rPr>
        <w:t>. The Borrower has the right and power, and has taken all necessary action to authorize it, to execute and deliver this Amendment and to perform its obligations hereunder and under the Credit Agreement, as amended by this Amendment, in accordance with their respective terms and to consummate the transactions contemplated hereby and thereby. This Amendment has been duly executed and delivered by the duly authorized officers of the Borrower, and each of this Amendment and the Credit Agreement, as amended by this Amendment, is a legal, valid and binding obligation of the Borrower, enforceable against the Borrower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83" w:lineRule="exact"/>
        <w:rPr>
          <w:rFonts w:ascii="Arial" w:cs="Arial" w:eastAsia="Arial" w:hAnsi="Arial"/>
          <w:sz w:val="18"/>
          <w:szCs w:val="18"/>
          <w:color w:val="auto"/>
        </w:rPr>
      </w:pPr>
    </w:p>
    <w:p>
      <w:pPr>
        <w:ind w:right="240" w:firstLine="436"/>
        <w:spacing w:after="0" w:line="277" w:lineRule="auto"/>
        <w:tabs>
          <w:tab w:leader="none" w:pos="69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Amendment and the Credit Agreement as amended by this Amendment constitute valid and binding agreements of the Borrower, enforceable against the Borrower in accordance with their terms.</w:t>
      </w:r>
    </w:p>
    <w:p>
      <w:pPr>
        <w:spacing w:after="0" w:line="62" w:lineRule="exact"/>
        <w:rPr>
          <w:rFonts w:ascii="Arial" w:cs="Arial" w:eastAsia="Arial" w:hAnsi="Arial"/>
          <w:sz w:val="18"/>
          <w:szCs w:val="18"/>
          <w:color w:val="auto"/>
        </w:rPr>
      </w:pPr>
    </w:p>
    <w:p>
      <w:pPr>
        <w:ind w:right="140" w:firstLine="436"/>
        <w:spacing w:after="0" w:line="277" w:lineRule="auto"/>
        <w:tabs>
          <w:tab w:leader="none" w:pos="68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has occurred and is continuing as of the date hereof nor will exist immediately after giving effect to this Amendment.</w:t>
      </w:r>
    </w:p>
    <w:p>
      <w:pPr>
        <w:spacing w:after="0" w:line="62" w:lineRule="exact"/>
        <w:rPr>
          <w:rFonts w:ascii="Arial" w:cs="Arial" w:eastAsia="Arial" w:hAnsi="Arial"/>
          <w:sz w:val="18"/>
          <w:szCs w:val="18"/>
          <w:color w:val="auto"/>
        </w:rPr>
      </w:pPr>
    </w:p>
    <w:p>
      <w:pPr>
        <w:ind w:right="60" w:firstLine="436"/>
        <w:spacing w:after="0" w:line="311" w:lineRule="auto"/>
        <w:tabs>
          <w:tab w:leader="none" w:pos="695"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Since December 31, 2020, there has not been any material adverse condition or material adverse change in or affecting, nor has any circumstance or condition occurred that could reasonably be expected to result in a material adverse change in, or have a material adverse effect on, the business, assets, liabilities, financial condition or results of operations of the Borrower and its subsidiaries, taken as a whole.</w:t>
      </w:r>
    </w:p>
    <w:p>
      <w:pPr>
        <w:spacing w:after="0" w:line="149"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Reaffirmation of Representations</w:t>
      </w:r>
      <w:r>
        <w:rPr>
          <w:rFonts w:ascii="Arial" w:cs="Arial" w:eastAsia="Arial" w:hAnsi="Arial"/>
          <w:sz w:val="17"/>
          <w:szCs w:val="17"/>
          <w:color w:val="auto"/>
        </w:rPr>
        <w:t>. The Borrower hereby repeats and reaffirms all representations and warranties made or deemed made by the Borrower to the Administrative Agent and the Lenders in the Credit Agreement as amended by this Amendment and the other Loan Documents on and as of the date hereof with the same force and effect as if such representations and warranties were set forth in this Amendment in full and such representations and warranties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109" w:name="page110"/>
    <w:bookmarkEnd w:id="109"/>
    <w:p>
      <w:pPr>
        <w:ind w:right="5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Arial" w:cs="Arial" w:eastAsia="Arial" w:hAnsi="Arial"/>
          <w:sz w:val="18"/>
          <w:szCs w:val="18"/>
          <w:u w:val="single" w:color="auto"/>
          <w:color w:val="auto"/>
        </w:rPr>
        <w:t>Post-Closing Covenants</w:t>
      </w:r>
      <w:r>
        <w:rPr>
          <w:rFonts w:ascii="Arial" w:cs="Arial" w:eastAsia="Arial" w:hAnsi="Arial"/>
          <w:sz w:val="18"/>
          <w:szCs w:val="18"/>
          <w:color w:val="auto"/>
        </w:rPr>
        <w:t>. In consideration for the consents and amendments set forth herein, the Loan Parties agree to deliver the following:</w:t>
      </w:r>
    </w:p>
    <w:p>
      <w:pPr>
        <w:spacing w:after="0" w:line="62" w:lineRule="exact"/>
        <w:rPr>
          <w:sz w:val="20"/>
          <w:szCs w:val="20"/>
          <w:color w:val="auto"/>
        </w:rPr>
      </w:pPr>
    </w:p>
    <w:p>
      <w:pPr>
        <w:ind w:right="540" w:firstLine="436"/>
        <w:spacing w:after="0" w:line="342" w:lineRule="auto"/>
        <w:tabs>
          <w:tab w:leader="none" w:pos="68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within ten (10) calendar days following the Second Amendment Date (or such longer period as approved by the Administrative Agent), certified copies of the material documents evidencing that the Conversion and all other Reorganization Transactions have been completed;</w:t>
      </w:r>
    </w:p>
    <w:p>
      <w:pPr>
        <w:spacing w:after="0" w:line="15" w:lineRule="exact"/>
        <w:rPr>
          <w:rFonts w:ascii="Arial" w:cs="Arial" w:eastAsia="Arial" w:hAnsi="Arial"/>
          <w:sz w:val="16"/>
          <w:szCs w:val="16"/>
          <w:color w:val="auto"/>
        </w:rPr>
      </w:pPr>
    </w:p>
    <w:p>
      <w:pPr>
        <w:ind w:firstLine="436"/>
        <w:spacing w:after="0" w:line="269" w:lineRule="auto"/>
        <w:tabs>
          <w:tab w:leader="none" w:pos="69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within fifteen (15) calendar days following the Second Amendment Date (or such longer period as approved by the Administrative Agent), (i) solely to the extent any of the following have been modified since the respective documents and certificates provided prior to the Second Amendment Date pursuant to Section 3 above, (A) the certificate or articles of incorporation or formation, articles of organization, certificate of limited partnership, declaration of trust or other comparable organizational instrument (if any) of the General Partner, the Parent and the Borrower certified as of a recent date by the Secretary of State of the state of formation of such Person, and (B) copies certified by the Secretary or Assistant Secretary (or other individual performing similar functions) of each such Person of the by-laws of the General Partner, the Parent and the Borrower, if a corporation, the operating agreement, if a limited liability company, the partnership agreement, if a limited or general partnership, or other comparable document in the case of any other form of legal entity and (ii) a certificate of good standing (or certificate of similar meaning) with respect to the General Partner, the Parent and the Borrower issued as of a recent date after giving effect to the Reorganization Transactions certified by the Secretary of State of the state of formation of each such Person; and</w:t>
      </w:r>
    </w:p>
    <w:p>
      <w:pPr>
        <w:spacing w:after="0" w:line="77" w:lineRule="exact"/>
        <w:rPr>
          <w:rFonts w:ascii="Arial" w:cs="Arial" w:eastAsia="Arial" w:hAnsi="Arial"/>
          <w:sz w:val="17"/>
          <w:szCs w:val="17"/>
          <w:color w:val="auto"/>
        </w:rPr>
      </w:pPr>
    </w:p>
    <w:p>
      <w:pPr>
        <w:ind w:right="60" w:firstLine="436"/>
        <w:spacing w:after="0" w:line="296" w:lineRule="auto"/>
        <w:tabs>
          <w:tab w:leader="none" w:pos="68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within fifteen (15) calendar days following the Second Amendment Date (or such longer period as approved by the Administrative Agent), (i) an opinion of Pillsbury Winthrop Shaw Pittman LLP, counsel to the Borrower, addressed to the Administrative Agent and the Lenders as to the effectiveness and enforceability of the Loan Documents against the Borrower after giving effect to the Reorganization Transactions and such other matters as reasonably requested by the Administrative Agent and (ii) a certificate duly executed by a Responsible Officer of the Borrower certifying to the effectiveness and enforceability of the Loan Documents against the Borrower after giving effect to the Reorganization Transactions.</w:t>
      </w:r>
    </w:p>
    <w:p>
      <w:pPr>
        <w:spacing w:after="0" w:line="161"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The parties hereto agree that failure of the Borrower to satisfy the foregoing covenants in the time periods set forth herein (as the same may be extended by the Administrative agent as set forth herein) shall result in an immediate Event of Default under the Amended Credit agreement.</w:t>
      </w:r>
    </w:p>
    <w:p>
      <w:pPr>
        <w:spacing w:after="0" w:line="12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Certain References</w:t>
      </w:r>
      <w:r>
        <w:rPr>
          <w:rFonts w:ascii="Arial" w:cs="Arial" w:eastAsia="Arial" w:hAnsi="Arial"/>
          <w:sz w:val="18"/>
          <w:szCs w:val="18"/>
          <w:color w:val="auto"/>
        </w:rPr>
        <w:t>. Each reference to the Credit Agreement in any of the Loan Documents shall be deemed to be a reference to the Credit Agreement as amended by this Amendment. This Amendment is a Loan Document.</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reimburse the Administrative Agent for all reasonable out-of-pocket costs and expenses (including attorneys’ fees) incurred by the Administrative Agent in connection with the preparation, negotiation and execution of this Amendment and the other agreements and documents executed and delivered in connection herewith.</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Benefits</w:t>
      </w:r>
      <w:r>
        <w:rPr>
          <w:rFonts w:ascii="Arial" w:cs="Arial" w:eastAsia="Arial" w:hAnsi="Arial"/>
          <w:sz w:val="18"/>
          <w:szCs w:val="18"/>
          <w:color w:val="auto"/>
        </w:rPr>
        <w:t>. This Amendment shall be binding upon and shall inure to the benefit of the parties hereto and their respective successors and assigns.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110" w:name="page111"/>
    <w:bookmarkEnd w:id="1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right="360" w:firstLine="436"/>
        <w:spacing w:after="0" w:line="277" w:lineRule="auto"/>
        <w:tabs>
          <w:tab w:leader="none" w:pos="68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LAWS OF THE STATE OF NEW YORK APPLICABLE TO CONTRACTS EXECUTED, AND TO BE FULLY PERFORMED, IN SUCH STATE.</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addition, except to the extent otherwise set forth herein, Sections 12.5 (</w:t>
      </w:r>
      <w:r>
        <w:rPr>
          <w:rFonts w:ascii="Arial" w:cs="Arial" w:eastAsia="Arial" w:hAnsi="Arial"/>
          <w:sz w:val="18"/>
          <w:szCs w:val="18"/>
          <w:i w:val="1"/>
          <w:iCs w:val="1"/>
          <w:color w:val="auto"/>
        </w:rPr>
        <w:t>Litigation; Jurisdiction; Other Matters; Waivers</w:t>
      </w:r>
      <w:r>
        <w:rPr>
          <w:rFonts w:ascii="Arial" w:cs="Arial" w:eastAsia="Arial" w:hAnsi="Arial"/>
          <w:sz w:val="18"/>
          <w:szCs w:val="18"/>
          <w:color w:val="auto"/>
        </w:rPr>
        <w:t>), 12.12</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Severability of Provisions</w:t>
      </w:r>
      <w:r>
        <w:rPr>
          <w:rFonts w:ascii="Arial" w:cs="Arial" w:eastAsia="Arial" w:hAnsi="Arial"/>
          <w:sz w:val="17"/>
          <w:szCs w:val="17"/>
          <w:color w:val="auto"/>
        </w:rPr>
        <w:t>) and 12.18 (</w:t>
      </w:r>
      <w:r>
        <w:rPr>
          <w:rFonts w:ascii="Arial" w:cs="Arial" w:eastAsia="Arial" w:hAnsi="Arial"/>
          <w:sz w:val="17"/>
          <w:szCs w:val="17"/>
          <w:i w:val="1"/>
          <w:iCs w:val="1"/>
          <w:color w:val="auto"/>
        </w:rPr>
        <w:t>Entire Agreement</w:t>
      </w:r>
      <w:r>
        <w:rPr>
          <w:rFonts w:ascii="Arial" w:cs="Arial" w:eastAsia="Arial" w:hAnsi="Arial"/>
          <w:sz w:val="17"/>
          <w:szCs w:val="17"/>
          <w:color w:val="auto"/>
        </w:rPr>
        <w:t xml:space="preserve">) of the Credit Agreement are hereby incorporated herein by reference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22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Effect; Ratification</w:t>
      </w:r>
      <w:r>
        <w:rPr>
          <w:rFonts w:ascii="Arial" w:cs="Arial" w:eastAsia="Arial" w:hAnsi="Arial"/>
          <w:sz w:val="18"/>
          <w:szCs w:val="18"/>
          <w:color w:val="auto"/>
        </w:rPr>
        <w:t>. Except as expressly herein amended, the terms and conditions of the Credit Agreement and the other Loan Documents remain in full force and effect. The amendments contained herein shall be deemed to have prospective application from and after the Second Amendment Date only. The Credit Agreement is hereby ratified and confirmed in all respects. Nothing in this Amendment shall limit, impair or constitute a waiver of the rights, powers or remedies available to the Administrative Agent or the Lenders under the Credit Agreement or any other Loan Document.</w:t>
      </w:r>
    </w:p>
    <w:p>
      <w:pPr>
        <w:spacing w:after="0" w:line="1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Release</w:t>
      </w:r>
      <w:r>
        <w:rPr>
          <w:rFonts w:ascii="Arial" w:cs="Arial" w:eastAsia="Arial" w:hAnsi="Arial"/>
          <w:sz w:val="18"/>
          <w:szCs w:val="18"/>
          <w:color w:val="auto"/>
        </w:rPr>
        <w:t>. In consideration of the amendments contained herein, the Borrower and each other Loan Party hereby waives and releases the Administrative Agent, each Lender and any Issuing Bank from any and all claims and defenses, whether known or unknown, with respect to the Credit Agreement and the other Loan Documents and the transactions contemplated thereby.</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shall be deemed to be an original and shall be binding upon all parties, their successors and assigns.</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not otherwise defined herein are used herein with the respective definitions given them in the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11" w:name="page112"/>
    <w:bookmarkEnd w:id="11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Second Amendment to Amended and Restated Credit Agreement and Consent to be executed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FEDERAL REALTY INVESTMENT TRUST (to become</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OP LP upon the effectiveness of the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Reorganization Transactions)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Executive Vice President-Corporate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11000"/>
          </w:cols>
          <w:pgMar w:left="440" w:top="274" w:right="459" w:bottom="1440" w:gutter="0" w:footer="0" w:header="0"/>
        </w:sectPr>
      </w:pPr>
    </w:p>
    <w:bookmarkStart w:id="112" w:name="page113"/>
    <w:bookmarkEnd w:id="112"/>
    <w:p>
      <w:pPr>
        <w:jc w:val="center"/>
        <w:ind w:right="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Amended and Restated Credit Agreement</w:t>
      </w:r>
    </w:p>
    <w:p>
      <w:pPr>
        <w:spacing w:after="0" w:line="5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and Consent 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Administrative Agent, an Issuing Bank and as a Lender</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Scott S. Solis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Scott S. Solis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880"/>
          </w:cols>
          <w:pgMar w:left="1440" w:top="270" w:right="579" w:bottom="1440" w:gutter="0" w:footer="0" w:header="0"/>
        </w:sectPr>
      </w:pPr>
    </w:p>
    <w:bookmarkStart w:id="113" w:name="page114"/>
    <w:bookmarkEnd w:id="113"/>
    <w:p>
      <w:pPr>
        <w:jc w:val="center"/>
        <w:ind w:right="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Amended and Restated Credit Agreement</w:t>
      </w:r>
    </w:p>
    <w:p>
      <w:pPr>
        <w:spacing w:after="0" w:line="50"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and Consent 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PNC BANK, NATIONAL ASSOCIATION, as an Issuing</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 and 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Katie Chowdhry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Katie Chowdhry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760"/>
          </w:cols>
          <w:pgMar w:left="1440" w:top="270" w:right="69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Amended and Restated Credit Agreement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Consent 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REGIONS BANK,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Chalmers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William Chalmers</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0"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Amended and Restated Credit Agreement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Consent 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TRUIST BANK,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Ryan Almond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Ryan Almond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0" w:right="1440" w:bottom="1440" w:gutter="0" w:footer="0" w:header="0"/>
        </w:sectPr>
      </w:pPr>
    </w:p>
    <w:bookmarkStart w:id="116" w:name="page117"/>
    <w:bookmarkEnd w:id="116"/>
    <w:p>
      <w:pPr>
        <w:jc w:val="center"/>
        <w:ind w:right="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Signature Page to Second Amendment to Amended and Restated Credit Agreement</w:t>
      </w:r>
    </w:p>
    <w:p>
      <w:pPr>
        <w:spacing w:after="0" w:line="50"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and Consent 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U.S. BANK NATIONAL ASSOCIATION,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Timothy J. Tillman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J. Tillman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580"/>
          </w:cols>
          <w:pgMar w:left="1440" w:top="270" w:right="87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Amended and Restated Credit Agreement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Consent 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TD BANK, N.A.,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M. Brandt,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ind w:right="899"/>
        <w:spacing w:after="0"/>
        <w:rPr>
          <w:sz w:val="20"/>
          <w:szCs w:val="20"/>
          <w:color w:val="auto"/>
        </w:rPr>
      </w:pPr>
      <w:r>
        <w:rPr>
          <w:rFonts w:ascii="Arial" w:cs="Arial" w:eastAsia="Arial" w:hAnsi="Arial"/>
          <w:sz w:val="18"/>
          <w:szCs w:val="18"/>
          <w:color w:val="auto"/>
        </w:rPr>
        <w:t>Name: William M. Brandt,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0"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Amended and Restated Credit Agreement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Consent 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BANK OF AMERICA, N.A.,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W. Nowak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W. Nowak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0"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Amended and Restated Credit Agreement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Consent 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CITIBANK, N.A.,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Albano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Name: Christopher Albano</w:t>
      </w:r>
    </w:p>
    <w:p>
      <w:pPr>
        <w:spacing w:after="0" w:line="32" w:lineRule="exact"/>
        <w:rPr>
          <w:sz w:val="20"/>
          <w:szCs w:val="20"/>
          <w:color w:val="auto"/>
        </w:rPr>
      </w:pPr>
    </w:p>
    <w:p>
      <w:pPr>
        <w:jc w:val="right"/>
        <w:ind w:right="1059"/>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0" w:right="1440" w:bottom="1440" w:gutter="0" w:footer="0" w:header="0"/>
        </w:sectPr>
      </w:pPr>
    </w:p>
    <w:bookmarkStart w:id="120" w:name="page121"/>
    <w:bookmarkEnd w:id="120"/>
    <w:p>
      <w:pPr>
        <w:jc w:val="center"/>
        <w:ind w:right="5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Amended and Restated Credit Agreement</w:t>
      </w:r>
    </w:p>
    <w:p>
      <w:pPr>
        <w:spacing w:after="0" w:line="50"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and Consent 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DEUTSCHE BANK AG NEW YORK BRANCH,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Mind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Ming K. Chu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Douglas Darman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Douglas Darman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580"/>
          </w:cols>
          <w:pgMar w:left="1440" w:top="270" w:right="879" w:bottom="1440" w:gutter="0" w:footer="0" w:header="0"/>
        </w:sectPr>
      </w:pPr>
    </w:p>
    <w:bookmarkStart w:id="121" w:name="page122"/>
    <w:bookmarkEnd w:id="121"/>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Amended and Restated Credit Agreement</w:t>
      </w:r>
    </w:p>
    <w:p>
      <w:pPr>
        <w:spacing w:after="0" w:line="5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and Consent 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JPMORGAN CHASE BANK, N.A.,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Lance Buxkemper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Lance Buxkemper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120"/>
          </w:cols>
          <w:pgMar w:left="1440" w:top="270" w:right="1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Amended and Restated Credit Agreement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Consent 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THE BANK OF NOVA SCOTIA,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Sacha Boxill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Sacha Boxill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270" w:right="1440"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6.1.(b)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Ownership Structure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[Omitted]</w:t>
      </w:r>
    </w:p>
    <w:p>
      <w:pPr>
        <w:sectPr>
          <w:pgSz w:w="11900" w:h="16838" w:orient="portrait"/>
          <w:cols w:equalWidth="0" w:num="1">
            <w:col w:w="9019"/>
          </w:cols>
          <w:pgMar w:left="1440" w:top="274" w:right="1440"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PARENT/GENERAL PARTNER GUARANTY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[Omitted]</w:t>
      </w:r>
    </w:p>
    <w:p>
      <w:pPr>
        <w:sectPr>
          <w:pgSz w:w="11900" w:h="16838" w:orient="portrait"/>
          <w:cols w:equalWidth="0" w:num="1">
            <w:col w:w="9019"/>
          </w:cols>
          <w:pgMar w:left="1440" w:top="274"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TERM LOAN AGREEMENT AND CONSENT</w:t>
      </w:r>
    </w:p>
    <w:p>
      <w:pPr>
        <w:spacing w:after="0" w:line="225" w:lineRule="exact"/>
        <w:rPr>
          <w:sz w:val="20"/>
          <w:szCs w:val="20"/>
          <w:color w:val="auto"/>
        </w:rPr>
      </w:pPr>
    </w:p>
    <w:p>
      <w:pPr>
        <w:jc w:val="both"/>
        <w:ind w:right="220" w:firstLine="440"/>
        <w:spacing w:after="0" w:line="311" w:lineRule="auto"/>
        <w:rPr>
          <w:sz w:val="20"/>
          <w:szCs w:val="20"/>
          <w:color w:val="auto"/>
        </w:rPr>
      </w:pPr>
      <w:r>
        <w:rPr>
          <w:rFonts w:ascii="Arial" w:cs="Arial" w:eastAsia="Arial" w:hAnsi="Arial"/>
          <w:sz w:val="16"/>
          <w:szCs w:val="16"/>
          <w:color w:val="auto"/>
        </w:rPr>
        <w:t>THIS SECOND AMENDMENT TO TERM LOAN AGREEMENT AND CONSENT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January 1, 2022, by and among FEDERAL REALTY INVESTMENT TRUST, a real estate investment trust formed under the laws of the State of Maryland (the “</w:t>
      </w:r>
      <w:r>
        <w:rPr>
          <w:rFonts w:ascii="Arial" w:cs="Arial" w:eastAsia="Arial" w:hAnsi="Arial"/>
          <w:sz w:val="16"/>
          <w:szCs w:val="16"/>
          <w:u w:val="single" w:color="auto"/>
          <w:color w:val="auto"/>
        </w:rPr>
        <w:t>Borrower</w:t>
      </w:r>
      <w:r>
        <w:rPr>
          <w:rFonts w:ascii="Arial" w:cs="Arial" w:eastAsia="Arial" w:hAnsi="Arial"/>
          <w:sz w:val="16"/>
          <w:szCs w:val="16"/>
          <w:color w:val="auto"/>
        </w:rPr>
        <w:t>”), each of the Lenders party hereto and PNC BANK, NATIONAL ASSOCIATION,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149"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WHEREAS, the Borrower, the Lenders, the Administrative Agent and certain other parties have entered into that certain Term Loan Agreement dated as of May 6, 2020 (as amended by that certain First Amendment to Term Loan Agreement dated as of April 16, 2021 and as otherwise amended and in effect immediately prior to the effectiveness of this Amendment,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WHEREAS, the Borrower intends to enter into certain reorganization transactions pursuant to which, (i) the Borrower will form a Maryland real estate investment trust which shall be a wholly-owned subsidiary of the Borrower (the “</w:t>
      </w:r>
      <w:r>
        <w:rPr>
          <w:rFonts w:ascii="Arial" w:cs="Arial" w:eastAsia="Arial" w:hAnsi="Arial"/>
          <w:sz w:val="17"/>
          <w:szCs w:val="17"/>
          <w:u w:val="single" w:color="auto"/>
          <w:color w:val="auto"/>
        </w:rPr>
        <w:t>Parent</w:t>
      </w:r>
      <w:r>
        <w:rPr>
          <w:rFonts w:ascii="Arial" w:cs="Arial" w:eastAsia="Arial" w:hAnsi="Arial"/>
          <w:sz w:val="17"/>
          <w:szCs w:val="17"/>
          <w:color w:val="auto"/>
        </w:rPr>
        <w:t>”), (ii) the Parent shall form a new wholly-owned Maryland real estate investment trust (“</w:t>
      </w:r>
      <w:r>
        <w:rPr>
          <w:rFonts w:ascii="Arial" w:cs="Arial" w:eastAsia="Arial" w:hAnsi="Arial"/>
          <w:sz w:val="17"/>
          <w:szCs w:val="17"/>
          <w:u w:val="single" w:color="auto"/>
          <w:color w:val="auto"/>
        </w:rPr>
        <w:t>Merger Sub</w:t>
      </w:r>
      <w:r>
        <w:rPr>
          <w:rFonts w:ascii="Arial" w:cs="Arial" w:eastAsia="Arial" w:hAnsi="Arial"/>
          <w:sz w:val="17"/>
          <w:szCs w:val="17"/>
          <w:color w:val="auto"/>
        </w:rPr>
        <w:t>”) and (iii) Merger Sub shall be merged with and into the Borrower (the “</w:t>
      </w:r>
      <w:r>
        <w:rPr>
          <w:rFonts w:ascii="Arial" w:cs="Arial" w:eastAsia="Arial" w:hAnsi="Arial"/>
          <w:sz w:val="17"/>
          <w:szCs w:val="17"/>
          <w:u w:val="single" w:color="auto"/>
          <w:color w:val="auto"/>
        </w:rPr>
        <w:t>Merger</w:t>
      </w:r>
      <w:r>
        <w:rPr>
          <w:rFonts w:ascii="Arial" w:cs="Arial" w:eastAsia="Arial" w:hAnsi="Arial"/>
          <w:sz w:val="17"/>
          <w:szCs w:val="17"/>
          <w:color w:val="auto"/>
        </w:rPr>
        <w:t>”) such that, after giving effect to such merger, the Borrower shall initially be the wholly- owned subsidiary of the Parent and shall, prior to the Conversion (as defined below), be temporarily renamed “Federal Realty Interim Real Estate Investment Trust” or such other name as determined by the Borrower (provided that if such name is not “Federal Realty Interim Real Estate Investment Trust” and it remains the name of the Borrower for more than ten (10) calendar days, the Borrower shall give the Administrative Agent prompt notice of such changed name);</w:t>
      </w:r>
    </w:p>
    <w:p>
      <w:pPr>
        <w:spacing w:after="0" w:line="17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WHEREAS, immediately after the effectiveness of the Merger, the Parent shall change its name to “Federal Realty Investment Trust” and shall maintain its status as a real estate investment trust;</w:t>
      </w:r>
    </w:p>
    <w:p>
      <w:pPr>
        <w:spacing w:after="0" w:line="170" w:lineRule="exact"/>
        <w:rPr>
          <w:sz w:val="20"/>
          <w:szCs w:val="20"/>
          <w:color w:val="auto"/>
        </w:rPr>
      </w:pPr>
    </w:p>
    <w:p>
      <w:pPr>
        <w:ind w:right="280" w:firstLine="440"/>
        <w:spacing w:after="0" w:line="257" w:lineRule="auto"/>
        <w:rPr>
          <w:sz w:val="20"/>
          <w:szCs w:val="20"/>
          <w:color w:val="auto"/>
        </w:rPr>
      </w:pPr>
      <w:r>
        <w:rPr>
          <w:rFonts w:ascii="Arial" w:cs="Arial" w:eastAsia="Arial" w:hAnsi="Arial"/>
          <w:sz w:val="18"/>
          <w:szCs w:val="18"/>
          <w:color w:val="auto"/>
        </w:rPr>
        <w:t>WHEREAS, after the effectiveness of the Merger, and in any event within ten (10) calendar days thereafter, (i) the Borrower shall convert to a limited partnership known as “Federal Realty OP LP” (the “</w:t>
      </w:r>
      <w:r>
        <w:rPr>
          <w:rFonts w:ascii="Arial" w:cs="Arial" w:eastAsia="Arial" w:hAnsi="Arial"/>
          <w:sz w:val="18"/>
          <w:szCs w:val="18"/>
          <w:u w:val="single" w:color="auto"/>
          <w:color w:val="auto"/>
        </w:rPr>
        <w:t>Conversion</w:t>
      </w:r>
      <w:r>
        <w:rPr>
          <w:rFonts w:ascii="Arial" w:cs="Arial" w:eastAsia="Arial" w:hAnsi="Arial"/>
          <w:sz w:val="18"/>
          <w:szCs w:val="18"/>
          <w:color w:val="auto"/>
        </w:rPr>
        <w:t>”) with the Parent acting as the initial sole limited partner thereof, and the Borrower shall no longer maintain its status as a real estate investment trust, and (ii) Federal Realty GP LLC, a Delaware limited liability company wholly-owned by the Parent (the “</w:t>
      </w:r>
      <w:r>
        <w:rPr>
          <w:rFonts w:ascii="Arial" w:cs="Arial" w:eastAsia="Arial" w:hAnsi="Arial"/>
          <w:sz w:val="18"/>
          <w:szCs w:val="18"/>
          <w:u w:val="single" w:color="auto"/>
          <w:color w:val="auto"/>
        </w:rPr>
        <w:t>General Partner</w:t>
      </w:r>
      <w:r>
        <w:rPr>
          <w:rFonts w:ascii="Arial" w:cs="Arial" w:eastAsia="Arial" w:hAnsi="Arial"/>
          <w:sz w:val="18"/>
          <w:szCs w:val="18"/>
          <w:color w:val="auto"/>
        </w:rPr>
        <w:t>”) shall be the general partner of the Borrower (collectively, with the Merger and the name changes referenced above, the “</w:t>
      </w:r>
      <w:r>
        <w:rPr>
          <w:rFonts w:ascii="Arial" w:cs="Arial" w:eastAsia="Arial" w:hAnsi="Arial"/>
          <w:sz w:val="18"/>
          <w:szCs w:val="18"/>
          <w:u w:val="single" w:color="auto"/>
          <w:color w:val="auto"/>
        </w:rPr>
        <w:t>Reorganization Transactions</w:t>
      </w:r>
      <w:r>
        <w:rPr>
          <w:rFonts w:ascii="Arial" w:cs="Arial" w:eastAsia="Arial" w:hAnsi="Arial"/>
          <w:sz w:val="18"/>
          <w:szCs w:val="18"/>
          <w:color w:val="auto"/>
        </w:rPr>
        <w:t>”); and</w:t>
      </w:r>
    </w:p>
    <w:p>
      <w:pPr>
        <w:spacing w:after="0" w:line="18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WHEREAS, the Borrower has requested that the Lenders and the Administrative Agent consent to the Reorganization Transactions, including the change of control effected thereby, and the Borrower, the Lenders and the Administrative Agent desire to amend certain provisions of the Credit Agreement on the terms and conditions contained herein.</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agree as follows:</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Specific Amendments to the Credit Agreement</w:t>
      </w:r>
      <w:r>
        <w:rPr>
          <w:rFonts w:ascii="Arial" w:cs="Arial" w:eastAsia="Arial" w:hAnsi="Arial"/>
          <w:sz w:val="18"/>
          <w:szCs w:val="18"/>
          <w:color w:val="auto"/>
        </w:rPr>
        <w:t>. As of the Second Amendment Date, the parties hereto agree that the Credit Agreement shall be amended as follows:</w:t>
      </w:r>
    </w:p>
    <w:p>
      <w:pPr>
        <w:spacing w:after="0" w:line="62" w:lineRule="exact"/>
        <w:rPr>
          <w:sz w:val="20"/>
          <w:szCs w:val="20"/>
          <w:color w:val="auto"/>
        </w:rPr>
      </w:pPr>
    </w:p>
    <w:p>
      <w:pPr>
        <w:ind w:right="320" w:firstLine="436"/>
        <w:spacing w:after="0" w:line="342" w:lineRule="auto"/>
        <w:tabs>
          <w:tab w:leader="none" w:pos="68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Credit Agreement is amended by restating the definitions of “Anti-Corruption Laws”, “Eligible Assignee”, “Guarantor”, “Mandatorily Redeemable Stock”, “Material Adverse Effect”, and “Preferred Dividends” contained in Section 1.1. thereof in their entirety as follows:</w:t>
      </w:r>
    </w:p>
    <w:p>
      <w:pPr>
        <w:sectPr>
          <w:pgSz w:w="11900" w:h="16838" w:orient="portrait"/>
          <w:cols w:equalWidth="0" w:num="1">
            <w:col w:w="11020"/>
          </w:cols>
          <w:pgMar w:left="440" w:top="121" w:right="439" w:bottom="1440" w:gutter="0" w:footer="0" w:header="0"/>
        </w:sectPr>
      </w:pPr>
    </w:p>
    <w:bookmarkStart w:id="126" w:name="page127"/>
    <w:bookmarkEnd w:id="126"/>
    <w:p>
      <w:pPr>
        <w:ind w:left="4" w:right="300" w:firstLine="423"/>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all laws, rules, and regulations of any jurisdiction applicable to the Parent, the General Partner, the Borrower or their respective Subsidiaries from time to time concerning or relating to bribery or corruption, including, without limitation, the United States Foreign Corrupt Practices Act of 1977 and the rules and regulations thereunder and the U.K. Bribery Act 2010 and the rules and regulations thereunder.</w:t>
      </w:r>
    </w:p>
    <w:p>
      <w:pPr>
        <w:spacing w:after="0" w:line="180" w:lineRule="exact"/>
        <w:rPr>
          <w:sz w:val="20"/>
          <w:szCs w:val="20"/>
          <w:color w:val="auto"/>
        </w:rPr>
      </w:pPr>
    </w:p>
    <w:p>
      <w:pPr>
        <w:ind w:left="4" w:right="200" w:firstLine="42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means (a) a Lender, (b) an Affiliate of a Lender, (c) an Approved Fund and (d) any other Person (other than a natural person) approved by the Administrative Agent (such approval not to be unreasonably withheld or delayed); provided that notwithstanding the foregoing, “Eligible Assignee” shall not include the Parent, the General Partner, the Borrower, any of the Parent’s, the General Partner’s or the Borrower’s Affiliates or Subsidiaries or any Defaulting Lender.</w:t>
      </w:r>
    </w:p>
    <w:p>
      <w:pPr>
        <w:spacing w:after="0" w:line="180" w:lineRule="exact"/>
        <w:rPr>
          <w:sz w:val="20"/>
          <w:szCs w:val="20"/>
          <w:color w:val="auto"/>
        </w:rPr>
      </w:pPr>
    </w:p>
    <w:p>
      <w:pPr>
        <w:ind w:left="4" w:firstLine="423"/>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w:t>
      </w:r>
      <w:r>
        <w:rPr>
          <w:rFonts w:ascii="Arial" w:cs="Arial" w:eastAsia="Arial" w:hAnsi="Arial"/>
          <w:sz w:val="16"/>
          <w:szCs w:val="16"/>
          <w:color w:val="auto"/>
        </w:rPr>
        <w:t>” means any Person that guarantees all or a portion of the Obligations including, at all times after delivery of the Parent/General Partner Guaranty (if ever), the Parent and, at all times after delivery of the Parent/General Partner Guaranty (if ever), the General Partner.</w:t>
      </w:r>
    </w:p>
    <w:p>
      <w:pPr>
        <w:spacing w:after="0" w:line="116" w:lineRule="exact"/>
        <w:rPr>
          <w:sz w:val="20"/>
          <w:szCs w:val="20"/>
          <w:color w:val="auto"/>
        </w:rPr>
      </w:pPr>
    </w:p>
    <w:p>
      <w:pPr>
        <w:ind w:left="4" w:right="40" w:firstLine="42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Mandatorily Redeemable Stock</w:t>
      </w:r>
      <w:r>
        <w:rPr>
          <w:rFonts w:ascii="Arial" w:cs="Arial" w:eastAsia="Arial" w:hAnsi="Arial"/>
          <w:sz w:val="16"/>
          <w:szCs w:val="16"/>
          <w:color w:val="auto"/>
        </w:rPr>
        <w:t>” means, with respect to a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 (c) is redeemable at the option of the holder thereof, in whole or in part (other than an Equity Interest (including interests in the Borrower and in “downREIT” Subsidiaries of the Borrower) which is redeemable solely in exchange for common stock or other equivalent common Equity Interests); in each case, on or prior to the Maturity Date. For purposes of this definition, Equity Interests in any of the following Subsidiaries which the Borrower is obligated to acquire pursuant to currently existing agreements (as in effect on the April 20, 2016) with the holders of such Equity Interest shall not be considered to be Mandatorily Redeemable Stock: Congressional Plaza Associates, LLC; NVI-Avenue, LLC; Shrewsbury Commons LP; Route 35 Shrewsbury LP; Sea Girt LP; San Antonio Center II, LLC; FR Montrose Crossing LLC; Rosecrans-Sepulveda Partners 3, LLC; and Federal Realty Partners L.P.</w:t>
      </w:r>
    </w:p>
    <w:p>
      <w:pPr>
        <w:spacing w:after="0" w:line="163" w:lineRule="exact"/>
        <w:rPr>
          <w:sz w:val="20"/>
          <w:szCs w:val="20"/>
          <w:color w:val="auto"/>
        </w:rPr>
      </w:pPr>
    </w:p>
    <w:p>
      <w:pPr>
        <w:ind w:left="4" w:right="120" w:firstLine="42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 materially adverse effect on (a) the business, assets, liabilities, financial condition or results of operations of the Borrower and/or the Parent and their respective Subsidiaries taken as a whole, (b) the ability of the Borrower or any other Loan Party to perform its obligations under any Loan Document to which it is a party, (c) the validity or enforceability of any of the Loan Documents,</w:t>
      </w:r>
    </w:p>
    <w:p>
      <w:pPr>
        <w:spacing w:after="0" w:line="2" w:lineRule="exact"/>
        <w:rPr>
          <w:sz w:val="20"/>
          <w:szCs w:val="20"/>
          <w:color w:val="auto"/>
        </w:rPr>
      </w:pPr>
    </w:p>
    <w:p>
      <w:pPr>
        <w:ind w:left="4" w:right="520" w:hanging="4"/>
        <w:spacing w:after="0" w:line="260" w:lineRule="auto"/>
        <w:tabs>
          <w:tab w:leader="none" w:pos="25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rights and remedies of the Lenders and the Administrative Agent under any of the Loan Documents or (e) the timely payment of the principal of or interest on the Loans or other amounts payable in connection therewith.</w:t>
      </w:r>
    </w:p>
    <w:p>
      <w:pPr>
        <w:spacing w:after="0" w:line="181" w:lineRule="exact"/>
        <w:rPr>
          <w:sz w:val="20"/>
          <w:szCs w:val="20"/>
          <w:color w:val="auto"/>
        </w:rPr>
      </w:pPr>
    </w:p>
    <w:p>
      <w:pPr>
        <w:jc w:val="both"/>
        <w:ind w:left="4" w:right="40" w:firstLine="42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Dividends</w:t>
      </w:r>
      <w:r>
        <w:rPr>
          <w:rFonts w:ascii="Arial" w:cs="Arial" w:eastAsia="Arial" w:hAnsi="Arial"/>
          <w:sz w:val="18"/>
          <w:szCs w:val="18"/>
          <w:color w:val="auto"/>
        </w:rPr>
        <w:t>” means, for any period and without duplication, all Restricted Payments paid during such period on Preferred Equity issued by the Borrower, a Subsidiary or an Unconsolidated Affiliate (including any distributions by the Borrower to the General Partner or Parent to make payments with respect to Preferred Equity of the</w:t>
      </w:r>
    </w:p>
    <w:p>
      <w:pPr>
        <w:spacing w:after="0" w:line="112"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44"/>
          </w:cols>
          <w:pgMar w:left="876" w:top="270" w:right="479" w:bottom="1440" w:gutter="0" w:footer="0" w:header="0"/>
        </w:sectPr>
      </w:pPr>
    </w:p>
    <w:bookmarkStart w:id="127" w:name="page128"/>
    <w:bookmarkEnd w:id="127"/>
    <w:p>
      <w:pPr>
        <w:ind w:left="440"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Parent or the General Partner). Preferred Dividends shall not include dividends or distributions (a) 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 full.</w:t>
      </w:r>
    </w:p>
    <w:p>
      <w:pPr>
        <w:spacing w:after="0" w:line="57" w:lineRule="exact"/>
        <w:rPr>
          <w:sz w:val="20"/>
          <w:szCs w:val="20"/>
          <w:color w:val="auto"/>
        </w:rPr>
      </w:pPr>
    </w:p>
    <w:p>
      <w:pPr>
        <w:ind w:right="660" w:firstLine="436"/>
        <w:spacing w:after="0" w:line="308" w:lineRule="auto"/>
        <w:tabs>
          <w:tab w:leader="none" w:pos="69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Credit Agreement is further amended by adding the following definitions of “General Partner”, “Parent”, “Parent/General Partner Guaranty”, “Second Amendment” and “Second Amendment Date” in the appropriate alphabetical location:</w:t>
      </w:r>
    </w:p>
    <w:p>
      <w:pPr>
        <w:spacing w:after="0" w:line="3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Partner</w:t>
      </w:r>
      <w:r>
        <w:rPr>
          <w:rFonts w:ascii="Arial" w:cs="Arial" w:eastAsia="Arial" w:hAnsi="Arial"/>
          <w:sz w:val="18"/>
          <w:szCs w:val="18"/>
          <w:color w:val="auto"/>
        </w:rPr>
        <w:t>” means Federal Realty GP LLC, a limited liability company formed under the laws of the State of Delaware.</w:t>
      </w:r>
    </w:p>
    <w:p>
      <w:pPr>
        <w:spacing w:after="0" w:line="117" w:lineRule="exact"/>
        <w:rPr>
          <w:sz w:val="20"/>
          <w:szCs w:val="20"/>
          <w:color w:val="auto"/>
        </w:rPr>
      </w:pPr>
    </w:p>
    <w:p>
      <w:pPr>
        <w:ind w:left="440" w:right="28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Federal Realty Investment Trust, a real estate investment trust formed under the laws of the State of Maryland, formerly known as FRT Holdco REIT.</w:t>
      </w:r>
    </w:p>
    <w:p>
      <w:pPr>
        <w:spacing w:after="0" w:line="54" w:lineRule="exact"/>
        <w:rPr>
          <w:sz w:val="20"/>
          <w:szCs w:val="20"/>
          <w:color w:val="auto"/>
        </w:rPr>
      </w:pPr>
    </w:p>
    <w:p>
      <w:pPr>
        <w:ind w:left="440" w:right="70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Parent/General Partner Guaranty</w:t>
      </w:r>
      <w:r>
        <w:rPr>
          <w:rFonts w:ascii="Arial" w:cs="Arial" w:eastAsia="Arial" w:hAnsi="Arial"/>
          <w:sz w:val="18"/>
          <w:szCs w:val="18"/>
          <w:color w:val="auto"/>
        </w:rPr>
        <w:t>” means the Parent/General Partner Guaranty delivered (if ever) pursuant to Section 7.14. and substantially in the form of Exhibit L.</w:t>
      </w:r>
    </w:p>
    <w:p>
      <w:pPr>
        <w:spacing w:after="0" w:line="54" w:lineRule="exact"/>
        <w:rPr>
          <w:sz w:val="20"/>
          <w:szCs w:val="20"/>
          <w:color w:val="auto"/>
        </w:rPr>
      </w:pPr>
    </w:p>
    <w:p>
      <w:pPr>
        <w:ind w:left="440" w:right="60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w:t>
      </w:r>
      <w:r>
        <w:rPr>
          <w:rFonts w:ascii="Arial" w:cs="Arial" w:eastAsia="Arial" w:hAnsi="Arial"/>
          <w:sz w:val="18"/>
          <w:szCs w:val="18"/>
          <w:color w:val="auto"/>
        </w:rPr>
        <w:t>” means that certain Second Amendment to Term Loan Agreement dated as of January 1, 2022 relating to this Agreement.</w:t>
      </w:r>
    </w:p>
    <w:p>
      <w:pPr>
        <w:spacing w:after="0" w:line="5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Date</w:t>
      </w:r>
      <w:r>
        <w:rPr>
          <w:rFonts w:ascii="Arial" w:cs="Arial" w:eastAsia="Arial" w:hAnsi="Arial"/>
          <w:sz w:val="18"/>
          <w:szCs w:val="18"/>
          <w:color w:val="auto"/>
        </w:rPr>
        <w:t>” means January 1, 2022.</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The Credit Agreement is further amended by adding the following sentence to the end of Section 6.1(a):</w:t>
      </w:r>
    </w:p>
    <w:p>
      <w:pPr>
        <w:spacing w:after="0" w:line="117" w:lineRule="exact"/>
        <w:rPr>
          <w:sz w:val="20"/>
          <w:szCs w:val="20"/>
          <w:color w:val="auto"/>
        </w:rPr>
      </w:pPr>
    </w:p>
    <w:p>
      <w:pPr>
        <w:ind w:left="440" w:firstLine="423"/>
        <w:spacing w:after="0" w:line="257" w:lineRule="auto"/>
        <w:rPr>
          <w:sz w:val="20"/>
          <w:szCs w:val="20"/>
          <w:color w:val="auto"/>
        </w:rPr>
      </w:pPr>
      <w:r>
        <w:rPr>
          <w:rFonts w:ascii="Arial" w:cs="Arial" w:eastAsia="Arial" w:hAnsi="Arial"/>
          <w:sz w:val="18"/>
          <w:szCs w:val="18"/>
          <w:color w:val="auto"/>
        </w:rPr>
        <w:t>The Parent is a real estate investment trust, duly organized or formed, validly existing and in good standing under the laws of the State of Maryland, has the power and authority to own or lease its assets and to carry on its business as now being and hereafter proposed to be conducted and is duly qualified and is in good standing, and authorized to do business, in each jurisdiction in which the character of its assets or the nature of its business requires such qualification or authorization and where the failure to be so qualified or authorized could reasonably be expected to have a Material Adverse Effect.</w:t>
      </w:r>
    </w:p>
    <w:p>
      <w:pPr>
        <w:spacing w:after="0" w:line="80" w:lineRule="exact"/>
        <w:rPr>
          <w:sz w:val="20"/>
          <w:szCs w:val="20"/>
          <w:color w:val="auto"/>
        </w:rPr>
      </w:pPr>
    </w:p>
    <w:p>
      <w:pPr>
        <w:ind w:left="700" w:hanging="264"/>
        <w:spacing w:after="0"/>
        <w:tabs>
          <w:tab w:leader="none" w:pos="7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6.1(b) thereof in its entirety as follows:</w:t>
      </w:r>
    </w:p>
    <w:p>
      <w:pPr>
        <w:spacing w:after="0" w:line="117" w:lineRule="exact"/>
        <w:rPr>
          <w:rFonts w:ascii="Arial" w:cs="Arial" w:eastAsia="Arial" w:hAnsi="Arial"/>
          <w:sz w:val="18"/>
          <w:szCs w:val="18"/>
          <w:color w:val="auto"/>
        </w:rPr>
      </w:pPr>
    </w:p>
    <w:p>
      <w:pPr>
        <w:ind w:left="440" w:right="200" w:firstLine="419"/>
        <w:spacing w:after="0" w:line="291" w:lineRule="auto"/>
        <w:tabs>
          <w:tab w:leader="none" w:pos="1118"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Ownership Structure</w:t>
      </w:r>
      <w:r>
        <w:rPr>
          <w:rFonts w:ascii="Arial" w:cs="Arial" w:eastAsia="Arial" w:hAnsi="Arial"/>
          <w:sz w:val="16"/>
          <w:szCs w:val="16"/>
          <w:color w:val="auto"/>
        </w:rPr>
        <w:t>. Part I of Schedule 6.1.(b) is, as of the Second Amendment Date, a complete and correct list of all Subsidiaries of the Parent, the General Partner and the Borrower setting forth for each such Subsidiary, (i) the jurisdiction of organization of such Subsidiary,</w:t>
      </w:r>
    </w:p>
    <w:p>
      <w:pPr>
        <w:jc w:val="both"/>
        <w:ind w:left="440" w:hanging="4"/>
        <w:spacing w:after="0" w:line="281" w:lineRule="auto"/>
        <w:tabs>
          <w:tab w:leader="none" w:pos="70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each Person holding any Equity Interest in such Subsidiary, (iii) the nature of the Equity Interests held by each such Person, (iv) the percentage of ownership of such Subsidiary represented by such Equity Interests and (v) in the case of Subsidiaries of the Borrower, whether such Subsidiary is a Material Subsidiary and/or an Excluded Subsidiary and whether such Subsidiary owns a Non-Controlled Property (and, if so, which one(s)).</w:t>
      </w:r>
    </w:p>
    <w:p>
      <w:pPr>
        <w:spacing w:after="0" w:line="1" w:lineRule="exact"/>
        <w:rPr>
          <w:rFonts w:ascii="Arial" w:cs="Arial" w:eastAsia="Arial" w:hAnsi="Arial"/>
          <w:sz w:val="16"/>
          <w:szCs w:val="16"/>
          <w:color w:val="auto"/>
        </w:rPr>
      </w:pPr>
    </w:p>
    <w:p>
      <w:pPr>
        <w:ind w:left="440" w:right="280"/>
        <w:spacing w:after="0" w:line="302" w:lineRule="auto"/>
        <w:rPr>
          <w:rFonts w:ascii="Arial" w:cs="Arial" w:eastAsia="Arial" w:hAnsi="Arial"/>
          <w:sz w:val="16"/>
          <w:szCs w:val="16"/>
          <w:color w:val="auto"/>
        </w:rPr>
      </w:pPr>
      <w:r>
        <w:rPr>
          <w:rFonts w:ascii="Arial" w:cs="Arial" w:eastAsia="Arial" w:hAnsi="Arial"/>
          <w:sz w:val="16"/>
          <w:szCs w:val="16"/>
          <w:color w:val="auto"/>
        </w:rPr>
        <w:t>As of the Second Amendment Date, except as disclosed in such Schedule, (A) each of the Parent, the General Partner and the Borrower and its respective Subsidiaries owns, free and clear of all Liens (other than Permitted Liens), and has the unencumbered right to vote, all outstanding Equity Interests in each Person shown to be held by it on such Schedule, (B) all of the issued and outstanding capital</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28" w:name="page129"/>
    <w:bookmarkEnd w:id="128"/>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of each such Person organized as a corporation is validly issued, fully paid and nonassessable and (C)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Second Amendment Date, Part II of Schedule 6.1.(b) correctly sets forth all Unconsolidated Affiliates of the Parent, the General Partner and the Borrower, including the correct legal name of such Person, the type of legal entity which each such Person is, and all Equity Interests in such Person held directly or indirectly by the Parent, the General Partner and the Borrower.</w:t>
      </w:r>
    </w:p>
    <w:p>
      <w:pPr>
        <w:spacing w:after="0" w:line="69" w:lineRule="exact"/>
        <w:rPr>
          <w:sz w:val="20"/>
          <w:szCs w:val="20"/>
          <w:color w:val="auto"/>
        </w:rPr>
      </w:pPr>
    </w:p>
    <w:p>
      <w:pPr>
        <w:ind w:left="244" w:hanging="244"/>
        <w:spacing w:after="0"/>
        <w:tabs>
          <w:tab w:leader="none" w:pos="24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6.1(e) thereof in its entirety as follows:</w:t>
      </w:r>
    </w:p>
    <w:p>
      <w:pPr>
        <w:spacing w:after="0" w:line="117" w:lineRule="exact"/>
        <w:rPr>
          <w:rFonts w:ascii="Arial" w:cs="Arial" w:eastAsia="Arial" w:hAnsi="Arial"/>
          <w:sz w:val="18"/>
          <w:szCs w:val="18"/>
          <w:color w:val="auto"/>
        </w:rPr>
      </w:pPr>
    </w:p>
    <w:p>
      <w:pPr>
        <w:ind w:left="4" w:right="80" w:firstLine="419"/>
        <w:spacing w:after="0" w:line="301" w:lineRule="auto"/>
        <w:tabs>
          <w:tab w:leader="none" w:pos="671"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Compliance with Law; Governmental Approvals</w:t>
      </w:r>
      <w:r>
        <w:rPr>
          <w:rFonts w:ascii="Arial" w:cs="Arial" w:eastAsia="Arial" w:hAnsi="Arial"/>
          <w:sz w:val="16"/>
          <w:szCs w:val="16"/>
          <w:color w:val="auto"/>
        </w:rPr>
        <w:t>. Each of the Parent, the General Partner, the Borrower, the other Loan Parties and the other Subsidiaries is in compliance with each Governmental Approval applicable to it and all other Applicable Laws (including, without limitation, Environmental Laws) relating to it except for noncompliances which, and Governmental Approvals the failure to possess which, could not, individually or in the aggregate, reasonably be expected to cause a Default or Event of Default or have a Material Adverse Effect.</w:t>
      </w:r>
    </w:p>
    <w:p>
      <w:pPr>
        <w:spacing w:after="0" w:line="49" w:lineRule="exact"/>
        <w:rPr>
          <w:rFonts w:ascii="Arial" w:cs="Arial" w:eastAsia="Arial" w:hAnsi="Arial"/>
          <w:sz w:val="16"/>
          <w:szCs w:val="16"/>
          <w:color w:val="auto"/>
        </w:rPr>
      </w:pPr>
    </w:p>
    <w:p>
      <w:pPr>
        <w:ind w:left="224" w:hanging="224"/>
        <w:spacing w:after="0"/>
        <w:tabs>
          <w:tab w:leader="none" w:pos="22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6.1(h) thereof in its entirety as follows:</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None of the Parent, the General Partner or any Loan Party is an Affected Financial Institution.</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6.1(i) thereof in its entirety as follows:</w:t>
      </w:r>
    </w:p>
    <w:p>
      <w:pPr>
        <w:spacing w:after="0" w:line="117" w:lineRule="exact"/>
        <w:rPr>
          <w:rFonts w:ascii="Arial" w:cs="Arial" w:eastAsia="Arial" w:hAnsi="Arial"/>
          <w:sz w:val="18"/>
          <w:szCs w:val="18"/>
          <w:color w:val="auto"/>
        </w:rPr>
      </w:pPr>
    </w:p>
    <w:p>
      <w:pPr>
        <w:ind w:left="4" w:right="140" w:firstLine="419"/>
        <w:spacing w:after="0" w:line="272" w:lineRule="auto"/>
        <w:tabs>
          <w:tab w:leader="none" w:pos="641"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Except as set forth on Schedule 6.1.(i), there are no actions, suits or proceedings pending (nor, to the knowledge of any Loan Party, are there any actions, suits or proceedings threatened) against or in any other way relating adversely to or affecting the Parent, the General Partner, the Borrower, any other Loan Party, any other Subsidiary or any of their respective property in any court or before any arbitrator of any kind or before or by any other Governmental Authority which, (i) could reasonably be expected to have a Material Adverse Effect or (ii) in any manner draws into question the validity or enforceability of any Loan Document or the Fee Letter. There are no strikes, slow downs, work stoppages or walkouts or other labor disputes in progress or threatened relating to the Borrower, any Subsidiary or any other Loan Party which could reasonably be expected to have a Material Adverse Effect.</w:t>
      </w:r>
    </w:p>
    <w:p>
      <w:pPr>
        <w:spacing w:after="0" w:line="69" w:lineRule="exact"/>
        <w:rPr>
          <w:rFonts w:ascii="Arial" w:cs="Arial" w:eastAsia="Arial" w:hAnsi="Arial"/>
          <w:sz w:val="17"/>
          <w:szCs w:val="17"/>
          <w:color w:val="auto"/>
        </w:rPr>
      </w:pPr>
    </w:p>
    <w:p>
      <w:pPr>
        <w:ind w:left="264" w:hanging="264"/>
        <w:spacing w:after="0"/>
        <w:tabs>
          <w:tab w:leader="none" w:pos="2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6.1(j) thereof in its entirety as follows:</w:t>
      </w:r>
    </w:p>
    <w:p>
      <w:pPr>
        <w:spacing w:after="0" w:line="117" w:lineRule="exact"/>
        <w:rPr>
          <w:rFonts w:ascii="Arial" w:cs="Arial" w:eastAsia="Arial" w:hAnsi="Arial"/>
          <w:sz w:val="18"/>
          <w:szCs w:val="18"/>
          <w:color w:val="auto"/>
        </w:rPr>
      </w:pPr>
    </w:p>
    <w:p>
      <w:pPr>
        <w:ind w:left="4" w:right="60" w:firstLine="419"/>
        <w:spacing w:after="0" w:line="263" w:lineRule="auto"/>
        <w:tabs>
          <w:tab w:leader="none" w:pos="641"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All federal, state and other tax returns of the Parent, the General Partner, the Borrower, each other Loan Party and each other Subsidiary required by Applicable Law to be filed have been duly filed, and all federal, state and other taxes, assessments and other governmental charges or levies upon, the Parent, the General</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4"/>
          </w:cols>
          <w:pgMar w:left="876" w:top="274" w:right="459" w:bottom="1440" w:gutter="0" w:footer="0" w:header="0"/>
        </w:sectPr>
      </w:pPr>
    </w:p>
    <w:bookmarkStart w:id="129" w:name="page130"/>
    <w:bookmarkEnd w:id="129"/>
    <w:p>
      <w:pPr>
        <w:ind w:left="4"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Partner, each Loan Party, each other Subsidiary and their respective properties, income, profits and assets which are due and payable have been paid, except any such nonpayment or non-filing which is at the time permitted under Section 7.6. As of the Second Amendment Date, none of the United States income tax returns of the Borrower, any other Loan Party or any other Subsidiary is under audit. All charges, accruals and reserves on the books of the Borrower, the other Loan Parties and the other Subsidiaries in respect of any taxes or other governmental charges are in accordance with GAAP.</w:t>
      </w:r>
    </w:p>
    <w:p>
      <w:pPr>
        <w:spacing w:after="0" w:line="80" w:lineRule="exact"/>
        <w:rPr>
          <w:sz w:val="20"/>
          <w:szCs w:val="20"/>
          <w:color w:val="auto"/>
        </w:rPr>
      </w:pPr>
    </w:p>
    <w:p>
      <w:pPr>
        <w:ind w:left="224" w:hanging="224"/>
        <w:spacing w:after="0"/>
        <w:tabs>
          <w:tab w:leader="none" w:pos="22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6.1(p) thereof in its entirety as follows:</w:t>
      </w:r>
    </w:p>
    <w:p>
      <w:pPr>
        <w:spacing w:after="0" w:line="117" w:lineRule="exact"/>
        <w:rPr>
          <w:rFonts w:ascii="Arial" w:cs="Arial" w:eastAsia="Arial" w:hAnsi="Arial"/>
          <w:sz w:val="18"/>
          <w:szCs w:val="18"/>
          <w:color w:val="auto"/>
        </w:rPr>
      </w:pPr>
    </w:p>
    <w:p>
      <w:pPr>
        <w:ind w:left="4" w:right="60" w:firstLine="419"/>
        <w:spacing w:after="0" w:line="257" w:lineRule="auto"/>
        <w:tabs>
          <w:tab w:leader="none" w:pos="681"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None of the Parent, the General Partner, the Borrower, any other Loan Party or any other Subsidiary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w:t>
      </w:r>
    </w:p>
    <w:p>
      <w:pPr>
        <w:spacing w:after="0" w:line="79" w:lineRule="exact"/>
        <w:rPr>
          <w:rFonts w:ascii="Arial" w:cs="Arial" w:eastAsia="Arial" w:hAnsi="Arial"/>
          <w:sz w:val="18"/>
          <w:szCs w:val="18"/>
          <w:color w:val="auto"/>
        </w:rPr>
      </w:pPr>
    </w:p>
    <w:p>
      <w:pPr>
        <w:ind w:left="224" w:hanging="224"/>
        <w:spacing w:after="0"/>
        <w:tabs>
          <w:tab w:leader="none" w:pos="22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6.1(x) thereof in its entirety as follows:</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Anti-Corruption Laws; Anti-Money Laundering Laws and Sanctions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4" w:right="40" w:hanging="439"/>
        <w:spacing w:after="0" w:line="287" w:lineRule="auto"/>
        <w:tabs>
          <w:tab w:leader="none" w:pos="984" w:val="left"/>
        </w:tabs>
        <w:numPr>
          <w:ilvl w:val="2"/>
          <w:numId w:val="145"/>
        </w:numPr>
        <w:rPr>
          <w:rFonts w:ascii="Arial" w:cs="Arial" w:eastAsia="Arial" w:hAnsi="Arial"/>
          <w:sz w:val="16"/>
          <w:szCs w:val="16"/>
          <w:color w:val="auto"/>
        </w:rPr>
      </w:pPr>
      <w:r>
        <w:rPr>
          <w:rFonts w:ascii="Arial" w:cs="Arial" w:eastAsia="Arial" w:hAnsi="Arial"/>
          <w:sz w:val="16"/>
          <w:szCs w:val="16"/>
          <w:color w:val="auto"/>
        </w:rPr>
        <w:t>None of (i) the Parent, the General Partner, the Borrower, any of their respective Subsidiaries, any of their respective directors, officers, or, to the knowledge of the Borrower or such Subsidiary, any of their respective employees or Affiliates, or (ii) any agent or representative of the Borrower or any Subsidiary that will act in any capacity in connection with or benefit from this Agreement,</w:t>
      </w:r>
    </w:p>
    <w:p>
      <w:pPr>
        <w:spacing w:after="0" w:line="2" w:lineRule="exact"/>
        <w:rPr>
          <w:rFonts w:ascii="Arial" w:cs="Arial" w:eastAsia="Arial" w:hAnsi="Arial"/>
          <w:sz w:val="16"/>
          <w:szCs w:val="16"/>
          <w:color w:val="auto"/>
        </w:rPr>
      </w:pPr>
    </w:p>
    <w:p>
      <w:pPr>
        <w:ind w:left="984"/>
        <w:spacing w:after="0" w:line="252" w:lineRule="auto"/>
        <w:rPr>
          <w:rFonts w:ascii="Arial" w:cs="Arial" w:eastAsia="Arial" w:hAnsi="Arial"/>
          <w:sz w:val="16"/>
          <w:szCs w:val="16"/>
          <w:color w:val="auto"/>
        </w:rPr>
      </w:pPr>
      <w:r>
        <w:rPr>
          <w:rFonts w:ascii="Arial" w:cs="Arial" w:eastAsia="Arial" w:hAnsi="Arial"/>
          <w:sz w:val="18"/>
          <w:szCs w:val="18"/>
          <w:color w:val="auto"/>
        </w:rPr>
        <w:t>(A) is a Sanctioned Person or currently the express subject or express target of any Sanctions, (B) is controlled by or is acting on behalf of a Sanctioned Person, (C) has its assets located in a Sanctioned Country, (D)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(E) directly or indirectly derives revenues from investments in, or transactions with, Sanctioned Persons.</w:t>
      </w:r>
    </w:p>
    <w:p>
      <w:pPr>
        <w:spacing w:after="0" w:line="99" w:lineRule="exact"/>
        <w:rPr>
          <w:rFonts w:ascii="Arial" w:cs="Arial" w:eastAsia="Arial" w:hAnsi="Arial"/>
          <w:sz w:val="16"/>
          <w:szCs w:val="16"/>
          <w:color w:val="auto"/>
        </w:rPr>
      </w:pPr>
    </w:p>
    <w:p>
      <w:pPr>
        <w:ind w:left="984" w:right="20" w:hanging="439"/>
        <w:spacing w:after="0" w:line="263" w:lineRule="auto"/>
        <w:tabs>
          <w:tab w:leader="none" w:pos="984" w:val="left"/>
        </w:tabs>
        <w:numPr>
          <w:ilvl w:val="2"/>
          <w:numId w:val="145"/>
        </w:numPr>
        <w:rPr>
          <w:rFonts w:ascii="Arial" w:cs="Arial" w:eastAsia="Arial" w:hAnsi="Arial"/>
          <w:sz w:val="18"/>
          <w:szCs w:val="18"/>
          <w:color w:val="auto"/>
        </w:rPr>
      </w:pPr>
      <w:r>
        <w:rPr>
          <w:rFonts w:ascii="Arial" w:cs="Arial" w:eastAsia="Arial" w:hAnsi="Arial"/>
          <w:sz w:val="18"/>
          <w:szCs w:val="18"/>
          <w:color w:val="auto"/>
        </w:rPr>
        <w:t>Each of the Parent, the General Partner, the Borrower and their respective Subsidiaries has implemented and maintains in effect policies and procedures designed to ensure compliance by such Person and their respective directors, officers, employees, agents and Affiliates with all Anti-Corruption Laws, Anti-Money Laundering Laws and applicable Sanctions.</w:t>
      </w:r>
    </w:p>
    <w:p>
      <w:pPr>
        <w:spacing w:after="0" w:line="89" w:lineRule="exact"/>
        <w:rPr>
          <w:rFonts w:ascii="Arial" w:cs="Arial" w:eastAsia="Arial" w:hAnsi="Arial"/>
          <w:sz w:val="18"/>
          <w:szCs w:val="18"/>
          <w:color w:val="auto"/>
        </w:rPr>
      </w:pPr>
    </w:p>
    <w:p>
      <w:pPr>
        <w:ind w:left="984" w:right="140" w:hanging="439"/>
        <w:spacing w:after="0" w:line="311" w:lineRule="auto"/>
        <w:tabs>
          <w:tab w:leader="none" w:pos="984" w:val="left"/>
        </w:tabs>
        <w:numPr>
          <w:ilvl w:val="2"/>
          <w:numId w:val="145"/>
        </w:numPr>
        <w:rPr>
          <w:rFonts w:ascii="Arial" w:cs="Arial" w:eastAsia="Arial" w:hAnsi="Arial"/>
          <w:sz w:val="16"/>
          <w:szCs w:val="16"/>
          <w:color w:val="auto"/>
        </w:rPr>
      </w:pPr>
      <w:r>
        <w:rPr>
          <w:rFonts w:ascii="Arial" w:cs="Arial" w:eastAsia="Arial" w:hAnsi="Arial"/>
          <w:sz w:val="16"/>
          <w:szCs w:val="16"/>
          <w:color w:val="auto"/>
        </w:rPr>
        <w:t>Each of the Parent, the General Partner, the Borrower and their respective Subsidiaries, each director, officer, and to the knowledge of Borrower, employee, agent and Affiliate of the Parent, the General Partner, the Borrower and their respective Subsidiaries, is in compliance with all Anti-Corruption Laws, Anti-Money Laundering Laws in all material respects and applicable Sanctions.</w:t>
      </w:r>
    </w:p>
    <w:p>
      <w:pPr>
        <w:spacing w:after="0" w:line="8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4"/>
          </w:cols>
          <w:pgMar w:left="876" w:top="274" w:right="459" w:bottom="1440" w:gutter="0" w:footer="0" w:header="0"/>
        </w:sectPr>
      </w:pPr>
    </w:p>
    <w:bookmarkStart w:id="130" w:name="page131"/>
    <w:bookmarkEnd w:id="130"/>
    <w:p>
      <w:pPr>
        <w:ind w:left="984" w:right="640" w:hanging="439"/>
        <w:spacing w:after="0" w:line="277" w:lineRule="auto"/>
        <w:tabs>
          <w:tab w:leader="none" w:pos="984" w:val="left"/>
        </w:tabs>
        <w:numPr>
          <w:ilvl w:val="2"/>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proceeds of any Loan have been used, directly or indirectly, by the Borrower, any of its Subsidiaries or any of its or their respective directors, officers, employees and agents in violation of Section 9.13.(c).</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6.1(y) thereof in its entirety as follows:</w:t>
      </w:r>
    </w:p>
    <w:p>
      <w:pPr>
        <w:spacing w:after="0" w:line="117" w:lineRule="exact"/>
        <w:rPr>
          <w:rFonts w:ascii="Arial" w:cs="Arial" w:eastAsia="Arial" w:hAnsi="Arial"/>
          <w:sz w:val="18"/>
          <w:szCs w:val="18"/>
          <w:color w:val="auto"/>
        </w:rPr>
      </w:pPr>
    </w:p>
    <w:p>
      <w:pPr>
        <w:ind w:left="4" w:right="140" w:firstLine="419"/>
        <w:spacing w:after="0" w:line="277" w:lineRule="auto"/>
        <w:tabs>
          <w:tab w:leader="none" w:pos="681"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REIT Status</w:t>
      </w:r>
      <w:r>
        <w:rPr>
          <w:rFonts w:ascii="Arial" w:cs="Arial" w:eastAsia="Arial" w:hAnsi="Arial"/>
          <w:sz w:val="18"/>
          <w:szCs w:val="18"/>
          <w:color w:val="auto"/>
        </w:rPr>
        <w:t>. The Parent qualifies as, and has elected to be treated as, a REIT and is in compliance with all requirements and conditions imposed under the Internal Revenue Code to allow the Parent to maintain its status as a REIT.</w:t>
      </w:r>
    </w:p>
    <w:p>
      <w:pPr>
        <w:spacing w:after="0" w:line="62" w:lineRule="exact"/>
        <w:rPr>
          <w:rFonts w:ascii="Arial" w:cs="Arial" w:eastAsia="Arial" w:hAnsi="Arial"/>
          <w:sz w:val="18"/>
          <w:szCs w:val="18"/>
          <w:color w:val="auto"/>
        </w:rPr>
      </w:pPr>
    </w:p>
    <w:p>
      <w:pPr>
        <w:ind w:left="224" w:hanging="224"/>
        <w:spacing w:after="0"/>
        <w:tabs>
          <w:tab w:leader="none" w:pos="22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Credit Agreement is further amended by adding the following sentence to the end of Section 7.1:</w:t>
      </w:r>
    </w:p>
    <w:p>
      <w:pPr>
        <w:spacing w:after="0" w:line="117" w:lineRule="exact"/>
        <w:rPr>
          <w:sz w:val="20"/>
          <w:szCs w:val="20"/>
          <w:color w:val="auto"/>
        </w:rPr>
      </w:pPr>
    </w:p>
    <w:p>
      <w:pPr>
        <w:ind w:left="4" w:right="100" w:firstLine="423"/>
        <w:spacing w:after="0" w:line="259" w:lineRule="auto"/>
        <w:rPr>
          <w:sz w:val="20"/>
          <w:szCs w:val="20"/>
          <w:color w:val="auto"/>
        </w:rPr>
      </w:pPr>
      <w:r>
        <w:rPr>
          <w:rFonts w:ascii="Arial" w:cs="Arial" w:eastAsia="Arial" w:hAnsi="Arial"/>
          <w:sz w:val="18"/>
          <w:szCs w:val="18"/>
          <w:color w:val="auto"/>
        </w:rPr>
        <w:t>The Parent shall preserve and maintain its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color w:val="auto"/>
        </w:rPr>
        <w:t>(m) The Credit Agreement is further amended by adding the following sentence to the end of Section 7.2:</w:t>
      </w:r>
    </w:p>
    <w:p>
      <w:pPr>
        <w:spacing w:after="0" w:line="117" w:lineRule="exact"/>
        <w:rPr>
          <w:sz w:val="20"/>
          <w:szCs w:val="20"/>
          <w:color w:val="auto"/>
        </w:rPr>
      </w:pPr>
    </w:p>
    <w:p>
      <w:pPr>
        <w:ind w:left="4" w:firstLine="423"/>
        <w:spacing w:after="0" w:line="277" w:lineRule="auto"/>
        <w:rPr>
          <w:sz w:val="20"/>
          <w:szCs w:val="20"/>
          <w:color w:val="auto"/>
        </w:rPr>
      </w:pPr>
      <w:r>
        <w:rPr>
          <w:rFonts w:ascii="Arial" w:cs="Arial" w:eastAsia="Arial" w:hAnsi="Arial"/>
          <w:sz w:val="18"/>
          <w:szCs w:val="18"/>
          <w:color w:val="auto"/>
        </w:rPr>
        <w:t>The Parent shall, comply with all Applicable Laws, including the obtaining of all Governmental Approvals, the failure with which to comply could reasonably be expected to have a Material Adverse Effect.</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(n) The Credit Agreement is further amended by adding the following sentence to the end of Section 7.6:</w:t>
      </w:r>
    </w:p>
    <w:p>
      <w:pPr>
        <w:spacing w:after="0" w:line="117" w:lineRule="exact"/>
        <w:rPr>
          <w:sz w:val="20"/>
          <w:szCs w:val="20"/>
          <w:color w:val="auto"/>
        </w:rPr>
      </w:pPr>
    </w:p>
    <w:p>
      <w:pPr>
        <w:ind w:left="4" w:right="100" w:firstLine="423"/>
        <w:spacing w:after="0" w:line="301" w:lineRule="auto"/>
        <w:rPr>
          <w:sz w:val="20"/>
          <w:szCs w:val="20"/>
          <w:color w:val="auto"/>
        </w:rPr>
      </w:pPr>
      <w:r>
        <w:rPr>
          <w:rFonts w:ascii="Arial" w:cs="Arial" w:eastAsia="Arial" w:hAnsi="Arial"/>
          <w:sz w:val="16"/>
          <w:szCs w:val="16"/>
          <w:color w:val="auto"/>
        </w:rPr>
        <w:t>The Parent shall pay and discharge when due all taxes, assessments and governmental charges or levies imposed upon it or upon its income or profits or upon any properties belonging to it;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Parent in accordance with GAAP.</w:t>
      </w:r>
    </w:p>
    <w:p>
      <w:pPr>
        <w:spacing w:after="0" w:line="9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876" w:top="274" w:right="459" w:bottom="1440" w:gutter="0" w:footer="0" w:header="0"/>
        </w:sectPr>
      </w:pPr>
    </w:p>
    <w:bookmarkStart w:id="131" w:name="page132"/>
    <w:bookmarkEnd w:id="13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 The Credit Agreement is further amended by restating Section 7.11 thereof in its entirety as follows:</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Section 7.11. Compliance with Anti-Corruption Laws; Beneficial Ownership Regulation, Anti-Money Laundering Laws and Sanctions.</w:t>
      </w:r>
    </w:p>
    <w:p>
      <w:pPr>
        <w:spacing w:after="0" w:line="133" w:lineRule="exact"/>
        <w:rPr>
          <w:sz w:val="20"/>
          <w:szCs w:val="20"/>
          <w:color w:val="auto"/>
        </w:rPr>
      </w:pPr>
    </w:p>
    <w:p>
      <w:pPr>
        <w:ind w:left="420" w:right="160" w:firstLine="423"/>
        <w:spacing w:after="0" w:line="272" w:lineRule="auto"/>
        <w:rPr>
          <w:sz w:val="20"/>
          <w:szCs w:val="20"/>
          <w:color w:val="auto"/>
        </w:rPr>
      </w:pPr>
      <w:r>
        <w:rPr>
          <w:rFonts w:ascii="Arial" w:cs="Arial" w:eastAsia="Arial" w:hAnsi="Arial"/>
          <w:sz w:val="17"/>
          <w:szCs w:val="17"/>
          <w:color w:val="auto"/>
        </w:rPr>
        <w:t>The Parent, the General Partner and the Borrower will (a) maintain in effect and enforce policies and procedures designed to ensure compliance by the Parent, the General Partner, the Borrower, their respective Subsidiaries and their respective directors, officers, employees and agents with all Anti-Corruption Laws, Anti-Money Laundering Laws and applicable Sanctions, (b) notify the Administrative 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reasonably requested by it for purposes of complying with the Beneficial Ownership Regulation.</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 The Credit Agreement is further amended by restating Section 7.12 thereof in its entirety as follows: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7.12. REIT Status.</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Parent shall at all times maintain its status as, and election to be treated as, a REIT under the Internal Revenue Code.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(q) The Credit Agreement is further amended by restating Section 7.13 in its entirety as follows: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7.13. Exchange Listing.</w:t>
      </w:r>
    </w:p>
    <w:p>
      <w:pPr>
        <w:spacing w:after="0" w:line="121" w:lineRule="exact"/>
        <w:rPr>
          <w:sz w:val="20"/>
          <w:szCs w:val="20"/>
          <w:color w:val="auto"/>
        </w:rPr>
      </w:pPr>
    </w:p>
    <w:p>
      <w:pPr>
        <w:jc w:val="both"/>
        <w:ind w:left="420" w:right="180" w:firstLine="423"/>
        <w:spacing w:after="0" w:line="263" w:lineRule="auto"/>
        <w:rPr>
          <w:sz w:val="20"/>
          <w:szCs w:val="20"/>
          <w:color w:val="auto"/>
        </w:rPr>
      </w:pPr>
      <w:r>
        <w:rPr>
          <w:rFonts w:ascii="Arial" w:cs="Arial" w:eastAsia="Arial" w:hAnsi="Arial"/>
          <w:sz w:val="18"/>
          <w:szCs w:val="18"/>
          <w:color w:val="auto"/>
        </w:rPr>
        <w:t>The Parent shall maintain at least one class of common shares of the Parent having trading privileges on the New York Stock Exchange or the NYSE American or other national exchange which is subject to price quotations on The NASDAQ Stock Market’s National Market System (or any successor exchanges or quotation systems thereto).</w:t>
      </w:r>
    </w:p>
    <w:p>
      <w:pPr>
        <w:spacing w:after="0" w:line="76" w:lineRule="exact"/>
        <w:rPr>
          <w:sz w:val="20"/>
          <w:szCs w:val="20"/>
          <w:color w:val="auto"/>
        </w:rPr>
      </w:pPr>
    </w:p>
    <w:p>
      <w:pPr>
        <w:ind w:left="-20" w:right="60" w:firstLine="436"/>
        <w:spacing w:after="0" w:line="277" w:lineRule="auto"/>
        <w:tabs>
          <w:tab w:leader="none" w:pos="64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clauses (b) and (c) of Section 7.14 thereof in their entirety as follows (for the avoidance of doubt the remainder of Section 7.14 shall remain as in effect prior to the Second Amendment):</w:t>
      </w:r>
    </w:p>
    <w:p>
      <w:pPr>
        <w:spacing w:after="0" w:line="62" w:lineRule="exact"/>
        <w:rPr>
          <w:rFonts w:ascii="Arial" w:cs="Arial" w:eastAsia="Arial" w:hAnsi="Arial"/>
          <w:sz w:val="18"/>
          <w:szCs w:val="18"/>
          <w:color w:val="auto"/>
        </w:rPr>
      </w:pPr>
    </w:p>
    <w:p>
      <w:pPr>
        <w:ind w:left="420" w:firstLine="419"/>
        <w:spacing w:after="0" w:line="279" w:lineRule="auto"/>
        <w:tabs>
          <w:tab w:leader="none" w:pos="1098" w:val="left"/>
        </w:tabs>
        <w:numPr>
          <w:ilvl w:val="1"/>
          <w:numId w:val="148"/>
        </w:numPr>
        <w:rPr>
          <w:rFonts w:ascii="Arial" w:cs="Arial" w:eastAsia="Arial" w:hAnsi="Arial"/>
          <w:sz w:val="17"/>
          <w:szCs w:val="17"/>
          <w:color w:val="auto"/>
        </w:rPr>
      </w:pPr>
      <w:r>
        <w:rPr>
          <w:rFonts w:ascii="Arial" w:cs="Arial" w:eastAsia="Arial" w:hAnsi="Arial"/>
          <w:sz w:val="17"/>
          <w:szCs w:val="17"/>
          <w:color w:val="auto"/>
        </w:rPr>
        <w:t>Within 10 Business Days of the date on which any of the following conditions first applies to either the Parent or the General Partner, the Borrower shall deliver to the Administrative Agent each of the following in form and substance satisfactory to the Administrative Agent: (i) the Parent/General Partner Guaranty executed by such Person and (ii) the items that would have been delivered under subsections (iv) through (viii) of Section 5.1.(a) if such Person had been required to become a Guarantor on the Agreement Date:</w:t>
      </w:r>
    </w:p>
    <w:p>
      <w:pPr>
        <w:spacing w:after="0" w:line="63" w:lineRule="exact"/>
        <w:rPr>
          <w:rFonts w:ascii="Arial" w:cs="Arial" w:eastAsia="Arial" w:hAnsi="Arial"/>
          <w:sz w:val="17"/>
          <w:szCs w:val="17"/>
          <w:color w:val="auto"/>
        </w:rPr>
      </w:pPr>
    </w:p>
    <w:p>
      <w:pPr>
        <w:ind w:left="960" w:right="80" w:firstLine="408"/>
        <w:spacing w:after="0" w:line="277" w:lineRule="auto"/>
        <w:tabs>
          <w:tab w:leader="none" w:pos="1616"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Parent or General Partner, as the case may be, Guarantees, or otherwise becomes obligated in respect of, any Indebtedness of the Borrower or any Subsidiary of the Borrower; or</w:t>
      </w:r>
    </w:p>
    <w:p>
      <w:pPr>
        <w:spacing w:after="0" w:line="62" w:lineRule="exact"/>
        <w:rPr>
          <w:rFonts w:ascii="Arial" w:cs="Arial" w:eastAsia="Arial" w:hAnsi="Arial"/>
          <w:sz w:val="18"/>
          <w:szCs w:val="18"/>
          <w:color w:val="auto"/>
        </w:rPr>
      </w:pPr>
    </w:p>
    <w:p>
      <w:pPr>
        <w:ind w:left="1620" w:hanging="252"/>
        <w:spacing w:after="0"/>
        <w:tabs>
          <w:tab w:leader="none" w:pos="162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Parent or General Partner, as the case may be, fails to satisfy the requirements of Section 9.14 hereto.</w:t>
      </w:r>
    </w:p>
    <w:p>
      <w:pPr>
        <w:spacing w:after="0" w:line="117" w:lineRule="exact"/>
        <w:rPr>
          <w:rFonts w:ascii="Arial" w:cs="Arial" w:eastAsia="Arial" w:hAnsi="Arial"/>
          <w:sz w:val="18"/>
          <w:szCs w:val="18"/>
          <w:color w:val="auto"/>
        </w:rPr>
      </w:pPr>
    </w:p>
    <w:p>
      <w:pPr>
        <w:ind w:left="420" w:right="80" w:firstLine="419"/>
        <w:spacing w:after="0" w:line="263" w:lineRule="auto"/>
        <w:tabs>
          <w:tab w:leader="none" w:pos="108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Borrower may request in writing that the Administrative Agent release, and upon receipt of such request the Administrative Agent shall release, a Subsidiary of the Borrower that is a Guarantor from the Guaranty so long as: (i) such Guarantor is not required to be a party to the Guaranty under the immediately preceding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60" w:top="274" w:right="479" w:bottom="1440" w:gutter="0" w:footer="0" w:header="0"/>
        </w:sectPr>
      </w:pPr>
    </w:p>
    <w:bookmarkStart w:id="132" w:name="page133"/>
    <w:bookmarkEnd w:id="132"/>
    <w:p>
      <w:pPr>
        <w:ind w:left="380"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subsection (a); (ii) no Default or Event of Default shall then be in existence or would occur as a result of such release, including without limitation, a Default or Event of Default resulting from a violation of any of the covenants contained in Section 9.1.; and (iii) the Administrative Agent shall have received such written request at least ten (10) Business Days (or such shorter period as 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pacing w:after="0" w:line="70" w:lineRule="exact"/>
        <w:rPr>
          <w:sz w:val="20"/>
          <w:szCs w:val="20"/>
          <w:color w:val="auto"/>
        </w:rPr>
      </w:pPr>
    </w:p>
    <w:p>
      <w:pPr>
        <w:ind w:left="620" w:hanging="244"/>
        <w:spacing w:after="0"/>
        <w:tabs>
          <w:tab w:leader="none" w:pos="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Credit Agreement is further amended by adding the following clause (t) to Section 8.4:</w:t>
      </w:r>
    </w:p>
    <w:p>
      <w:pPr>
        <w:spacing w:after="0" w:line="117" w:lineRule="exact"/>
        <w:rPr>
          <w:rFonts w:ascii="Arial" w:cs="Arial" w:eastAsia="Arial" w:hAnsi="Arial"/>
          <w:sz w:val="18"/>
          <w:szCs w:val="18"/>
          <w:color w:val="auto"/>
        </w:rPr>
      </w:pPr>
    </w:p>
    <w:p>
      <w:pPr>
        <w:ind w:left="380" w:right="400" w:firstLine="419"/>
        <w:spacing w:after="0" w:line="263" w:lineRule="auto"/>
        <w:tabs>
          <w:tab w:leader="none" w:pos="101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Promptly, upon any change in the tax identification number of the Borrower, and in any event within ten (10) Business Days of a Responsible Officer of the Borrower obtaining knowledge thereof, evidence of such new tax identification number issued by the appropriate Governmental Authority in form and substance satisfactory to the Administrative Agent.</w:t>
      </w:r>
    </w:p>
    <w:p>
      <w:pPr>
        <w:spacing w:after="0" w:line="76" w:lineRule="exact"/>
        <w:rPr>
          <w:sz w:val="20"/>
          <w:szCs w:val="20"/>
          <w:color w:val="auto"/>
        </w:rPr>
      </w:pPr>
    </w:p>
    <w:p>
      <w:pPr>
        <w:ind w:left="-60" w:right="40" w:firstLine="436"/>
        <w:spacing w:after="0" w:line="277" w:lineRule="auto"/>
        <w:tabs>
          <w:tab w:leader="none" w:pos="63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clauses (a), (b), (c), (f), (g), (l) and (s) of Section 8.4 thereof in their entirety as follows (for the avoidance of doubt the remainder of Section 8.4 shall remain as in effect prior to the Second Amendment):</w:t>
      </w:r>
    </w:p>
    <w:p>
      <w:pPr>
        <w:spacing w:after="0" w:line="62" w:lineRule="exact"/>
        <w:rPr>
          <w:rFonts w:ascii="Arial" w:cs="Arial" w:eastAsia="Arial" w:hAnsi="Arial"/>
          <w:sz w:val="18"/>
          <w:szCs w:val="18"/>
          <w:color w:val="auto"/>
        </w:rPr>
      </w:pPr>
    </w:p>
    <w:p>
      <w:pPr>
        <w:ind w:left="380" w:right="320" w:firstLine="419"/>
        <w:spacing w:after="0" w:line="277" w:lineRule="auto"/>
        <w:tabs>
          <w:tab w:leader="none" w:pos="104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Promptly upon receipt thereof, copies of all management reports, if any, submitted to the Borrower or its partners by its independent public accountants;</w:t>
      </w:r>
    </w:p>
    <w:p>
      <w:pPr>
        <w:spacing w:after="0" w:line="62" w:lineRule="exact"/>
        <w:rPr>
          <w:rFonts w:ascii="Arial" w:cs="Arial" w:eastAsia="Arial" w:hAnsi="Arial"/>
          <w:sz w:val="18"/>
          <w:szCs w:val="18"/>
          <w:color w:val="auto"/>
        </w:rPr>
      </w:pPr>
    </w:p>
    <w:p>
      <w:pPr>
        <w:ind w:left="380" w:right="40" w:firstLine="419"/>
        <w:spacing w:after="0" w:line="279" w:lineRule="auto"/>
        <w:tabs>
          <w:tab w:leader="none" w:pos="1058" w:val="left"/>
        </w:tabs>
        <w:numPr>
          <w:ilvl w:val="1"/>
          <w:numId w:val="150"/>
        </w:numPr>
        <w:rPr>
          <w:rFonts w:ascii="Arial" w:cs="Arial" w:eastAsia="Arial" w:hAnsi="Arial"/>
          <w:sz w:val="17"/>
          <w:szCs w:val="17"/>
          <w:color w:val="auto"/>
        </w:rPr>
      </w:pPr>
      <w:r>
        <w:rPr>
          <w:rFonts w:ascii="Arial" w:cs="Arial" w:eastAsia="Arial" w:hAnsi="Arial"/>
          <w:sz w:val="17"/>
          <w:szCs w:val="17"/>
          <w:color w:val="auto"/>
        </w:rPr>
        <w:t>Within five (5) Business Days of the filing thereof, copies of all registration statements (excluding the exhibits thereto (unless requested by the Administrative Agent) and any registration statements on Form S-8 or its equivalent), reports on Forms 10-K, 10-Q and 8-K (or their equivalents) and all other periodic reports which the Parent or any Loan Party or any other Subsidiary shall file with the Securities and Exchange Commission (or any Governmental Authority substituted therefor) or any national securities exchange;</w:t>
      </w:r>
    </w:p>
    <w:p>
      <w:pPr>
        <w:spacing w:after="0" w:line="63" w:lineRule="exact"/>
        <w:rPr>
          <w:rFonts w:ascii="Arial" w:cs="Arial" w:eastAsia="Arial" w:hAnsi="Arial"/>
          <w:sz w:val="17"/>
          <w:szCs w:val="17"/>
          <w:color w:val="auto"/>
        </w:rPr>
      </w:pPr>
    </w:p>
    <w:p>
      <w:pPr>
        <w:ind w:left="380" w:right="40" w:firstLine="419"/>
        <w:spacing w:after="0" w:line="263" w:lineRule="auto"/>
        <w:tabs>
          <w:tab w:leader="none" w:pos="104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Promptly upon the mailing thereof to the shareholders of the Parent or the Borrower generally, copies of all financial statements, reports and proxy statements so mailed and promptly upon the issuance thereof copies of all press releases issued by the Parent, the General Partner, the Borrower, any Subsidiary or any other Loan Party;</w:t>
      </w:r>
    </w:p>
    <w:p>
      <w:pPr>
        <w:spacing w:after="0" w:line="76" w:lineRule="exact"/>
        <w:rPr>
          <w:sz w:val="20"/>
          <w:szCs w:val="20"/>
          <w:color w:val="auto"/>
        </w:rPr>
      </w:pPr>
    </w:p>
    <w:p>
      <w:pPr>
        <w:ind w:left="380" w:firstLine="419"/>
        <w:spacing w:after="0" w:line="255" w:lineRule="auto"/>
        <w:tabs>
          <w:tab w:leader="none" w:pos="102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To the extent the Parent, the General Partner, any Loan Party or any other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Parent, the General Partner, any Loan Party or any other Subsidiary or any of their respective properties, assets or businesses which could reasonably be expected to have a Material Adverse Effect, and prompt notice of the receipt of notice that any United States income tax returns of any Loan Party or any other Subsidiary are being audited;</w:t>
      </w:r>
    </w:p>
    <w:p>
      <w:pPr>
        <w:spacing w:after="0" w:line="84" w:lineRule="exact"/>
        <w:rPr>
          <w:rFonts w:ascii="Arial" w:cs="Arial" w:eastAsia="Arial" w:hAnsi="Arial"/>
          <w:sz w:val="18"/>
          <w:szCs w:val="18"/>
          <w:color w:val="auto"/>
        </w:rPr>
      </w:pPr>
    </w:p>
    <w:p>
      <w:pPr>
        <w:ind w:left="1060" w:hanging="261"/>
        <w:spacing w:after="0"/>
        <w:tabs>
          <w:tab w:leader="none" w:pos="106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A copy of any amendment to the agreement of limited partnership or other organizational documents of the Borrower within fifteen</w:t>
      </w:r>
    </w:p>
    <w:p>
      <w:pPr>
        <w:spacing w:after="0" w:line="34" w:lineRule="exact"/>
        <w:rPr>
          <w:rFonts w:ascii="Arial" w:cs="Arial" w:eastAsia="Arial" w:hAnsi="Arial"/>
          <w:sz w:val="17"/>
          <w:szCs w:val="17"/>
          <w:color w:val="auto"/>
        </w:rPr>
      </w:pPr>
    </w:p>
    <w:p>
      <w:pPr>
        <w:ind w:left="380" w:right="440" w:hanging="4"/>
        <w:spacing w:after="0" w:line="260" w:lineRule="auto"/>
        <w:tabs>
          <w:tab w:leader="none" w:pos="72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Business Days after the effectiveness thereof, other than an amendment to such agreement of limited partnership to reflect issuances of additional interests in the Borrower as authorized by such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500" w:top="274" w:right="519" w:bottom="1440" w:gutter="0" w:footer="0" w:header="0"/>
        </w:sectPr>
      </w:pPr>
    </w:p>
    <w:bookmarkStart w:id="133" w:name="page134"/>
    <w:bookmarkEnd w:id="133"/>
    <w:p>
      <w:pPr>
        <w:ind w:left="4" w:right="100" w:firstLine="419"/>
        <w:spacing w:after="0" w:line="257" w:lineRule="auto"/>
        <w:tabs>
          <w:tab w:leader="none" w:pos="641"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the Parent does not provide the balance sheet of the Parent and its Subsidiaries and the related consolidated statements of operations, shareholders’ equity and cash flows for any quarterly or annual period on Form 10-K or 10-Q filed with the Securities and Exchange Commission, the Borrower shall deliver such information to the Administrative Agent for distribution to the Lenders as soon as available and in any event no later than 50 days after the end of each of the first, second and third fiscal quarters of the Parent and 90 days after the end of each fiscal year of the Parent;</w:t>
      </w:r>
    </w:p>
    <w:p>
      <w:pPr>
        <w:spacing w:after="0" w:line="80" w:lineRule="exact"/>
        <w:rPr>
          <w:sz w:val="20"/>
          <w:szCs w:val="20"/>
          <w:color w:val="auto"/>
        </w:rPr>
      </w:pPr>
    </w:p>
    <w:p>
      <w:pPr>
        <w:jc w:val="both"/>
        <w:ind w:left="4" w:firstLine="419"/>
        <w:spacing w:after="0" w:line="311" w:lineRule="auto"/>
        <w:tabs>
          <w:tab w:leader="none" w:pos="661" w:val="left"/>
        </w:tabs>
        <w:numPr>
          <w:ilvl w:val="1"/>
          <w:numId w:val="154"/>
        </w:numPr>
        <w:rPr>
          <w:rFonts w:ascii="Arial" w:cs="Arial" w:eastAsia="Arial" w:hAnsi="Arial"/>
          <w:sz w:val="16"/>
          <w:szCs w:val="16"/>
          <w:color w:val="auto"/>
        </w:rPr>
      </w:pPr>
      <w:r>
        <w:rPr>
          <w:rFonts w:ascii="Arial" w:cs="Arial" w:eastAsia="Arial" w:hAnsi="Arial"/>
          <w:sz w:val="16"/>
          <w:szCs w:val="16"/>
          <w:color w:val="auto"/>
        </w:rPr>
        <w:t>From time to time and promptly upon each request, such data, certificates, reports, statements, opinions of counsel, documents or further information regarding the business, assets, liabilities, financial condition or results of operations of the Parent, the General Partner, the Borrower, any of their respective Subsidiaries, or any other Loan Party as the Administrative Agent or any Lender may reasonably request.</w:t>
      </w:r>
    </w:p>
    <w:p>
      <w:pPr>
        <w:spacing w:after="0" w:line="40" w:lineRule="exact"/>
        <w:rPr>
          <w:rFonts w:ascii="Arial" w:cs="Arial" w:eastAsia="Arial" w:hAnsi="Arial"/>
          <w:sz w:val="16"/>
          <w:szCs w:val="16"/>
          <w:color w:val="auto"/>
        </w:rPr>
      </w:pPr>
    </w:p>
    <w:p>
      <w:pPr>
        <w:ind w:left="264" w:hanging="264"/>
        <w:spacing w:after="0"/>
        <w:tabs>
          <w:tab w:leader="none" w:pos="26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9.1.(i) thereof in its entirety as follows:</w:t>
      </w:r>
    </w:p>
    <w:p>
      <w:pPr>
        <w:spacing w:after="0" w:line="117" w:lineRule="exact"/>
        <w:rPr>
          <w:rFonts w:ascii="Arial" w:cs="Arial" w:eastAsia="Arial" w:hAnsi="Arial"/>
          <w:sz w:val="18"/>
          <w:szCs w:val="18"/>
          <w:color w:val="auto"/>
        </w:rPr>
      </w:pPr>
    </w:p>
    <w:p>
      <w:pPr>
        <w:ind w:left="4" w:right="20" w:firstLine="419"/>
        <w:spacing w:after="0" w:line="288" w:lineRule="auto"/>
        <w:tabs>
          <w:tab w:leader="none" w:pos="641"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Dividends and Other Restricted Payments</w:t>
      </w:r>
      <w:r>
        <w:rPr>
          <w:rFonts w:ascii="Arial" w:cs="Arial" w:eastAsia="Arial" w:hAnsi="Arial"/>
          <w:sz w:val="16"/>
          <w:szCs w:val="16"/>
          <w:color w:val="auto"/>
        </w:rPr>
        <w:t>. The Borrower shall not, and shall not permit any of its Subsidiaries to, declare or make any Restricted Payment if an Event of Default shall have occurred and is continuing; except that the Borrower may, subject to the immediately following sentence, (i) declare and make cash distributions to its partners during any fiscal year in an aggregate amount not to exceed the minimum amount necessary for the Parent to maintain its status as a REIT and (ii) make cash distributions to the Parent to the extent required to fund administrative and operating expenses of the Parent to the extent attributable to any activity of or with respect to the Parent that is not otherwise prohibited by this Agreement (including liabilities incurred in connection with its maintenance of corporate status, preparation of Securities and Exchange Commission filings, accountant’s fees and similar administrative matters). Notwithstanding the foregoing, if an Event of Default specified in Section 10.1.(a), Section 10.1.(e) or Section 10.1.(f) shall have occurred and is continuing, or if as a result of the occurrence of any other Event of Default any of the Obligations have been accelerated pursuant to Section 10.2.(a), the Borrower shall not, and shall not permit any Subsidiary to, make any Restricted Payment to any Person other than to the Borrower or any Subsidiary.</w:t>
      </w:r>
    </w:p>
    <w:p>
      <w:pPr>
        <w:spacing w:after="0" w:line="60" w:lineRule="exact"/>
        <w:rPr>
          <w:rFonts w:ascii="Arial" w:cs="Arial" w:eastAsia="Arial" w:hAnsi="Arial"/>
          <w:sz w:val="16"/>
          <w:szCs w:val="16"/>
          <w:color w:val="auto"/>
        </w:rPr>
      </w:pPr>
    </w:p>
    <w:p>
      <w:pPr>
        <w:ind w:left="304" w:hanging="304"/>
        <w:spacing w:after="0"/>
        <w:tabs>
          <w:tab w:leader="none" w:pos="30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Section 9.9. thereof in its entirety as follows: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9.9. Transactions with Affiliates.</w:t>
      </w:r>
    </w:p>
    <w:p>
      <w:pPr>
        <w:spacing w:after="0" w:line="121" w:lineRule="exact"/>
        <w:rPr>
          <w:sz w:val="20"/>
          <w:szCs w:val="20"/>
          <w:color w:val="auto"/>
        </w:rPr>
      </w:pPr>
    </w:p>
    <w:p>
      <w:pPr>
        <w:ind w:left="4" w:right="100" w:firstLine="423"/>
        <w:spacing w:after="0" w:line="296" w:lineRule="auto"/>
        <w:rPr>
          <w:sz w:val="20"/>
          <w:szCs w:val="20"/>
          <w:color w:val="auto"/>
        </w:rPr>
      </w:pPr>
      <w:r>
        <w:rPr>
          <w:rFonts w:ascii="Arial" w:cs="Arial" w:eastAsia="Arial" w:hAnsi="Arial"/>
          <w:sz w:val="16"/>
          <w:szCs w:val="16"/>
          <w:color w:val="auto"/>
        </w:rPr>
        <w:t>The Borrower shall not permit to exist or enter into, and shall not permit any other Loan Party or any other Subsidiary to permit to exist or enter into, any transaction (including the purchase, sale, lease or exchange of any property or the rendering of any service) with any Affiliate, except (a) compensation, bonus and benefit arrangements with employees, officers and trustees as permitted by Applicable Law, (b) transactions permitted by Section 9.5. to the extent among the Borrower, the other Loan Parties and other Subsidiaries, (c) Restricted Payments to the Parent and the other partners of the Borrower in accordance with Section 9.1.(i), (d) transactions relating to the Reorganization</w:t>
      </w:r>
    </w:p>
    <w:p>
      <w:pPr>
        <w:spacing w:after="0" w:line="94"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04"/>
          </w:cols>
          <w:pgMar w:left="876" w:top="274" w:right="519" w:bottom="1440" w:gutter="0" w:footer="0" w:header="0"/>
        </w:sectPr>
      </w:pPr>
    </w:p>
    <w:bookmarkStart w:id="134" w:name="page135"/>
    <w:bookmarkEnd w:id="134"/>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Transactions (as such term is defined in the Second Amendment) or (e) transactions in the ordinary course of and pursuant to the reasonable requirements of the business of the Borrower, such other Loan Party or such other Subsidiary and upon fair and reasonable terms which are no less favorable to the Borrower, such other Loan Party or such other Subsidiary than would be obtained in a comparable arm’s length transaction with a Person that is not an Affiliate.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(x) The Credit Agreement is further amended by adding the following Section 9.14:</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9.14. Parent and General Partner.</w:t>
      </w:r>
    </w:p>
    <w:p>
      <w:pPr>
        <w:spacing w:after="0" w:line="121" w:lineRule="exact"/>
        <w:rPr>
          <w:sz w:val="20"/>
          <w:szCs w:val="20"/>
          <w:color w:val="auto"/>
        </w:rPr>
      </w:pPr>
    </w:p>
    <w:p>
      <w:pPr>
        <w:ind w:left="440" w:right="80"/>
        <w:spacing w:after="0" w:line="285" w:lineRule="auto"/>
        <w:rPr>
          <w:sz w:val="20"/>
          <w:szCs w:val="20"/>
          <w:color w:val="auto"/>
        </w:rPr>
      </w:pPr>
      <w:r>
        <w:rPr>
          <w:rFonts w:ascii="Arial" w:cs="Arial" w:eastAsia="Arial" w:hAnsi="Arial"/>
          <w:sz w:val="16"/>
          <w:szCs w:val="16"/>
          <w:color w:val="auto"/>
        </w:rPr>
        <w:t>For so long as the Parent is not a Guarantor, the Parent’s assets shall consist solely of Equity Interests in the Borrower or Equity Interests in any Wholly Owned Subsidiaries (including the General Partner) whose assets consist solely of direct or indirect Equity Interests in the Borrower; provided, that the Parent may (A) have cash and other assets of nominal value incidental to its ownership of such Equity Interests, (B) maintain assets on a temporary or pass-through basis that are held for subsequent payment of dividends or other Restricted Payments not prohibited by this Agreement or any other Loan Document or for contribution to any Subsidiary for a period not in excess of ten (10) Business Days and</w:t>
      </w:r>
    </w:p>
    <w:p>
      <w:pPr>
        <w:spacing w:after="0" w:line="2" w:lineRule="exact"/>
        <w:rPr>
          <w:sz w:val="20"/>
          <w:szCs w:val="20"/>
          <w:color w:val="auto"/>
        </w:rPr>
      </w:pPr>
    </w:p>
    <w:p>
      <w:pPr>
        <w:ind w:left="440" w:right="20" w:hanging="4"/>
        <w:spacing w:after="0" w:line="267" w:lineRule="auto"/>
        <w:tabs>
          <w:tab w:leader="none" w:pos="72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maintain reasonable reserves for liabilities of the type permitted by the remainder of this Section 9.14. In addition, none of the Parent, the General Partner, or any Wholly Owned Subsidiaries of the Parent whose assets consist solely of direct or indirect Equity Interests in the Borrower, shall have any liabilities other than liabilities that would be reflected in consolidated financial statements of the Borrower; provided, that the Parent may have (1) other liabilities incidental to its status as a publicly traded REIT and not constituting liabilities in respect of Indebtedness for borrowed money, including liabilities associated with employment contracts, employee benefit matters, indemnification obligations pursuant to purchase and sale agreements and tax liabilities, (2) nonconsensual obligations imposed by operation of Applicable Law, (3) immaterial intercompany obligations or other intercompany obligations owing by the Parent or any Subsidiary of the Parent that is not a Subsidiary of the Borrower to the Borrower or any Subsidiary of the Borrower, (4) liabilities incurred in connection with its maintenance of corporate status, preparation of Securities and Exchange Commission filings, accountants’ fees and similar administrative matters, (5) liabilities to underwriters and private placement agents incurred under underwriting agreements and private placement agreements in connection with offerings of securities by the Parent, (6) liabilities arising in connection with litigation or similar matters arising in the ordinary course of business, and (7) liabilities of a kind similar to those described above which are not, individually or in the aggregate, material to the Parent, the Borrower and their Subsidiaries taken as a whole.</w:t>
      </w:r>
    </w:p>
    <w:p>
      <w:pPr>
        <w:spacing w:after="0" w:line="75" w:lineRule="exact"/>
        <w:rPr>
          <w:sz w:val="20"/>
          <w:szCs w:val="20"/>
          <w:color w:val="auto"/>
        </w:rPr>
      </w:pPr>
    </w:p>
    <w:p>
      <w:pPr>
        <w:ind w:right="520" w:firstLine="436"/>
        <w:spacing w:after="0" w:line="277" w:lineRule="auto"/>
        <w:tabs>
          <w:tab w:leader="none" w:pos="69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Credit Agreement is further amended by restating clauses (e), (f), and (l) of Section 10.1. thereof in their entirety as follows (for the avoidance of doubt the remainder of Section 10.1 shall remain as in effect prior to the Second Amendment):</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1"/>
          <w:numId w:val="157"/>
        </w:numPr>
        <w:rPr>
          <w:rFonts w:ascii="Arial" w:cs="Arial" w:eastAsia="Arial" w:hAnsi="Arial"/>
          <w:sz w:val="16"/>
          <w:szCs w:val="16"/>
          <w:color w:val="auto"/>
        </w:rPr>
      </w:pPr>
      <w:r>
        <w:rPr>
          <w:rFonts w:ascii="Arial" w:cs="Arial" w:eastAsia="Arial" w:hAnsi="Arial"/>
          <w:sz w:val="16"/>
          <w:szCs w:val="16"/>
          <w:u w:val="single" w:color="auto"/>
          <w:color w:val="auto"/>
        </w:rPr>
        <w:t>Voluntary Bankruptcy Proceeding</w:t>
      </w:r>
      <w:r>
        <w:rPr>
          <w:rFonts w:ascii="Arial" w:cs="Arial" w:eastAsia="Arial" w:hAnsi="Arial"/>
          <w:sz w:val="16"/>
          <w:szCs w:val="16"/>
          <w:color w:val="auto"/>
        </w:rPr>
        <w:t>. The Borrower, any other Loan Party, the Parent, the General Partner, or any Significant Subsidiary,</w:t>
      </w:r>
    </w:p>
    <w:p>
      <w:pPr>
        <w:spacing w:after="0" w:line="46" w:lineRule="exact"/>
        <w:rPr>
          <w:rFonts w:ascii="Arial" w:cs="Arial" w:eastAsia="Arial" w:hAnsi="Arial"/>
          <w:sz w:val="16"/>
          <w:szCs w:val="16"/>
          <w:color w:val="auto"/>
        </w:rPr>
      </w:pPr>
    </w:p>
    <w:p>
      <w:pPr>
        <w:ind w:left="440"/>
        <w:spacing w:after="0" w:line="253" w:lineRule="auto"/>
        <w:rPr>
          <w:rFonts w:ascii="Arial" w:cs="Arial" w:eastAsia="Arial" w:hAnsi="Arial"/>
          <w:sz w:val="16"/>
          <w:szCs w:val="16"/>
          <w:color w:val="auto"/>
        </w:rPr>
      </w:pPr>
      <w:r>
        <w:rPr>
          <w:rFonts w:ascii="Arial" w:cs="Arial" w:eastAsia="Arial" w:hAnsi="Arial"/>
          <w:sz w:val="18"/>
          <w:szCs w:val="18"/>
          <w:color w:val="auto"/>
        </w:rPr>
        <w:t>shall: (i) commence a voluntary case under the Bankruptcy Code or other federal bankruptcy laws (as now or hereafter in effect); (ii) file a petition seeking to take advantage of any other Applicable Laws, domestic or foreign, relating to bankruptcy, insolvency, reorganization, winding- up, or composition or adjustment of debts; (iii) consent to, or fail to contest in a timely and appropriate manner, any petition filed against it in an involuntary case under such</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35" w:name="page136"/>
    <w:bookmarkEnd w:id="135"/>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bankruptcy laws or other Applicable Laws or consent to any proceeding or action described in the immediately following subsection (f);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68" w:lineRule="exact"/>
        <w:rPr>
          <w:sz w:val="20"/>
          <w:szCs w:val="20"/>
          <w:color w:val="auto"/>
        </w:rPr>
      </w:pPr>
    </w:p>
    <w:p>
      <w:pPr>
        <w:ind w:firstLine="419"/>
        <w:spacing w:after="0" w:line="254" w:lineRule="auto"/>
        <w:tabs>
          <w:tab w:leader="none" w:pos="64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Involuntary Bankruptcy Proceeding</w:t>
      </w:r>
      <w:r>
        <w:rPr>
          <w:rFonts w:ascii="Arial" w:cs="Arial" w:eastAsia="Arial" w:hAnsi="Arial"/>
          <w:sz w:val="18"/>
          <w:szCs w:val="18"/>
          <w:color w:val="auto"/>
        </w:rPr>
        <w:t>. A case or other proceeding shall be commenced against the Borrower, any other Loan Party, the Parent, the General Partner, or any other Significant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in the case of either clause (i) or (ii) such case or proceeding shall continue undismissed or unstayed for a period of 60 consecutive days, or an order granting the remedy or other relief requested in such case or proceeding (including, but not limited to, an order for relief under such Bankruptcy Code or such other federal bankruptcy laws) shall be entered.</w:t>
      </w:r>
    </w:p>
    <w:p>
      <w:pPr>
        <w:spacing w:after="0" w:line="84" w:lineRule="exact"/>
        <w:rPr>
          <w:sz w:val="20"/>
          <w:szCs w:val="20"/>
          <w:color w:val="auto"/>
        </w:rPr>
      </w:pPr>
    </w:p>
    <w:p>
      <w:pPr>
        <w:ind w:left="640" w:hanging="221"/>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Change of Control/Change in Management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right="60" w:firstLine="408"/>
        <w:spacing w:after="0" w:line="293" w:lineRule="auto"/>
        <w:tabs>
          <w:tab w:leader="none" w:pos="1156" w:val="left"/>
        </w:tabs>
        <w:numPr>
          <w:ilvl w:val="1"/>
          <w:numId w:val="159"/>
        </w:numPr>
        <w:rPr>
          <w:rFonts w:ascii="Arial" w:cs="Arial" w:eastAsia="Arial" w:hAnsi="Arial"/>
          <w:sz w:val="16"/>
          <w:szCs w:val="16"/>
          <w:color w:val="auto"/>
        </w:rPr>
      </w:pPr>
      <w:r>
        <w:rPr>
          <w:rFonts w:ascii="Arial" w:cs="Arial" w:eastAsia="Arial" w:hAnsi="Arial"/>
          <w:sz w:val="16"/>
          <w:szCs w:val="16"/>
          <w:color w:val="auto"/>
        </w:rPr>
        <w:t>(x) Any “person” or “group” (as such terms are used in Sections 13(d) and 14(d) of the Securities Exchange Act),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35% of the total voting power of the then outstanding voting securities of the Parent, (y) the Parent shall cease to own, directly or indirectly, greater than 50% of the partnership interests of the Borrower or (z) the Parent ceases to, directly or indirectly, have the power to exercise management and control of the Borrower; or</w:t>
      </w:r>
    </w:p>
    <w:p>
      <w:pPr>
        <w:spacing w:after="0" w:line="56" w:lineRule="exact"/>
        <w:rPr>
          <w:rFonts w:ascii="Arial" w:cs="Arial" w:eastAsia="Arial" w:hAnsi="Arial"/>
          <w:sz w:val="16"/>
          <w:szCs w:val="16"/>
          <w:color w:val="auto"/>
        </w:rPr>
      </w:pPr>
    </w:p>
    <w:p>
      <w:pPr>
        <w:ind w:left="540" w:right="100" w:firstLine="408"/>
        <w:spacing w:after="0" w:line="275" w:lineRule="auto"/>
        <w:tabs>
          <w:tab w:leader="none" w:pos="1206" w:val="left"/>
        </w:tabs>
        <w:numPr>
          <w:ilvl w:val="1"/>
          <w:numId w:val="159"/>
        </w:numPr>
        <w:rPr>
          <w:rFonts w:ascii="Arial" w:cs="Arial" w:eastAsia="Arial" w:hAnsi="Arial"/>
          <w:sz w:val="17"/>
          <w:szCs w:val="17"/>
          <w:color w:val="auto"/>
        </w:rPr>
      </w:pPr>
      <w:r>
        <w:rPr>
          <w:rFonts w:ascii="Arial" w:cs="Arial" w:eastAsia="Arial" w:hAnsi="Arial"/>
          <w:sz w:val="17"/>
          <w:szCs w:val="17"/>
          <w:color w:val="auto"/>
        </w:rPr>
        <w:t>During any period of 12 consecutive months ending after the Agreement Date, individuals who at the beginning of any such 12 month period constituted the Board of Trustees of the Parent (together with any new trustees whose election by such Board or whose nomination for election by the shareholders of the Parent was approved by a vote of a majority of the trustees then still in office who were either trustees at the beginning of such period or whose election or nomination for election was previously so approved) cease for any reason to constitute two-thirds (2/3) of the Board of Trustees of the Parent then in office; or</w:t>
      </w:r>
    </w:p>
    <w:p>
      <w:pPr>
        <w:spacing w:after="0" w:line="68" w:lineRule="exact"/>
        <w:rPr>
          <w:rFonts w:ascii="Arial" w:cs="Arial" w:eastAsia="Arial" w:hAnsi="Arial"/>
          <w:sz w:val="17"/>
          <w:szCs w:val="17"/>
          <w:color w:val="auto"/>
        </w:rPr>
      </w:pPr>
    </w:p>
    <w:p>
      <w:pPr>
        <w:ind w:left="540" w:right="200" w:firstLine="408"/>
        <w:spacing w:after="0" w:line="277" w:lineRule="auto"/>
        <w:tabs>
          <w:tab w:leader="none" w:pos="125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Person other than the General Partner, the Parent or any Wholly Owned Subsidiary of the Parent shall become the general partner of the Borrower; or</w:t>
      </w:r>
    </w:p>
    <w:p>
      <w:pPr>
        <w:spacing w:after="0" w:line="62" w:lineRule="exact"/>
        <w:rPr>
          <w:rFonts w:ascii="Arial" w:cs="Arial" w:eastAsia="Arial" w:hAnsi="Arial"/>
          <w:sz w:val="18"/>
          <w:szCs w:val="18"/>
          <w:color w:val="auto"/>
        </w:rPr>
      </w:pPr>
    </w:p>
    <w:p>
      <w:pPr>
        <w:ind w:left="1260" w:hanging="312"/>
        <w:spacing w:after="0"/>
        <w:tabs>
          <w:tab w:leader="none" w:pos="12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Parent shall cease to be the sole member of the General Partner.</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136" w:name="page137"/>
    <w:bookmarkEnd w:id="1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(z) The Credit Agreement is further amended by restating Section 12.15 thereof in its entirety as follows: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12.15. Obligations with Respect to Loan Parties and other Persons.</w:t>
      </w:r>
    </w:p>
    <w:p>
      <w:pPr>
        <w:spacing w:after="0" w:line="121" w:lineRule="exact"/>
        <w:rPr>
          <w:sz w:val="20"/>
          <w:szCs w:val="20"/>
          <w:color w:val="auto"/>
        </w:rPr>
      </w:pPr>
    </w:p>
    <w:p>
      <w:pPr>
        <w:ind w:left="440" w:right="140" w:firstLine="423"/>
        <w:spacing w:after="0" w:line="296" w:lineRule="auto"/>
        <w:rPr>
          <w:sz w:val="20"/>
          <w:szCs w:val="20"/>
          <w:color w:val="auto"/>
        </w:rPr>
      </w:pPr>
      <w:r>
        <w:rPr>
          <w:rFonts w:ascii="Arial" w:cs="Arial" w:eastAsia="Arial" w:hAnsi="Arial"/>
          <w:sz w:val="16"/>
          <w:szCs w:val="16"/>
          <w:color w:val="auto"/>
        </w:rPr>
        <w:t>The obligations of the Borrower including those obligations with respect to actions or inactions by the Parent, the General Partner or any Wholly Owned Subsidiary of the Parent and those obligations to direct or prohibit the taking of certain actions by other Loan Parties as specified herein shall be absolute and not subject to any defense the Borrower may have that the Borrower does not control the Parent, the General Partner or such Loan Parties. Any breach of any term, covenant, condition or agreement contained in this Agreement relating to the Parent, the General Partner or any Wholly Owned Subsidiary of the Parent shall be deemed to be breach of such term by the Borrower.</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(aa) The Credit Agreement is further amended by restating Section 12.21 thereof in its entirety as follows: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12.21. Limitation of Liability of Trustees, Etc.</w:t>
      </w:r>
    </w:p>
    <w:p>
      <w:pPr>
        <w:spacing w:after="0" w:line="121" w:lineRule="exact"/>
        <w:rPr>
          <w:sz w:val="20"/>
          <w:szCs w:val="20"/>
          <w:color w:val="auto"/>
        </w:rPr>
      </w:pPr>
    </w:p>
    <w:p>
      <w:pPr>
        <w:ind w:left="440" w:right="40" w:firstLine="423"/>
        <w:spacing w:after="0" w:line="255" w:lineRule="auto"/>
        <w:rPr>
          <w:sz w:val="20"/>
          <w:szCs w:val="20"/>
          <w:color w:val="auto"/>
        </w:rPr>
      </w:pPr>
      <w:r>
        <w:rPr>
          <w:rFonts w:ascii="Arial" w:cs="Arial" w:eastAsia="Arial" w:hAnsi="Arial"/>
          <w:sz w:val="18"/>
          <w:szCs w:val="18"/>
          <w:color w:val="auto"/>
        </w:rPr>
        <w:t>NOTWITHSTANDING ANY OTHER PROVISION OF THIS AGREEMENT AND THE OTHER LOAN DOCUMENTS, THE AGENT AND THE LENDERS SHALL LOOK SOLELY TO THE BORROWER AND THE OTHER LOAN PARTIES FOR THE ENFORCEMENT OF ANY CLAIM AGAINST THE BORROWER AND SUCH LOAN PARTY UNDER OR IN RESPECT OF ANY OF THE LOAN DOCUMENTS AND ACCORDINGLY NEITHER THE TRUSTEES, OFFICERS, EMPLOYEES, SHAREHOLDERS NOR PARTNERS OF THE BORROWER, THE PARENT OR THE GENERAL PARTNER SHALL HAVE ANY PERSONAL LIABILITY FOR OBLIGATIONS ENTERED INTO BY OR ON BEHALF OF THE BORROWER OR ANY OTHER LOAN PARTY.</w:t>
      </w:r>
    </w:p>
    <w:p>
      <w:pPr>
        <w:spacing w:after="0" w:line="84" w:lineRule="exact"/>
        <w:rPr>
          <w:sz w:val="20"/>
          <w:szCs w:val="20"/>
          <w:color w:val="auto"/>
        </w:rPr>
      </w:pPr>
    </w:p>
    <w:p>
      <w:pPr>
        <w:ind w:left="780" w:hanging="344"/>
        <w:spacing w:after="0"/>
        <w:tabs>
          <w:tab w:leader="none" w:pos="7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Credit Agreement is further amended by replacing Schedule 6.1.(b) thereto with Schedule 6.1.(b) attached hereto.</w:t>
      </w:r>
    </w:p>
    <w:p>
      <w:pPr>
        <w:spacing w:after="0" w:line="117" w:lineRule="exact"/>
        <w:rPr>
          <w:rFonts w:ascii="Arial" w:cs="Arial" w:eastAsia="Arial" w:hAnsi="Arial"/>
          <w:sz w:val="18"/>
          <w:szCs w:val="18"/>
          <w:color w:val="auto"/>
        </w:rPr>
      </w:pPr>
    </w:p>
    <w:p>
      <w:pPr>
        <w:ind w:left="760" w:hanging="324"/>
        <w:spacing w:after="0"/>
        <w:tabs>
          <w:tab w:leader="none" w:pos="7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Credit Agreement is further amended by adding Exhibit L attached hereto as an exhibit thereto.</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Consent</w:t>
      </w:r>
      <w:r>
        <w:rPr>
          <w:rFonts w:ascii="Arial" w:cs="Arial" w:eastAsia="Arial" w:hAnsi="Arial"/>
          <w:sz w:val="17"/>
          <w:szCs w:val="17"/>
          <w:color w:val="auto"/>
        </w:rPr>
        <w:t>. The parties acknowledge that the Reorganization Transactions shall effect a change of control in violation of Section 10.1.(l) of the Credit Agreement. Notwithstanding Section 10.1.(l) of the Credit Agreement and subject to the satisfaction of the conditions precedent set forth in Section 3 below, the Administrative Agent and the Lenders hereby consent to the Reorganization Transactions as such Reorganization Transactions are described in the recitals hereto, including the change of control effected thereby and the Conversion. The Borrower hereby acknowledges and agrees that the consent contained in this Section 2 shall not waive or amend (or be deemed to be or constitute a consent with respect to, or modification or waiver of) any other covenant, term or provision in the Credit Agreement or any future compliance with any covenant, term or provision of the Credit Agreement except as otherwise expressly set forth herein.</w:t>
      </w:r>
    </w:p>
    <w:p>
      <w:pPr>
        <w:spacing w:after="0" w:line="17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Amendment is subject to receipt by the Administrative Agent of each of the following in form and substance satisfactory to the Administrative Agent: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37" w:name="page138"/>
    <w:bookmarkEnd w:id="137"/>
    <w:p>
      <w:pPr>
        <w:ind w:left="540" w:hanging="532"/>
        <w:spacing w:after="0"/>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counterpart of this Amendment duly executed by the Borrower, the Administrative Agent and the Lenders;</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an opinion of Pillsbury Winthrop Shaw Pittman LLP, counsel to the Borrower, addressed to the Administrative Agent and the Lenders;</w:t>
      </w:r>
    </w:p>
    <w:p>
      <w:pPr>
        <w:spacing w:after="0" w:line="142" w:lineRule="exact"/>
        <w:rPr>
          <w:rFonts w:ascii="Arial" w:cs="Arial" w:eastAsia="Arial" w:hAnsi="Arial"/>
          <w:sz w:val="17"/>
          <w:szCs w:val="17"/>
          <w:color w:val="auto"/>
        </w:rPr>
      </w:pPr>
    </w:p>
    <w:p>
      <w:pPr>
        <w:ind w:left="540" w:right="80" w:hanging="532"/>
        <w:spacing w:after="0" w:line="263"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certificate or articles of incorporation or formation, articles of organization, certificate of limited partnership, declaration of trust or other comparable organizational instrument (if any) of the General Partner, the Parent and the Borrower certified as of a recent date by the Secretary of State of the state of formation of such Person;</w:t>
      </w:r>
    </w:p>
    <w:p>
      <w:pPr>
        <w:spacing w:after="0" w:line="89" w:lineRule="exact"/>
        <w:rPr>
          <w:rFonts w:ascii="Arial" w:cs="Arial" w:eastAsia="Arial" w:hAnsi="Arial"/>
          <w:sz w:val="18"/>
          <w:szCs w:val="18"/>
          <w:color w:val="auto"/>
        </w:rPr>
      </w:pPr>
    </w:p>
    <w:p>
      <w:pPr>
        <w:ind w:left="540" w:right="100" w:hanging="532"/>
        <w:spacing w:after="0" w:line="308" w:lineRule="auto"/>
        <w:tabs>
          <w:tab w:leader="none" w:pos="5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 certificate of good standing (or certificate of similar meaning) with respect to the General Partner, the Parent and the Borrower issued as of a recent date preceding the Merger by the Secretary of State of the state of formation of each such Person;</w:t>
      </w:r>
    </w:p>
    <w:p>
      <w:pPr>
        <w:spacing w:after="0" w:line="51" w:lineRule="exact"/>
        <w:rPr>
          <w:rFonts w:ascii="Arial" w:cs="Arial" w:eastAsia="Arial" w:hAnsi="Arial"/>
          <w:sz w:val="17"/>
          <w:szCs w:val="17"/>
          <w:color w:val="auto"/>
        </w:rPr>
      </w:pPr>
    </w:p>
    <w:p>
      <w:pPr>
        <w:ind w:left="540" w:right="60" w:hanging="532"/>
        <w:spacing w:after="0" w:line="263"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certificate of incumbency signed by the Secretary or Assistant Secretary (or other individual performing similar functions) of the Borrower with respect to each of the officers of the Borrower authorized to execute and deliver the Loan Documents including the Notices of Conversion and Notices of Continuation;</w:t>
      </w:r>
    </w:p>
    <w:p>
      <w:pPr>
        <w:spacing w:after="0" w:line="89" w:lineRule="exact"/>
        <w:rPr>
          <w:rFonts w:ascii="Arial" w:cs="Arial" w:eastAsia="Arial" w:hAnsi="Arial"/>
          <w:sz w:val="18"/>
          <w:szCs w:val="18"/>
          <w:color w:val="auto"/>
        </w:rPr>
      </w:pPr>
    </w:p>
    <w:p>
      <w:pPr>
        <w:jc w:val="both"/>
        <w:ind w:left="540" w:right="160" w:hanging="532"/>
        <w:spacing w:after="0" w:line="287" w:lineRule="auto"/>
        <w:tabs>
          <w:tab w:leader="none" w:pos="5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copies certified by the Secretary or Assistant Secretary (or other individual performing similar functions) of each such Person of (A) the by-laws of the General Partner, the Parent and the Borrower, if a corporation, the operating agreement, if a limited liability company, the partnership agreement, if a limited or general partnership, or other comparable document in the case of any other form of legal entity and</w:t>
      </w:r>
    </w:p>
    <w:p>
      <w:pPr>
        <w:spacing w:after="0" w:line="2" w:lineRule="exact"/>
        <w:rPr>
          <w:rFonts w:ascii="Arial" w:cs="Arial" w:eastAsia="Arial" w:hAnsi="Arial"/>
          <w:sz w:val="16"/>
          <w:szCs w:val="16"/>
          <w:color w:val="auto"/>
        </w:rPr>
      </w:pPr>
    </w:p>
    <w:p>
      <w:pPr>
        <w:ind w:left="540" w:right="300" w:firstLine="8"/>
        <w:spacing w:after="0" w:line="260" w:lineRule="auto"/>
        <w:tabs>
          <w:tab w:leader="none" w:pos="82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 the case of the Borrower, all necessary action taken by the Borrower to authorize the execution, delivery and performance of this Amendment;</w:t>
      </w:r>
    </w:p>
    <w:p>
      <w:pPr>
        <w:spacing w:after="0" w:line="90" w:lineRule="exact"/>
        <w:rPr>
          <w:rFonts w:ascii="Arial" w:cs="Arial" w:eastAsia="Arial" w:hAnsi="Arial"/>
          <w:sz w:val="18"/>
          <w:szCs w:val="18"/>
          <w:color w:val="auto"/>
        </w:rPr>
      </w:pPr>
    </w:p>
    <w:p>
      <w:pPr>
        <w:ind w:left="540" w:hanging="532"/>
        <w:spacing w:after="0"/>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Merger shall have occurred or shall occur substantially simultaneous with the effectiveness of the Amendment;</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good faith judgment of the Administrative Agent:</w:t>
      </w:r>
    </w:p>
    <w:p>
      <w:pPr>
        <w:spacing w:after="0" w:line="130" w:lineRule="exact"/>
        <w:rPr>
          <w:rFonts w:ascii="Arial" w:cs="Arial" w:eastAsia="Arial" w:hAnsi="Arial"/>
          <w:sz w:val="18"/>
          <w:szCs w:val="18"/>
          <w:color w:val="auto"/>
        </w:rPr>
      </w:pPr>
    </w:p>
    <w:p>
      <w:pPr>
        <w:ind w:left="1000" w:right="120" w:hanging="439"/>
        <w:spacing w:after="0" w:line="301" w:lineRule="auto"/>
        <w:tabs>
          <w:tab w:leader="none" w:pos="1000" w:val="left"/>
        </w:tabs>
        <w:numPr>
          <w:ilvl w:val="2"/>
          <w:numId w:val="161"/>
        </w:numPr>
        <w:rPr>
          <w:rFonts w:ascii="Arial" w:cs="Arial" w:eastAsia="Arial" w:hAnsi="Arial"/>
          <w:sz w:val="16"/>
          <w:szCs w:val="16"/>
          <w:color w:val="auto"/>
        </w:rPr>
      </w:pPr>
      <w:r>
        <w:rPr>
          <w:rFonts w:ascii="Arial" w:cs="Arial" w:eastAsia="Arial" w:hAnsi="Arial"/>
          <w:sz w:val="16"/>
          <w:szCs w:val="16"/>
          <w:color w:val="auto"/>
        </w:rPr>
        <w:t>there shall not have occurred or become known to the Administrative Agent or any of the Lenders any event, condition, situation or status since the date of the information contained in the financial and business projections, budgets, pro forma data and forecasts concerning the Borrower and its Subsidiaries or the Parent and its Subsidiaries delivered to the Administrative Agent and the Lenders prior to the Second Amendment Date that has had or could reasonably be expected to result in a Material Adverse Effect;</w:t>
      </w:r>
    </w:p>
    <w:p>
      <w:pPr>
        <w:spacing w:after="0" w:line="62" w:lineRule="exact"/>
        <w:rPr>
          <w:rFonts w:ascii="Arial" w:cs="Arial" w:eastAsia="Arial" w:hAnsi="Arial"/>
          <w:sz w:val="16"/>
          <w:szCs w:val="16"/>
          <w:color w:val="auto"/>
        </w:rPr>
      </w:pPr>
    </w:p>
    <w:p>
      <w:pPr>
        <w:ind w:left="1000" w:hanging="439"/>
        <w:spacing w:after="0" w:line="301" w:lineRule="auto"/>
        <w:tabs>
          <w:tab w:leader="none" w:pos="1000" w:val="left"/>
        </w:tabs>
        <w:numPr>
          <w:ilvl w:val="2"/>
          <w:numId w:val="161"/>
        </w:numPr>
        <w:rPr>
          <w:rFonts w:ascii="Arial" w:cs="Arial" w:eastAsia="Arial" w:hAnsi="Arial"/>
          <w:sz w:val="16"/>
          <w:szCs w:val="16"/>
          <w:color w:val="auto"/>
        </w:rPr>
      </w:pPr>
      <w:r>
        <w:rPr>
          <w:rFonts w:ascii="Arial" w:cs="Arial" w:eastAsia="Arial" w:hAnsi="Arial"/>
          <w:sz w:val="16"/>
          <w:szCs w:val="16"/>
          <w:color w:val="auto"/>
        </w:rPr>
        <w:t>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the Borrower, the General Partner or the Parent to enter into the Reorganization Transactions or this Amendment or to fulfill its obligations under the Loan Documents to which it is a party;</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860" w:top="274" w:right="459" w:bottom="1440" w:gutter="0" w:footer="0" w:header="0"/>
        </w:sectPr>
      </w:pPr>
    </w:p>
    <w:bookmarkStart w:id="138" w:name="page139"/>
    <w:bookmarkEnd w:id="138"/>
    <w:p>
      <w:pPr>
        <w:ind w:left="1000" w:hanging="439"/>
        <w:spacing w:after="0" w:line="254" w:lineRule="auto"/>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Parent, the General Partner and the Borrower shall have received all approvals, consents and waivers, and shall have made or given all necessary filings and notices as shall be required to consummate the Reorganization Transactions and the transactions contemplated hereby without the occurrence of any default under, conflict with or violation of (A) any Applicable Law or (B) any agreement, document or instrument to which any Loan Party is a party or by which any of them or their respective properties is bound, except for such approvals, consents, waivers, filings and notices the receipt, making or giving of which could not reasonably be likely to (x) have a Material Adverse Effect, or (y) restrain or enjoin impose materially burdensome conditions on, or otherwise materially and adversely affect the ability of the Borrower or any other Loan Party to fulfill its obligations under the Loan Documents to which it is a party;</w:t>
      </w:r>
    </w:p>
    <w:p>
      <w:pPr>
        <w:spacing w:after="0" w:line="97" w:lineRule="exact"/>
        <w:rPr>
          <w:rFonts w:ascii="Arial" w:cs="Arial" w:eastAsia="Arial" w:hAnsi="Arial"/>
          <w:sz w:val="18"/>
          <w:szCs w:val="18"/>
          <w:color w:val="auto"/>
        </w:rPr>
      </w:pPr>
    </w:p>
    <w:p>
      <w:pPr>
        <w:ind w:left="1000" w:hanging="439"/>
        <w:spacing w:after="0" w:line="259" w:lineRule="auto"/>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Borrower and, if applicable, the Parent and the General Partner shall have provided to the Administrative Agent and the Lenders the documentation and other information requested by the Administrative Agent in order to comply with the requirements of any Anti-Money Laundering Laws, including, without limitation, the PATRIOT Act and any applicable “know your customer” rules and regulations;</w:t>
      </w:r>
    </w:p>
    <w:p>
      <w:pPr>
        <w:spacing w:after="0" w:line="92" w:lineRule="exact"/>
        <w:rPr>
          <w:rFonts w:ascii="Arial" w:cs="Arial" w:eastAsia="Arial" w:hAnsi="Arial"/>
          <w:sz w:val="18"/>
          <w:szCs w:val="18"/>
          <w:color w:val="auto"/>
        </w:rPr>
      </w:pPr>
    </w:p>
    <w:p>
      <w:pPr>
        <w:ind w:left="1000" w:hanging="439"/>
        <w:spacing w:after="0" w:line="286" w:lineRule="auto"/>
        <w:tabs>
          <w:tab w:leader="none" w:pos="10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each Loan Party or Subsidiary thereof that qualifies as a “legal entity customer” under the Beneficial Ownership Regulation shall have delivered to the Administrative Agent, and any Lender requesting the same, a Beneficial Ownership Certification in relation to such Loan Party or such Subsidiary, in each case at least five Business Days prior to the Second Amendment Date;</w:t>
      </w:r>
    </w:p>
    <w:p>
      <w:pPr>
        <w:spacing w:after="0" w:line="70" w:lineRule="exact"/>
        <w:rPr>
          <w:rFonts w:ascii="Arial" w:cs="Arial" w:eastAsia="Arial" w:hAnsi="Arial"/>
          <w:sz w:val="17"/>
          <w:szCs w:val="17"/>
          <w:color w:val="auto"/>
        </w:rPr>
      </w:pPr>
    </w:p>
    <w:p>
      <w:pPr>
        <w:ind w:left="1000" w:right="300" w:hanging="439"/>
        <w:spacing w:after="0" w:line="263" w:lineRule="auto"/>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evidence that all fees, expenses and reimbursement amounts due and payable to the Administrative Agent and the arrangers, including without limitation, (i) the costs and expenses set forth in Section 7 hereto, and (ii) the reasonable fees and expenses of counsel to the Administrative Agent, have been paid; and</w:t>
      </w:r>
    </w:p>
    <w:p>
      <w:pPr>
        <w:spacing w:after="0" w:line="89" w:lineRule="exact"/>
        <w:rPr>
          <w:rFonts w:ascii="Arial" w:cs="Arial" w:eastAsia="Arial" w:hAnsi="Arial"/>
          <w:sz w:val="18"/>
          <w:szCs w:val="18"/>
          <w:color w:val="auto"/>
        </w:rPr>
      </w:pPr>
    </w:p>
    <w:p>
      <w:pPr>
        <w:ind w:left="1000" w:right="160" w:hanging="439"/>
        <w:spacing w:after="0" w:line="277" w:lineRule="auto"/>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other documents, agreements and instruments as the Administrative Agent, or any Lender through the Administrative Agent, may reasonably request.</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w:t>
      </w:r>
      <w:r>
        <w:rPr>
          <w:rFonts w:ascii="Arial" w:cs="Arial" w:eastAsia="Arial" w:hAnsi="Arial"/>
          <w:sz w:val="18"/>
          <w:szCs w:val="18"/>
          <w:color w:val="auto"/>
        </w:rPr>
        <w:t>. The Borrower represents and warrants to the Administrative Agent and the Lenders that:</w:t>
      </w:r>
    </w:p>
    <w:p>
      <w:pPr>
        <w:spacing w:after="0" w:line="131" w:lineRule="exact"/>
        <w:rPr>
          <w:sz w:val="20"/>
          <w:szCs w:val="20"/>
          <w:color w:val="auto"/>
        </w:rPr>
      </w:pPr>
    </w:p>
    <w:p>
      <w:pPr>
        <w:ind w:left="540" w:right="20" w:hanging="532"/>
        <w:spacing w:after="0" w:line="290" w:lineRule="auto"/>
        <w:tabs>
          <w:tab w:leader="none" w:pos="540"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Authorization of Loan Documents and Borrowings</w:t>
      </w:r>
      <w:r>
        <w:rPr>
          <w:rFonts w:ascii="Arial" w:cs="Arial" w:eastAsia="Arial" w:hAnsi="Arial"/>
          <w:sz w:val="16"/>
          <w:szCs w:val="16"/>
          <w:color w:val="auto"/>
        </w:rPr>
        <w:t>. The Borrower has the right and power, and has taken all necessary action to authorize it, to execute and deliver this Amendment and to perform its obligations hereunder and under the Credit Agreement, as amended by this Amendment, in accordance with their respective terms and to consummate the transactions contemplated hereby and thereby. This Amendment has been duly executed and delivered by the duly authorized officers of the Borrower, and each of this Amendment and the Credit Agreement, as amended by this Amendment, is a legal, valid and binding obligation of the Borrower, enforceable against the Borrower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70" w:lineRule="exact"/>
        <w:rPr>
          <w:rFonts w:ascii="Arial" w:cs="Arial" w:eastAsia="Arial" w:hAnsi="Arial"/>
          <w:sz w:val="16"/>
          <w:szCs w:val="16"/>
          <w:color w:val="auto"/>
        </w:rPr>
      </w:pPr>
    </w:p>
    <w:p>
      <w:pPr>
        <w:ind w:left="540" w:right="80" w:hanging="532"/>
        <w:spacing w:after="0" w:line="277"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Amendment and the Credit Agreement, as amended by this Amendment, constitute valid and binding agreements of the Borrower, enforceable against the Borrower in accordance with their terms.</w:t>
      </w:r>
    </w:p>
    <w:p>
      <w:pPr>
        <w:spacing w:after="0" w:line="10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00"/>
          </w:cols>
          <w:pgMar w:left="860" w:top="274" w:right="539" w:bottom="1440" w:gutter="0" w:footer="0" w:header="0"/>
        </w:sectPr>
      </w:pPr>
    </w:p>
    <w:bookmarkStart w:id="139" w:name="page140"/>
    <w:bookmarkEnd w:id="139"/>
    <w:p>
      <w:pPr>
        <w:ind w:left="960" w:right="280" w:hanging="532"/>
        <w:spacing w:after="0" w:line="277" w:lineRule="auto"/>
        <w:tabs>
          <w:tab w:leader="none" w:pos="96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Default</w:t>
      </w:r>
      <w:r>
        <w:rPr>
          <w:rFonts w:ascii="Arial" w:cs="Arial" w:eastAsia="Arial" w:hAnsi="Arial"/>
          <w:sz w:val="18"/>
          <w:szCs w:val="18"/>
          <w:color w:val="auto"/>
        </w:rPr>
        <w:t>. No Default or Event of Default has occurred and is continuing as of the date hereof nor will exist immediately after giving effect to this Amendment.</w:t>
      </w:r>
    </w:p>
    <w:p>
      <w:pPr>
        <w:spacing w:after="0" w:line="75" w:lineRule="exact"/>
        <w:rPr>
          <w:rFonts w:ascii="Arial" w:cs="Arial" w:eastAsia="Arial" w:hAnsi="Arial"/>
          <w:sz w:val="18"/>
          <w:szCs w:val="18"/>
          <w:color w:val="auto"/>
        </w:rPr>
      </w:pPr>
    </w:p>
    <w:p>
      <w:pPr>
        <w:ind w:left="960" w:right="20" w:hanging="532"/>
        <w:spacing w:after="0" w:line="259" w:lineRule="auto"/>
        <w:tabs>
          <w:tab w:leader="none" w:pos="96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2020, there has not been any material adverse condition or material adverse change in or affecting, nor has any circumstance or condition occurred that could reasonably be expected to result in a material adverse change in, or have a material adverse effect on, the business, assets, liabilities, financial condition or results of operations of the Borrower and its subsidiaries, taken as a whole.</w:t>
      </w:r>
    </w:p>
    <w:p>
      <w:pPr>
        <w:spacing w:after="0" w:line="18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Reaffirmation of Representations</w:t>
      </w:r>
      <w:r>
        <w:rPr>
          <w:rFonts w:ascii="Arial" w:cs="Arial" w:eastAsia="Arial" w:hAnsi="Arial"/>
          <w:sz w:val="17"/>
          <w:szCs w:val="17"/>
          <w:color w:val="auto"/>
        </w:rPr>
        <w:t>. The Borrower hereby repeats and reaffirms all representations and warranties made or deemed made by the Borrower to the Administrative Agent and the Lenders in the Credit Agreement as amended by this Amendment and the other Loan Documents on and as of the date hereof with the same force and effect as if such representations and warranties were set forth in this Amendment in full and such representations and warranties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spacing w:after="0" w:line="18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Post-Closing Covenants</w:t>
      </w:r>
      <w:r>
        <w:rPr>
          <w:rFonts w:ascii="Arial" w:cs="Arial" w:eastAsia="Arial" w:hAnsi="Arial"/>
          <w:sz w:val="18"/>
          <w:szCs w:val="18"/>
          <w:color w:val="auto"/>
        </w:rPr>
        <w:t>. In consideration for the consents and amendments set forth herein, the Loan Parties agree to deliver the following:</w:t>
      </w:r>
    </w:p>
    <w:p>
      <w:pPr>
        <w:spacing w:after="0" w:line="62" w:lineRule="exact"/>
        <w:rPr>
          <w:sz w:val="20"/>
          <w:szCs w:val="20"/>
          <w:color w:val="auto"/>
        </w:rPr>
      </w:pPr>
    </w:p>
    <w:p>
      <w:pPr>
        <w:ind w:right="520" w:firstLine="436"/>
        <w:spacing w:after="0" w:line="342" w:lineRule="auto"/>
        <w:tabs>
          <w:tab w:leader="none" w:pos="68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within ten (10) calendar days following the Second Amendment Date (or such longer period as approved by the Administrative Agent), certified copies of the material documents evidencing that the Conversion and all other Reorganization Transactions have been completed;</w:t>
      </w:r>
    </w:p>
    <w:p>
      <w:pPr>
        <w:spacing w:after="0" w:line="15" w:lineRule="exact"/>
        <w:rPr>
          <w:rFonts w:ascii="Arial" w:cs="Arial" w:eastAsia="Arial" w:hAnsi="Arial"/>
          <w:sz w:val="16"/>
          <w:szCs w:val="16"/>
          <w:color w:val="auto"/>
        </w:rPr>
      </w:pPr>
    </w:p>
    <w:p>
      <w:pPr>
        <w:ind w:firstLine="436"/>
        <w:spacing w:after="0" w:line="269" w:lineRule="auto"/>
        <w:tabs>
          <w:tab w:leader="none" w:pos="69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within fifteen (15) calendar days following the Second Amendment Date (or such longer period as approved by the Administrative Agent), (i) solely to the extent any of the following have been modified since the respective documents and certificates provided prior to the Second Amendment Date pursuant to Section 3 above, (A) the certificate or articles of incorporation or formation, articles of organization, certificate of limited partnership, declaration of trust or other comparable organizational instrument (if any) of the General Partner, the Parent and the Borrower certified as of a recent date by the Secretary of State of the state of formation of such Person, and (B) copies certified by the Secretary or Assistant Secretary (or other individual performing similar functions) of each such Person of the by-laws of the General Partner, the Parent and the Borrower, if a corporation, the operating agreement, if a limited liability company, the partnership agreement, if a limited or general partnership, or other comparable document in the case of any other form of legal entity and (ii) a certificate of good standing (or certificate of similar meaning) with respect to the General Partner, the Parent and the Borrower issued as of a recent date after giving effect to the Reorganization Transactions certified by the Secretary of State of the state of formation of each such Person; and</w:t>
      </w:r>
    </w:p>
    <w:p>
      <w:pPr>
        <w:spacing w:after="0" w:line="77" w:lineRule="exact"/>
        <w:rPr>
          <w:rFonts w:ascii="Arial" w:cs="Arial" w:eastAsia="Arial" w:hAnsi="Arial"/>
          <w:sz w:val="17"/>
          <w:szCs w:val="17"/>
          <w:color w:val="auto"/>
        </w:rPr>
      </w:pPr>
    </w:p>
    <w:p>
      <w:pPr>
        <w:ind w:right="60" w:firstLine="436"/>
        <w:spacing w:after="0" w:line="296" w:lineRule="auto"/>
        <w:tabs>
          <w:tab w:leader="none" w:pos="68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within fifteen (15) calendar days following the Second Amendment Date (or such longer period as approved by the Administrative Agent), (i) an opinion of Pillsbury Winthrop Shaw Pittman LLP, counsel to the Borrower, addressed to the Administrative Agent and the Lenders as to the effectiveness and enforceability of the Loan Documents against the Borrower after giving effect to the Reorganization Transactions and such other matters as reasonably requested by the Administrative Agent and (ii) a certificate duly executed by a Responsible Officer of the Borrower certifying to the effectiveness and enforceability of the Loan Documents against the Borrower after giving effect to the Reorganization Transactions.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140" w:name="page141"/>
    <w:bookmarkEnd w:id="140"/>
    <w:p>
      <w:pPr>
        <w:ind w:right="3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agree that failure of the Borrower to satisfy the foregoing covenants in the time periods set forth herein (as the same may be extended by the Administrative agent as set forth herein) shall result in an immediate Event of Default under the Amended Credit agreement.</w:t>
      </w:r>
    </w:p>
    <w:p>
      <w:pPr>
        <w:spacing w:after="0" w:line="124"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Certain References</w:t>
      </w:r>
      <w:r>
        <w:rPr>
          <w:rFonts w:ascii="Arial" w:cs="Arial" w:eastAsia="Arial" w:hAnsi="Arial"/>
          <w:sz w:val="18"/>
          <w:szCs w:val="18"/>
          <w:color w:val="auto"/>
        </w:rPr>
        <w:t>. Each reference to the Credit Agreement in any of the Loan Documents shall be deemed to be a reference to the Credit Agreement as amended by this Amendment. This Amendment is a Loan Document.</w:t>
      </w:r>
    </w:p>
    <w:p>
      <w:pPr>
        <w:spacing w:after="0" w:line="17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reimburse the Administrative Agent for all reasonable out-of-pocket costs and expenses (including attorneys’ fees) incurred by the Administrative Agent in connection with the preparation, negotiation and execution of this Amendment and the other agreements and documents executed and delivered in connection herewith.</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Benefits</w:t>
      </w:r>
      <w:r>
        <w:rPr>
          <w:rFonts w:ascii="Arial" w:cs="Arial" w:eastAsia="Arial" w:hAnsi="Arial"/>
          <w:sz w:val="18"/>
          <w:szCs w:val="18"/>
          <w:color w:val="auto"/>
        </w:rPr>
        <w:t>. This Amendment shall be binding upon and shall inure to the benefit of the parties hereto and their respective successors and assigns.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right="360" w:firstLine="436"/>
        <w:spacing w:after="0" w:line="277" w:lineRule="auto"/>
        <w:tabs>
          <w:tab w:leader="none" w:pos="68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LAWS OF THE STATE OF NEW YORK APPLICABLE TO CONTRACTS EXECUTED, AND TO BE FULLY PERFORMED, IN SUCH STATE.</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addition, except to the extent otherwise set forth herein, Sections 12.5 (</w:t>
      </w:r>
      <w:r>
        <w:rPr>
          <w:rFonts w:ascii="Arial" w:cs="Arial" w:eastAsia="Arial" w:hAnsi="Arial"/>
          <w:sz w:val="18"/>
          <w:szCs w:val="18"/>
          <w:i w:val="1"/>
          <w:iCs w:val="1"/>
          <w:color w:val="auto"/>
        </w:rPr>
        <w:t>Litigation; Jurisdiction; Other Matters; Waivers</w:t>
      </w:r>
      <w:r>
        <w:rPr>
          <w:rFonts w:ascii="Arial" w:cs="Arial" w:eastAsia="Arial" w:hAnsi="Arial"/>
          <w:sz w:val="18"/>
          <w:szCs w:val="18"/>
          <w:color w:val="auto"/>
        </w:rPr>
        <w:t>), 12.12</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Severability of Provisions</w:t>
      </w:r>
      <w:r>
        <w:rPr>
          <w:rFonts w:ascii="Arial" w:cs="Arial" w:eastAsia="Arial" w:hAnsi="Arial"/>
          <w:sz w:val="17"/>
          <w:szCs w:val="17"/>
          <w:color w:val="auto"/>
        </w:rPr>
        <w:t>) and 12.18 (</w:t>
      </w:r>
      <w:r>
        <w:rPr>
          <w:rFonts w:ascii="Arial" w:cs="Arial" w:eastAsia="Arial" w:hAnsi="Arial"/>
          <w:sz w:val="17"/>
          <w:szCs w:val="17"/>
          <w:i w:val="1"/>
          <w:iCs w:val="1"/>
          <w:color w:val="auto"/>
        </w:rPr>
        <w:t>Entire Agreement</w:t>
      </w:r>
      <w:r>
        <w:rPr>
          <w:rFonts w:ascii="Arial" w:cs="Arial" w:eastAsia="Arial" w:hAnsi="Arial"/>
          <w:sz w:val="17"/>
          <w:szCs w:val="17"/>
          <w:color w:val="auto"/>
        </w:rPr>
        <w:t xml:space="preserve">) of the Credit Agreement are hereby incorporated herein by reference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22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Effect; Ratification</w:t>
      </w:r>
      <w:r>
        <w:rPr>
          <w:rFonts w:ascii="Arial" w:cs="Arial" w:eastAsia="Arial" w:hAnsi="Arial"/>
          <w:sz w:val="18"/>
          <w:szCs w:val="18"/>
          <w:color w:val="auto"/>
        </w:rPr>
        <w:t>. Except as expressly herein amended, the terms and conditions of the Credit Agreement and the other Loan Documents remain in full force and effect. The amendments contained herein shall be deemed to have prospective application from and after the Second Amendment Date only. The Credit Agreement is hereby ratified and confirmed in all respects. Nothing in this Amendment shall limit, impair or constitute a waiver of the rights, powers or remedies available to the Administrative Agent or the Lenders under the Credit Agreement or any other Loan Document.</w:t>
      </w:r>
    </w:p>
    <w:p>
      <w:pPr>
        <w:spacing w:after="0" w:line="188"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Release</w:t>
      </w:r>
      <w:r>
        <w:rPr>
          <w:rFonts w:ascii="Arial" w:cs="Arial" w:eastAsia="Arial" w:hAnsi="Arial"/>
          <w:sz w:val="18"/>
          <w:szCs w:val="18"/>
          <w:color w:val="auto"/>
        </w:rPr>
        <w:t>. In consideration of the amendments contained herein, the Borrower and each other Loan Party hereby waives and releases the Administrative Agent and each Lender from any and all claims and defenses, whether known or unknown, with respect to the Credit Agreement and the other Loan Documents and the transactions contemplated thereby.</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shall be deemed to be an original and shall be binding upon all parties, their successors and assigns.</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not otherwise defined herein are used herein with the respective definitions given them in the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41" w:name="page142"/>
    <w:bookmarkEnd w:id="14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Second Amendment to Term Loan Agreement and Consent to be executed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FEDERAL REALTY INVESTMENT TRUST (to become</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OP LP upon the effectiveness of the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Reorganization Transactions)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Executive Vice President-Corporate</w:t>
      </w:r>
    </w:p>
    <w:p>
      <w:pPr>
        <w:sectPr>
          <w:pgSz w:w="11900" w:h="16838" w:orient="portrait"/>
          <w:cols w:equalWidth="0" w:num="1">
            <w:col w:w="10940"/>
          </w:cols>
          <w:pgMar w:left="440" w:top="274" w:right="51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Term Loan Agreement and Consent</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PNC BANK, NATIONAL ASSOCIATION,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Administrative Agent and 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Katie Chowdhry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Katie Chowdhry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9019"/>
          </w:cols>
          <w:pgMar w:left="1440" w:top="270" w:right="1440" w:bottom="1440" w:gutter="0" w:footer="0" w:header="0"/>
        </w:sectPr>
      </w:pPr>
    </w:p>
    <w:bookmarkStart w:id="143" w:name="page144"/>
    <w:bookmarkEnd w:id="143"/>
    <w:p>
      <w:pPr>
        <w:jc w:val="center"/>
        <w:ind w:right="10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Term Loan Agreement and Consent</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WELLS FARGO BANK, NATIONAL ASSOCIATION,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Scott S. Solis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Scott S. Solis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000"/>
          </w:cols>
          <w:pgMar w:left="1440" w:top="270" w:right="45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Term Loan Agreement and Consent</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TD BANK, N.A.,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M. Brandt,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ind w:right="899"/>
        <w:spacing w:after="0"/>
        <w:rPr>
          <w:sz w:val="20"/>
          <w:szCs w:val="20"/>
          <w:color w:val="auto"/>
        </w:rPr>
      </w:pPr>
      <w:r>
        <w:rPr>
          <w:rFonts w:ascii="Arial" w:cs="Arial" w:eastAsia="Arial" w:hAnsi="Arial"/>
          <w:sz w:val="18"/>
          <w:szCs w:val="18"/>
          <w:color w:val="auto"/>
        </w:rPr>
        <w:t>Name: William M. Brandt,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70" w:right="1440"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Term Loan Agreement and Consent</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REGIONS BANK,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Chalmers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William Chalmers</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70" w:right="1440"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Term Loan Agreement and Consent</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TRUIST BANK,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Ryan Almond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Ryan Almond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270" w:right="1440" w:bottom="1440" w:gutter="0" w:footer="0" w:header="0"/>
        </w:sectPr>
      </w:pPr>
    </w:p>
    <w:bookmarkStart w:id="147" w:name="page148"/>
    <w:bookmarkEnd w:id="147"/>
    <w:p>
      <w:pPr>
        <w:jc w:val="center"/>
        <w:ind w:right="5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Term Loan Agreement and Consent</w:t>
      </w:r>
    </w:p>
    <w:p>
      <w:pPr>
        <w:spacing w:after="0" w:line="50"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U.S. BANK NATIONAL ASSOCIATION,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Timothy J. Tillman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J. Tillman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9580"/>
          </w:cols>
          <w:pgMar w:left="1440" w:top="270" w:right="87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Term Loan Agreement and Consent</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THE BANK OF NOVA SCOTIA,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Sacha Boxill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Sacha Boxill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270" w:right="1440"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Term Loan Agreement and Consent</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BNP PARIBAS,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James Goodall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James Goodall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Managing Director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Kyle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Kyle Fitzpatrick</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70" w:right="1440"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Amendment to Term Loan Agreement and Consent</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Federal Realty Investment Trust]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BANK OF AMERICA, N.A.,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W. Nowak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W. Nowak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70" w:right="1440"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Ownership Structure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[Omitted]</w:t>
      </w:r>
    </w:p>
    <w:p>
      <w:pPr>
        <w:sectPr>
          <w:pgSz w:w="11900" w:h="16838" w:orient="portrait"/>
          <w:cols w:equalWidth="0" w:num="1">
            <w:col w:w="9019"/>
          </w:cols>
          <w:pgMar w:left="1440" w:top="274" w:right="1440"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PARENT/GENERAL PARTNER GUARANTY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[Omitted]</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1)"/>
      <w:numFmt w:val="lowerRoman"/>
      <w:start w:val="1"/>
    </w:lvl>
  </w:abstractNum>
  <w:abstractNum w:abstractNumId="2">
    <w:nsid w:val="7FB7E0AA"/>
    <w:multiLevelType w:val="hybridMultilevel"/>
    <w:lvl w:ilvl="0">
      <w:lvlJc w:val="left"/>
      <w:lvlText w:val="(%1)"/>
      <w:numFmt w:val="decimal"/>
      <w:start w:val="5"/>
    </w:lvl>
  </w:abstractNum>
  <w:abstractNum w:abstractNumId="3">
    <w:nsid w:val="6EB5BD4"/>
    <w:multiLevelType w:val="hybridMultilevel"/>
    <w:lvl w:ilvl="0">
      <w:lvlJc w:val="left"/>
      <w:lvlText w:val="(%1)"/>
      <w:numFmt w:val="lowerRoman"/>
      <w:start w:val="5"/>
    </w:lvl>
  </w:abstractNum>
  <w:abstractNum w:abstractNumId="4">
    <w:nsid w:val="6F6DD9AC"/>
    <w:multiLevelType w:val="hybridMultilevel"/>
    <w:lvl w:ilvl="0">
      <w:lvlJc w:val="left"/>
      <w:lvlText w:val="(%1)"/>
      <w:numFmt w:val="lowerLetter"/>
      <w:start w:val="2"/>
    </w:lvl>
  </w:abstractNum>
  <w:abstractNum w:abstractNumId="5">
    <w:nsid w:val="94211F2"/>
    <w:multiLevelType w:val="hybridMultilevel"/>
    <w:lvl w:ilvl="0">
      <w:lvlJc w:val="left"/>
      <w:lvlText w:val="(%1)"/>
      <w:numFmt w:val="lowerLetter"/>
      <w:start w:val="1"/>
    </w:lvl>
    <w:lvl w:ilvl="1">
      <w:lvlJc w:val="left"/>
      <w:lvlText w:val="(%2)"/>
      <w:numFmt w:val="lowerRoman"/>
      <w:start w:val="1"/>
    </w:lvl>
  </w:abstractNum>
  <w:abstractNum w:abstractNumId="6">
    <w:nsid w:val="885E1B"/>
    <w:multiLevelType w:val="hybridMultilevel"/>
    <w:lvl w:ilvl="0">
      <w:lvlJc w:val="left"/>
      <w:lvlText w:val="%1"/>
      <w:numFmt w:val="lowerLetter"/>
      <w:start w:val="1"/>
    </w:lvl>
    <w:lvl w:ilvl="1">
      <w:lvlJc w:val="left"/>
      <w:lvlText w:val="(%2)"/>
      <w:numFmt w:val="lowerLetter"/>
      <w:start w:val="61"/>
    </w:lvl>
  </w:abstractNum>
  <w:abstractNum w:abstractNumId="7">
    <w:nsid w:val="76272110"/>
    <w:multiLevelType w:val="hybridMultilevel"/>
    <w:lvl w:ilvl="0">
      <w:lvlJc w:val="left"/>
      <w:lvlText w:val="(%1)"/>
      <w:numFmt w:val="lowerLetter"/>
      <w:start w:val="2"/>
    </w:lvl>
    <w:lvl w:ilvl="1">
      <w:lvlJc w:val="left"/>
      <w:lvlText w:val="(%2)"/>
      <w:numFmt w:val="lowerLetter"/>
      <w:start w:val="9"/>
    </w:lvl>
  </w:abstractNum>
  <w:abstractNum w:abstractNumId="8">
    <w:nsid w:val="4C04A8AF"/>
    <w:multiLevelType w:val="hybridMultilevel"/>
    <w:lvl w:ilvl="0">
      <w:lvlJc w:val="left"/>
      <w:lvlText w:val="(%1)"/>
      <w:numFmt w:val="lowerRoman"/>
      <w:start w:val="2"/>
    </w:lvl>
  </w:abstractNum>
  <w:abstractNum w:abstractNumId="9">
    <w:nsid w:val="1716703B"/>
    <w:multiLevelType w:val="hybridMultilevel"/>
    <w:lvl w:ilvl="0">
      <w:lvlJc w:val="left"/>
      <w:lvlText w:val="(%1)"/>
      <w:numFmt w:val="lowerRoman"/>
      <w:start w:val="2"/>
    </w:lvl>
  </w:abstractNum>
  <w:abstractNum w:abstractNumId="10">
    <w:nsid w:val="14E17E33"/>
    <w:multiLevelType w:val="hybridMultilevel"/>
    <w:lvl w:ilvl="0">
      <w:lvlJc w:val="left"/>
      <w:lvlText w:val="(%1)"/>
      <w:numFmt w:val="lowerLetter"/>
      <w:start w:val="1"/>
    </w:lvl>
  </w:abstractNum>
  <w:abstractNum w:abstractNumId="11">
    <w:nsid w:val="3222E7CD"/>
    <w:multiLevelType w:val="hybridMultilevel"/>
    <w:lvl w:ilvl="0">
      <w:lvlJc w:val="left"/>
      <w:lvlText w:val="(%1)"/>
      <w:numFmt w:val="lowerLetter"/>
      <w:start w:val="1"/>
    </w:lvl>
    <w:lvl w:ilvl="1">
      <w:lvlJc w:val="left"/>
      <w:lvlText w:val="(%2)"/>
      <w:numFmt w:val="lowerRoman"/>
      <w:start w:val="1"/>
    </w:lvl>
  </w:abstractNum>
  <w:abstractNum w:abstractNumId="12">
    <w:nsid w:val="74DE0EE3"/>
    <w:multiLevelType w:val="hybridMultilevel"/>
    <w:lvl w:ilvl="0">
      <w:lvlJc w:val="left"/>
      <w:lvlText w:val="%1"/>
      <w:numFmt w:val="lowerLetter"/>
      <w:start w:val="1"/>
    </w:lvl>
    <w:lvl w:ilvl="1">
      <w:lvlJc w:val="left"/>
      <w:lvlText w:val="(%2)"/>
      <w:numFmt w:val="lowerLetter"/>
      <w:start w:val="61"/>
    </w:lvl>
  </w:abstractNum>
  <w:abstractNum w:abstractNumId="13">
    <w:nsid w:val="68EBC550"/>
    <w:multiLevelType w:val="hybridMultilevel"/>
    <w:lvl w:ilvl="0">
      <w:lvlJc w:val="left"/>
      <w:lvlText w:val="(%1)"/>
      <w:numFmt w:val="lowerLetter"/>
      <w:start w:val="2"/>
    </w:lvl>
    <w:lvl w:ilvl="1">
      <w:lvlJc w:val="left"/>
      <w:lvlText w:val="%2"/>
      <w:numFmt w:val="lowerLetter"/>
      <w:start w:val="1"/>
    </w:lvl>
  </w:abstractNum>
  <w:abstractNum w:abstractNumId="14">
    <w:nsid w:val="2DF6D648"/>
    <w:multiLevelType w:val="hybridMultilevel"/>
    <w:lvl w:ilvl="0">
      <w:lvlJc w:val="left"/>
      <w:lvlText w:val="(%1)"/>
      <w:numFmt w:val="decimal"/>
      <w:start w:val="3"/>
    </w:lvl>
  </w:abstractNum>
  <w:abstractNum w:abstractNumId="15">
    <w:nsid w:val="46B7D447"/>
    <w:multiLevelType w:val="hybridMultilevel"/>
    <w:lvl w:ilvl="0">
      <w:lvlJc w:val="left"/>
      <w:lvlText w:val="(%1)"/>
      <w:numFmt w:val="lowerLetter"/>
      <w:start w:val="1"/>
    </w:lvl>
  </w:abstractNum>
  <w:abstractNum w:abstractNumId="16">
    <w:nsid w:val="4A2AC315"/>
    <w:multiLevelType w:val="hybridMultilevel"/>
    <w:lvl w:ilvl="0">
      <w:lvlJc w:val="left"/>
      <w:lvlText w:val="(%1)"/>
      <w:numFmt w:val="lowerLetter"/>
      <w:start w:val="1"/>
    </w:lvl>
    <w:lvl w:ilvl="1">
      <w:lvlJc w:val="left"/>
      <w:lvlText w:val="(%2)"/>
      <w:numFmt w:val="lowerRoman"/>
      <w:start w:val="1"/>
    </w:lvl>
  </w:abstractNum>
  <w:abstractNum w:abstractNumId="17">
    <w:nsid w:val="39EE015C"/>
    <w:multiLevelType w:val="hybridMultilevel"/>
    <w:lvl w:ilvl="0">
      <w:lvlJc w:val="left"/>
      <w:lvlText w:val="(%1)"/>
      <w:numFmt w:val="lowerLetter"/>
      <w:start w:val="1"/>
    </w:lvl>
  </w:abstractNum>
  <w:abstractNum w:abstractNumId="18">
    <w:nsid w:val="57FC4FBB"/>
    <w:multiLevelType w:val="hybridMultilevel"/>
    <w:lvl w:ilvl="0">
      <w:lvlJc w:val="left"/>
      <w:lvlText w:val="%1."/>
      <w:numFmt w:val="decimal"/>
      <w:start w:val="1"/>
    </w:lvl>
  </w:abstractNum>
  <w:abstractNum w:abstractNumId="19">
    <w:nsid w:val="CC1016F"/>
    <w:multiLevelType w:val="hybridMultilevel"/>
    <w:lvl w:ilvl="0">
      <w:lvlJc w:val="left"/>
      <w:lvlText w:val="(%1)"/>
      <w:numFmt w:val="lowerLetter"/>
      <w:start w:val="1"/>
    </w:lvl>
  </w:abstractNum>
  <w:abstractNum w:abstractNumId="20">
    <w:nsid w:val="43F18422"/>
    <w:multiLevelType w:val="hybridMultilevel"/>
    <w:lvl w:ilvl="0">
      <w:lvlJc w:val="left"/>
      <w:lvlText w:val="(%1)"/>
      <w:numFmt w:val="lowerLetter"/>
      <w:start w:val="13"/>
    </w:lvl>
  </w:abstractNum>
  <w:abstractNum w:abstractNumId="21">
    <w:nsid w:val="60EF0119"/>
    <w:multiLevelType w:val="hybridMultilevel"/>
    <w:lvl w:ilvl="0">
      <w:lvlJc w:val="left"/>
      <w:lvlText w:val="%1."/>
      <w:numFmt w:val="decimal"/>
      <w:start w:val="3"/>
    </w:lvl>
  </w:abstractNum>
  <w:abstractNum w:abstractNumId="22">
    <w:nsid w:val="26F324BA"/>
    <w:multiLevelType w:val="hybridMultilevel"/>
    <w:lvl w:ilvl="0">
      <w:lvlJc w:val="left"/>
      <w:lvlText w:val="(%1)"/>
      <w:numFmt w:val="lowerLetter"/>
      <w:start w:val="1"/>
    </w:lvl>
  </w:abstractNum>
  <w:abstractNum w:abstractNumId="23">
    <w:nsid w:val="7F01579B"/>
    <w:multiLevelType w:val="hybridMultilevel"/>
    <w:lvl w:ilvl="0">
      <w:lvlJc w:val="left"/>
      <w:lvlText w:val="(%1)"/>
      <w:numFmt w:val="lowerLetter"/>
      <w:start w:val="3"/>
    </w:lvl>
  </w:abstractNum>
  <w:abstractNum w:abstractNumId="24">
    <w:nsid w:val="49DA307D"/>
    <w:multiLevelType w:val="hybridMultilevel"/>
    <w:lvl w:ilvl="0">
      <w:lvlJc w:val="left"/>
      <w:lvlText w:val="%1."/>
      <w:numFmt w:val="decimal"/>
      <w:start w:val="4"/>
    </w:lvl>
  </w:abstractNum>
  <w:abstractNum w:abstractNumId="25">
    <w:nsid w:val="7055A5F5"/>
    <w:multiLevelType w:val="hybridMultilevel"/>
    <w:lvl w:ilvl="0">
      <w:lvlJc w:val="left"/>
      <w:lvlText w:val="(%1)"/>
      <w:numFmt w:val="lowerLetter"/>
      <w:start w:val="1"/>
    </w:lvl>
  </w:abstractNum>
  <w:abstractNum w:abstractNumId="26">
    <w:nsid w:val="5FB8370B"/>
    <w:multiLevelType w:val="hybridMultilevel"/>
    <w:lvl w:ilvl="0">
      <w:lvlJc w:val="left"/>
      <w:lvlText w:val="%1."/>
      <w:numFmt w:val="decimal"/>
      <w:start w:val="5"/>
    </w:lvl>
  </w:abstractNum>
  <w:abstractNum w:abstractNumId="27">
    <w:nsid w:val="50801EE1"/>
    <w:multiLevelType w:val="hybridMultilevel"/>
    <w:lvl w:ilvl="0">
      <w:lvlJc w:val="left"/>
      <w:lvlText w:val="(%1)"/>
      <w:numFmt w:val="lowerLetter"/>
      <w:start w:val="1"/>
    </w:lvl>
  </w:abstractNum>
  <w:abstractNum w:abstractNumId="28">
    <w:nsid w:val="488AC1A"/>
    <w:multiLevelType w:val="hybridMultilevel"/>
    <w:lvl w:ilvl="0">
      <w:lvlJc w:val="left"/>
      <w:lvlText w:val="(%1)"/>
      <w:numFmt w:val="lowerLetter"/>
      <w:start w:val="3"/>
    </w:lvl>
  </w:abstractNum>
  <w:abstractNum w:abstractNumId="29">
    <w:nsid w:val="5FB8011C"/>
    <w:multiLevelType w:val="hybridMultilevel"/>
    <w:lvl w:ilvl="0">
      <w:lvlJc w:val="left"/>
      <w:lvlText w:val="%1."/>
      <w:numFmt w:val="decimal"/>
      <w:start w:val="7"/>
    </w:lvl>
  </w:abstractNum>
  <w:abstractNum w:abstractNumId="30">
    <w:nsid w:val="6AA78F7F"/>
    <w:multiLevelType w:val="hybridMultilevel"/>
    <w:lvl w:ilvl="0">
      <w:lvlJc w:val="left"/>
      <w:lvlText w:val="(%1)"/>
      <w:numFmt w:val="lowerLetter"/>
      <w:start w:val="1"/>
    </w:lvl>
  </w:abstractNum>
  <w:abstractNum w:abstractNumId="31">
    <w:nsid w:val="7672BD23"/>
    <w:multiLevelType w:val="hybridMultilevel"/>
    <w:lvl w:ilvl="0">
      <w:lvlJc w:val="left"/>
      <w:lvlText w:val="%1."/>
      <w:numFmt w:val="decimal"/>
      <w:start w:val="9"/>
    </w:lvl>
  </w:abstractNum>
  <w:abstractNum w:abstractNumId="32">
    <w:nsid w:val="6FC75AF8"/>
    <w:multiLevelType w:val="hybridMultilevel"/>
    <w:lvl w:ilvl="0">
      <w:lvlJc w:val="left"/>
      <w:lvlText w:val="(%1)"/>
      <w:numFmt w:val="lowerLetter"/>
      <w:start w:val="1"/>
    </w:lvl>
  </w:abstractNum>
  <w:abstractNum w:abstractNumId="33">
    <w:nsid w:val="6A5F7029"/>
    <w:multiLevelType w:val="hybridMultilevel"/>
    <w:lvl w:ilvl="0">
      <w:lvlJc w:val="left"/>
      <w:lvlText w:val="(%1)"/>
      <w:numFmt w:val="lowerLetter"/>
      <w:start w:val="3"/>
    </w:lvl>
  </w:abstractNum>
  <w:abstractNum w:abstractNumId="34">
    <w:nsid w:val="7D5E18F8"/>
    <w:multiLevelType w:val="hybridMultilevel"/>
    <w:lvl w:ilvl="0">
      <w:lvlJc w:val="left"/>
      <w:lvlText w:val="%1."/>
      <w:numFmt w:val="decimal"/>
      <w:start w:val="10"/>
    </w:lvl>
  </w:abstractNum>
  <w:abstractNum w:abstractNumId="35">
    <w:nsid w:val="5F3534A4"/>
    <w:multiLevelType w:val="hybridMultilevel"/>
    <w:lvl w:ilvl="0">
      <w:lvlJc w:val="left"/>
      <w:lvlText w:val="(%1)"/>
      <w:numFmt w:val="decimal"/>
      <w:start w:val="1"/>
    </w:lvl>
    <w:lvl w:ilvl="1">
      <w:lvlJc w:val="left"/>
      <w:lvlText w:val="(%2)"/>
      <w:numFmt w:val="lowerLetter"/>
      <w:start w:val="1"/>
    </w:lvl>
  </w:abstractNum>
  <w:abstractNum w:abstractNumId="36">
    <w:nsid w:val="73A1821B"/>
    <w:multiLevelType w:val="hybridMultilevel"/>
    <w:lvl w:ilvl="0">
      <w:lvlJc w:val="left"/>
      <w:lvlText w:val="%1"/>
      <w:numFmt w:val="decimal"/>
      <w:start w:val="1"/>
    </w:lvl>
    <w:lvl w:ilvl="1">
      <w:lvlJc w:val="left"/>
      <w:lvlText w:val="(%2)"/>
      <w:numFmt w:val="lowerLetter"/>
      <w:start w:val="14"/>
    </w:lvl>
  </w:abstractNum>
  <w:abstractNum w:abstractNumId="37">
    <w:nsid w:val="7DE67713"/>
    <w:multiLevelType w:val="hybridMultilevel"/>
    <w:lvl w:ilvl="0">
      <w:lvlJc w:val="left"/>
      <w:lvlText w:val="(%1)"/>
      <w:numFmt w:val="decimal"/>
      <w:start w:val="2"/>
    </w:lvl>
    <w:lvl w:ilvl="1">
      <w:lvlJc w:val="left"/>
      <w:lvlText w:val="(%2)"/>
      <w:numFmt w:val="lowerLetter"/>
      <w:start w:val="1"/>
    </w:lvl>
  </w:abstractNum>
  <w:abstractNum w:abstractNumId="38">
    <w:nsid w:val="555C55B5"/>
    <w:multiLevelType w:val="hybridMultilevel"/>
    <w:lvl w:ilvl="0">
      <w:lvlJc w:val="left"/>
      <w:lvlText w:val="(%1)"/>
      <w:numFmt w:val="decimal"/>
      <w:start w:val="4"/>
    </w:lvl>
    <w:lvl w:ilvl="1">
      <w:lvlJc w:val="left"/>
      <w:lvlText w:val="(%2)"/>
      <w:numFmt w:val="lowerLetter"/>
      <w:start w:val="1"/>
    </w:lvl>
  </w:abstractNum>
  <w:abstractNum w:abstractNumId="39">
    <w:nsid w:val="3FA62ACA"/>
    <w:multiLevelType w:val="hybridMultilevel"/>
    <w:lvl w:ilvl="0">
      <w:lvlJc w:val="left"/>
      <w:lvlText w:val="%1"/>
      <w:numFmt w:val="decimal"/>
      <w:start w:val="1"/>
    </w:lvl>
    <w:lvl w:ilvl="1">
      <w:lvlJc w:val="left"/>
      <w:lvlText w:val="(%2)"/>
      <w:numFmt w:val="lowerLetter"/>
      <w:start w:val="6"/>
    </w:lvl>
  </w:abstractNum>
  <w:abstractNum w:abstractNumId="40">
    <w:nsid w:val="14FCE74E"/>
    <w:multiLevelType w:val="hybridMultilevel"/>
    <w:lvl w:ilvl="0">
      <w:lvlJc w:val="left"/>
      <w:lvlText w:val="(%1)"/>
      <w:numFmt w:val="decimal"/>
      <w:start w:val="5"/>
    </w:lvl>
    <w:lvl w:ilvl="1">
      <w:lvlJc w:val="left"/>
      <w:lvlText w:val="(%2)"/>
      <w:numFmt w:val="lowerLetter"/>
      <w:start w:val="1"/>
    </w:lvl>
  </w:abstractNum>
  <w:abstractNum w:abstractNumId="41">
    <w:nsid w:val="6A3DD3E8"/>
    <w:multiLevelType w:val="hybridMultilevel"/>
    <w:lvl w:ilvl="0">
      <w:lvlJc w:val="left"/>
      <w:lvlText w:val="(%1)"/>
      <w:numFmt w:val="decimal"/>
      <w:start w:val="6"/>
    </w:lvl>
    <w:lvl w:ilvl="1">
      <w:lvlJc w:val="left"/>
      <w:lvlText w:val="(%2)"/>
      <w:numFmt w:val="lowerLetter"/>
      <w:start w:val="1"/>
    </w:lvl>
  </w:abstractNum>
  <w:abstractNum w:abstractNumId="42">
    <w:nsid w:val="71C91298"/>
    <w:multiLevelType w:val="hybridMultilevel"/>
    <w:lvl w:ilvl="0">
      <w:lvlJc w:val="left"/>
      <w:lvlText w:val="(%1)"/>
      <w:numFmt w:val="decimal"/>
      <w:start w:val="7"/>
    </w:lvl>
  </w:abstractNum>
  <w:abstractNum w:abstractNumId="43">
    <w:nsid w:val="9DAF632"/>
    <w:multiLevelType w:val="hybridMultilevel"/>
    <w:lvl w:ilvl="0">
      <w:lvlJc w:val="left"/>
      <w:lvlText w:val="(%1)"/>
      <w:numFmt w:val="lowerLetter"/>
      <w:start w:val="1"/>
    </w:lvl>
  </w:abstractNum>
  <w:abstractNum w:abstractNumId="44">
    <w:nsid w:val="53299938"/>
    <w:multiLevelType w:val="hybridMultilevel"/>
    <w:lvl w:ilvl="0">
      <w:lvlJc w:val="left"/>
      <w:lvlText w:val="(%1)"/>
      <w:numFmt w:val="decimal"/>
      <w:start w:val="8"/>
    </w:lvl>
  </w:abstractNum>
  <w:abstractNum w:abstractNumId="45">
    <w:nsid w:val="1FBFE8E0"/>
    <w:multiLevelType w:val="hybridMultilevel"/>
    <w:lvl w:ilvl="0">
      <w:lvlJc w:val="left"/>
      <w:lvlText w:val="(%1)"/>
      <w:numFmt w:val="decimal"/>
      <w:start w:val="1"/>
    </w:lvl>
    <w:lvl w:ilvl="1">
      <w:lvlJc w:val="left"/>
      <w:lvlText w:val="(%2)"/>
      <w:numFmt w:val="lowerLetter"/>
      <w:start w:val="1"/>
    </w:lvl>
  </w:abstractNum>
  <w:abstractNum w:abstractNumId="46">
    <w:nsid w:val="5092CA79"/>
    <w:multiLevelType w:val="hybridMultilevel"/>
    <w:lvl w:ilvl="0">
      <w:lvlJc w:val="left"/>
      <w:lvlText w:val="(%1)"/>
      <w:numFmt w:val="lowerLetter"/>
      <w:start w:val="13"/>
    </w:lvl>
  </w:abstractNum>
  <w:abstractNum w:abstractNumId="47">
    <w:nsid w:val="1D545C4D"/>
    <w:multiLevelType w:val="hybridMultilevel"/>
    <w:lvl w:ilvl="0">
      <w:lvlJc w:val="left"/>
      <w:lvlText w:val="(%1)"/>
      <w:numFmt w:val="lowerLetter"/>
      <w:start w:val="27"/>
    </w:lvl>
  </w:abstractNum>
  <w:abstractNum w:abstractNumId="48">
    <w:nsid w:val="59ADEA3D"/>
    <w:multiLevelType w:val="hybridMultilevel"/>
    <w:lvl w:ilvl="0">
      <w:lvlJc w:val="left"/>
      <w:lvlText w:val="%1"/>
      <w:numFmt w:val="decimal"/>
      <w:start w:val="1"/>
    </w:lvl>
    <w:lvl w:ilvl="1">
      <w:lvlJc w:val="left"/>
      <w:lvlText w:val="(%2)"/>
      <w:numFmt w:val="lowerLetter"/>
      <w:start w:val="32"/>
    </w:lvl>
  </w:abstractNum>
  <w:abstractNum w:abstractNumId="49">
    <w:nsid w:val="288F1A34"/>
    <w:multiLevelType w:val="hybridMultilevel"/>
    <w:lvl w:ilvl="0">
      <w:lvlJc w:val="left"/>
      <w:lvlText w:val="(%1)"/>
      <w:numFmt w:val="decimal"/>
      <w:start w:val="2"/>
    </w:lvl>
    <w:lvl w:ilvl="1">
      <w:lvlJc w:val="left"/>
      <w:lvlText w:val="(%2)"/>
      <w:numFmt w:val="lowerLetter"/>
      <w:start w:val="1"/>
    </w:lvl>
  </w:abstractNum>
  <w:abstractNum w:abstractNumId="50">
    <w:nsid w:val="2A155DBC"/>
    <w:multiLevelType w:val="hybridMultilevel"/>
    <w:lvl w:ilvl="0">
      <w:lvlJc w:val="left"/>
      <w:lvlText w:val="(%1)"/>
      <w:numFmt w:val="lowerLetter"/>
      <w:start w:val="2"/>
    </w:lvl>
  </w:abstractNum>
  <w:abstractNum w:abstractNumId="51">
    <w:nsid w:val="1D9F6E5F"/>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52">
    <w:nsid w:val="97E1B4E"/>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4"/>
    </w:lvl>
  </w:abstractNum>
  <w:abstractNum w:abstractNumId="53">
    <w:nsid w:val="51088277"/>
    <w:multiLevelType w:val="hybridMultilevel"/>
    <w:lvl w:ilvl="0">
      <w:lvlJc w:val="left"/>
      <w:lvlText w:val="(%1)"/>
      <w:numFmt w:val="upperLetter"/>
      <w:start w:val="2"/>
    </w:lvl>
    <w:lvl w:ilvl="1">
      <w:lvlJc w:val="left"/>
      <w:lvlText w:val="(%2)"/>
      <w:numFmt w:val="lowerLetter"/>
      <w:start w:val="2"/>
    </w:lvl>
    <w:lvl w:ilvl="2">
      <w:lvlJc w:val="left"/>
      <w:lvlText w:val="(%3)"/>
      <w:numFmt w:val="decimal"/>
      <w:start w:val="1"/>
    </w:lvl>
  </w:abstractNum>
  <w:abstractNum w:abstractNumId="54">
    <w:nsid w:val="1CA0C5FA"/>
    <w:multiLevelType w:val="hybridMultilevel"/>
    <w:lvl w:ilvl="0">
      <w:lvlJc w:val="left"/>
      <w:lvlText w:val="(%1)"/>
      <w:numFmt w:val="lowerLetter"/>
      <w:start w:val="3"/>
    </w:lvl>
    <w:lvl w:ilvl="1">
      <w:lvlJc w:val="left"/>
      <w:lvlText w:val="(%2)"/>
      <w:numFmt w:val="decimal"/>
      <w:start w:val="1"/>
    </w:lvl>
  </w:abstractNum>
  <w:abstractNum w:abstractNumId="55">
    <w:nsid w:val="53584BCB"/>
    <w:multiLevelType w:val="hybridMultilevel"/>
    <w:lvl w:ilvl="0">
      <w:lvlJc w:val="left"/>
      <w:lvlText w:val="(%1)"/>
      <w:numFmt w:val="lowerLetter"/>
      <w:start w:val="4"/>
    </w:lvl>
    <w:lvl w:ilvl="1">
      <w:lvlJc w:val="left"/>
      <w:lvlText w:val="(%2)"/>
      <w:numFmt w:val="decimal"/>
      <w:start w:val="1"/>
    </w:lvl>
  </w:abstractNum>
  <w:abstractNum w:abstractNumId="56">
    <w:nsid w:val="415E286C"/>
    <w:multiLevelType w:val="hybridMultilevel"/>
    <w:lvl w:ilvl="0">
      <w:lvlJc w:val="left"/>
      <w:lvlText w:val="%1"/>
      <w:numFmt w:val="lowerLetter"/>
      <w:start w:val="1"/>
    </w:lvl>
    <w:lvl w:ilvl="1">
      <w:lvlJc w:val="left"/>
      <w:lvlText w:val="(%2)"/>
      <w:numFmt w:val="decimal"/>
      <w:start w:val="3"/>
    </w:lvl>
  </w:abstractNum>
  <w:abstractNum w:abstractNumId="57">
    <w:nsid w:val="7C58FD05"/>
    <w:multiLevelType w:val="hybridMultilevel"/>
    <w:lvl w:ilvl="0">
      <w:lvlJc w:val="left"/>
      <w:lvlText w:val="(%1)"/>
      <w:numFmt w:val="lowerLetter"/>
      <w:start w:val="6"/>
    </w:lvl>
    <w:lvl w:ilvl="1">
      <w:lvlJc w:val="left"/>
      <w:lvlText w:val="%2"/>
      <w:numFmt w:val="decimal"/>
      <w:start w:val="1"/>
    </w:lvl>
  </w:abstractNum>
  <w:abstractNum w:abstractNumId="58">
    <w:nsid w:val="23D86AAC"/>
    <w:multiLevelType w:val="hybridMultilevel"/>
    <w:lvl w:ilvl="0">
      <w:lvlJc w:val="left"/>
      <w:lvlText w:val="(%1)"/>
      <w:numFmt w:val="decimal"/>
      <w:start w:val="1"/>
    </w:lvl>
  </w:abstractNum>
  <w:abstractNum w:abstractNumId="59">
    <w:nsid w:val="45E6D486"/>
    <w:multiLevelType w:val="hybridMultilevel"/>
    <w:lvl w:ilvl="0">
      <w:lvlJc w:val="left"/>
      <w:lvlText w:val="(%1)"/>
      <w:numFmt w:val="lowerLetter"/>
      <w:start w:val="8"/>
    </w:lvl>
    <w:lvl w:ilvl="1">
      <w:lvlJc w:val="left"/>
      <w:lvlText w:val="(%2)"/>
      <w:numFmt w:val="lowerLetter"/>
      <w:start w:val="9"/>
    </w:lvl>
  </w:abstractNum>
  <w:abstractNum w:abstractNumId="60">
    <w:nsid w:val="5C10FE21"/>
    <w:multiLevelType w:val="hybridMultilevel"/>
    <w:lvl w:ilvl="0">
      <w:lvlJc w:val="left"/>
      <w:lvlText w:val="%1"/>
      <w:numFmt w:val="decimal"/>
      <w:start w:val="1"/>
    </w:lvl>
    <w:lvl w:ilvl="1">
      <w:lvlJc w:val="left"/>
      <w:lvlText w:val="(%2)"/>
      <w:numFmt w:val="lowerLetter"/>
      <w:start w:val="10"/>
    </w:lvl>
  </w:abstractNum>
  <w:abstractNum w:abstractNumId="61">
    <w:nsid w:val="E7FFA2B"/>
    <w:multiLevelType w:val="hybridMultilevel"/>
    <w:lvl w:ilvl="0">
      <w:lvlJc w:val="left"/>
      <w:lvlText w:val="(%1)"/>
      <w:numFmt w:val="decimal"/>
      <w:start w:val="8"/>
    </w:lvl>
    <w:lvl w:ilvl="1">
      <w:lvlJc w:val="left"/>
      <w:lvlText w:val="%2"/>
      <w:numFmt w:val="lowerLetter"/>
      <w:start w:val="1"/>
    </w:lvl>
  </w:abstractNum>
  <w:abstractNum w:abstractNumId="62">
    <w:nsid w:val="3C5991AA"/>
    <w:multiLevelType w:val="hybridMultilevel"/>
    <w:lvl w:ilvl="0">
      <w:lvlJc w:val="left"/>
      <w:lvlText w:val="(%1)"/>
      <w:numFmt w:val="decimal"/>
      <w:start w:val="10"/>
    </w:lvl>
  </w:abstractNum>
  <w:abstractNum w:abstractNumId="63">
    <w:nsid w:val="4BD8591A"/>
    <w:multiLevelType w:val="hybridMultilevel"/>
    <w:lvl w:ilvl="0">
      <w:lvlJc w:val="left"/>
      <w:lvlText w:val="(%1)"/>
      <w:numFmt w:val="lowerLetter"/>
      <w:start w:val="1"/>
    </w:lvl>
  </w:abstractNum>
  <w:abstractNum w:abstractNumId="64">
    <w:nsid w:val="78DF6A55"/>
    <w:multiLevelType w:val="hybridMultilevel"/>
    <w:lvl w:ilvl="0">
      <w:lvlJc w:val="left"/>
      <w:lvlText w:val="(%1)"/>
      <w:numFmt w:val="upperLetter"/>
      <w:start w:val="5"/>
    </w:lvl>
  </w:abstractNum>
  <w:abstractNum w:abstractNumId="65">
    <w:nsid w:val="39B7AAA2"/>
    <w:multiLevelType w:val="hybridMultilevel"/>
    <w:lvl w:ilvl="0">
      <w:lvlJc w:val="left"/>
      <w:lvlText w:val="%1."/>
      <w:numFmt w:val="upperLetter"/>
      <w:start w:val="2"/>
    </w:lvl>
  </w:abstractNum>
  <w:abstractNum w:abstractNumId="66">
    <w:nsid w:val="2B0D8DBE"/>
    <w:multiLevelType w:val="hybridMultilevel"/>
    <w:lvl w:ilvl="0">
      <w:lvlJc w:val="left"/>
      <w:lvlText w:val="%1."/>
      <w:numFmt w:val="decimal"/>
      <w:start w:val="1"/>
    </w:lvl>
  </w:abstractNum>
  <w:abstractNum w:abstractNumId="67">
    <w:nsid w:val="6C80EC70"/>
    <w:multiLevelType w:val="hybridMultilevel"/>
    <w:lvl w:ilvl="0">
      <w:lvlJc w:val="left"/>
      <w:lvlText w:val="%1."/>
      <w:numFmt w:val="decimal"/>
      <w:start w:val="6"/>
    </w:lvl>
  </w:abstractNum>
  <w:abstractNum w:abstractNumId="68">
    <w:nsid w:val="379E21B5"/>
    <w:multiLevelType w:val="hybridMultilevel"/>
    <w:lvl w:ilvl="0">
      <w:lvlJc w:val="left"/>
      <w:lvlText w:val="%1."/>
      <w:numFmt w:val="decimal"/>
      <w:start w:val="1"/>
    </w:lvl>
  </w:abstractNum>
  <w:abstractNum w:abstractNumId="69">
    <w:nsid w:val="69E373"/>
    <w:multiLevelType w:val="hybridMultilevel"/>
    <w:lvl w:ilvl="0">
      <w:lvlJc w:val="left"/>
      <w:lvlText w:val="%1."/>
      <w:numFmt w:val="decimal"/>
      <w:start w:val="1"/>
    </w:lvl>
  </w:abstractNum>
  <w:abstractNum w:abstractNumId="70">
    <w:nsid w:val="2C27173B"/>
    <w:multiLevelType w:val="hybridMultilevel"/>
    <w:lvl w:ilvl="0">
      <w:lvlJc w:val="left"/>
      <w:lvlText w:val="%1."/>
      <w:numFmt w:val="decimal"/>
      <w:start w:val="2"/>
    </w:lvl>
  </w:abstractNum>
  <w:abstractNum w:abstractNumId="71">
    <w:nsid w:val="4C9B0904"/>
    <w:multiLevelType w:val="hybridMultilevel"/>
    <w:lvl w:ilvl="0">
      <w:lvlJc w:val="left"/>
      <w:lvlText w:val="%1."/>
      <w:numFmt w:val="decimal"/>
      <w:start w:val="6"/>
    </w:lvl>
  </w:abstractNum>
  <w:abstractNum w:abstractNumId="72">
    <w:nsid w:val="6AA7B75C"/>
    <w:multiLevelType w:val="hybridMultilevel"/>
    <w:lvl w:ilvl="0">
      <w:lvlJc w:val="left"/>
      <w:lvlText w:val="%1"/>
      <w:numFmt w:val="upperLetter"/>
      <w:start w:val="1"/>
    </w:lvl>
    <w:lvl w:ilvl="1">
      <w:lvlJc w:val="left"/>
      <w:lvlText w:val="%2."/>
      <w:numFmt w:val="decimal"/>
      <w:start w:val="1"/>
    </w:lvl>
  </w:abstractNum>
  <w:abstractNum w:abstractNumId="73">
    <w:nsid w:val="1DF029D3"/>
    <w:multiLevelType w:val="hybridMultilevel"/>
    <w:lvl w:ilvl="0">
      <w:lvlJc w:val="left"/>
      <w:lvlText w:val="(%1)"/>
      <w:numFmt w:val="upperLetter"/>
      <w:start w:val="5"/>
    </w:lvl>
    <w:lvl w:ilvl="1">
      <w:lvlJc w:val="left"/>
      <w:lvlText w:val="%2"/>
      <w:numFmt w:val="decimal"/>
      <w:start w:val="1"/>
    </w:lvl>
  </w:abstractNum>
  <w:abstractNum w:abstractNumId="74">
    <w:nsid w:val="5675FF36"/>
    <w:multiLevelType w:val="hybridMultilevel"/>
    <w:lvl w:ilvl="0">
      <w:lvlJc w:val="left"/>
      <w:lvlText w:val="%1"/>
      <w:numFmt w:val="decimal"/>
      <w:start w:val="1"/>
    </w:lvl>
    <w:lvl w:ilvl="1">
      <w:lvlJc w:val="left"/>
      <w:lvlText w:val="%2."/>
      <w:numFmt w:val="decimal"/>
      <w:start w:val="2"/>
    </w:lvl>
  </w:abstractNum>
  <w:abstractNum w:abstractNumId="75">
    <w:nsid w:val="3DD15094"/>
    <w:multiLevelType w:val="hybridMultilevel"/>
    <w:lvl w:ilvl="0">
      <w:lvlJc w:val="left"/>
      <w:lvlText w:val="(%1)"/>
      <w:numFmt w:val="decimal"/>
      <w:start w:val="30"/>
    </w:lvl>
    <w:lvl w:ilvl="1">
      <w:lvlJc w:val="left"/>
      <w:lvlText w:val="%2"/>
      <w:numFmt w:val="decimal"/>
      <w:start w:val="1"/>
    </w:lvl>
  </w:abstractNum>
  <w:abstractNum w:abstractNumId="76">
    <w:nsid w:val="3DB012B3"/>
    <w:multiLevelType w:val="hybridMultilevel"/>
    <w:lvl w:ilvl="0">
      <w:lvlJc w:val="left"/>
      <w:lvlText w:val="(%1)"/>
      <w:numFmt w:val="decimal"/>
      <w:start w:val="90"/>
    </w:lvl>
    <w:lvl w:ilvl="1">
      <w:lvlJc w:val="left"/>
      <w:lvlText w:val="%2"/>
      <w:numFmt w:val="decimal"/>
      <w:start w:val="1"/>
    </w:lvl>
  </w:abstractNum>
  <w:abstractNum w:abstractNumId="77">
    <w:nsid w:val="2708C9AF"/>
    <w:multiLevelType w:val="hybridMultilevel"/>
    <w:lvl w:ilvl="0">
      <w:lvlJc w:val="left"/>
      <w:lvlText w:val="%1."/>
      <w:numFmt w:val="decimal"/>
      <w:start w:val="5"/>
    </w:lvl>
  </w:abstractNum>
  <w:abstractNum w:abstractNumId="78">
    <w:nsid w:val="5B25ACE2"/>
    <w:multiLevelType w:val="hybridMultilevel"/>
    <w:lvl w:ilvl="0">
      <w:lvlJc w:val="left"/>
      <w:lvlText w:val="%1."/>
      <w:numFmt w:val="decimal"/>
      <w:start w:val="1"/>
    </w:lvl>
  </w:abstractNum>
  <w:abstractNum w:abstractNumId="79">
    <w:nsid w:val="175DFCF0"/>
    <w:multiLevelType w:val="hybridMultilevel"/>
    <w:lvl w:ilvl="0">
      <w:lvlJc w:val="left"/>
      <w:lvlText w:val="(%1)"/>
      <w:numFmt w:val="lowerLetter"/>
      <w:start w:val="1"/>
    </w:lvl>
    <w:lvl w:ilvl="1">
      <w:lvlJc w:val="left"/>
      <w:lvlText w:val="(%2)"/>
      <w:numFmt w:val="decimal"/>
      <w:start w:val="1"/>
    </w:lvl>
  </w:abstractNum>
  <w:abstractNum w:abstractNumId="80">
    <w:nsid w:val="4F97E3E4"/>
    <w:multiLevelType w:val="hybridMultilevel"/>
    <w:lvl w:ilvl="0">
      <w:lvlJc w:val="left"/>
      <w:lvlText w:val="(%1)"/>
      <w:numFmt w:val="decimal"/>
      <w:start w:val="3"/>
    </w:lvl>
  </w:abstractNum>
  <w:abstractNum w:abstractNumId="81">
    <w:nsid w:val="53B0A9E"/>
    <w:multiLevelType w:val="hybridMultilevel"/>
    <w:lvl w:ilvl="0">
      <w:lvlJc w:val="left"/>
      <w:lvlText w:val="(%1)"/>
      <w:numFmt w:val="decimal"/>
      <w:start w:val="4"/>
    </w:lvl>
    <w:lvl w:ilvl="1">
      <w:lvlJc w:val="left"/>
      <w:lvlText w:val="(%2)"/>
      <w:numFmt w:val="lowerRoman"/>
      <w:start w:val="1"/>
    </w:lvl>
  </w:abstractNum>
  <w:abstractNum w:abstractNumId="82">
    <w:nsid w:val="34FD6B4F"/>
    <w:multiLevelType w:val="hybridMultilevel"/>
    <w:lvl w:ilvl="0">
      <w:lvlJc w:val="left"/>
      <w:lvlText w:val="%1"/>
      <w:numFmt w:val="decimal"/>
      <w:start w:val="1"/>
    </w:lvl>
    <w:lvl w:ilvl="1">
      <w:lvlJc w:val="left"/>
      <w:lvlText w:val="(%2)"/>
      <w:numFmt w:val="lowerRoman"/>
      <w:start w:val="6"/>
    </w:lvl>
  </w:abstractNum>
  <w:abstractNum w:abstractNumId="83">
    <w:nsid w:val="5915FF32"/>
    <w:multiLevelType w:val="hybridMultilevel"/>
    <w:lvl w:ilvl="0">
      <w:lvlJc w:val="left"/>
      <w:lvlText w:val="(%1)"/>
      <w:numFmt w:val="decimal"/>
      <w:start w:val="5"/>
    </w:lvl>
    <w:lvl w:ilvl="1">
      <w:lvlJc w:val="left"/>
      <w:lvlText w:val="%2"/>
      <w:numFmt w:val="lowerRoman"/>
      <w:start w:val="1"/>
    </w:lvl>
  </w:abstractNum>
  <w:abstractNum w:abstractNumId="84">
    <w:nsid w:val="56438D15"/>
    <w:multiLevelType w:val="hybridMultilevel"/>
    <w:lvl w:ilvl="0">
      <w:lvlJc w:val="left"/>
      <w:lvlText w:val="(%1)"/>
      <w:numFmt w:val="lowerLetter"/>
      <w:start w:val="3"/>
    </w:lvl>
  </w:abstractNum>
  <w:abstractNum w:abstractNumId="85">
    <w:nsid w:val="519E3149"/>
    <w:multiLevelType w:val="hybridMultilevel"/>
    <w:lvl w:ilvl="0">
      <w:lvlJc w:val="left"/>
      <w:lvlText w:val="(%1)"/>
      <w:numFmt w:val="lowerLetter"/>
      <w:start w:val="5"/>
    </w:lvl>
    <w:lvl w:ilvl="1">
      <w:lvlJc w:val="left"/>
      <w:lvlText w:val="(%2)"/>
      <w:numFmt w:val="decimal"/>
      <w:start w:val="1"/>
    </w:lvl>
  </w:abstractNum>
  <w:abstractNum w:abstractNumId="86">
    <w:nsid w:val="2C6E4AFD"/>
    <w:multiLevelType w:val="hybridMultilevel"/>
    <w:lvl w:ilvl="0">
      <w:lvlJc w:val="left"/>
      <w:lvlText w:val="(%1)"/>
      <w:numFmt w:val="lowerLetter"/>
      <w:start w:val="1"/>
    </w:lvl>
  </w:abstractNum>
  <w:abstractNum w:abstractNumId="87">
    <w:nsid w:val="17A1B582"/>
    <w:multiLevelType w:val="hybridMultilevel"/>
    <w:lvl w:ilvl="0">
      <w:lvlJc w:val="left"/>
      <w:lvlText w:val="(%1)"/>
      <w:numFmt w:val="lowerLetter"/>
      <w:start w:val="1"/>
    </w:lvl>
  </w:abstractNum>
  <w:abstractNum w:abstractNumId="88">
    <w:nsid w:val="4DF72E4E"/>
    <w:multiLevelType w:val="hybridMultilevel"/>
    <w:lvl w:ilvl="0">
      <w:lvlJc w:val="left"/>
      <w:lvlText w:val="(%1)"/>
      <w:numFmt w:val="lowerRoman"/>
      <w:start w:val="1"/>
    </w:lvl>
  </w:abstractNum>
  <w:abstractNum w:abstractNumId="89">
    <w:nsid w:val="5046B5A9"/>
    <w:multiLevelType w:val="hybridMultilevel"/>
    <w:lvl w:ilvl="0">
      <w:lvlJc w:val="left"/>
      <w:lvlText w:val="(%1)"/>
      <w:numFmt w:val="lowerLetter"/>
      <w:start w:val="1"/>
    </w:lvl>
  </w:abstractNum>
  <w:abstractNum w:abstractNumId="90">
    <w:nsid w:val="5D888A08"/>
    <w:multiLevelType w:val="hybridMultilevel"/>
    <w:lvl w:ilvl="0">
      <w:lvlJc w:val="left"/>
      <w:lvlText w:val="(%1)"/>
      <w:numFmt w:val="lowerLetter"/>
      <w:start w:val="2"/>
    </w:lvl>
  </w:abstractNum>
  <w:abstractNum w:abstractNumId="91">
    <w:nsid w:val="2A082C70"/>
    <w:multiLevelType w:val="hybridMultilevel"/>
    <w:lvl w:ilvl="0">
      <w:lvlJc w:val="left"/>
      <w:lvlText w:val="(%1)"/>
      <w:numFmt w:val="lowerLetter"/>
      <w:start w:val="2"/>
    </w:lvl>
  </w:abstractNum>
  <w:abstractNum w:abstractNumId="92">
    <w:nsid w:val="5EC6AFD4"/>
    <w:multiLevelType w:val="hybridMultilevel"/>
    <w:lvl w:ilvl="0">
      <w:lvlJc w:val="left"/>
      <w:lvlText w:val="(%1)"/>
      <w:numFmt w:val="lowerLetter"/>
      <w:start w:val="1"/>
    </w:lvl>
  </w:abstractNum>
  <w:abstractNum w:abstractNumId="93">
    <w:nsid w:val="19E21BB2"/>
    <w:multiLevelType w:val="hybridMultilevel"/>
    <w:lvl w:ilvl="0">
      <w:lvlJc w:val="left"/>
      <w:lvlText w:val="%1."/>
      <w:numFmt w:val="decimal"/>
      <w:start w:val="1"/>
    </w:lvl>
  </w:abstractNum>
  <w:abstractNum w:abstractNumId="94">
    <w:nsid w:val="75E0858A"/>
    <w:multiLevelType w:val="hybridMultilevel"/>
    <w:lvl w:ilvl="0">
      <w:lvlJc w:val="left"/>
      <w:lvlText w:val="(%1)"/>
      <w:numFmt w:val="lowerLetter"/>
      <w:start w:val="1"/>
    </w:lvl>
  </w:abstractNum>
  <w:abstractNum w:abstractNumId="95">
    <w:nsid w:val="57A61A29"/>
    <w:multiLevelType w:val="hybridMultilevel"/>
    <w:lvl w:ilvl="0">
      <w:lvlJc w:val="left"/>
      <w:lvlText w:val="%1."/>
      <w:numFmt w:val="decimal"/>
      <w:start w:val="3"/>
    </w:lvl>
  </w:abstractNum>
  <w:abstractNum w:abstractNumId="96">
    <w:nsid w:val="5399C654"/>
    <w:multiLevelType w:val="hybridMultilevel"/>
    <w:lvl w:ilvl="0">
      <w:lvlJc w:val="left"/>
      <w:lvlText w:val="%1."/>
      <w:numFmt w:val="decimal"/>
      <w:start w:val="4"/>
    </w:lvl>
  </w:abstractNum>
  <w:abstractNum w:abstractNumId="97">
    <w:nsid w:val="20EE1348"/>
    <w:multiLevelType w:val="hybridMultilevel"/>
    <w:lvl w:ilvl="0">
      <w:lvlJc w:val="left"/>
      <w:lvlText w:val="(%1)"/>
      <w:numFmt w:val="lowerLetter"/>
      <w:start w:val="1"/>
    </w:lvl>
  </w:abstractNum>
  <w:abstractNum w:abstractNumId="98">
    <w:nsid w:val="4427069A"/>
    <w:multiLevelType w:val="hybridMultilevel"/>
    <w:lvl w:ilvl="0">
      <w:lvlJc w:val="left"/>
      <w:lvlText w:val="%1."/>
      <w:numFmt w:val="decimal"/>
      <w:start w:val="5"/>
    </w:lvl>
  </w:abstractNum>
  <w:abstractNum w:abstractNumId="99">
    <w:nsid w:val="B37E80A"/>
    <w:multiLevelType w:val="hybridMultilevel"/>
    <w:lvl w:ilvl="0">
      <w:lvlJc w:val="left"/>
      <w:lvlText w:val="(%1)"/>
      <w:numFmt w:val="lowerLetter"/>
      <w:start w:val="1"/>
    </w:lvl>
  </w:abstractNum>
  <w:abstractNum w:abstractNumId="100">
    <w:nsid w:val="2157F6BC"/>
    <w:multiLevelType w:val="hybridMultilevel"/>
    <w:lvl w:ilvl="0">
      <w:lvlJc w:val="left"/>
      <w:lvlText w:val="(%1)"/>
      <w:numFmt w:val="lowerLetter"/>
      <w:start w:val="1"/>
    </w:lvl>
  </w:abstractNum>
  <w:abstractNum w:abstractNumId="101">
    <w:nsid w:val="704E1DD5"/>
    <w:multiLevelType w:val="hybridMultilevel"/>
    <w:lvl w:ilvl="0">
      <w:lvlJc w:val="left"/>
      <w:lvlText w:val="(%1)"/>
      <w:numFmt w:val="lowerLetter"/>
      <w:start w:val="4"/>
    </w:lvl>
  </w:abstractNum>
  <w:abstractNum w:abstractNumId="102">
    <w:nsid w:val="57D2F10E"/>
    <w:multiLevelType w:val="hybridMultilevel"/>
    <w:lvl w:ilvl="0">
      <w:lvlJc w:val="left"/>
      <w:lvlText w:val="(%1)"/>
      <w:numFmt w:val="lowerLetter"/>
      <w:start w:val="2"/>
    </w:lvl>
  </w:abstractNum>
  <w:abstractNum w:abstractNumId="103">
    <w:nsid w:val="BFFAE18"/>
    <w:multiLevelType w:val="hybridMultilevel"/>
    <w:lvl w:ilvl="0">
      <w:lvlJc w:val="left"/>
      <w:lvlText w:val="(%1)"/>
      <w:numFmt w:val="lowerRoman"/>
      <w:start w:val="1"/>
    </w:lvl>
  </w:abstractNum>
  <w:abstractNum w:abstractNumId="104">
    <w:nsid w:val="E3E47A8"/>
    <w:multiLevelType w:val="hybridMultilevel"/>
    <w:lvl w:ilvl="0">
      <w:lvlJc w:val="left"/>
      <w:lvlText w:val="(%1)"/>
      <w:numFmt w:val="lowerLetter"/>
      <w:start w:val="5"/>
    </w:lvl>
    <w:lvl w:ilvl="1">
      <w:lvlJc w:val="left"/>
      <w:lvlText w:val="(%2)"/>
      <w:numFmt w:val="lowerLetter"/>
      <w:start w:val="2"/>
    </w:lvl>
  </w:abstractNum>
  <w:abstractNum w:abstractNumId="105">
    <w:nsid w:val="2E48F044"/>
    <w:multiLevelType w:val="hybridMultilevel"/>
    <w:lvl w:ilvl="0">
      <w:lvlJc w:val="left"/>
      <w:lvlText w:val="(%1)"/>
      <w:numFmt w:val="lowerLetter"/>
      <w:start w:val="35"/>
    </w:lvl>
    <w:lvl w:ilvl="1">
      <w:lvlJc w:val="left"/>
      <w:lvlText w:val="%2"/>
      <w:numFmt w:val="lowerLetter"/>
      <w:start w:val="1"/>
    </w:lvl>
  </w:abstractNum>
  <w:abstractNum w:abstractNumId="106">
    <w:nsid w:val="49D0FEAC"/>
    <w:multiLevelType w:val="hybridMultilevel"/>
    <w:lvl w:ilvl="0">
      <w:lvlJc w:val="left"/>
      <w:lvlText w:val="(%1)"/>
      <w:numFmt w:val="lowerLetter"/>
      <w:start w:val="6"/>
    </w:lvl>
    <w:lvl w:ilvl="1">
      <w:lvlJc w:val="left"/>
      <w:lvlText w:val="(%2)"/>
      <w:numFmt w:val="lowerLetter"/>
      <w:start w:val="5"/>
    </w:lvl>
  </w:abstractNum>
  <w:abstractNum w:abstractNumId="107">
    <w:nsid w:val="4BEE5A5B"/>
    <w:multiLevelType w:val="hybridMultilevel"/>
    <w:lvl w:ilvl="0">
      <w:lvlJc w:val="left"/>
      <w:lvlText w:val="(%1)"/>
      <w:numFmt w:val="lowerLetter"/>
      <w:start w:val="7"/>
    </w:lvl>
    <w:lvl w:ilvl="1">
      <w:lvlJc w:val="left"/>
      <w:lvlText w:val="(%2)"/>
      <w:numFmt w:val="lowerLetter"/>
      <w:start w:val="8"/>
    </w:lvl>
  </w:abstractNum>
  <w:abstractNum w:abstractNumId="108">
    <w:nsid w:val="5551B9F3"/>
    <w:multiLevelType w:val="hybridMultilevel"/>
    <w:lvl w:ilvl="0">
      <w:lvlJc w:val="left"/>
      <w:lvlText w:val="%1"/>
      <w:numFmt w:val="lowerLetter"/>
      <w:start w:val="1"/>
    </w:lvl>
    <w:lvl w:ilvl="1">
      <w:lvlJc w:val="left"/>
      <w:lvlText w:val="(%2)"/>
      <w:numFmt w:val="lowerLetter"/>
      <w:start w:val="9"/>
    </w:lvl>
  </w:abstractNum>
  <w:abstractNum w:abstractNumId="109">
    <w:nsid w:val="24F6AB8E"/>
    <w:multiLevelType w:val="hybridMultilevel"/>
    <w:lvl w:ilvl="0">
      <w:lvlJc w:val="left"/>
      <w:lvlText w:val="(%1)"/>
      <w:numFmt w:val="lowerLetter"/>
      <w:start w:val="9"/>
    </w:lvl>
    <w:lvl w:ilvl="1">
      <w:lvlJc w:val="left"/>
      <w:lvlText w:val="(%2)"/>
      <w:numFmt w:val="lowerLetter"/>
      <w:start w:val="10"/>
    </w:lvl>
  </w:abstractNum>
  <w:abstractNum w:abstractNumId="110">
    <w:nsid w:val="634C574C"/>
    <w:multiLevelType w:val="hybridMultilevel"/>
    <w:lvl w:ilvl="0">
      <w:lvlJc w:val="left"/>
      <w:lvlText w:val="%1"/>
      <w:numFmt w:val="lowerLetter"/>
      <w:start w:val="1"/>
    </w:lvl>
    <w:lvl w:ilvl="1">
      <w:lvlJc w:val="left"/>
      <w:lvlText w:val="(%2)"/>
      <w:numFmt w:val="lowerLetter"/>
      <w:start w:val="16"/>
    </w:lvl>
  </w:abstractNum>
  <w:abstractNum w:abstractNumId="111">
    <w:nsid w:val="24E99DD7"/>
    <w:multiLevelType w:val="hybridMultilevel"/>
    <w:lvl w:ilvl="0">
      <w:lvlJc w:val="left"/>
      <w:lvlText w:val="(%1)"/>
      <w:numFmt w:val="lowerRoman"/>
      <w:start w:val="10"/>
    </w:lvl>
  </w:abstractNum>
  <w:abstractNum w:abstractNumId="112">
    <w:nsid w:val="2A31B62D"/>
    <w:multiLevelType w:val="hybridMultilevel"/>
    <w:lvl w:ilvl="0">
      <w:lvlJc w:val="left"/>
      <w:lvlText w:val="%1"/>
      <w:numFmt w:val="upperLetter"/>
      <w:start w:val="1"/>
    </w:lvl>
    <w:lvl w:ilvl="1">
      <w:lvlJc w:val="left"/>
      <w:lvlText w:val="(%2)"/>
      <w:numFmt w:val="lowerRoman"/>
      <w:start w:val="1"/>
    </w:lvl>
  </w:abstractNum>
  <w:abstractNum w:abstractNumId="113">
    <w:nsid w:val="1849C29B"/>
    <w:multiLevelType w:val="hybridMultilevel"/>
    <w:lvl w:ilvl="0">
      <w:lvlJc w:val="left"/>
      <w:lvlText w:val="(%1)"/>
      <w:numFmt w:val="upperLetter"/>
      <w:start w:val="5"/>
    </w:lvl>
    <w:lvl w:ilvl="1">
      <w:lvlJc w:val="left"/>
      <w:lvlText w:val="(%2)"/>
      <w:numFmt w:val="lowerRoman"/>
      <w:start w:val="2"/>
    </w:lvl>
  </w:abstractNum>
  <w:abstractNum w:abstractNumId="114">
    <w:nsid w:val="7DFF9D09"/>
    <w:multiLevelType w:val="hybridMultilevel"/>
    <w:lvl w:ilvl="0">
      <w:lvlJc w:val="left"/>
      <w:lvlText w:val="(%1)"/>
      <w:numFmt w:val="lowerLetter"/>
      <w:start w:val="12"/>
    </w:lvl>
    <w:lvl w:ilvl="1">
      <w:lvlJc w:val="left"/>
      <w:lvlText w:val="(%2)"/>
      <w:numFmt w:val="lowerLetter"/>
      <w:start w:val="25"/>
    </w:lvl>
  </w:abstractNum>
  <w:abstractNum w:abstractNumId="115">
    <w:nsid w:val="754342"/>
    <w:multiLevelType w:val="hybridMultilevel"/>
    <w:lvl w:ilvl="0">
      <w:lvlJc w:val="left"/>
      <w:lvlText w:val="(%1)"/>
      <w:numFmt w:val="lowerLetter"/>
      <w:start w:val="19"/>
    </w:lvl>
    <w:lvl w:ilvl="1">
      <w:lvlJc w:val="left"/>
      <w:lvlText w:val="(%2)"/>
      <w:numFmt w:val="lowerLetter"/>
      <w:start w:val="2"/>
    </w:lvl>
    <w:lvl w:ilvl="2">
      <w:lvlJc w:val="left"/>
      <w:lvlText w:val="(%3)"/>
      <w:numFmt w:val="lowerLetter"/>
      <w:start w:val="24"/>
    </w:lvl>
  </w:abstractNum>
  <w:abstractNum w:abstractNumId="116">
    <w:nsid w:val="69E7F3E5"/>
    <w:multiLevelType w:val="hybridMultilevel"/>
    <w:lvl w:ilvl="0">
      <w:lvlJc w:val="left"/>
      <w:lvlText w:val="%1"/>
      <w:numFmt w:val="lowerLetter"/>
      <w:start w:val="1"/>
    </w:lvl>
    <w:lvl w:ilvl="1">
      <w:lvlJc w:val="left"/>
      <w:lvlText w:val="(%2)"/>
      <w:numFmt w:val="lowerLetter"/>
      <w:start w:val="20"/>
    </w:lvl>
    <w:lvl w:ilvl="2">
      <w:lvlJc w:val="left"/>
      <w:lvlText w:val="%3"/>
      <w:numFmt w:val="lowerLetter"/>
      <w:start w:val="1"/>
    </w:lvl>
  </w:abstractNum>
  <w:abstractNum w:abstractNumId="117">
    <w:nsid w:val="2A6DE806"/>
    <w:multiLevelType w:val="hybridMultilevel"/>
    <w:lvl w:ilvl="0">
      <w:lvlJc w:val="left"/>
      <w:lvlText w:val="(%1)"/>
      <w:numFmt w:val="lowerLetter"/>
      <w:start w:val="21"/>
    </w:lvl>
    <w:lvl w:ilvl="1">
      <w:lvlJc w:val="left"/>
      <w:lvlText w:val="(%2)"/>
      <w:numFmt w:val="lowerLetter"/>
      <w:start w:val="1"/>
    </w:lvl>
  </w:abstractNum>
  <w:abstractNum w:abstractNumId="118">
    <w:nsid w:val="1816F8C4"/>
    <w:multiLevelType w:val="hybridMultilevel"/>
    <w:lvl w:ilvl="0">
      <w:lvlJc w:val="left"/>
      <w:lvlText w:val="%1"/>
      <w:numFmt w:val="decimal"/>
      <w:start w:val="1"/>
    </w:lvl>
    <w:lvl w:ilvl="1">
      <w:lvlJc w:val="left"/>
      <w:lvlText w:val="(%2)"/>
      <w:numFmt w:val="lowerLetter"/>
      <w:start w:val="6"/>
    </w:lvl>
  </w:abstractNum>
  <w:abstractNum w:abstractNumId="119">
    <w:nsid w:val="37DF2233"/>
    <w:multiLevelType w:val="hybridMultilevel"/>
    <w:lvl w:ilvl="0">
      <w:lvlJc w:val="left"/>
      <w:lvlText w:val="(%1)"/>
      <w:numFmt w:val="decimal"/>
      <w:start w:val="15"/>
    </w:lvl>
    <w:lvl w:ilvl="1">
      <w:lvlJc w:val="left"/>
      <w:lvlText w:val="(%2)"/>
      <w:numFmt w:val="lowerLetter"/>
      <w:start w:val="12"/>
    </w:lvl>
  </w:abstractNum>
  <w:abstractNum w:abstractNumId="120">
    <w:nsid w:val="7AB49DAF"/>
    <w:multiLevelType w:val="hybridMultilevel"/>
    <w:lvl w:ilvl="0">
      <w:lvlJc w:val="left"/>
      <w:lvlText w:val="(%1)"/>
      <w:numFmt w:val="lowerLetter"/>
      <w:start w:val="19"/>
    </w:lvl>
  </w:abstractNum>
  <w:abstractNum w:abstractNumId="121">
    <w:nsid w:val="759F82CD"/>
    <w:multiLevelType w:val="hybridMultilevel"/>
    <w:lvl w:ilvl="0">
      <w:lvlJc w:val="left"/>
      <w:lvlText w:val="(%1)"/>
      <w:numFmt w:val="lowerLetter"/>
      <w:start w:val="22"/>
    </w:lvl>
    <w:lvl w:ilvl="1">
      <w:lvlJc w:val="left"/>
      <w:lvlText w:val="(%2)"/>
      <w:numFmt w:val="lowerLetter"/>
      <w:start w:val="9"/>
    </w:lvl>
  </w:abstractNum>
  <w:abstractNum w:abstractNumId="122">
    <w:nsid w:val="61E74EA3"/>
    <w:multiLevelType w:val="hybridMultilevel"/>
    <w:lvl w:ilvl="0">
      <w:lvlJc w:val="left"/>
      <w:lvlText w:val="(%1)"/>
      <w:numFmt w:val="upperLetter"/>
      <w:start w:val="3"/>
    </w:lvl>
  </w:abstractNum>
  <w:abstractNum w:abstractNumId="123">
    <w:nsid w:val="597B4D84"/>
    <w:multiLevelType w:val="hybridMultilevel"/>
    <w:lvl w:ilvl="0">
      <w:lvlJc w:val="left"/>
      <w:lvlText w:val="(%1)"/>
      <w:numFmt w:val="lowerLetter"/>
      <w:start w:val="25"/>
    </w:lvl>
    <w:lvl w:ilvl="1">
      <w:lvlJc w:val="left"/>
      <w:lvlText w:val="(%2)"/>
      <w:numFmt w:val="lowerLetter"/>
      <w:start w:val="5"/>
    </w:lvl>
  </w:abstractNum>
  <w:abstractNum w:abstractNumId="124">
    <w:nsid w:val="F819E7F"/>
    <w:multiLevelType w:val="hybridMultilevel"/>
    <w:lvl w:ilvl="0">
      <w:lvlJc w:val="left"/>
      <w:lvlText w:val="(%1)"/>
      <w:numFmt w:val="lowerLetter"/>
      <w:start w:val="12"/>
    </w:lvl>
  </w:abstractNum>
  <w:abstractNum w:abstractNumId="125">
    <w:nsid w:val="57C7D42D"/>
    <w:multiLevelType w:val="hybridMultilevel"/>
    <w:lvl w:ilvl="0">
      <w:lvlJc w:val="left"/>
      <w:lvlText w:val="%1"/>
      <w:numFmt w:val="lowerLetter"/>
      <w:start w:val="1"/>
    </w:lvl>
    <w:lvl w:ilvl="1">
      <w:lvlJc w:val="left"/>
      <w:lvlText w:val="(%2)"/>
      <w:numFmt w:val="lowerRoman"/>
      <w:start w:val="1"/>
    </w:lvl>
  </w:abstractNum>
  <w:abstractNum w:abstractNumId="126">
    <w:nsid w:val="312167AD"/>
    <w:multiLevelType w:val="hybridMultilevel"/>
    <w:lvl w:ilvl="0">
      <w:lvlJc w:val="left"/>
      <w:lvlText w:val="(%1)"/>
      <w:numFmt w:val="lowerLetter"/>
      <w:start w:val="26"/>
    </w:lvl>
    <w:lvl w:ilvl="1">
      <w:lvlJc w:val="left"/>
      <w:lvlText w:val="%2"/>
      <w:numFmt w:val="lowerRoman"/>
      <w:start w:val="1"/>
    </w:lvl>
  </w:abstractNum>
  <w:abstractNum w:abstractNumId="127">
    <w:nsid w:val="631B64D4"/>
    <w:multiLevelType w:val="hybridMultilevel"/>
    <w:lvl w:ilvl="0">
      <w:lvlJc w:val="left"/>
      <w:lvlText w:val="(%1)"/>
      <w:numFmt w:val="lowerLetter"/>
      <w:start w:val="28"/>
    </w:lvl>
  </w:abstractNum>
  <w:abstractNum w:abstractNumId="128">
    <w:nsid w:val="78B5E776"/>
    <w:multiLevelType w:val="hybridMultilevel"/>
    <w:lvl w:ilvl="0">
      <w:lvlJc w:val="left"/>
      <w:lvlText w:val="(%1)"/>
      <w:numFmt w:val="lowerLetter"/>
      <w:start w:val="1"/>
    </w:lvl>
  </w:abstractNum>
  <w:abstractNum w:abstractNumId="129">
    <w:nsid w:val="75486E47"/>
    <w:multiLevelType w:val="hybridMultilevel"/>
    <w:lvl w:ilvl="0">
      <w:lvlJc w:val="left"/>
      <w:lvlText w:val="(%1)"/>
      <w:numFmt w:val="lowerLetter"/>
      <w:start w:val="6"/>
    </w:lvl>
    <w:lvl w:ilvl="1">
      <w:lvlJc w:val="left"/>
      <w:lvlText w:val="(%2)"/>
      <w:numFmt w:val="lowerRoman"/>
      <w:start w:val="1"/>
    </w:lvl>
  </w:abstractNum>
  <w:abstractNum w:abstractNumId="130">
    <w:nsid w:val="6E534CDE"/>
    <w:multiLevelType w:val="hybridMultilevel"/>
    <w:lvl w:ilvl="0">
      <w:lvlJc w:val="left"/>
      <w:lvlText w:val="(%1)"/>
      <w:numFmt w:val="lowerLetter"/>
      <w:start w:val="11"/>
    </w:lvl>
  </w:abstractNum>
  <w:abstractNum w:abstractNumId="131">
    <w:nsid w:val="1A0DDE32"/>
    <w:multiLevelType w:val="hybridMultilevel"/>
    <w:lvl w:ilvl="0">
      <w:lvlJc w:val="left"/>
      <w:lvlText w:val="(%1)"/>
      <w:numFmt w:val="lowerLetter"/>
      <w:start w:val="1"/>
    </w:lvl>
  </w:abstractNum>
  <w:abstractNum w:abstractNumId="132">
    <w:nsid w:val="65968C1C"/>
    <w:multiLevelType w:val="hybridMultilevel"/>
    <w:lvl w:ilvl="0">
      <w:lvlJc w:val="left"/>
      <w:lvlText w:val="(%1)"/>
      <w:numFmt w:val="lowerLetter"/>
      <w:start w:val="1"/>
    </w:lvl>
  </w:abstractNum>
  <w:abstractNum w:abstractNumId="133">
    <w:nsid w:val="46263DEC"/>
    <w:multiLevelType w:val="hybridMultilevel"/>
    <w:lvl w:ilvl="0">
      <w:lvlJc w:val="left"/>
      <w:lvlText w:val="(%1)"/>
      <w:numFmt w:val="lowerLetter"/>
      <w:start w:val="1"/>
    </w:lvl>
  </w:abstractNum>
  <w:abstractNum w:abstractNumId="134">
    <w:nsid w:val="260D8C4A"/>
    <w:multiLevelType w:val="hybridMultilevel"/>
    <w:lvl w:ilvl="0">
      <w:lvlJc w:val="left"/>
      <w:lvlText w:val="(%1)"/>
      <w:numFmt w:val="lowerLetter"/>
      <w:start w:val="1"/>
    </w:lvl>
  </w:abstractNum>
  <w:abstractNum w:abstractNumId="135">
    <w:nsid w:val="73D4D3C4"/>
    <w:multiLevelType w:val="hybridMultilevel"/>
    <w:lvl w:ilvl="0">
      <w:lvlJc w:val="left"/>
      <w:lvlText w:val="(%1)"/>
      <w:numFmt w:val="lowerLetter"/>
      <w:start w:val="4"/>
    </w:lvl>
  </w:abstractNum>
  <w:abstractNum w:abstractNumId="136">
    <w:nsid w:val="746F2E30"/>
    <w:multiLevelType w:val="hybridMultilevel"/>
    <w:lvl w:ilvl="0">
      <w:lvlJc w:val="left"/>
      <w:lvlText w:val="(%1)"/>
      <w:numFmt w:val="lowerLetter"/>
      <w:start w:val="2"/>
    </w:lvl>
  </w:abstractNum>
  <w:abstractNum w:abstractNumId="137">
    <w:nsid w:val="6FDE8AF6"/>
    <w:multiLevelType w:val="hybridMultilevel"/>
    <w:lvl w:ilvl="0">
      <w:lvlJc w:val="left"/>
      <w:lvlText w:val="(%1)"/>
      <w:numFmt w:val="lowerLetter"/>
      <w:start w:val="4"/>
    </w:lvl>
    <w:lvl w:ilvl="1">
      <w:lvlJc w:val="left"/>
      <w:lvlText w:val="(%2)"/>
      <w:numFmt w:val="lowerLetter"/>
      <w:start w:val="2"/>
    </w:lvl>
  </w:abstractNum>
  <w:abstractNum w:abstractNumId="138">
    <w:nsid w:val="3FC32E20"/>
    <w:multiLevelType w:val="hybridMultilevel"/>
    <w:lvl w:ilvl="0">
      <w:lvlJc w:val="left"/>
      <w:lvlText w:val="(%1)"/>
      <w:numFmt w:val="lowerLetter"/>
      <w:start w:val="35"/>
    </w:lvl>
    <w:lvl w:ilvl="1">
      <w:lvlJc w:val="left"/>
      <w:lvlText w:val="%2"/>
      <w:numFmt w:val="lowerLetter"/>
      <w:start w:val="1"/>
    </w:lvl>
  </w:abstractNum>
  <w:abstractNum w:abstractNumId="139">
    <w:nsid w:val="49C0E823"/>
    <w:multiLevelType w:val="hybridMultilevel"/>
    <w:lvl w:ilvl="0">
      <w:lvlJc w:val="left"/>
      <w:lvlText w:val="(%1)"/>
      <w:numFmt w:val="lowerLetter"/>
      <w:start w:val="5"/>
    </w:lvl>
    <w:lvl w:ilvl="1">
      <w:lvlJc w:val="left"/>
      <w:lvlText w:val="(%2)"/>
      <w:numFmt w:val="lowerLetter"/>
      <w:start w:val="5"/>
    </w:lvl>
  </w:abstractNum>
  <w:abstractNum w:abstractNumId="140">
    <w:nsid w:val="14D53685"/>
    <w:multiLevelType w:val="hybridMultilevel"/>
    <w:lvl w:ilvl="0">
      <w:lvlJc w:val="left"/>
      <w:lvlText w:val="%1"/>
      <w:numFmt w:val="lowerLetter"/>
      <w:start w:val="1"/>
    </w:lvl>
    <w:lvl w:ilvl="1">
      <w:lvlJc w:val="left"/>
      <w:lvlText w:val="(%2)"/>
      <w:numFmt w:val="lowerLetter"/>
      <w:start w:val="8"/>
    </w:lvl>
  </w:abstractNum>
  <w:abstractNum w:abstractNumId="141">
    <w:nsid w:val="230F856C"/>
    <w:multiLevelType w:val="hybridMultilevel"/>
    <w:lvl w:ilvl="0">
      <w:lvlJc w:val="left"/>
      <w:lvlText w:val="(%1)"/>
      <w:numFmt w:val="lowerLetter"/>
      <w:start w:val="7"/>
    </w:lvl>
    <w:lvl w:ilvl="1">
      <w:lvlJc w:val="left"/>
      <w:lvlText w:val="(%2)"/>
      <w:numFmt w:val="lowerLetter"/>
      <w:start w:val="9"/>
    </w:lvl>
  </w:abstractNum>
  <w:abstractNum w:abstractNumId="142">
    <w:nsid w:val="6EAA85FB"/>
    <w:multiLevelType w:val="hybridMultilevel"/>
    <w:lvl w:ilvl="0">
      <w:lvlJc w:val="left"/>
      <w:lvlText w:val="%1"/>
      <w:numFmt w:val="lowerLetter"/>
      <w:start w:val="1"/>
    </w:lvl>
    <w:lvl w:ilvl="1">
      <w:lvlJc w:val="left"/>
      <w:lvlText w:val="(%2)"/>
      <w:numFmt w:val="lowerLetter"/>
      <w:start w:val="10"/>
    </w:lvl>
  </w:abstractNum>
  <w:abstractNum w:abstractNumId="143">
    <w:nsid w:val="3F06ECB2"/>
    <w:multiLevelType w:val="hybridMultilevel"/>
    <w:lvl w:ilvl="0">
      <w:lvlJc w:val="left"/>
      <w:lvlText w:val="(%1)"/>
      <w:numFmt w:val="lowerLetter"/>
      <w:start w:val="9"/>
    </w:lvl>
    <w:lvl w:ilvl="1">
      <w:lvlJc w:val="left"/>
      <w:lvlText w:val="(%2)"/>
      <w:numFmt w:val="lowerLetter"/>
      <w:start w:val="16"/>
    </w:lvl>
    <w:lvl w:ilvl="2">
      <w:lvlJc w:val="left"/>
      <w:lvlText w:val="%3"/>
      <w:numFmt w:val="lowerRoman"/>
      <w:start w:val="1"/>
    </w:lvl>
  </w:abstractNum>
  <w:abstractNum w:abstractNumId="144">
    <w:nsid w:val="3B594807"/>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1"/>
    </w:lvl>
  </w:abstractNum>
  <w:abstractNum w:abstractNumId="145">
    <w:nsid w:val="6CAA230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46">
    <w:nsid w:val="3F7C2FF4"/>
    <w:multiLevelType w:val="hybridMultilevel"/>
    <w:lvl w:ilvl="0">
      <w:lvlJc w:val="left"/>
      <w:lvlText w:val="(%1)"/>
      <w:numFmt w:val="lowerLetter"/>
      <w:start w:val="11"/>
    </w:lvl>
    <w:lvl w:ilvl="1">
      <w:lvlJc w:val="left"/>
      <w:lvlText w:val="(%2)"/>
      <w:numFmt w:val="lowerLetter"/>
      <w:start w:val="25"/>
    </w:lvl>
    <w:lvl w:ilvl="2">
      <w:lvlJc w:val="left"/>
      <w:lvlText w:val="%3"/>
      <w:numFmt w:val="lowerRoman"/>
      <w:start w:val="1"/>
    </w:lvl>
  </w:abstractNum>
  <w:abstractNum w:abstractNumId="147">
    <w:nsid w:val="25413BEC"/>
    <w:multiLevelType w:val="hybridMultilevel"/>
    <w:lvl w:ilvl="0">
      <w:lvlJc w:val="left"/>
      <w:lvlText w:val="(%1)"/>
      <w:numFmt w:val="lowerLetter"/>
      <w:start w:val="18"/>
    </w:lvl>
    <w:lvl w:ilvl="1">
      <w:lvlJc w:val="left"/>
      <w:lvlText w:val="(%2)"/>
      <w:numFmt w:val="lowerLetter"/>
      <w:start w:val="2"/>
    </w:lvl>
    <w:lvl w:ilvl="2">
      <w:lvlJc w:val="left"/>
      <w:lvlText w:val="(%3)"/>
      <w:numFmt w:val="lowerLetter"/>
      <w:start w:val="24"/>
    </w:lvl>
  </w:abstractNum>
  <w:abstractNum w:abstractNumId="148">
    <w:nsid w:val="17180B0B"/>
    <w:multiLevelType w:val="hybridMultilevel"/>
    <w:lvl w:ilvl="0">
      <w:lvlJc w:val="left"/>
      <w:lvlText w:val="(%1)"/>
      <w:numFmt w:val="lowerLetter"/>
      <w:start w:val="19"/>
    </w:lvl>
    <w:lvl w:ilvl="1">
      <w:lvlJc w:val="left"/>
      <w:lvlText w:val="(%2)"/>
      <w:numFmt w:val="lowerLetter"/>
      <w:start w:val="20"/>
    </w:lvl>
  </w:abstractNum>
  <w:abstractNum w:abstractNumId="149">
    <w:nsid w:val="579328B9"/>
    <w:multiLevelType w:val="hybridMultilevel"/>
    <w:lvl w:ilvl="0">
      <w:lvlJc w:val="left"/>
      <w:lvlText w:val="(%1)"/>
      <w:numFmt w:val="lowerLetter"/>
      <w:start w:val="21"/>
    </w:lvl>
    <w:lvl w:ilvl="1">
      <w:lvlJc w:val="left"/>
      <w:lvlText w:val="(%2)"/>
      <w:numFmt w:val="lowerLetter"/>
      <w:start w:val="1"/>
    </w:lvl>
  </w:abstractNum>
  <w:abstractNum w:abstractNumId="150">
    <w:nsid w:val="5D205E20"/>
    <w:multiLevelType w:val="hybridMultilevel"/>
    <w:lvl w:ilvl="0">
      <w:lvlJc w:val="left"/>
      <w:lvlText w:val="%1"/>
      <w:numFmt w:val="decimal"/>
      <w:start w:val="1"/>
    </w:lvl>
    <w:lvl w:ilvl="1">
      <w:lvlJc w:val="left"/>
      <w:lvlText w:val="(%2)"/>
      <w:numFmt w:val="lowerLetter"/>
      <w:start w:val="6"/>
    </w:lvl>
  </w:abstractNum>
  <w:abstractNum w:abstractNumId="151">
    <w:nsid w:val="11CCA8BA"/>
    <w:multiLevelType w:val="hybridMultilevel"/>
    <w:lvl w:ilvl="0">
      <w:lvlJc w:val="left"/>
      <w:lvlText w:val="(%1)"/>
      <w:numFmt w:val="decimal"/>
      <w:start w:val="15"/>
    </w:lvl>
    <w:lvl w:ilvl="1">
      <w:lvlJc w:val="left"/>
      <w:lvlText w:val="%2"/>
      <w:numFmt w:val="lowerLetter"/>
      <w:start w:val="1"/>
    </w:lvl>
  </w:abstractNum>
  <w:abstractNum w:abstractNumId="152">
    <w:nsid w:val="4D32AB86"/>
    <w:multiLevelType w:val="hybridMultilevel"/>
    <w:lvl w:ilvl="0">
      <w:lvlJc w:val="left"/>
      <w:lvlText w:val="(%1)"/>
      <w:numFmt w:val="lowerLetter"/>
      <w:start w:val="12"/>
    </w:lvl>
  </w:abstractNum>
  <w:abstractNum w:abstractNumId="153">
    <w:nsid w:val="3F07ACC3"/>
    <w:multiLevelType w:val="hybridMultilevel"/>
    <w:lvl w:ilvl="0">
      <w:lvlJc w:val="left"/>
      <w:lvlText w:val="%1"/>
      <w:numFmt w:val="lowerLetter"/>
      <w:start w:val="1"/>
    </w:lvl>
    <w:lvl w:ilvl="1">
      <w:lvlJc w:val="left"/>
      <w:lvlText w:val="(%2)"/>
      <w:numFmt w:val="lowerLetter"/>
      <w:start w:val="19"/>
    </w:lvl>
  </w:abstractNum>
  <w:abstractNum w:abstractNumId="154">
    <w:nsid w:val="6B47F63E"/>
    <w:multiLevelType w:val="hybridMultilevel"/>
    <w:lvl w:ilvl="0">
      <w:lvlJc w:val="left"/>
      <w:lvlText w:val="(%1)"/>
      <w:numFmt w:val="lowerLetter"/>
      <w:start w:val="22"/>
    </w:lvl>
    <w:lvl w:ilvl="1">
      <w:lvlJc w:val="left"/>
      <w:lvlText w:val="(%2)"/>
      <w:numFmt w:val="lowerLetter"/>
      <w:start w:val="9"/>
    </w:lvl>
  </w:abstractNum>
  <w:abstractNum w:abstractNumId="155">
    <w:nsid w:val="5CB44A05"/>
    <w:multiLevelType w:val="hybridMultilevel"/>
    <w:lvl w:ilvl="0">
      <w:lvlJc w:val="left"/>
      <w:lvlText w:val="(%1)"/>
      <w:numFmt w:val="upperLetter"/>
      <w:start w:val="3"/>
    </w:lvl>
  </w:abstractNum>
  <w:abstractNum w:abstractNumId="156">
    <w:nsid w:val="16CF80F1"/>
    <w:multiLevelType w:val="hybridMultilevel"/>
    <w:lvl w:ilvl="0">
      <w:lvlJc w:val="left"/>
      <w:lvlText w:val="(%1)"/>
      <w:numFmt w:val="lowerLetter"/>
      <w:start w:val="25"/>
    </w:lvl>
    <w:lvl w:ilvl="1">
      <w:lvlJc w:val="left"/>
      <w:lvlText w:val="(%2)"/>
      <w:numFmt w:val="lowerLetter"/>
      <w:start w:val="5"/>
    </w:lvl>
  </w:abstractNum>
  <w:abstractNum w:abstractNumId="157">
    <w:nsid w:val="1C695DEC"/>
    <w:multiLevelType w:val="hybridMultilevel"/>
    <w:lvl w:ilvl="0">
      <w:lvlJc w:val="left"/>
      <w:lvlText w:val="(%1)"/>
      <w:numFmt w:val="lowerLetter"/>
      <w:start w:val="6"/>
    </w:lvl>
  </w:abstractNum>
  <w:abstractNum w:abstractNumId="158">
    <w:nsid w:val="3FCFAED9"/>
    <w:multiLevelType w:val="hybridMultilevel"/>
    <w:lvl w:ilvl="0">
      <w:lvlJc w:val="left"/>
      <w:lvlText w:val="(%1)"/>
      <w:numFmt w:val="lowerLetter"/>
      <w:start w:val="12"/>
    </w:lvl>
    <w:lvl w:ilvl="1">
      <w:lvlJc w:val="left"/>
      <w:lvlText w:val="(%2)"/>
      <w:numFmt w:val="lowerRoman"/>
      <w:start w:val="1"/>
    </w:lvl>
  </w:abstractNum>
  <w:abstractNum w:abstractNumId="159">
    <w:nsid w:val="F856867"/>
    <w:multiLevelType w:val="hybridMultilevel"/>
    <w:lvl w:ilvl="0">
      <w:lvlJc w:val="left"/>
      <w:lvlText w:val="(%1)"/>
      <w:numFmt w:val="lowerLetter"/>
      <w:start w:val="28"/>
    </w:lvl>
  </w:abstractNum>
  <w:abstractNum w:abstractNumId="160">
    <w:nsid w:val="11B1CC33"/>
    <w:multiLevelType w:val="hybridMultilevel"/>
    <w:lvl w:ilvl="0">
      <w:lvlJc w:val="left"/>
      <w:lvlText w:val="(%1)"/>
      <w:numFmt w:val="lowerLetter"/>
      <w:start w:val="1"/>
    </w:lvl>
    <w:lvl w:ilvl="1">
      <w:lvlJc w:val="left"/>
      <w:lvlText w:val="(%2)"/>
      <w:numFmt w:val="upperLetter"/>
      <w:start w:val="2"/>
    </w:lvl>
    <w:lvl w:ilvl="2">
      <w:lvlJc w:val="left"/>
      <w:lvlText w:val="(%3)"/>
      <w:numFmt w:val="upperLetter"/>
      <w:start w:val="1"/>
    </w:lvl>
  </w:abstractNum>
  <w:abstractNum w:abstractNumId="161">
    <w:nsid w:val="2E22FBB7"/>
    <w:multiLevelType w:val="hybridMultilevel"/>
    <w:lvl w:ilvl="0">
      <w:lvlJc w:val="left"/>
      <w:lvlText w:val="(%1)"/>
      <w:numFmt w:val="upperLetter"/>
      <w:start w:val="3"/>
    </w:lvl>
  </w:abstractNum>
  <w:abstractNum w:abstractNumId="162">
    <w:nsid w:val="29934699"/>
    <w:multiLevelType w:val="hybridMultilevel"/>
    <w:lvl w:ilvl="0">
      <w:lvlJc w:val="left"/>
      <w:lvlText w:val="(%1)"/>
      <w:numFmt w:val="lowerLetter"/>
      <w:start w:val="1"/>
    </w:lvl>
  </w:abstractNum>
  <w:abstractNum w:abstractNumId="163">
    <w:nsid w:val="77485850"/>
    <w:multiLevelType w:val="hybridMultilevel"/>
    <w:lvl w:ilvl="0">
      <w:lvlJc w:val="left"/>
      <w:lvlText w:val="(%1)"/>
      <w:numFmt w:val="lowerLetter"/>
      <w:start w:val="3"/>
    </w:lvl>
  </w:abstractNum>
  <w:abstractNum w:abstractNumId="164">
    <w:nsid w:val="744939A3"/>
    <w:multiLevelType w:val="hybridMultilevel"/>
    <w:lvl w:ilvl="0">
      <w:lvlJc w:val="left"/>
      <w:lvlText w:val="(%1)"/>
      <w:numFmt w:val="lowerLetter"/>
      <w:start w:val="1"/>
    </w:lvl>
  </w:abstractNum>
  <w:abstractNum w:abstractNumId="165">
    <w:nsid w:val="4FA0D2E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 Type="http://schemas.openxmlformats.org/officeDocument/2006/relationships/hyperlink" Target="http://www.sec.gov/Archives/edgar/data/34903/000003490321000080/frt-12022021exhibit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2022-01-03T07:33:03Z</dcterms:created>
  <dcterms:modified xsi:type="dcterms:W3CDTF">2022-01-03T07:33:03Z</dcterms:modified>
</cp:coreProperties>
</file>