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(Rule 13d-102)</w:t>
      </w:r>
    </w:p>
    <w:p>
      <w:pPr>
        <w:spacing w:after="0" w:line="169" w:lineRule="exact"/>
        <w:rPr>
          <w:sz w:val="24"/>
          <w:szCs w:val="24"/>
          <w:color w:val="auto"/>
        </w:rPr>
      </w:pPr>
    </w:p>
    <w:p>
      <w:pPr>
        <w:jc w:val="center"/>
        <w:ind w:left="340" w:right="1380"/>
        <w:spacing w:after="0" w:line="250" w:lineRule="auto"/>
        <w:rPr>
          <w:sz w:val="20"/>
          <w:szCs w:val="20"/>
          <w:color w:val="auto"/>
        </w:rPr>
      </w:pPr>
      <w:r>
        <w:rPr>
          <w:rFonts w:ascii="Courier New" w:cs="Courier New" w:eastAsia="Courier New" w:hAnsi="Courier New"/>
          <w:sz w:val="18"/>
          <w:szCs w:val="18"/>
          <w:color w:val="auto"/>
        </w:rPr>
        <w:t>INFORMATION TO BE INCLUDED IN STATEMENTS FILED PURSUANT TO RULES 13d-1(b),(c) and (d) AND AMENDMENTS THERETO FILED PURSUANT TO RULE 13d-2(b)</w:t>
      </w:r>
    </w:p>
    <w:p>
      <w:pPr>
        <w:spacing w:after="0" w:line="3"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(Amendment No. _)</w:t>
      </w:r>
    </w:p>
    <w:p>
      <w:pPr>
        <w:spacing w:after="0" w:line="16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3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313747206</w:t>
      </w:r>
    </w:p>
    <w:p>
      <w:pPr>
        <w:spacing w:after="0" w:line="3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December 31, 1998</w:t>
      </w:r>
    </w:p>
    <w:p>
      <w:pPr>
        <w:spacing w:after="0" w:line="3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2519" w:firstLine="843"/>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jc w:val="right"/>
        <w:ind w:right="5159"/>
        <w:spacing w:after="0"/>
        <w:rPr>
          <w:sz w:val="20"/>
          <w:szCs w:val="20"/>
          <w:color w:val="auto"/>
        </w:rPr>
      </w:pPr>
      <w:r>
        <w:rPr>
          <w:rFonts w:ascii="Courier New" w:cs="Courier New" w:eastAsia="Courier New" w:hAnsi="Courier New"/>
          <w:sz w:val="18"/>
          <w:szCs w:val="18"/>
          <w:color w:val="auto"/>
        </w:rPr>
        <w:t>X Rule 13d-1(b)</w:t>
      </w:r>
    </w:p>
    <w:p>
      <w:pPr>
        <w:spacing w:after="0" w:line="29" w:lineRule="exact"/>
        <w:rPr>
          <w:sz w:val="24"/>
          <w:szCs w:val="24"/>
          <w:color w:val="auto"/>
        </w:rPr>
      </w:pPr>
    </w:p>
    <w:p>
      <w:pPr>
        <w:jc w:val="right"/>
        <w:ind w:right="5159"/>
        <w:spacing w:after="0"/>
        <w:rPr>
          <w:sz w:val="20"/>
          <w:szCs w:val="20"/>
          <w:color w:val="auto"/>
        </w:rPr>
      </w:pPr>
      <w:r>
        <w:rPr>
          <w:rFonts w:ascii="Courier New" w:cs="Courier New" w:eastAsia="Courier New" w:hAnsi="Courier New"/>
          <w:sz w:val="18"/>
          <w:szCs w:val="18"/>
          <w:color w:val="auto"/>
        </w:rPr>
        <w:t>Rule 13d-1(c)</w:t>
      </w:r>
    </w:p>
    <w:p>
      <w:pPr>
        <w:jc w:val="right"/>
        <w:ind w:right="5159"/>
        <w:spacing w:after="0"/>
        <w:rPr>
          <w:sz w:val="20"/>
          <w:szCs w:val="20"/>
          <w:color w:val="auto"/>
        </w:rPr>
      </w:pPr>
      <w:r>
        <w:rPr>
          <w:rFonts w:ascii="Courier New" w:cs="Courier New" w:eastAsia="Courier New" w:hAnsi="Courier New"/>
          <w:sz w:val="18"/>
          <w:szCs w:val="18"/>
          <w:color w:val="auto"/>
        </w:rPr>
        <w:t>Rule 13d-1(d)</w:t>
      </w:r>
    </w:p>
    <w:p>
      <w:pPr>
        <w:spacing w:after="0" w:line="372" w:lineRule="exact"/>
        <w:rPr>
          <w:sz w:val="24"/>
          <w:szCs w:val="24"/>
          <w:color w:val="auto"/>
        </w:rPr>
      </w:pPr>
    </w:p>
    <w:p>
      <w:pPr>
        <w:ind w:right="1879" w:firstLine="956"/>
        <w:spacing w:after="0" w:line="274" w:lineRule="auto"/>
        <w:tabs>
          <w:tab w:leader="none" w:pos="115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2" w:lineRule="exact"/>
        <w:rPr>
          <w:sz w:val="24"/>
          <w:szCs w:val="24"/>
          <w:color w:val="auto"/>
        </w:rPr>
      </w:pPr>
    </w:p>
    <w:p>
      <w:pPr>
        <w:ind w:right="1779" w:firstLine="948"/>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623" w:right="1440" w:bottom="1440" w:gutter="0" w:footer="0" w:header="0"/>
        </w:sectPr>
      </w:pPr>
    </w:p>
    <w:bookmarkStart w:id="1" w:name="page2"/>
    <w:bookmarkEnd w:id="1"/>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313747206</w:t>
      </w:r>
    </w:p>
    <w:p>
      <w:pPr>
        <w:spacing w:after="0" w:line="201" w:lineRule="exact"/>
        <w:rPr>
          <w:sz w:val="20"/>
          <w:szCs w:val="20"/>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169" w:lineRule="exact"/>
        <w:rPr>
          <w:rFonts w:ascii="Courier New" w:cs="Courier New" w:eastAsia="Courier New" w:hAnsi="Courier New"/>
          <w:sz w:val="18"/>
          <w:szCs w:val="18"/>
          <w:color w:val="auto"/>
        </w:rPr>
      </w:pPr>
    </w:p>
    <w:p>
      <w:pPr>
        <w:jc w:val="both"/>
        <w:ind w:left="420" w:right="6639"/>
        <w:spacing w:after="0" w:line="40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Loomis, Sayles &amp; Company, L.P. I.R.S. Tax I.D. No. 04-3200030</w:t>
      </w: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860" w:hanging="431"/>
        <w:spacing w:after="0" w:line="238" w:lineRule="auto"/>
        <w:tabs>
          <w:tab w:leader="none" w:pos="8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431"/>
        <w:spacing w:after="0"/>
        <w:tabs>
          <w:tab w:leader="none" w:pos="8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0"/>
          <w:szCs w:val="20"/>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3,715,244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166,665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4,198,573</w:t>
      </w:r>
    </w:p>
    <w:p>
      <w:pPr>
        <w:spacing w:after="0" w:line="201" w:lineRule="exact"/>
        <w:rPr>
          <w:rFonts w:ascii="Courier New" w:cs="Courier New" w:eastAsia="Courier New" w:hAnsi="Courier New"/>
          <w:sz w:val="18"/>
          <w:szCs w:val="18"/>
          <w:color w:val="auto"/>
        </w:rPr>
      </w:pPr>
    </w:p>
    <w:p>
      <w:pPr>
        <w:ind w:left="420" w:right="5259" w:hanging="412"/>
        <w:spacing w:after="0" w:line="347"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4,198,573</w:t>
      </w:r>
    </w:p>
    <w:p>
      <w:pPr>
        <w:spacing w:after="0" w:line="18" w:lineRule="exact"/>
        <w:rPr>
          <w:rFonts w:ascii="Courier New" w:cs="Courier New" w:eastAsia="Courier New" w:hAnsi="Courier New"/>
          <w:sz w:val="18"/>
          <w:szCs w:val="18"/>
          <w:color w:val="auto"/>
        </w:rPr>
      </w:pPr>
    </w:p>
    <w:p>
      <w:pPr>
        <w:ind w:left="420" w:right="4619" w:hanging="412"/>
        <w:spacing w:after="0" w:line="347"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1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9.49%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1" w:lineRule="exact"/>
        <w:rPr>
          <w:sz w:val="20"/>
          <w:szCs w:val="20"/>
          <w:color w:val="auto"/>
        </w:rPr>
      </w:pPr>
    </w:p>
    <w:p>
      <w:pPr>
        <w:spacing w:after="0"/>
        <w:tabs>
          <w:tab w:leader="none" w:pos="940" w:val="left"/>
          <w:tab w:leader="none" w:pos="1460" w:val="left"/>
        </w:tabs>
        <w:rPr>
          <w:sz w:val="20"/>
          <w:szCs w:val="20"/>
          <w:color w:val="auto"/>
        </w:rPr>
      </w:pPr>
      <w:r>
        <w:rPr>
          <w:rFonts w:ascii="Courier New" w:cs="Courier New" w:eastAsia="Courier New" w:hAnsi="Courier New"/>
          <w:sz w:val="18"/>
          <w:szCs w:val="18"/>
          <w:color w:val="auto"/>
        </w:rPr>
        <w:t>Item 1.</w:t>
        <w:tab/>
        <w:t>(a)</w:t>
      </w:r>
      <w:r>
        <w:rPr>
          <w:sz w:val="20"/>
          <w:szCs w:val="20"/>
          <w:color w:val="auto"/>
        </w:rPr>
        <w:tab/>
      </w:r>
      <w:r>
        <w:rPr>
          <w:rFonts w:ascii="Courier New" w:cs="Courier New" w:eastAsia="Courier New" w:hAnsi="Courier New"/>
          <w:sz w:val="16"/>
          <w:szCs w:val="16"/>
          <w:color w:val="auto"/>
        </w:rPr>
        <w:t>Name of Issuer:</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Federal Realty Investment Trust</w:t>
      </w:r>
    </w:p>
    <w:p>
      <w:pPr>
        <w:sectPr>
          <w:pgSz w:w="11900" w:h="16838" w:orient="portrait"/>
          <w:cols w:equalWidth="0" w:num="1">
            <w:col w:w="10219"/>
          </w:cols>
          <w:pgMar w:left="240" w:top="691" w:right="1440" w:bottom="1440" w:gutter="0" w:footer="0" w:header="0"/>
        </w:sectPr>
      </w:pPr>
    </w:p>
    <w:bookmarkStart w:id="2" w:name="page3"/>
    <w:bookmarkEnd w:id="2"/>
    <w:p>
      <w:pPr>
        <w:ind w:left="1480" w:hanging="524"/>
        <w:spacing w:after="0"/>
        <w:tabs>
          <w:tab w:leader="none" w:pos="14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w:t>
      </w:r>
    </w:p>
    <w:p>
      <w:pPr>
        <w:spacing w:after="0" w:line="22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1626 East Jefferson Street</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Rockville, Maryland 20852</w:t>
      </w:r>
    </w:p>
    <w:p>
      <w:pPr>
        <w:sectPr>
          <w:pgSz w:w="11900" w:h="16838" w:orient="portrait"/>
          <w:cols w:equalWidth="0" w:num="1">
            <w:col w:w="10219"/>
          </w:cols>
          <w:pgMar w:left="240" w:top="691" w:right="1440" w:bottom="1440" w:gutter="0" w:footer="0" w:header="0"/>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Name of Person Filing:</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Loomis, Sayles &amp; Company, L.P.</w:t>
      </w:r>
    </w:p>
    <w:p>
      <w:pPr>
        <w:spacing w:after="0" w:line="192" w:lineRule="exact"/>
        <w:rPr>
          <w:sz w:val="20"/>
          <w:szCs w:val="20"/>
          <w:color w:val="auto"/>
        </w:rPr>
      </w:pPr>
    </w:p>
    <w:p>
      <w:pPr>
        <w:sectPr>
          <w:pgSz w:w="11900" w:h="16838" w:orient="portrait"/>
          <w:cols w:equalWidth="0" w:num="2">
            <w:col w:w="760" w:space="720"/>
            <w:col w:w="8739"/>
          </w:cols>
          <w:pgMar w:left="240" w:top="691" w:right="1440" w:bottom="1440" w:gutter="0" w:footer="0" w:header="0"/>
          <w:type w:val="continuous"/>
        </w:sectPr>
      </w:pPr>
    </w:p>
    <w:p>
      <w:pPr>
        <w:jc w:val="both"/>
        <w:ind w:left="2540" w:right="2519" w:hanging="1057"/>
        <w:spacing w:after="0" w:line="402" w:lineRule="auto"/>
        <w:tabs>
          <w:tab w:leader="none" w:pos="25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One Financial Center, Boston, MA 02111</w:t>
      </w:r>
    </w:p>
    <w:p>
      <w:pPr>
        <w:ind w:left="2000" w:hanging="517"/>
        <w:spacing w:after="0"/>
        <w:tabs>
          <w:tab w:leader="none" w:pos="20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Delaware</w:t>
      </w:r>
    </w:p>
    <w:p>
      <w:pPr>
        <w:spacing w:after="0" w:line="201" w:lineRule="exact"/>
        <w:rPr>
          <w:rFonts w:ascii="Courier New" w:cs="Courier New" w:eastAsia="Courier New" w:hAnsi="Courier New"/>
          <w:sz w:val="18"/>
          <w:szCs w:val="18"/>
          <w:color w:val="auto"/>
        </w:rPr>
      </w:pPr>
    </w:p>
    <w:p>
      <w:pPr>
        <w:ind w:left="2440" w:right="2199" w:hanging="957"/>
        <w:spacing w:after="0" w:line="265" w:lineRule="auto"/>
        <w:tabs>
          <w:tab w:leader="none" w:pos="201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 *Reporting person is filing this Schedule 13G with respect to shares that it has a right to acquire as a result of its beneficial ownership of convertible securities.</w:t>
      </w:r>
    </w:p>
    <w:p>
      <w:pPr>
        <w:spacing w:after="0" w:line="89"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313747206</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13d-2(b) or (c), check whether the person filing is a:</w:t>
      </w:r>
    </w:p>
    <w:p>
      <w:pPr>
        <w:spacing w:after="0" w:line="169" w:lineRule="exact"/>
        <w:rPr>
          <w:sz w:val="20"/>
          <w:szCs w:val="20"/>
          <w:color w:val="auto"/>
        </w:rPr>
      </w:pPr>
    </w:p>
    <w:p>
      <w:pPr>
        <w:ind w:left="2000" w:hanging="517"/>
        <w:spacing w:after="0"/>
        <w:tabs>
          <w:tab w:leader="none" w:pos="20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23" w:lineRule="exact"/>
        <w:rPr>
          <w:rFonts w:ascii="Courier New" w:cs="Courier New" w:eastAsia="Courier New" w:hAnsi="Courier New"/>
          <w:sz w:val="16"/>
          <w:szCs w:val="16"/>
          <w:color w:val="auto"/>
        </w:rPr>
      </w:pPr>
    </w:p>
    <w:p>
      <w:pPr>
        <w:ind w:left="2000" w:hanging="517"/>
        <w:spacing w:after="0"/>
        <w:tabs>
          <w:tab w:leader="none" w:pos="20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2440" w:right="2419" w:hanging="957"/>
        <w:spacing w:after="0" w:line="347" w:lineRule="auto"/>
        <w:tabs>
          <w:tab w:leader="none" w:pos="201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18" w:lineRule="exact"/>
        <w:rPr>
          <w:rFonts w:ascii="Courier New" w:cs="Courier New" w:eastAsia="Courier New" w:hAnsi="Courier New"/>
          <w:sz w:val="18"/>
          <w:szCs w:val="18"/>
          <w:color w:val="auto"/>
        </w:rPr>
      </w:pPr>
    </w:p>
    <w:p>
      <w:pPr>
        <w:ind w:left="2440" w:right="2319" w:hanging="957"/>
        <w:spacing w:after="0" w:line="347" w:lineRule="auto"/>
        <w:tabs>
          <w:tab w:leader="none" w:pos="201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18"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Rule</w:t>
      </w:r>
    </w:p>
    <w:p>
      <w:pPr>
        <w:spacing w:after="0" w:line="3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13d-1(b)(1)(ii)(E);</w:t>
      </w:r>
    </w:p>
    <w:p>
      <w:pPr>
        <w:spacing w:after="0" w:line="169" w:lineRule="exact"/>
        <w:rPr>
          <w:sz w:val="20"/>
          <w:szCs w:val="20"/>
          <w:color w:val="auto"/>
        </w:rPr>
      </w:pPr>
    </w:p>
    <w:p>
      <w:pPr>
        <w:ind w:left="2440" w:right="1879" w:hanging="957"/>
        <w:spacing w:after="0" w:line="347" w:lineRule="auto"/>
        <w:tabs>
          <w:tab w:leader="none" w:pos="201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18" w:lineRule="exact"/>
        <w:rPr>
          <w:rFonts w:ascii="Courier New" w:cs="Courier New" w:eastAsia="Courier New" w:hAnsi="Courier New"/>
          <w:sz w:val="18"/>
          <w:szCs w:val="18"/>
          <w:color w:val="auto"/>
        </w:rPr>
      </w:pPr>
    </w:p>
    <w:p>
      <w:pPr>
        <w:ind w:left="2440" w:right="2939" w:hanging="957"/>
        <w:spacing w:after="0" w:line="347" w:lineRule="auto"/>
        <w:tabs>
          <w:tab w:leader="none" w:pos="201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13d-1(b)(ii)(G);</w:t>
      </w:r>
    </w:p>
    <w:p>
      <w:pPr>
        <w:spacing w:after="0" w:line="18" w:lineRule="exact"/>
        <w:rPr>
          <w:rFonts w:ascii="Courier New" w:cs="Courier New" w:eastAsia="Courier New" w:hAnsi="Courier New"/>
          <w:sz w:val="18"/>
          <w:szCs w:val="18"/>
          <w:color w:val="auto"/>
        </w:rPr>
      </w:pPr>
    </w:p>
    <w:p>
      <w:pPr>
        <w:ind w:left="2440" w:right="1999" w:hanging="957"/>
        <w:spacing w:after="0" w:line="347" w:lineRule="auto"/>
        <w:tabs>
          <w:tab w:leader="none" w:pos="201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ectPr>
          <w:pgSz w:w="11900" w:h="16838" w:orient="portrait"/>
          <w:cols w:equalWidth="0" w:num="1">
            <w:col w:w="10219"/>
          </w:cols>
          <w:pgMar w:left="240" w:top="691" w:right="1440" w:bottom="1440" w:gutter="0" w:footer="0" w:header="0"/>
          <w:type w:val="continuous"/>
        </w:sectPr>
      </w:pPr>
    </w:p>
    <w:bookmarkStart w:id="3" w:name="page4"/>
    <w:bookmarkEnd w:id="3"/>
    <w:p>
      <w:pPr>
        <w:ind w:left="2440" w:right="1879" w:hanging="957"/>
        <w:spacing w:after="0" w:line="292" w:lineRule="auto"/>
        <w:tabs>
          <w:tab w:leader="none" w:pos="201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w:t>
      </w:r>
    </w:p>
    <w:p>
      <w:pPr>
        <w:spacing w:after="0" w:line="66"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Rule 13d-1(b)(1)(ii)(J)</w:t>
      </w:r>
    </w:p>
    <w:p>
      <w:pPr>
        <w:spacing w:after="0" w:line="201" w:lineRule="exact"/>
        <w:rPr>
          <w:sz w:val="20"/>
          <w:szCs w:val="20"/>
          <w:color w:val="auto"/>
        </w:rPr>
      </w:pPr>
    </w:p>
    <w:p>
      <w:pPr>
        <w:spacing w:after="0"/>
        <w:tabs>
          <w:tab w:leader="none" w:pos="7460" w:val="left"/>
        </w:tabs>
        <w:rPr>
          <w:sz w:val="20"/>
          <w:szCs w:val="20"/>
          <w:color w:val="auto"/>
        </w:rPr>
      </w:pPr>
      <w:r>
        <w:rPr>
          <w:rFonts w:ascii="Courier New" w:cs="Courier New" w:eastAsia="Courier New" w:hAnsi="Courier New"/>
          <w:sz w:val="18"/>
          <w:szCs w:val="18"/>
          <w:color w:val="auto"/>
        </w:rPr>
        <w:t>If this statement is filed pursuant to Rule 13d-1(c), check this box:</w:t>
      </w:r>
      <w:r>
        <w:rPr>
          <w:sz w:val="20"/>
          <w:szCs w:val="20"/>
          <w:color w:val="auto"/>
        </w:rPr>
        <w:tab/>
      </w:r>
      <w:r>
        <w:rPr>
          <w:rFonts w:ascii="Courier New" w:cs="Courier New" w:eastAsia="Courier New" w:hAnsi="Courier New"/>
          <w:sz w:val="16"/>
          <w:szCs w:val="16"/>
          <w:color w:val="auto"/>
        </w:rPr>
        <w:t>[_].</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18" w:lineRule="exact"/>
        <w:rPr>
          <w:sz w:val="20"/>
          <w:szCs w:val="20"/>
          <w:color w:val="auto"/>
        </w:rPr>
      </w:pPr>
    </w:p>
    <w:p>
      <w:pPr>
        <w:ind w:left="1480" w:hanging="524"/>
        <w:spacing w:after="0"/>
        <w:tabs>
          <w:tab w:leader="none" w:pos="14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4,198,573</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9.49%</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320" w:hanging="732"/>
        <w:spacing w:after="0"/>
        <w:tabs>
          <w:tab w:leader="none" w:pos="232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3,715,244</w:t>
      </w:r>
    </w:p>
    <w:p>
      <w:pPr>
        <w:spacing w:after="0" w:line="201" w:lineRule="exact"/>
        <w:rPr>
          <w:rFonts w:ascii="Courier New" w:cs="Courier New" w:eastAsia="Courier New" w:hAnsi="Courier New"/>
          <w:sz w:val="18"/>
          <w:szCs w:val="18"/>
          <w:color w:val="auto"/>
        </w:rPr>
      </w:pPr>
    </w:p>
    <w:p>
      <w:pPr>
        <w:ind w:left="2320" w:hanging="732"/>
        <w:spacing w:after="0"/>
        <w:tabs>
          <w:tab w:leader="none" w:pos="232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166,665</w:t>
      </w:r>
    </w:p>
    <w:p>
      <w:pPr>
        <w:spacing w:after="0" w:line="201" w:lineRule="exact"/>
        <w:rPr>
          <w:rFonts w:ascii="Courier New" w:cs="Courier New" w:eastAsia="Courier New" w:hAnsi="Courier New"/>
          <w:sz w:val="18"/>
          <w:szCs w:val="18"/>
          <w:color w:val="auto"/>
        </w:rPr>
      </w:pPr>
    </w:p>
    <w:p>
      <w:pPr>
        <w:ind w:left="2320" w:right="2199" w:hanging="732"/>
        <w:spacing w:after="0" w:line="347" w:lineRule="auto"/>
        <w:tabs>
          <w:tab w:leader="none" w:pos="232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none</w:t>
      </w:r>
    </w:p>
    <w:p>
      <w:pPr>
        <w:spacing w:after="0" w:line="18" w:lineRule="exact"/>
        <w:rPr>
          <w:rFonts w:ascii="Courier New" w:cs="Courier New" w:eastAsia="Courier New" w:hAnsi="Courier New"/>
          <w:sz w:val="18"/>
          <w:szCs w:val="18"/>
          <w:color w:val="auto"/>
        </w:rPr>
      </w:pPr>
    </w:p>
    <w:p>
      <w:pPr>
        <w:ind w:left="2320" w:right="2419" w:hanging="732"/>
        <w:spacing w:after="0" w:line="347" w:lineRule="auto"/>
        <w:tabs>
          <w:tab w:leader="none" w:pos="232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4,198,573</w:t>
      </w:r>
    </w:p>
    <w:p>
      <w:pPr>
        <w:spacing w:after="0" w:line="18"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66"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w:t>
      </w:r>
    </w:p>
    <w:p>
      <w:pPr>
        <w:spacing w:after="0" w:line="90"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A listing of the shareholders of an investment company registered under the Investment Company Act of 1940 or the beneficiaries of an employee benefit plan, pension fund or endowment fund is not required.</w:t>
      </w:r>
    </w:p>
    <w:p>
      <w:pPr>
        <w:spacing w:after="0" w:line="66"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Clients of Reporting Person have such a right, none of whom has such interest relating to more</w:t>
      </w:r>
    </w:p>
    <w:p>
      <w:pPr>
        <w:sectPr>
          <w:pgSz w:w="11900" w:h="16838" w:orient="portrait"/>
          <w:cols w:equalWidth="0" w:num="1">
            <w:col w:w="10219"/>
          </w:cols>
          <w:pgMar w:left="240" w:top="691"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than 5% of class.</w:t>
      </w:r>
    </w:p>
    <w:p>
      <w:pPr>
        <w:spacing w:after="0" w:line="201" w:lineRule="exact"/>
        <w:rPr>
          <w:sz w:val="20"/>
          <w:szCs w:val="20"/>
          <w:color w:val="auto"/>
        </w:rPr>
      </w:pPr>
    </w:p>
    <w:p>
      <w:pPr>
        <w:ind w:left="1580" w:right="2199" w:hanging="1579"/>
        <w:spacing w:after="0" w:line="292" w:lineRule="auto"/>
        <w:tabs>
          <w:tab w:leader="none" w:pos="15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66"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If a parent holding company has filed this schedule, pursuant to Rule 13d-1(b)(ii)(G), so indicate under Item 3(g) and attach an exhibit stating the identity and the Item 3 classification of the relevant subsidiary.</w:t>
      </w:r>
    </w:p>
    <w:p>
      <w:pPr>
        <w:spacing w:after="0" w:line="66" w:lineRule="exact"/>
        <w:rPr>
          <w:sz w:val="20"/>
          <w:szCs w:val="20"/>
          <w:color w:val="auto"/>
        </w:rPr>
      </w:pPr>
    </w:p>
    <w:p>
      <w:pPr>
        <w:ind w:right="1999"/>
        <w:spacing w:after="0" w:line="402" w:lineRule="auto"/>
        <w:rPr>
          <w:sz w:val="20"/>
          <w:szCs w:val="20"/>
          <w:color w:val="auto"/>
        </w:rPr>
      </w:pPr>
      <w:r>
        <w:rPr>
          <w:rFonts w:ascii="Courier New" w:cs="Courier New" w:eastAsia="Courier New" w:hAnsi="Courier New"/>
          <w:sz w:val="16"/>
          <w:szCs w:val="16"/>
          <w:color w:val="auto"/>
        </w:rPr>
        <w:t>If a parent holding company has filed this schedule pursuant to Rule 13d-1(c), attach an exhibit stating the identification of the relevant subsidiary.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If a group has filed this schedule pursuant to Rule 13d-1(b)(1)(ii)(J), so indicate under Item 3(j) and attach an exhibit stating the identity and Item 3 classification of each member of the group. If a group has filed this schedule pursuant to Rule 13d-1(d) attach an exhibit stating the identity of each member of the group.</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dissolution and that all further filings with respect to transactions in the security reported on will be filed, if required, by members of the group, in their individual capacity. See Item 5.</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18" w:lineRule="exact"/>
        <w:rPr>
          <w:sz w:val="20"/>
          <w:szCs w:val="20"/>
          <w:color w:val="auto"/>
        </w:rPr>
      </w:pPr>
    </w:p>
    <w:p>
      <w:pPr>
        <w:ind w:right="187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and are not held in connection with or as a participant in any transaction having that purpose or effect.</w:t>
      </w: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691" w:right="1440" w:bottom="1440" w:gutter="0" w:footer="0" w:header="0"/>
        </w:sectPr>
      </w:pPr>
    </w:p>
    <w:bookmarkStart w:id="5" w:name="page6"/>
    <w:bookmarkEnd w:id="5"/>
    <w:p>
      <w:pPr>
        <w:ind w:right="1879"/>
        <w:spacing w:after="0" w:line="402"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Jeffrey L. Meade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Jeffrey L. Meade</w:t>
      </w:r>
    </w:p>
    <w:p>
      <w:pPr>
        <w:spacing w:after="0" w:line="29"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10, 1999</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Jeffrey L. Meade</w:t>
      </w:r>
    </w:p>
    <w:p>
      <w:pPr>
        <w:spacing w:after="0"/>
        <w:rPr>
          <w:sz w:val="20"/>
          <w:szCs w:val="20"/>
          <w:color w:val="auto"/>
        </w:rPr>
      </w:pPr>
      <w:r>
        <w:rPr>
          <w:rFonts w:ascii="Courier New" w:cs="Courier New" w:eastAsia="Courier New" w:hAnsi="Courier New"/>
          <w:sz w:val="18"/>
          <w:szCs w:val="18"/>
          <w:color w:val="auto"/>
        </w:rPr>
        <w:t>Executive Vice President and Chief Operating Officer</w:t>
      </w:r>
    </w:p>
    <w:sectPr>
      <w:pgSz w:w="11900" w:h="16838" w:orient="portrait"/>
      <w:cols w:equalWidth="0" w:num="1">
        <w:col w:w="10219"/>
      </w:cols>
      <w:pgMar w:left="24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lvl w:ilvl="1">
      <w:lvlJc w:val="left"/>
      <w:lvlText w:val="(%2)"/>
      <w:numFmt w:val="lowerLetter"/>
      <w:start w:val="1"/>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lowerLetter"/>
      <w:start w:val="2"/>
    </w:lvl>
  </w:abstractNum>
  <w:abstractNum w:abstractNumId="4">
    <w:nsid w:val="79E2A9E3"/>
    <w:multiLevelType w:val="hybridMultilevel"/>
    <w:lvl w:ilvl="0">
      <w:lvlJc w:val="left"/>
      <w:lvlText w:val="(%1)"/>
      <w:numFmt w:val="lowerLetter"/>
      <w:start w:val="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6"/>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1"/>
    </w:lvl>
    <w:lvl w:ilvl="1">
      <w:lvlJc w:val="left"/>
      <w:lvlText w:val="(%2)"/>
      <w:numFmt w:val="lowerRoman"/>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2020-02-22T08:43:33Z</dcterms:created>
  <dcterms:modified xsi:type="dcterms:W3CDTF">2020-02-22T08:43:33Z</dcterms:modified>
</cp:coreProperties>
</file>