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28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FORM 8-K</w:t>
      </w:r>
    </w:p>
    <w:p>
      <w:pPr>
        <w:spacing w:after="0" w:line="169"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0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pacing w:after="0" w:line="2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Date of Report (Date of earliest event reported) June 30, 1999</w:t>
      </w:r>
    </w:p>
    <w:p>
      <w:pPr>
        <w:spacing w:after="0" w:line="200" w:lineRule="exact"/>
        <w:rPr>
          <w:sz w:val="24"/>
          <w:szCs w:val="24"/>
          <w:color w:val="auto"/>
        </w:rPr>
      </w:pPr>
    </w:p>
    <w:p>
      <w:pPr>
        <w:spacing w:after="0" w:line="282"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5"/>
          <w:szCs w:val="15"/>
          <w:color w:val="auto"/>
        </w:rPr>
        <w:t>Federal Realty Investment Trust</w:t>
      </w:r>
    </w:p>
    <w:p>
      <w:pPr>
        <w:spacing w:after="0" w:line="25"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w:t>
      </w:r>
    </w:p>
    <w:p>
      <w:pPr>
        <w:ind w:left="10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ind w:left="260"/>
              <w:spacing w:after="0"/>
              <w:rPr>
                <w:sz w:val="20"/>
                <w:szCs w:val="20"/>
                <w:color w:val="auto"/>
              </w:rPr>
            </w:pPr>
            <w:r>
              <w:rPr>
                <w:rFonts w:ascii="Courier New" w:cs="Courier New" w:eastAsia="Courier New" w:hAnsi="Courier New"/>
                <w:sz w:val="15"/>
                <w:szCs w:val="15"/>
                <w:color w:val="auto"/>
              </w:rPr>
              <w:t>District of Columbia</w:t>
            </w:r>
          </w:p>
        </w:tc>
        <w:tc>
          <w:tcPr>
            <w:tcW w:w="1620" w:type="dxa"/>
            <w:vAlign w:val="bottom"/>
          </w:tcPr>
          <w:p>
            <w:pPr>
              <w:ind w:left="160"/>
              <w:spacing w:after="0"/>
              <w:rPr>
                <w:sz w:val="20"/>
                <w:szCs w:val="20"/>
                <w:color w:val="auto"/>
              </w:rPr>
            </w:pPr>
            <w:r>
              <w:rPr>
                <w:rFonts w:ascii="Courier New" w:cs="Courier New" w:eastAsia="Courier New" w:hAnsi="Courier New"/>
                <w:sz w:val="15"/>
                <w:szCs w:val="15"/>
                <w:color w:val="auto"/>
              </w:rPr>
              <w:t>1-7533</w:t>
            </w:r>
          </w:p>
        </w:tc>
        <w:tc>
          <w:tcPr>
            <w:tcW w:w="22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52-0782497</w:t>
            </w:r>
          </w:p>
        </w:tc>
        <w:tc>
          <w:tcPr>
            <w:tcW w:w="0" w:type="dxa"/>
            <w:vAlign w:val="bottom"/>
          </w:tcPr>
          <w:p>
            <w:pPr>
              <w:spacing w:after="0"/>
              <w:rPr>
                <w:sz w:val="1"/>
                <w:szCs w:val="1"/>
                <w:color w:val="auto"/>
              </w:rPr>
            </w:pPr>
          </w:p>
        </w:tc>
      </w:tr>
      <w:tr>
        <w:trPr>
          <w:trHeight w:val="170"/>
        </w:trPr>
        <w:tc>
          <w:tcPr>
            <w:tcW w:w="3260" w:type="dxa"/>
            <w:vAlign w:val="bottom"/>
            <w:vMerge w:val="restart"/>
          </w:tcPr>
          <w:p>
            <w:pPr>
              <w:spacing w:after="0"/>
              <w:rPr>
                <w:sz w:val="20"/>
                <w:szCs w:val="20"/>
                <w:color w:val="auto"/>
              </w:rPr>
            </w:pPr>
            <w:r>
              <w:rPr>
                <w:rFonts w:ascii="Courier New" w:cs="Courier New" w:eastAsia="Courier New" w:hAnsi="Courier New"/>
                <w:sz w:val="23"/>
                <w:szCs w:val="23"/>
                <w:color w:val="auto"/>
                <w:w w:val="71"/>
                <w:vertAlign w:val="subscript"/>
              </w:rPr>
              <w:t>(State</w:t>
            </w: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orotherjurisdiction</w:t>
            </w:r>
          </w:p>
        </w:tc>
        <w:tc>
          <w:tcPr>
            <w:tcW w:w="16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60" w:type="dxa"/>
            <w:vAlign w:val="bottom"/>
            <w:vMerge w:val="continue"/>
          </w:tcPr>
          <w:p>
            <w:pPr>
              <w:spacing w:after="0"/>
              <w:rPr>
                <w:sz w:val="14"/>
                <w:szCs w:val="14"/>
                <w:color w:val="auto"/>
              </w:rPr>
            </w:pPr>
          </w:p>
        </w:tc>
        <w:tc>
          <w:tcPr>
            <w:tcW w:w="1620" w:type="dxa"/>
            <w:vAlign w:val="bottom"/>
          </w:tcPr>
          <w:p>
            <w:pPr>
              <w:spacing w:after="0"/>
              <w:rPr>
                <w:sz w:val="20"/>
                <w:szCs w:val="20"/>
                <w:color w:val="auto"/>
              </w:rPr>
            </w:pPr>
            <w:r>
              <w:rPr>
                <w:rFonts w:ascii="Courier New" w:cs="Courier New" w:eastAsia="Courier New" w:hAnsi="Courier New"/>
                <w:sz w:val="15"/>
                <w:szCs w:val="15"/>
                <w:color w:val="auto"/>
              </w:rPr>
              <w:t>(Commission</w:t>
            </w:r>
          </w:p>
        </w:tc>
        <w:tc>
          <w:tcPr>
            <w:tcW w:w="2260" w:type="dxa"/>
            <w:vAlign w:val="bottom"/>
          </w:tcPr>
          <w:p>
            <w:pPr>
              <w:ind w:left="48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46"/>
        </w:trPr>
        <w:tc>
          <w:tcPr>
            <w:tcW w:w="3260" w:type="dxa"/>
            <w:vAlign w:val="bottom"/>
          </w:tcPr>
          <w:p>
            <w:pPr>
              <w:spacing w:after="0"/>
              <w:rPr>
                <w:sz w:val="20"/>
                <w:szCs w:val="20"/>
                <w:color w:val="auto"/>
              </w:rPr>
            </w:pPr>
            <w:r>
              <w:rPr>
                <w:rFonts w:ascii="Courier New" w:cs="Courier New" w:eastAsia="Courier New" w:hAnsi="Courier New"/>
                <w:sz w:val="15"/>
                <w:szCs w:val="15"/>
                <w:color w:val="auto"/>
              </w:rPr>
              <w:t>of incorporation)</w:t>
            </w:r>
          </w:p>
        </w:tc>
        <w:tc>
          <w:tcPr>
            <w:tcW w:w="1620" w:type="dxa"/>
            <w:vAlign w:val="bottom"/>
          </w:tcPr>
          <w:p>
            <w:pPr>
              <w:spacing w:after="0"/>
              <w:rPr>
                <w:sz w:val="20"/>
                <w:szCs w:val="20"/>
                <w:color w:val="auto"/>
              </w:rPr>
            </w:pPr>
            <w:r>
              <w:rPr>
                <w:rFonts w:ascii="Courier New" w:cs="Courier New" w:eastAsia="Courier New" w:hAnsi="Courier New"/>
                <w:sz w:val="15"/>
                <w:szCs w:val="15"/>
                <w:color w:val="auto"/>
              </w:rPr>
              <w:t>File Number)</w:t>
            </w:r>
          </w:p>
        </w:tc>
        <w:tc>
          <w:tcPr>
            <w:tcW w:w="2260" w:type="dxa"/>
            <w:vAlign w:val="bottom"/>
          </w:tcPr>
          <w:p>
            <w:pPr>
              <w:ind w:left="480"/>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432"/>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1626 East Jefferson Street, Rockville, Maryland</w:t>
            </w:r>
          </w:p>
        </w:tc>
        <w:tc>
          <w:tcPr>
            <w:tcW w:w="22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20852-4041</w:t>
            </w:r>
          </w:p>
        </w:tc>
        <w:tc>
          <w:tcPr>
            <w:tcW w:w="0" w:type="dxa"/>
            <w:vAlign w:val="bottom"/>
          </w:tcPr>
          <w:p>
            <w:pPr>
              <w:spacing w:after="0"/>
              <w:rPr>
                <w:sz w:val="1"/>
                <w:szCs w:val="1"/>
                <w:color w:val="auto"/>
              </w:rPr>
            </w:pPr>
          </w:p>
        </w:tc>
      </w:tr>
      <w:tr>
        <w:trPr>
          <w:trHeight w:val="170"/>
        </w:trPr>
        <w:tc>
          <w:tcPr>
            <w:tcW w:w="4880" w:type="dxa"/>
            <w:vAlign w:val="bottom"/>
            <w:gridSpan w:val="2"/>
            <w:vMerge w:val="restart"/>
          </w:tcPr>
          <w:p>
            <w:pPr>
              <w:spacing w:after="0"/>
              <w:rPr>
                <w:sz w:val="20"/>
                <w:szCs w:val="20"/>
                <w:color w:val="auto"/>
              </w:rPr>
            </w:pPr>
            <w:r>
              <w:rPr>
                <w:rFonts w:ascii="Courier New" w:cs="Courier New" w:eastAsia="Courier New" w:hAnsi="Courier New"/>
                <w:sz w:val="22"/>
                <w:szCs w:val="22"/>
                <w:color w:val="auto"/>
                <w:w w:val="73"/>
                <w:vertAlign w:val="subscript"/>
              </w:rPr>
              <w:t>(Address</w:t>
            </w: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ofprincipalexecutiveoffices)</w:t>
            </w:r>
          </w:p>
        </w:tc>
        <w:tc>
          <w:tcPr>
            <w:tcW w:w="22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880" w:type="dxa"/>
            <w:vAlign w:val="bottom"/>
            <w:gridSpan w:val="2"/>
            <w:vMerge w:val="continue"/>
          </w:tcPr>
          <w:p>
            <w:pPr>
              <w:spacing w:after="0"/>
              <w:rPr>
                <w:sz w:val="22"/>
                <w:szCs w:val="22"/>
                <w:color w:val="auto"/>
              </w:rPr>
            </w:pPr>
          </w:p>
        </w:tc>
        <w:tc>
          <w:tcPr>
            <w:tcW w:w="226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248"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Registrant's telephone number including area code: 301/998-8100</w:t>
      </w:r>
    </w:p>
    <w:p>
      <w:pPr>
        <w:spacing w:after="0" w:line="26" w:lineRule="exact"/>
        <w:rPr>
          <w:sz w:val="24"/>
          <w:szCs w:val="24"/>
          <w:color w:val="auto"/>
        </w:rPr>
      </w:pPr>
    </w:p>
    <w:p>
      <w:pPr>
        <w:ind w:left="52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Exhibit Index appears on Page 3.</w:t>
      </w:r>
    </w:p>
    <w:p>
      <w:pPr>
        <w:sectPr>
          <w:pgSz w:w="11900" w:h="16838" w:orient="portrait"/>
          <w:cols w:equalWidth="0" w:num="1">
            <w:col w:w="10219"/>
          </w:cols>
          <w:pgMar w:left="240" w:top="545" w:right="1440" w:bottom="1440" w:gutter="0" w:footer="0" w:header="0"/>
        </w:sectPr>
      </w:pPr>
    </w:p>
    <w:bookmarkStart w:id="1" w:name="page2"/>
    <w:bookmarkEnd w:id="1"/>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69" w:lineRule="exact"/>
        <w:rPr>
          <w:sz w:val="20"/>
          <w:szCs w:val="20"/>
          <w:color w:val="auto"/>
        </w:rPr>
      </w:pPr>
    </w:p>
    <w:p>
      <w:pPr>
        <w:ind w:right="3439" w:firstLine="881"/>
        <w:spacing w:after="0" w:line="293" w:lineRule="auto"/>
        <w:rPr>
          <w:sz w:val="20"/>
          <w:szCs w:val="20"/>
          <w:color w:val="auto"/>
        </w:rPr>
      </w:pPr>
      <w:r>
        <w:rPr>
          <w:rFonts w:ascii="Courier New" w:cs="Courier New" w:eastAsia="Courier New" w:hAnsi="Courier New"/>
          <w:sz w:val="15"/>
          <w:szCs w:val="15"/>
          <w:color w:val="auto"/>
        </w:rPr>
        <w:t>Federal Realty Investment Trust hereby files as exhibit 99 the following supplemental data pertaining to its portfolio of properties at June 30, 1999.</w:t>
      </w:r>
    </w:p>
    <w:p>
      <w:pPr>
        <w:spacing w:after="0" w:line="22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69" w:lineRule="exact"/>
        <w:rPr>
          <w:sz w:val="20"/>
          <w:szCs w:val="20"/>
          <w:color w:val="auto"/>
        </w:rPr>
      </w:pPr>
    </w:p>
    <w:p>
      <w:pPr>
        <w:ind w:left="880" w:hanging="449"/>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  Supplemental portfolio information at June 30, 1999</w:t>
      </w:r>
    </w:p>
    <w:p>
      <w:pPr>
        <w:spacing w:after="0" w:line="200" w:lineRule="exact"/>
        <w:rPr>
          <w:sz w:val="20"/>
          <w:szCs w:val="20"/>
          <w:color w:val="auto"/>
        </w:rPr>
      </w:pPr>
    </w:p>
    <w:p>
      <w:pPr>
        <w:spacing w:after="0" w:line="30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SIGNATURES</w:t>
      </w:r>
    </w:p>
    <w:p>
      <w:pPr>
        <w:spacing w:after="0" w:line="339" w:lineRule="exact"/>
        <w:rPr>
          <w:sz w:val="20"/>
          <w:szCs w:val="20"/>
          <w:color w:val="auto"/>
        </w:rPr>
      </w:pPr>
    </w:p>
    <w:p>
      <w:pPr>
        <w:ind w:right="3359" w:firstLine="881"/>
        <w:spacing w:after="0" w:line="293"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FEDERAL REALTY INVESTMENT TRUST</w:t>
      </w:r>
    </w:p>
    <w:p>
      <w:pPr>
        <w:sectPr>
          <w:pgSz w:w="11900" w:h="16838" w:orient="portrait"/>
          <w:cols w:equalWidth="0" w:num="1">
            <w:col w:w="10219"/>
          </w:cols>
          <w:pgMar w:left="240" w:top="60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July 29,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Cecily A. Ward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Cecily A. Ward</w:t>
      </w:r>
    </w:p>
    <w:p>
      <w:pPr>
        <w:spacing w:after="0"/>
        <w:rPr>
          <w:sz w:val="20"/>
          <w:szCs w:val="20"/>
          <w:color w:val="auto"/>
        </w:rPr>
      </w:pPr>
      <w:r>
        <w:rPr>
          <w:rFonts w:ascii="Courier New" w:cs="Courier New" w:eastAsia="Courier New" w:hAnsi="Courier New"/>
          <w:sz w:val="15"/>
          <w:szCs w:val="15"/>
          <w:color w:val="auto"/>
        </w:rPr>
        <w:t>Vice President, Controller</w:t>
      </w:r>
    </w:p>
    <w:p>
      <w:pPr>
        <w:spacing w:after="0" w:line="143" w:lineRule="exact"/>
        <w:rPr>
          <w:sz w:val="20"/>
          <w:szCs w:val="20"/>
          <w:color w:val="auto"/>
        </w:rPr>
      </w:pPr>
    </w:p>
    <w:p>
      <w:pPr>
        <w:sectPr>
          <w:pgSz w:w="11900" w:h="16838" w:orient="portrait"/>
          <w:cols w:equalWidth="0" w:num="2">
            <w:col w:w="2800" w:space="720"/>
            <w:col w:w="6699"/>
          </w:cols>
          <w:pgMar w:left="240" w:top="601"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19"/>
          </w:cols>
          <w:pgMar w:left="240" w:top="601" w:right="1440" w:bottom="1440" w:gutter="0" w:footer="0" w:header="0"/>
          <w:type w:val="continuous"/>
        </w:sectPr>
      </w:pPr>
    </w:p>
    <w:bookmarkStart w:id="2" w:name="page3"/>
    <w:bookmarkEnd w:id="2"/>
    <w:p>
      <w:pPr>
        <w:ind w:left="29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01"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 No.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sectPr>
          <w:pgSz w:w="11900" w:h="16838" w:orient="portrait"/>
          <w:cols w:equalWidth="0" w:num="3">
            <w:col w:w="780" w:space="0"/>
            <w:col w:w="4740" w:space="720"/>
            <w:col w:w="3979"/>
          </w:cols>
          <w:pgMar w:left="240" w:top="601" w:right="1440" w:bottom="1440" w:gutter="0" w:footer="0" w:header="0"/>
          <w:type w:val="continuous"/>
        </w:sectPr>
      </w:pPr>
    </w:p>
    <w:p>
      <w:pPr>
        <w:ind w:left="160"/>
        <w:spacing w:after="0"/>
        <w:tabs>
          <w:tab w:leader="none" w:pos="7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June 30,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sectPr>
          <w:pgSz w:w="11900" w:h="16838" w:orient="portrait"/>
          <w:cols w:equalWidth="0" w:num="2">
            <w:col w:w="6140" w:space="720"/>
            <w:col w:w="3359"/>
          </w:cols>
          <w:pgMar w:left="240" w:top="601"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19"/>
          </w:cols>
          <w:pgMar w:left="240" w:top="601" w:right="1440" w:bottom="1440" w:gutter="0" w:footer="0" w:header="0"/>
          <w:type w:val="continuous"/>
        </w:sectPr>
      </w:pPr>
    </w:p>
    <w:bookmarkStart w:id="3" w:name="page4"/>
    <w:bookmarkEnd w:id="3"/>
    <w:p>
      <w:pPr>
        <w:jc w:val="right"/>
        <w:ind w:right="3179"/>
        <w:spacing w:after="0"/>
        <w:rPr>
          <w:sz w:val="20"/>
          <w:szCs w:val="20"/>
          <w:color w:val="auto"/>
        </w:rPr>
      </w:pPr>
      <w:r>
        <w:rPr>
          <w:rFonts w:ascii="Courier New" w:cs="Courier New" w:eastAsia="Courier New" w:hAnsi="Courier New"/>
          <w:sz w:val="15"/>
          <w:szCs w:val="15"/>
          <w:color w:val="auto"/>
        </w:rPr>
        <w:t>EXHIBIT 99</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Supplemental Information</w:t>
      </w:r>
    </w:p>
    <w:p>
      <w:pPr>
        <w:spacing w:after="0" w:line="26"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June 30, 1999</w:t>
      </w:r>
    </w:p>
    <w:p>
      <w:pPr>
        <w:spacing w:after="0" w:line="143"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77"/>
              </w:rPr>
              <w:t>1.</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9"/>
              </w:rPr>
              <w:t>Debt Summary..........................................................</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E-2</w:t>
            </w:r>
          </w:p>
        </w:tc>
        <w:tc>
          <w:tcPr>
            <w:tcW w:w="0" w:type="dxa"/>
            <w:vAlign w:val="bottom"/>
          </w:tcPr>
          <w:p>
            <w:pPr>
              <w:spacing w:after="0"/>
              <w:rPr>
                <w:sz w:val="1"/>
                <w:szCs w:val="1"/>
                <w:color w:val="auto"/>
              </w:rPr>
            </w:pPr>
          </w:p>
        </w:tc>
      </w:tr>
      <w:tr>
        <w:trPr>
          <w:trHeight w:val="262"/>
        </w:trPr>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77"/>
              </w:rPr>
              <w:t>2.</w:t>
            </w:r>
          </w:p>
        </w:tc>
        <w:tc>
          <w:tcPr>
            <w:tcW w:w="6340" w:type="dxa"/>
            <w:vAlign w:val="bottom"/>
          </w:tcPr>
          <w:p>
            <w:pPr>
              <w:jc w:val="right"/>
              <w:ind w:right="5347"/>
              <w:spacing w:after="0"/>
              <w:rPr>
                <w:sz w:val="20"/>
                <w:szCs w:val="20"/>
                <w:color w:val="auto"/>
              </w:rPr>
            </w:pPr>
            <w:r>
              <w:rPr>
                <w:rFonts w:ascii="Courier New" w:cs="Courier New" w:eastAsia="Courier New" w:hAnsi="Courier New"/>
                <w:sz w:val="15"/>
                <w:szCs w:val="15"/>
                <w:color w:val="auto"/>
              </w:rPr>
              <w:t>Occupancy</w:t>
            </w:r>
          </w:p>
        </w:tc>
        <w:tc>
          <w:tcPr>
            <w:tcW w:w="32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6"/>
              </w:rPr>
              <w:t>E-3</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Percentage Leased................................................</w:t>
            </w: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Economic Occupancy...............................................</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E-4</w:t>
            </w: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Regional Breakdown...............................................</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E-5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Signed Analysis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00" w:type="dxa"/>
            <w:vAlign w:val="bottom"/>
          </w:tcPr>
          <w:p>
            <w:pPr>
              <w:spacing w:after="0"/>
              <w:rPr>
                <w:sz w:val="21"/>
                <w:szCs w:val="21"/>
                <w:color w:val="auto"/>
              </w:rPr>
            </w:pPr>
          </w:p>
        </w:tc>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Comparable and Non-Comparable....................................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E-6</w:t>
            </w:r>
          </w:p>
        </w:tc>
      </w:tr>
      <w:tr>
        <w:trPr>
          <w:trHeight w:val="313"/>
        </w:trPr>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77"/>
              </w:rPr>
              <w:t>4.</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2nd Quarter</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8"/>
              </w:rPr>
              <w:t>Earnings Press Release, July 28, 1999.....................</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E-7</w:t>
            </w:r>
          </w:p>
        </w:tc>
      </w:tr>
      <w:tr>
        <w:trPr>
          <w:trHeight w:val="339"/>
        </w:trPr>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77"/>
              </w:rPr>
              <w:t>5.</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Glossary of</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8"/>
              </w:rPr>
              <w:t>Terms.....................................................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E-10</w:t>
            </w:r>
          </w:p>
        </w:tc>
      </w:tr>
    </w:tbl>
    <w:p>
      <w:pPr>
        <w:spacing w:after="0" w:line="262"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1626 East Jefferson Street</w:t>
      </w:r>
    </w:p>
    <w:p>
      <w:pPr>
        <w:spacing w:after="0" w:line="25"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Rockville, Maryland 20852-4041</w:t>
      </w:r>
    </w:p>
    <w:p>
      <w:pPr>
        <w:jc w:val="center"/>
        <w:ind w:right="3350"/>
        <w:spacing w:after="0"/>
        <w:rPr>
          <w:sz w:val="20"/>
          <w:szCs w:val="20"/>
          <w:color w:val="auto"/>
        </w:rPr>
      </w:pPr>
      <w:r>
        <w:rPr>
          <w:rFonts w:ascii="Courier New" w:cs="Courier New" w:eastAsia="Courier New" w:hAnsi="Courier New"/>
          <w:sz w:val="15"/>
          <w:szCs w:val="15"/>
          <w:color w:val="auto"/>
        </w:rPr>
        <w:t>301/998-8100</w:t>
      </w:r>
    </w:p>
    <w:p>
      <w:pPr>
        <w:sectPr>
          <w:pgSz w:w="11900" w:h="16838" w:orient="portrait"/>
          <w:cols w:equalWidth="0" w:num="1">
            <w:col w:w="10229"/>
          </w:cols>
          <w:pgMar w:left="230" w:top="454" w:right="1440" w:bottom="1440" w:gutter="0" w:footer="0" w:header="0"/>
        </w:sectPr>
      </w:pPr>
    </w:p>
    <w:bookmarkStart w:id="4" w:name="page5"/>
    <w:bookmarkEnd w:id="4"/>
    <w:p>
      <w:pPr>
        <w:spacing w:after="0"/>
        <w:tabs>
          <w:tab w:leader="none" w:pos="760" w:val="left"/>
        </w:tabs>
        <w:rPr>
          <w:sz w:val="20"/>
          <w:szCs w:val="20"/>
          <w:color w:val="auto"/>
        </w:rPr>
      </w:pPr>
      <w:r>
        <w:rPr>
          <w:rFonts w:ascii="Courier New" w:cs="Courier New" w:eastAsia="Courier New" w:hAnsi="Courier New"/>
          <w:sz w:val="15"/>
          <w:szCs w:val="15"/>
          <w:color w:val="auto"/>
        </w:rPr>
        <w:t>FEDERAL</w:t>
      </w:r>
      <w:r>
        <w:rPr>
          <w:sz w:val="20"/>
          <w:szCs w:val="20"/>
          <w:color w:val="auto"/>
        </w:rPr>
        <w:tab/>
      </w:r>
      <w:r>
        <w:rPr>
          <w:rFonts w:ascii="Courier New" w:cs="Courier New" w:eastAsia="Courier New" w:hAnsi="Courier New"/>
          <w:sz w:val="14"/>
          <w:szCs w:val="14"/>
          <w:color w:val="auto"/>
        </w:rPr>
        <w:t>REALTY INVESTMENT TRUST</w:t>
      </w:r>
    </w:p>
    <w:p>
      <w:pPr>
        <w:spacing w:after="0" w:line="2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DEBT ANALYSIS</w:t>
      </w:r>
      <w:r>
        <w:rPr>
          <w:sz w:val="20"/>
          <w:szCs w:val="20"/>
          <w:color w:val="auto"/>
        </w:rPr>
        <w:tab/>
      </w:r>
      <w:r>
        <w:rPr>
          <w:rFonts w:ascii="Courier New" w:cs="Courier New" w:eastAsia="Courier New" w:hAnsi="Courier New"/>
          <w:sz w:val="14"/>
          <w:szCs w:val="14"/>
          <w:color w:val="auto"/>
        </w:rPr>
        <w:t>(excluding capital leases and interest rate swaps)</w:t>
      </w:r>
    </w:p>
    <w:p>
      <w:pPr>
        <w:spacing w:after="0"/>
        <w:rPr>
          <w:sz w:val="20"/>
          <w:szCs w:val="20"/>
          <w:color w:val="auto"/>
        </w:rPr>
      </w:pPr>
      <w:r>
        <w:rPr>
          <w:rFonts w:ascii="Courier New" w:cs="Courier New" w:eastAsia="Courier New" w:hAnsi="Courier New"/>
          <w:sz w:val="15"/>
          <w:szCs w:val="15"/>
          <w:color w:val="auto"/>
        </w:rPr>
        <w:t>June 30, 1999</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Maturity</w:t>
            </w:r>
          </w:p>
        </w:tc>
        <w:tc>
          <w:tcPr>
            <w:tcW w:w="208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Rate</w:t>
            </w:r>
          </w:p>
        </w:tc>
        <w:tc>
          <w:tcPr>
            <w:tcW w:w="22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Balance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9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920" w:type="dxa"/>
            <w:vAlign w:val="bottom"/>
          </w:tcPr>
          <w:p>
            <w:pPr>
              <w:spacing w:after="0"/>
              <w:rPr>
                <w:sz w:val="20"/>
                <w:szCs w:val="20"/>
                <w:color w:val="auto"/>
              </w:rPr>
            </w:pPr>
            <w:r>
              <w:rPr>
                <w:rFonts w:ascii="Courier New" w:cs="Courier New" w:eastAsia="Courier New" w:hAnsi="Courier New"/>
                <w:sz w:val="15"/>
                <w:szCs w:val="15"/>
                <w:color w:val="auto"/>
              </w:rPr>
              <w:t>Mortgages</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10/01/08</w:t>
            </w:r>
          </w:p>
        </w:tc>
        <w:tc>
          <w:tcPr>
            <w:tcW w:w="20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6.10%</w:t>
            </w:r>
          </w:p>
        </w:tc>
        <w:tc>
          <w:tcPr>
            <w:tcW w:w="22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$ 9,900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Leesburg Plaza</w:t>
            </w:r>
          </w:p>
        </w:tc>
        <w:tc>
          <w:tcPr>
            <w:tcW w:w="110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Federal Plaza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03/10/01</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8.95%</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27,414</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Tysons Station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09/01/01</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9.875%</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4,105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Escondido (Municipal bonds)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10/01/16</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Variable ##</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9,400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9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$50,819</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92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1100" w:type="dxa"/>
            <w:vAlign w:val="bottom"/>
          </w:tcPr>
          <w:p>
            <w:pPr>
              <w:spacing w:after="0"/>
              <w:rPr>
                <w:sz w:val="22"/>
                <w:szCs w:val="22"/>
                <w:color w:val="auto"/>
              </w:rPr>
            </w:pPr>
          </w:p>
        </w:tc>
        <w:tc>
          <w:tcPr>
            <w:tcW w:w="20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libor +.65%</w:t>
            </w:r>
          </w:p>
        </w:tc>
        <w:tc>
          <w:tcPr>
            <w:tcW w:w="22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$180,000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Revolving credit facilities</w:t>
            </w:r>
          </w:p>
        </w:tc>
        <w:tc>
          <w:tcPr>
            <w:tcW w:w="110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Term note with banks</w:t>
            </w:r>
          </w:p>
        </w:tc>
        <w:tc>
          <w:tcPr>
            <w:tcW w:w="1100" w:type="dxa"/>
            <w:vAlign w:val="bottom"/>
          </w:tcPr>
          <w:p>
            <w:pPr>
              <w:spacing w:after="0"/>
              <w:rPr>
                <w:sz w:val="14"/>
                <w:szCs w:val="14"/>
                <w:color w:val="auto"/>
              </w:rPr>
            </w:pP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libor +.75%</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125,000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Note issued in connection with</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01/15/06</w:t>
            </w:r>
          </w:p>
        </w:tc>
        <w:tc>
          <w:tcPr>
            <w:tcW w:w="20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8.875%</w:t>
            </w:r>
          </w:p>
        </w:tc>
        <w:tc>
          <w:tcPr>
            <w:tcW w:w="22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1,011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920"/>
              <w:spacing w:after="0"/>
              <w:rPr>
                <w:sz w:val="20"/>
                <w:szCs w:val="20"/>
                <w:color w:val="auto"/>
              </w:rPr>
            </w:pPr>
            <w:r>
              <w:rPr>
                <w:rFonts w:ascii="Courier New" w:cs="Courier New" w:eastAsia="Courier New" w:hAnsi="Courier New"/>
                <w:sz w:val="15"/>
                <w:szCs w:val="15"/>
                <w:color w:val="auto"/>
              </w:rPr>
              <w:t>tenant buyout at Queen Anne Plaza</w:t>
            </w:r>
          </w:p>
        </w:tc>
        <w:tc>
          <w:tcPr>
            <w:tcW w:w="110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Note issued in connection with</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01/31/13</w:t>
            </w:r>
          </w:p>
        </w:tc>
        <w:tc>
          <w:tcPr>
            <w:tcW w:w="20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22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2,650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920"/>
              <w:spacing w:after="0"/>
              <w:rPr>
                <w:sz w:val="20"/>
                <w:szCs w:val="20"/>
                <w:color w:val="auto"/>
              </w:rPr>
            </w:pPr>
            <w:r>
              <w:rPr>
                <w:rFonts w:ascii="Courier New" w:cs="Courier New" w:eastAsia="Courier New" w:hAnsi="Courier New"/>
                <w:sz w:val="15"/>
                <w:szCs w:val="15"/>
                <w:color w:val="auto"/>
              </w:rPr>
              <w:t>renovation of Perring Plaza</w:t>
            </w:r>
          </w:p>
        </w:tc>
        <w:tc>
          <w:tcPr>
            <w:tcW w:w="110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various</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various</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179</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9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$308,840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0"/>
                <w:szCs w:val="20"/>
                <w:color w:val="auto"/>
              </w:rPr>
            </w:pPr>
            <w:r>
              <w:rPr>
                <w:rFonts w:ascii="Courier New" w:cs="Courier New" w:eastAsia="Courier New" w:hAnsi="Courier New"/>
                <w:sz w:val="15"/>
                <w:szCs w:val="15"/>
                <w:color w:val="auto"/>
              </w:rPr>
              <w:t>Unsecured Public Debt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04/30/02</w:t>
            </w:r>
          </w:p>
        </w:tc>
        <w:tc>
          <w:tcPr>
            <w:tcW w:w="20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5.250%</w:t>
            </w:r>
          </w:p>
        </w:tc>
        <w:tc>
          <w:tcPr>
            <w:tcW w:w="22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$289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5 1/4% Convertible subordinated</w:t>
            </w:r>
          </w:p>
        </w:tc>
        <w:tc>
          <w:tcPr>
            <w:tcW w:w="110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920"/>
              <w:spacing w:after="0"/>
              <w:rPr>
                <w:sz w:val="20"/>
                <w:szCs w:val="20"/>
                <w:color w:val="auto"/>
              </w:rPr>
            </w:pPr>
            <w:r>
              <w:rPr>
                <w:rFonts w:ascii="Courier New" w:cs="Courier New" w:eastAsia="Courier New" w:hAnsi="Courier New"/>
                <w:sz w:val="15"/>
                <w:szCs w:val="15"/>
                <w:color w:val="auto"/>
              </w:rPr>
              <w:t>debentures</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10/28/03</w:t>
            </w:r>
          </w:p>
        </w:tc>
        <w:tc>
          <w:tcPr>
            <w:tcW w:w="20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5.250%</w:t>
            </w:r>
          </w:p>
        </w:tc>
        <w:tc>
          <w:tcPr>
            <w:tcW w:w="22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75,000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5 1/4% Convertible subordinated</w:t>
            </w:r>
          </w:p>
        </w:tc>
        <w:tc>
          <w:tcPr>
            <w:tcW w:w="110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920"/>
              <w:spacing w:after="0"/>
              <w:rPr>
                <w:sz w:val="20"/>
                <w:szCs w:val="20"/>
                <w:color w:val="auto"/>
              </w:rPr>
            </w:pPr>
            <w:r>
              <w:rPr>
                <w:rFonts w:ascii="Courier New" w:cs="Courier New" w:eastAsia="Courier New" w:hAnsi="Courier New"/>
                <w:sz w:val="15"/>
                <w:szCs w:val="15"/>
                <w:color w:val="auto"/>
              </w:rPr>
              <w:t>debentures</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01/15/00</w:t>
            </w:r>
          </w:p>
        </w:tc>
        <w:tc>
          <w:tcPr>
            <w:tcW w:w="20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8.875%</w:t>
            </w:r>
          </w:p>
        </w:tc>
        <w:tc>
          <w:tcPr>
            <w:tcW w:w="22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75,000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8 7/8% Notes (fixed)</w:t>
            </w:r>
          </w:p>
        </w:tc>
        <w:tc>
          <w:tcPr>
            <w:tcW w:w="110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8 7/8% Notes (fixed) (a)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01/15/00</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7.530%</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25,000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8% Notes (fixed)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04/21/02</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8.000%</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25,000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6 5/8% Notes (fixed)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12/01/05</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6.625%</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40,000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7.48% Debentures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08/15/26</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7.480%</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50,000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6.82% Medium Term Notes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08/01/27</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6.820%</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40,000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6.74% Medium Term Notes (a)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03/10/04</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6.370%</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39,500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760"/>
              <w:spacing w:after="0"/>
              <w:rPr>
                <w:sz w:val="20"/>
                <w:szCs w:val="20"/>
                <w:color w:val="auto"/>
              </w:rPr>
            </w:pPr>
            <w:r>
              <w:rPr>
                <w:rFonts w:ascii="Courier New" w:cs="Courier New" w:eastAsia="Courier New" w:hAnsi="Courier New"/>
                <w:sz w:val="15"/>
                <w:szCs w:val="15"/>
                <w:color w:val="auto"/>
              </w:rPr>
              <w:t>6.99% Medium Term Notes (a)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03/10/06</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6.894%</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40,500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9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$410,289</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9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Total fixed</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rate debt</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$455,548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59.17%</w:t>
            </w:r>
          </w:p>
        </w:tc>
        <w:tc>
          <w:tcPr>
            <w:tcW w:w="0" w:type="dxa"/>
            <w:vAlign w:val="bottom"/>
          </w:tcPr>
          <w:p>
            <w:pPr>
              <w:spacing w:after="0"/>
              <w:rPr>
                <w:sz w:val="1"/>
                <w:szCs w:val="1"/>
                <w:color w:val="auto"/>
              </w:rPr>
            </w:pPr>
          </w:p>
        </w:tc>
      </w:tr>
      <w:tr>
        <w:trPr>
          <w:trHeight w:val="262"/>
        </w:trPr>
        <w:tc>
          <w:tcPr>
            <w:tcW w:w="4920" w:type="dxa"/>
            <w:vAlign w:val="bottom"/>
          </w:tcPr>
          <w:p>
            <w:pPr>
              <w:spacing w:after="0"/>
              <w:rPr>
                <w:sz w:val="22"/>
                <w:szCs w:val="22"/>
                <w:color w:val="auto"/>
              </w:rPr>
            </w:pPr>
          </w:p>
        </w:tc>
        <w:tc>
          <w:tcPr>
            <w:tcW w:w="31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Total variable rate debt</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314,400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40.38%</w:t>
            </w:r>
          </w:p>
        </w:tc>
        <w:tc>
          <w:tcPr>
            <w:tcW w:w="0" w:type="dxa"/>
            <w:vAlign w:val="bottom"/>
          </w:tcPr>
          <w:p>
            <w:pPr>
              <w:spacing w:after="0"/>
              <w:rPr>
                <w:sz w:val="1"/>
                <w:szCs w:val="1"/>
                <w:color w:val="auto"/>
              </w:rPr>
            </w:pPr>
          </w:p>
        </w:tc>
      </w:tr>
      <w:tr>
        <w:trPr>
          <w:trHeight w:val="246"/>
        </w:trPr>
        <w:tc>
          <w:tcPr>
            <w:tcW w:w="4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920" w:type="dxa"/>
            <w:vAlign w:val="bottom"/>
          </w:tcPr>
          <w:p>
            <w:pPr>
              <w:spacing w:after="0"/>
              <w:rPr>
                <w:sz w:val="22"/>
                <w:szCs w:val="22"/>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Total debt</w:t>
            </w:r>
          </w:p>
        </w:tc>
        <w:tc>
          <w:tcPr>
            <w:tcW w:w="2080" w:type="dxa"/>
            <w:vAlign w:val="bottom"/>
          </w:tcPr>
          <w:p>
            <w:pPr>
              <w:spacing w:after="0"/>
              <w:rPr>
                <w:sz w:val="22"/>
                <w:szCs w:val="22"/>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$769,948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246"/>
        </w:trPr>
        <w:tc>
          <w:tcPr>
            <w:tcW w:w="4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31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Weighted average interest rate:</w:t>
            </w:r>
          </w:p>
        </w:tc>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31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2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7.19%</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31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Fixed rate debt</w:t>
            </w:r>
          </w:p>
        </w:tc>
        <w:tc>
          <w:tcPr>
            <w:tcW w:w="22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Variable on</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revolving facilities</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5.70% (b)</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9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Variable on</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muncipal bonds</w:t>
            </w:r>
          </w:p>
        </w:tc>
        <w:tc>
          <w:tcPr>
            <w:tcW w:w="22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(c)</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Courier New" w:cs="Courier New" w:eastAsia="Courier New" w:hAnsi="Courier New"/>
                <w:sz w:val="15"/>
                <w:szCs w:val="15"/>
                <w:color w:val="auto"/>
                <w:w w:val="98"/>
              </w:rPr>
              <w:t>(a)The Trust purchased interest rate swaps or hedges on these notes,</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thereby</w:t>
            </w:r>
          </w:p>
        </w:tc>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decreasing the effective interest.</w:t>
            </w:r>
          </w:p>
        </w:tc>
        <w:tc>
          <w:tcPr>
            <w:tcW w:w="110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three</w:t>
            </w:r>
          </w:p>
        </w:tc>
        <w:tc>
          <w:tcPr>
            <w:tcW w:w="2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gridSpan w:val="2"/>
          </w:tcPr>
          <w:p>
            <w:pPr>
              <w:spacing w:after="0"/>
              <w:rPr>
                <w:sz w:val="20"/>
                <w:szCs w:val="20"/>
                <w:color w:val="auto"/>
              </w:rPr>
            </w:pPr>
            <w:r>
              <w:rPr>
                <w:rFonts w:ascii="Courier New" w:cs="Courier New" w:eastAsia="Courier New" w:hAnsi="Courier New"/>
                <w:sz w:val="15"/>
                <w:szCs w:val="15"/>
                <w:color w:val="auto"/>
                <w:w w:val="98"/>
              </w:rPr>
              <w:t>(b)Weighted average interest rate on revolving credit facilities for</w:t>
            </w:r>
          </w:p>
        </w:tc>
        <w:tc>
          <w:tcPr>
            <w:tcW w:w="208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months ended June 30, 1999.</w:t>
            </w:r>
          </w:p>
        </w:tc>
        <w:tc>
          <w:tcPr>
            <w:tcW w:w="1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right="4320" w:hanging="263"/>
        <w:spacing w:after="0" w:line="275" w:lineRule="auto"/>
        <w:rPr>
          <w:sz w:val="20"/>
          <w:szCs w:val="20"/>
          <w:color w:val="auto"/>
        </w:rPr>
      </w:pPr>
      <w:r>
        <w:rPr>
          <w:rFonts w:ascii="Courier New" w:cs="Courier New" w:eastAsia="Courier New" w:hAnsi="Courier New"/>
          <w:sz w:val="15"/>
          <w:szCs w:val="15"/>
          <w:color w:val="auto"/>
        </w:rPr>
        <w:t>(c)The bonds bear interest at a variable rate determined weekly to be the interest rate which would enable the bonds to be remarketed at 100% of their principal amount.</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1280"/>
          </w:cols>
          <w:pgMar w:left="240" w:top="43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Leased Analysis</w:t>
      </w:r>
    </w:p>
    <w:p>
      <w:pPr>
        <w:spacing w:after="0"/>
        <w:rPr>
          <w:sz w:val="20"/>
          <w:szCs w:val="20"/>
          <w:color w:val="auto"/>
        </w:rPr>
      </w:pPr>
      <w:r>
        <w:rPr>
          <w:rFonts w:ascii="Courier New" w:cs="Courier New" w:eastAsia="Courier New" w:hAnsi="Courier New"/>
          <w:sz w:val="15"/>
          <w:szCs w:val="15"/>
          <w:color w:val="auto"/>
        </w:rPr>
        <w:t>June 30, 1999</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Overall Operating Occupancy</w:t>
            </w:r>
          </w:p>
        </w:tc>
        <w:tc>
          <w:tcPr>
            <w:tcW w:w="248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June 30, 1999</w:t>
            </w:r>
          </w:p>
        </w:tc>
        <w:tc>
          <w:tcPr>
            <w:tcW w:w="1240" w:type="dxa"/>
            <w:vAlign w:val="bottom"/>
          </w:tcPr>
          <w:p>
            <w:pPr>
              <w:spacing w:after="0"/>
              <w:rPr>
                <w:sz w:val="14"/>
                <w:szCs w:val="14"/>
                <w:color w:val="auto"/>
              </w:rPr>
            </w:pPr>
          </w:p>
        </w:tc>
        <w:tc>
          <w:tcPr>
            <w:tcW w:w="2640" w:type="dxa"/>
            <w:vAlign w:val="bottom"/>
            <w:gridSpan w:val="2"/>
            <w:vMerge w:val="restart"/>
          </w:tcPr>
          <w:p>
            <w:pPr>
              <w:ind w:left="1220"/>
              <w:spacing w:after="0"/>
              <w:rPr>
                <w:sz w:val="20"/>
                <w:szCs w:val="20"/>
                <w:color w:val="auto"/>
              </w:rPr>
            </w:pPr>
            <w:r>
              <w:rPr>
                <w:rFonts w:ascii="Courier New" w:cs="Courier New" w:eastAsia="Courier New" w:hAnsi="Courier New"/>
                <w:sz w:val="15"/>
                <w:szCs w:val="15"/>
                <w:color w:val="auto"/>
              </w:rPr>
              <w:t>June 30, 1998</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600"/>
              <w:spacing w:after="0"/>
              <w:rPr>
                <w:sz w:val="20"/>
                <w:szCs w:val="20"/>
                <w:color w:val="auto"/>
              </w:rPr>
            </w:pPr>
            <w:r>
              <w:rPr>
                <w:rFonts w:ascii="Courier New" w:cs="Courier New" w:eastAsia="Courier New" w:hAnsi="Courier New"/>
                <w:sz w:val="15"/>
                <w:szCs w:val="15"/>
                <w:color w:val="auto"/>
              </w:rPr>
              <w:t>(Quarter to Quarter Analysis)</w:t>
            </w:r>
          </w:p>
        </w:tc>
        <w:tc>
          <w:tcPr>
            <w:tcW w:w="248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518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60" w:type="dxa"/>
            <w:vAlign w:val="bottom"/>
          </w:tcPr>
          <w:p>
            <w:pPr>
              <w:ind w:left="1040"/>
              <w:spacing w:after="0"/>
              <w:rPr>
                <w:sz w:val="20"/>
                <w:szCs w:val="20"/>
                <w:color w:val="auto"/>
              </w:rPr>
            </w:pPr>
            <w:r>
              <w:rPr>
                <w:rFonts w:ascii="Courier New" w:cs="Courier New" w:eastAsia="Courier New" w:hAnsi="Courier New"/>
                <w:sz w:val="15"/>
                <w:szCs w:val="15"/>
                <w:color w:val="auto"/>
              </w:rPr>
              <w:t>Type</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Size</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Occupancy</w:t>
            </w: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Leased</w:t>
            </w:r>
          </w:p>
        </w:tc>
        <w:tc>
          <w:tcPr>
            <w:tcW w:w="13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Occupancy</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w:t>
            </w: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14,541,750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13,797,209</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94.9%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13,658,940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12,989,036</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95.1%</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280</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281</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771"/>
        </w:trPr>
        <w:tc>
          <w:tcPr>
            <w:tcW w:w="3860" w:type="dxa"/>
            <w:vAlign w:val="bottom"/>
          </w:tcPr>
          <w:p>
            <w:pPr>
              <w:ind w:left="880"/>
              <w:spacing w:after="0"/>
              <w:rPr>
                <w:sz w:val="20"/>
                <w:szCs w:val="20"/>
                <w:color w:val="auto"/>
              </w:rPr>
            </w:pPr>
            <w:r>
              <w:rPr>
                <w:rFonts w:ascii="Courier New" w:cs="Courier New" w:eastAsia="Courier New" w:hAnsi="Courier New"/>
                <w:sz w:val="15"/>
                <w:szCs w:val="15"/>
                <w:color w:val="auto"/>
              </w:rPr>
              <w:t>Overall Operating Occupancy</w:t>
            </w:r>
          </w:p>
        </w:tc>
        <w:tc>
          <w:tcPr>
            <w:tcW w:w="248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June 30, 1999</w:t>
            </w:r>
          </w:p>
        </w:tc>
        <w:tc>
          <w:tcPr>
            <w:tcW w:w="1240" w:type="dxa"/>
            <w:vAlign w:val="bottom"/>
          </w:tcPr>
          <w:p>
            <w:pPr>
              <w:spacing w:after="0"/>
              <w:rPr>
                <w:sz w:val="24"/>
                <w:szCs w:val="24"/>
                <w:color w:val="auto"/>
              </w:rPr>
            </w:pPr>
          </w:p>
        </w:tc>
        <w:tc>
          <w:tcPr>
            <w:tcW w:w="2640" w:type="dxa"/>
            <w:vAlign w:val="bottom"/>
            <w:gridSpan w:val="2"/>
            <w:vMerge w:val="restart"/>
          </w:tcPr>
          <w:p>
            <w:pPr>
              <w:ind w:left="1220"/>
              <w:spacing w:after="0"/>
              <w:rPr>
                <w:sz w:val="20"/>
                <w:szCs w:val="20"/>
                <w:color w:val="auto"/>
              </w:rPr>
            </w:pPr>
            <w:r>
              <w:rPr>
                <w:rFonts w:ascii="Courier New" w:cs="Courier New" w:eastAsia="Courier New" w:hAnsi="Courier New"/>
                <w:sz w:val="15"/>
                <w:szCs w:val="15"/>
                <w:color w:val="auto"/>
              </w:rPr>
              <w:t>March 31, 1999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(Rolling 12 Months)</w:t>
            </w:r>
          </w:p>
        </w:tc>
        <w:tc>
          <w:tcPr>
            <w:tcW w:w="248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240" w:type="dxa"/>
            <w:vAlign w:val="bottom"/>
          </w:tcPr>
          <w:p>
            <w:pPr>
              <w:spacing w:after="0"/>
              <w:rPr>
                <w:sz w:val="21"/>
                <w:szCs w:val="21"/>
                <w:color w:val="auto"/>
              </w:rPr>
            </w:pPr>
          </w:p>
        </w:tc>
        <w:tc>
          <w:tcPr>
            <w:tcW w:w="39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3860" w:type="dxa"/>
            <w:vAlign w:val="bottom"/>
          </w:tcPr>
          <w:p>
            <w:pPr>
              <w:ind w:left="1040"/>
              <w:spacing w:after="0"/>
              <w:rPr>
                <w:sz w:val="20"/>
                <w:szCs w:val="20"/>
                <w:color w:val="auto"/>
              </w:rPr>
            </w:pPr>
            <w:r>
              <w:rPr>
                <w:rFonts w:ascii="Courier New" w:cs="Courier New" w:eastAsia="Courier New" w:hAnsi="Courier New"/>
                <w:sz w:val="15"/>
                <w:szCs w:val="15"/>
                <w:color w:val="auto"/>
              </w:rPr>
              <w:t>Type</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Size</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Occupancy</w:t>
            </w: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Leased</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Occupancy</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7660" w:type="dxa"/>
            <w:vAlign w:val="bottom"/>
            <w:gridSpan w:val="6"/>
          </w:tcPr>
          <w:p>
            <w:pPr>
              <w:jc w:val="right"/>
              <w:ind w:right="87"/>
              <w:spacing w:after="0"/>
              <w:rPr>
                <w:sz w:val="20"/>
                <w:szCs w:val="20"/>
                <w:color w:val="auto"/>
              </w:rPr>
            </w:pPr>
            <w:r>
              <w:rPr>
                <w:rFonts w:ascii="Courier New" w:cs="Courier New" w:eastAsia="Courier New" w:hAnsi="Courier New"/>
                <w:sz w:val="15"/>
                <w:szCs w:val="15"/>
                <w:color w:val="auto"/>
              </w:rPr>
              <w:t>-----------  ------------  -------------  -----------  -------------  -------------</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14,541,750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13,797,209</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94.9%</w:t>
            </w:r>
          </w:p>
        </w:tc>
        <w:tc>
          <w:tcPr>
            <w:tcW w:w="26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14,563,620   13,839,142</w:t>
            </w:r>
          </w:p>
        </w:tc>
        <w:tc>
          <w:tcPr>
            <w:tcW w:w="1300" w:type="dxa"/>
            <w:vAlign w:val="bottom"/>
          </w:tcPr>
          <w:p>
            <w:pPr>
              <w:jc w:val="center"/>
              <w:ind w:right="267"/>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278</w:t>
            </w:r>
          </w:p>
        </w:tc>
        <w:tc>
          <w:tcPr>
            <w:tcW w:w="1300" w:type="dxa"/>
            <w:vAlign w:val="bottom"/>
          </w:tcPr>
          <w:p>
            <w:pPr>
              <w:jc w:val="center"/>
              <w:ind w:right="267"/>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3720" w:type="dxa"/>
            <w:vAlign w:val="bottom"/>
            <w:gridSpan w:val="3"/>
          </w:tcPr>
          <w:p>
            <w:pPr>
              <w:jc w:val="right"/>
              <w:ind w:right="1087"/>
              <w:spacing w:after="0"/>
              <w:rPr>
                <w:sz w:val="20"/>
                <w:szCs w:val="20"/>
                <w:color w:val="auto"/>
              </w:rPr>
            </w:pPr>
            <w:r>
              <w:rPr>
                <w:rFonts w:ascii="Courier New" w:cs="Courier New" w:eastAsia="Courier New" w:hAnsi="Courier New"/>
                <w:sz w:val="15"/>
                <w:szCs w:val="15"/>
                <w:color w:val="auto"/>
              </w:rPr>
              <w:t>December 31, 1998</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 1998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240" w:type="dxa"/>
            <w:vAlign w:val="bottom"/>
          </w:tcPr>
          <w:p>
            <w:pPr>
              <w:spacing w:after="0"/>
              <w:rPr>
                <w:sz w:val="21"/>
                <w:szCs w:val="21"/>
                <w:color w:val="auto"/>
              </w:rPr>
            </w:pPr>
          </w:p>
        </w:tc>
        <w:tc>
          <w:tcPr>
            <w:tcW w:w="3940" w:type="dxa"/>
            <w:vAlign w:val="bottom"/>
            <w:gridSpan w:val="3"/>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Size</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Occupancy</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Leased</w:t>
            </w:r>
          </w:p>
        </w:tc>
        <w:tc>
          <w:tcPr>
            <w:tcW w:w="13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Occupancy</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420" w:type="dxa"/>
            <w:vAlign w:val="bottom"/>
            <w:gridSpan w:val="5"/>
          </w:tcPr>
          <w:p>
            <w:pPr>
              <w:jc w:val="right"/>
              <w:ind w:right="167"/>
              <w:spacing w:after="0"/>
              <w:rPr>
                <w:sz w:val="20"/>
                <w:szCs w:val="20"/>
                <w:color w:val="auto"/>
              </w:rPr>
            </w:pPr>
            <w:r>
              <w:rPr>
                <w:rFonts w:ascii="Courier New" w:cs="Courier New" w:eastAsia="Courier New" w:hAnsi="Courier New"/>
                <w:sz w:val="15"/>
                <w:szCs w:val="15"/>
                <w:color w:val="auto"/>
                <w:w w:val="99"/>
              </w:rPr>
              <w:t>-------------  ------------  ------------  ------------  ------------</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14,497,898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13,803,336</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14,419,458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13,739,610</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509"/>
        </w:trPr>
        <w:tc>
          <w:tcPr>
            <w:tcW w:w="758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7"/>
              </w:rPr>
              <w:t>- --------------------------------------------------------------------------------</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3860" w:type="dxa"/>
            <w:vAlign w:val="bottom"/>
          </w:tcPr>
          <w:p>
            <w:pPr>
              <w:ind w:left="780"/>
              <w:spacing w:after="0"/>
              <w:rPr>
                <w:sz w:val="20"/>
                <w:szCs w:val="20"/>
                <w:color w:val="auto"/>
              </w:rPr>
            </w:pPr>
            <w:r>
              <w:rPr>
                <w:rFonts w:ascii="Courier New" w:cs="Courier New" w:eastAsia="Courier New" w:hAnsi="Courier New"/>
                <w:sz w:val="15"/>
                <w:szCs w:val="15"/>
                <w:color w:val="auto"/>
              </w:rPr>
              <w:t>Same Center Occupancy</w:t>
            </w:r>
          </w:p>
        </w:tc>
        <w:tc>
          <w:tcPr>
            <w:tcW w:w="124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June 30, 1999</w:t>
            </w: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June 30, 1998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(Quarter to Quarter Comparison)</w:t>
            </w:r>
          </w:p>
        </w:tc>
        <w:tc>
          <w:tcPr>
            <w:tcW w:w="12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240" w:type="dxa"/>
            <w:vAlign w:val="bottom"/>
          </w:tcPr>
          <w:p>
            <w:pPr>
              <w:spacing w:after="0"/>
              <w:rPr>
                <w:sz w:val="21"/>
                <w:szCs w:val="21"/>
                <w:color w:val="auto"/>
              </w:rPr>
            </w:pPr>
          </w:p>
        </w:tc>
        <w:tc>
          <w:tcPr>
            <w:tcW w:w="39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60" w:type="dxa"/>
            <w:vAlign w:val="bottom"/>
          </w:tcPr>
          <w:p>
            <w:pPr>
              <w:ind w:left="1400"/>
              <w:spacing w:after="0"/>
              <w:rPr>
                <w:sz w:val="20"/>
                <w:szCs w:val="20"/>
                <w:color w:val="auto"/>
              </w:rPr>
            </w:pPr>
            <w:r>
              <w:rPr>
                <w:rFonts w:ascii="Courier New" w:cs="Courier New" w:eastAsia="Courier New" w:hAnsi="Courier New"/>
                <w:sz w:val="15"/>
                <w:szCs w:val="15"/>
                <w:color w:val="auto"/>
              </w:rPr>
              <w:t>Type</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Size</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Occupancy</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Leased</w:t>
            </w:r>
          </w:p>
        </w:tc>
        <w:tc>
          <w:tcPr>
            <w:tcW w:w="13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w w:val="92"/>
              </w:rPr>
              <w:t>- --------------------------------------------</w:t>
            </w:r>
          </w:p>
        </w:tc>
        <w:tc>
          <w:tcPr>
            <w:tcW w:w="76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  -----------</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13,622,710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12,891,283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94.6%</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13,455,573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12,785,975</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95.0%</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771"/>
        </w:trPr>
        <w:tc>
          <w:tcPr>
            <w:tcW w:w="3860" w:type="dxa"/>
            <w:vAlign w:val="bottom"/>
          </w:tcPr>
          <w:p>
            <w:pPr>
              <w:ind w:left="1040"/>
              <w:spacing w:after="0"/>
              <w:rPr>
                <w:sz w:val="20"/>
                <w:szCs w:val="20"/>
                <w:color w:val="auto"/>
              </w:rPr>
            </w:pPr>
            <w:r>
              <w:rPr>
                <w:rFonts w:ascii="Courier New" w:cs="Courier New" w:eastAsia="Courier New" w:hAnsi="Courier New"/>
                <w:sz w:val="15"/>
                <w:szCs w:val="15"/>
                <w:color w:val="auto"/>
              </w:rPr>
              <w:t>Same Center Occupancy</w:t>
            </w:r>
          </w:p>
        </w:tc>
        <w:tc>
          <w:tcPr>
            <w:tcW w:w="1240" w:type="dxa"/>
            <w:vAlign w:val="bottom"/>
          </w:tcPr>
          <w:p>
            <w:pPr>
              <w:spacing w:after="0"/>
              <w:rPr>
                <w:sz w:val="24"/>
                <w:szCs w:val="24"/>
                <w:color w:val="auto"/>
              </w:rPr>
            </w:pPr>
          </w:p>
        </w:tc>
        <w:tc>
          <w:tcPr>
            <w:tcW w:w="2480" w:type="dxa"/>
            <w:vAlign w:val="bottom"/>
            <w:gridSpan w:val="2"/>
            <w:vMerge w:val="restart"/>
          </w:tcPr>
          <w:p>
            <w:pPr>
              <w:jc w:val="right"/>
              <w:ind w:right="987"/>
              <w:spacing w:after="0"/>
              <w:rPr>
                <w:sz w:val="20"/>
                <w:szCs w:val="20"/>
                <w:color w:val="auto"/>
              </w:rPr>
            </w:pPr>
            <w:r>
              <w:rPr>
                <w:rFonts w:ascii="Courier New" w:cs="Courier New" w:eastAsia="Courier New" w:hAnsi="Courier New"/>
                <w:sz w:val="15"/>
                <w:szCs w:val="15"/>
                <w:color w:val="auto"/>
              </w:rPr>
              <w:t>June 30, 1999</w:t>
            </w:r>
          </w:p>
        </w:tc>
        <w:tc>
          <w:tcPr>
            <w:tcW w:w="1320" w:type="dxa"/>
            <w:vAlign w:val="bottom"/>
          </w:tcPr>
          <w:p>
            <w:pPr>
              <w:spacing w:after="0"/>
              <w:rPr>
                <w:sz w:val="24"/>
                <w:szCs w:val="24"/>
                <w:color w:val="auto"/>
              </w:rPr>
            </w:pPr>
          </w:p>
        </w:tc>
        <w:tc>
          <w:tcPr>
            <w:tcW w:w="2620" w:type="dxa"/>
            <w:vAlign w:val="bottom"/>
            <w:gridSpan w:val="2"/>
            <w:vMerge w:val="restart"/>
          </w:tcPr>
          <w:p>
            <w:pPr>
              <w:jc w:val="right"/>
              <w:ind w:right="787"/>
              <w:spacing w:after="0"/>
              <w:rPr>
                <w:sz w:val="20"/>
                <w:szCs w:val="20"/>
                <w:color w:val="auto"/>
              </w:rPr>
            </w:pPr>
            <w:r>
              <w:rPr>
                <w:rFonts w:ascii="Courier New" w:cs="Courier New" w:eastAsia="Courier New" w:hAnsi="Courier New"/>
                <w:sz w:val="15"/>
                <w:szCs w:val="15"/>
                <w:color w:val="auto"/>
              </w:rPr>
              <w:t>At March 31, 1999</w:t>
            </w:r>
          </w:p>
        </w:tc>
        <w:tc>
          <w:tcPr>
            <w:tcW w:w="0" w:type="dxa"/>
            <w:vAlign w:val="bottom"/>
          </w:tcPr>
          <w:p>
            <w:pPr>
              <w:spacing w:after="0"/>
              <w:rPr>
                <w:sz w:val="1"/>
                <w:szCs w:val="1"/>
                <w:color w:val="auto"/>
              </w:rPr>
            </w:pPr>
          </w:p>
        </w:tc>
      </w:tr>
      <w:tr>
        <w:trPr>
          <w:trHeight w:val="170"/>
        </w:trPr>
        <w:tc>
          <w:tcPr>
            <w:tcW w:w="3860" w:type="dxa"/>
            <w:vAlign w:val="bottom"/>
          </w:tcPr>
          <w:p>
            <w:pPr>
              <w:ind w:left="1140"/>
              <w:spacing w:after="0"/>
              <w:rPr>
                <w:sz w:val="20"/>
                <w:szCs w:val="20"/>
                <w:color w:val="auto"/>
              </w:rPr>
            </w:pPr>
            <w:r>
              <w:rPr>
                <w:rFonts w:ascii="Courier New" w:cs="Courier New" w:eastAsia="Courier New" w:hAnsi="Courier New"/>
                <w:sz w:val="15"/>
                <w:szCs w:val="15"/>
                <w:color w:val="auto"/>
              </w:rPr>
              <w:t>(Rolling 12 Months)</w:t>
            </w:r>
          </w:p>
        </w:tc>
        <w:tc>
          <w:tcPr>
            <w:tcW w:w="124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240" w:type="dxa"/>
            <w:vAlign w:val="bottom"/>
          </w:tcPr>
          <w:p>
            <w:pPr>
              <w:spacing w:after="0"/>
              <w:rPr>
                <w:sz w:val="21"/>
                <w:szCs w:val="21"/>
                <w:color w:val="auto"/>
              </w:rPr>
            </w:pPr>
          </w:p>
        </w:tc>
        <w:tc>
          <w:tcPr>
            <w:tcW w:w="39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60" w:type="dxa"/>
            <w:vAlign w:val="bottom"/>
          </w:tcPr>
          <w:p>
            <w:pPr>
              <w:ind w:left="1400"/>
              <w:spacing w:after="0"/>
              <w:rPr>
                <w:sz w:val="20"/>
                <w:szCs w:val="20"/>
                <w:color w:val="auto"/>
              </w:rPr>
            </w:pPr>
            <w:r>
              <w:rPr>
                <w:rFonts w:ascii="Courier New" w:cs="Courier New" w:eastAsia="Courier New" w:hAnsi="Courier New"/>
                <w:sz w:val="15"/>
                <w:szCs w:val="15"/>
                <w:color w:val="auto"/>
              </w:rPr>
              <w:t>Type</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Size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w w:val="96"/>
              </w:rPr>
              <w:t>Occupancy</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Leased</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w w:val="90"/>
              </w:rPr>
              <w:t>- ---------------------------------------------</w:t>
            </w:r>
          </w:p>
        </w:tc>
        <w:tc>
          <w:tcPr>
            <w:tcW w:w="76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  -------------</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13,622,710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12,891,283</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94.6%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13,091,729</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12,404,610</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278</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At December 31, 1998</w:t>
            </w:r>
          </w:p>
        </w:tc>
        <w:tc>
          <w:tcPr>
            <w:tcW w:w="1240" w:type="dxa"/>
            <w:vAlign w:val="bottom"/>
          </w:tcPr>
          <w:p>
            <w:pPr>
              <w:spacing w:after="0"/>
              <w:rPr>
                <w:sz w:val="24"/>
                <w:szCs w:val="24"/>
                <w:color w:val="auto"/>
              </w:rPr>
            </w:pPr>
          </w:p>
        </w:tc>
        <w:tc>
          <w:tcPr>
            <w:tcW w:w="3940" w:type="dxa"/>
            <w:vAlign w:val="bottom"/>
            <w:gridSpan w:val="3"/>
          </w:tcPr>
          <w:p>
            <w:pPr>
              <w:jc w:val="right"/>
              <w:ind w:right="1047"/>
              <w:spacing w:after="0"/>
              <w:rPr>
                <w:sz w:val="20"/>
                <w:szCs w:val="20"/>
                <w:color w:val="auto"/>
              </w:rPr>
            </w:pPr>
            <w:r>
              <w:rPr>
                <w:rFonts w:ascii="Courier New" w:cs="Courier New" w:eastAsia="Courier New" w:hAnsi="Courier New"/>
                <w:sz w:val="15"/>
                <w:szCs w:val="15"/>
                <w:color w:val="auto"/>
              </w:rPr>
              <w:t>At September 30, 1998</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1240" w:type="dxa"/>
            <w:vAlign w:val="bottom"/>
          </w:tcPr>
          <w:p>
            <w:pPr>
              <w:spacing w:after="0"/>
              <w:rPr>
                <w:sz w:val="21"/>
                <w:szCs w:val="21"/>
                <w:color w:val="auto"/>
              </w:rPr>
            </w:pPr>
          </w:p>
        </w:tc>
        <w:tc>
          <w:tcPr>
            <w:tcW w:w="39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Size</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Occupancy</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Leased</w:t>
            </w:r>
          </w:p>
        </w:tc>
        <w:tc>
          <w:tcPr>
            <w:tcW w:w="13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42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w w:val="99"/>
              </w:rPr>
              <w:t>-------------  -------------  ------------  -------------  -----------</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13,102,582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12,451,743</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12,056,443</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11,459,514</w:t>
            </w:r>
          </w:p>
        </w:tc>
        <w:tc>
          <w:tcPr>
            <w:tcW w:w="13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282</w:t>
            </w:r>
          </w:p>
        </w:tc>
        <w:tc>
          <w:tcPr>
            <w:tcW w:w="13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509"/>
        </w:trPr>
        <w:tc>
          <w:tcPr>
            <w:tcW w:w="3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E-3</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432"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Economic Occupancy Analysis</w:t>
      </w:r>
    </w:p>
    <w:p>
      <w:pPr>
        <w:spacing w:after="0"/>
        <w:rPr>
          <w:sz w:val="20"/>
          <w:szCs w:val="20"/>
          <w:color w:val="auto"/>
        </w:rPr>
      </w:pPr>
      <w:r>
        <w:rPr>
          <w:rFonts w:ascii="Courier New" w:cs="Courier New" w:eastAsia="Courier New" w:hAnsi="Courier New"/>
          <w:sz w:val="15"/>
          <w:szCs w:val="15"/>
          <w:color w:val="auto"/>
        </w:rPr>
        <w:t>June 30, 1999</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ind w:left="600"/>
              <w:spacing w:after="0"/>
              <w:rPr>
                <w:sz w:val="20"/>
                <w:szCs w:val="20"/>
                <w:color w:val="auto"/>
              </w:rPr>
            </w:pPr>
            <w:r>
              <w:rPr>
                <w:rFonts w:ascii="Courier New" w:cs="Courier New" w:eastAsia="Courier New" w:hAnsi="Courier New"/>
                <w:sz w:val="15"/>
                <w:szCs w:val="15"/>
                <w:color w:val="auto"/>
              </w:rPr>
              <w:t>Overall Economic Occupancy</w:t>
            </w:r>
          </w:p>
        </w:tc>
        <w:tc>
          <w:tcPr>
            <w:tcW w:w="1240" w:type="dxa"/>
            <w:vAlign w:val="bottom"/>
          </w:tcPr>
          <w:p>
            <w:pPr>
              <w:spacing w:after="0"/>
              <w:rPr>
                <w:sz w:val="14"/>
                <w:szCs w:val="14"/>
                <w:color w:val="auto"/>
              </w:rPr>
            </w:pP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June 30, 1999</w:t>
            </w:r>
          </w:p>
        </w:tc>
        <w:tc>
          <w:tcPr>
            <w:tcW w:w="1180" w:type="dxa"/>
            <w:vAlign w:val="bottom"/>
          </w:tcPr>
          <w:p>
            <w:pPr>
              <w:spacing w:after="0"/>
              <w:rPr>
                <w:sz w:val="14"/>
                <w:szCs w:val="14"/>
                <w:color w:val="auto"/>
              </w:rPr>
            </w:pPr>
          </w:p>
        </w:tc>
        <w:tc>
          <w:tcPr>
            <w:tcW w:w="256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June 30, 1998</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jc w:val="right"/>
              <w:ind w:right="808"/>
              <w:spacing w:after="0"/>
              <w:rPr>
                <w:sz w:val="20"/>
                <w:szCs w:val="20"/>
                <w:color w:val="auto"/>
              </w:rPr>
            </w:pPr>
            <w:r>
              <w:rPr>
                <w:rFonts w:ascii="Courier New" w:cs="Courier New" w:eastAsia="Courier New" w:hAnsi="Courier New"/>
                <w:sz w:val="15"/>
                <w:szCs w:val="15"/>
                <w:color w:val="auto"/>
              </w:rPr>
              <w:t>(Quarter to Quarter Analysis)</w:t>
            </w:r>
          </w:p>
        </w:tc>
        <w:tc>
          <w:tcPr>
            <w:tcW w:w="1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spacing w:after="0"/>
              <w:rPr>
                <w:sz w:val="21"/>
                <w:szCs w:val="21"/>
                <w:color w:val="auto"/>
              </w:rPr>
            </w:pPr>
          </w:p>
        </w:tc>
        <w:tc>
          <w:tcPr>
            <w:tcW w:w="38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Leases</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Economic</w:t>
            </w:r>
          </w:p>
        </w:tc>
        <w:tc>
          <w:tcPr>
            <w:tcW w:w="1360" w:type="dxa"/>
            <w:vAlign w:val="bottom"/>
          </w:tcPr>
          <w:p>
            <w:pPr>
              <w:spacing w:after="0"/>
              <w:rPr>
                <w:sz w:val="22"/>
                <w:szCs w:val="22"/>
                <w:color w:val="auto"/>
              </w:rPr>
            </w:pP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Leases</w:t>
            </w:r>
          </w:p>
        </w:tc>
        <w:tc>
          <w:tcPr>
            <w:tcW w:w="126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0"/>
        </w:trPr>
        <w:tc>
          <w:tcPr>
            <w:tcW w:w="3960" w:type="dxa"/>
            <w:vAlign w:val="bottom"/>
            <w:vMerge w:val="restart"/>
          </w:tcPr>
          <w:p>
            <w:pPr>
              <w:ind w:left="1480"/>
              <w:spacing w:after="0"/>
              <w:rPr>
                <w:sz w:val="20"/>
                <w:szCs w:val="20"/>
                <w:color w:val="auto"/>
              </w:rPr>
            </w:pPr>
            <w:r>
              <w:rPr>
                <w:rFonts w:ascii="Courier New" w:cs="Courier New" w:eastAsia="Courier New" w:hAnsi="Courier New"/>
                <w:sz w:val="15"/>
                <w:szCs w:val="15"/>
                <w:color w:val="auto"/>
              </w:rPr>
              <w:t>Type</w:t>
            </w:r>
          </w:p>
        </w:tc>
        <w:tc>
          <w:tcPr>
            <w:tcW w:w="12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Generating</w:t>
            </w:r>
          </w:p>
        </w:tc>
        <w:tc>
          <w:tcPr>
            <w:tcW w:w="1180" w:type="dxa"/>
            <w:vAlign w:val="bottom"/>
            <w:vMerge w:val="continue"/>
          </w:tcPr>
          <w:p>
            <w:pPr>
              <w:spacing w:after="0"/>
              <w:rPr>
                <w:sz w:val="14"/>
                <w:szCs w:val="14"/>
                <w:color w:val="auto"/>
              </w:rPr>
            </w:pPr>
          </w:p>
        </w:tc>
        <w:tc>
          <w:tcPr>
            <w:tcW w:w="1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Generating</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Income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Occupancy</w:t>
            </w:r>
          </w:p>
        </w:tc>
        <w:tc>
          <w:tcPr>
            <w:tcW w:w="1360" w:type="dxa"/>
            <w:vAlign w:val="bottom"/>
            <w:vMerge w:val="continue"/>
          </w:tcPr>
          <w:p>
            <w:pPr>
              <w:spacing w:after="0"/>
              <w:rPr>
                <w:sz w:val="14"/>
                <w:szCs w:val="14"/>
                <w:color w:val="auto"/>
              </w:rPr>
            </w:pP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Income</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7560" w:type="dxa"/>
            <w:vAlign w:val="bottom"/>
            <w:gridSpan w:val="6"/>
          </w:tcPr>
          <w:p>
            <w:pPr>
              <w:ind w:left="180"/>
              <w:spacing w:after="0"/>
              <w:rPr>
                <w:sz w:val="20"/>
                <w:szCs w:val="20"/>
                <w:color w:val="auto"/>
              </w:rPr>
            </w:pPr>
            <w:r>
              <w:rPr>
                <w:rFonts w:ascii="Courier New" w:cs="Courier New" w:eastAsia="Courier New" w:hAnsi="Courier New"/>
                <w:sz w:val="15"/>
                <w:szCs w:val="15"/>
                <w:color w:val="auto"/>
                <w:w w:val="97"/>
              </w:rPr>
              <w:t>-------------  -------------  -------------  ------------  ------------  -----------</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14,541,750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13,552,119</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93.2%</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13,658,940</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12,778,700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93.6%</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ind w:left="800"/>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280</w:t>
            </w:r>
          </w:p>
        </w:tc>
        <w:tc>
          <w:tcPr>
            <w:tcW w:w="118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99%</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274</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771"/>
        </w:trPr>
        <w:tc>
          <w:tcPr>
            <w:tcW w:w="3960" w:type="dxa"/>
            <w:vAlign w:val="bottom"/>
          </w:tcPr>
          <w:p>
            <w:pPr>
              <w:jc w:val="right"/>
              <w:ind w:right="808"/>
              <w:spacing w:after="0"/>
              <w:rPr>
                <w:sz w:val="20"/>
                <w:szCs w:val="20"/>
                <w:color w:val="auto"/>
              </w:rPr>
            </w:pPr>
            <w:r>
              <w:rPr>
                <w:rFonts w:ascii="Courier New" w:cs="Courier New" w:eastAsia="Courier New" w:hAnsi="Courier New"/>
                <w:sz w:val="15"/>
                <w:szCs w:val="15"/>
                <w:color w:val="auto"/>
              </w:rPr>
              <w:t>Overall Economic Occupancy</w:t>
            </w:r>
          </w:p>
        </w:tc>
        <w:tc>
          <w:tcPr>
            <w:tcW w:w="1240" w:type="dxa"/>
            <w:vAlign w:val="bottom"/>
          </w:tcPr>
          <w:p>
            <w:pPr>
              <w:spacing w:after="0"/>
              <w:rPr>
                <w:sz w:val="24"/>
                <w:szCs w:val="24"/>
                <w:color w:val="auto"/>
              </w:rPr>
            </w:pP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June 30, 1999</w:t>
            </w:r>
          </w:p>
        </w:tc>
        <w:tc>
          <w:tcPr>
            <w:tcW w:w="1180" w:type="dxa"/>
            <w:vAlign w:val="bottom"/>
          </w:tcPr>
          <w:p>
            <w:pPr>
              <w:spacing w:after="0"/>
              <w:rPr>
                <w:sz w:val="24"/>
                <w:szCs w:val="24"/>
                <w:color w:val="auto"/>
              </w:rPr>
            </w:pPr>
          </w:p>
        </w:tc>
        <w:tc>
          <w:tcPr>
            <w:tcW w:w="256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March 31, 1999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040"/>
              <w:spacing w:after="0"/>
              <w:rPr>
                <w:sz w:val="20"/>
                <w:szCs w:val="20"/>
                <w:color w:val="auto"/>
              </w:rPr>
            </w:pPr>
            <w:r>
              <w:rPr>
                <w:rFonts w:ascii="Courier New" w:cs="Courier New" w:eastAsia="Courier New" w:hAnsi="Courier New"/>
                <w:sz w:val="15"/>
                <w:szCs w:val="15"/>
                <w:color w:val="auto"/>
              </w:rPr>
              <w:t>(Rolling 12 Months)</w:t>
            </w:r>
          </w:p>
        </w:tc>
        <w:tc>
          <w:tcPr>
            <w:tcW w:w="1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Courier New" w:cs="Courier New" w:eastAsia="Courier New" w:hAnsi="Courier New"/>
                <w:sz w:val="14"/>
                <w:szCs w:val="14"/>
                <w:color w:val="auto"/>
                <w:w w:val="71"/>
              </w:rPr>
              <w:t>------------------------------------------</w:t>
            </w:r>
          </w:p>
        </w:tc>
        <w:tc>
          <w:tcPr>
            <w:tcW w:w="1180" w:type="dxa"/>
            <w:vAlign w:val="bottom"/>
          </w:tcPr>
          <w:p>
            <w:pPr>
              <w:spacing w:after="0"/>
              <w:rPr>
                <w:sz w:val="21"/>
                <w:szCs w:val="21"/>
                <w:color w:val="auto"/>
              </w:rPr>
            </w:pPr>
          </w:p>
        </w:tc>
        <w:tc>
          <w:tcPr>
            <w:tcW w:w="38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Leases</w:t>
            </w: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Economic</w:t>
            </w:r>
          </w:p>
        </w:tc>
        <w:tc>
          <w:tcPr>
            <w:tcW w:w="1360" w:type="dxa"/>
            <w:vAlign w:val="bottom"/>
          </w:tcPr>
          <w:p>
            <w:pPr>
              <w:spacing w:after="0"/>
              <w:rPr>
                <w:sz w:val="22"/>
                <w:szCs w:val="22"/>
                <w:color w:val="auto"/>
              </w:rPr>
            </w:pPr>
          </w:p>
        </w:tc>
        <w:tc>
          <w:tcPr>
            <w:tcW w:w="12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6"/>
              </w:rPr>
              <w:t>Leases</w:t>
            </w:r>
          </w:p>
        </w:tc>
        <w:tc>
          <w:tcPr>
            <w:tcW w:w="12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0"/>
        </w:trPr>
        <w:tc>
          <w:tcPr>
            <w:tcW w:w="3960" w:type="dxa"/>
            <w:vAlign w:val="bottom"/>
            <w:vMerge w:val="restart"/>
          </w:tcPr>
          <w:p>
            <w:pPr>
              <w:ind w:left="1480"/>
              <w:spacing w:after="0"/>
              <w:rPr>
                <w:sz w:val="20"/>
                <w:szCs w:val="20"/>
                <w:color w:val="auto"/>
              </w:rPr>
            </w:pPr>
            <w:r>
              <w:rPr>
                <w:rFonts w:ascii="Courier New" w:cs="Courier New" w:eastAsia="Courier New" w:hAnsi="Courier New"/>
                <w:sz w:val="15"/>
                <w:szCs w:val="15"/>
                <w:color w:val="auto"/>
              </w:rPr>
              <w:t>Type</w:t>
            </w:r>
          </w:p>
        </w:tc>
        <w:tc>
          <w:tcPr>
            <w:tcW w:w="12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Generating</w:t>
            </w:r>
          </w:p>
        </w:tc>
        <w:tc>
          <w:tcPr>
            <w:tcW w:w="1180" w:type="dxa"/>
            <w:vAlign w:val="bottom"/>
            <w:vMerge w:val="continue"/>
          </w:tcPr>
          <w:p>
            <w:pPr>
              <w:spacing w:after="0"/>
              <w:rPr>
                <w:sz w:val="14"/>
                <w:szCs w:val="14"/>
                <w:color w:val="auto"/>
              </w:rPr>
            </w:pPr>
          </w:p>
        </w:tc>
        <w:tc>
          <w:tcPr>
            <w:tcW w:w="25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Generating</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Income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Occupancy</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6"/>
              </w:rPr>
              <w:t>Income</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632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14,541,750</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13,552,119</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93.2%</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14,563,620</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13,594,814</w:t>
            </w:r>
          </w:p>
        </w:tc>
        <w:tc>
          <w:tcPr>
            <w:tcW w:w="12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280</w:t>
            </w:r>
          </w:p>
        </w:tc>
        <w:tc>
          <w:tcPr>
            <w:tcW w:w="118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99%</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278</w:t>
            </w:r>
          </w:p>
        </w:tc>
        <w:tc>
          <w:tcPr>
            <w:tcW w:w="12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4"/>
                <w:szCs w:val="24"/>
                <w:color w:val="auto"/>
              </w:rPr>
            </w:pPr>
          </w:p>
        </w:tc>
        <w:tc>
          <w:tcPr>
            <w:tcW w:w="25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December 31, 1998</w:t>
            </w:r>
          </w:p>
        </w:tc>
        <w:tc>
          <w:tcPr>
            <w:tcW w:w="1180" w:type="dxa"/>
            <w:vAlign w:val="bottom"/>
          </w:tcPr>
          <w:p>
            <w:pPr>
              <w:spacing w:after="0"/>
              <w:rPr>
                <w:sz w:val="24"/>
                <w:szCs w:val="24"/>
                <w:color w:val="auto"/>
              </w:rPr>
            </w:pPr>
          </w:p>
        </w:tc>
        <w:tc>
          <w:tcPr>
            <w:tcW w:w="25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September 30, 1998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200" w:type="dxa"/>
            <w:vAlign w:val="bottom"/>
            <w:gridSpan w:val="2"/>
          </w:tcPr>
          <w:p>
            <w:pPr>
              <w:ind w:left="3860"/>
              <w:spacing w:after="0"/>
              <w:rPr>
                <w:sz w:val="20"/>
                <w:szCs w:val="20"/>
                <w:color w:val="auto"/>
              </w:rPr>
            </w:pPr>
            <w:r>
              <w:rPr>
                <w:rFonts w:ascii="Courier New" w:cs="Courier New" w:eastAsia="Courier New" w:hAnsi="Courier New"/>
                <w:sz w:val="7"/>
                <w:szCs w:val="7"/>
                <w:color w:val="auto"/>
                <w:w w:val="74"/>
              </w:rPr>
              <w:t>------------------------------------------</w:t>
            </w: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20" w:type="dxa"/>
            <w:vAlign w:val="bottom"/>
            <w:gridSpan w:val="3"/>
          </w:tcPr>
          <w:p>
            <w:pPr>
              <w:jc w:val="right"/>
              <w:ind w:right="6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9"/>
              </w:rPr>
              <w:t>Leases</w:t>
            </w:r>
          </w:p>
        </w:tc>
        <w:tc>
          <w:tcPr>
            <w:tcW w:w="1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Economic</w:t>
            </w:r>
          </w:p>
        </w:tc>
        <w:tc>
          <w:tcPr>
            <w:tcW w:w="1360" w:type="dxa"/>
            <w:vAlign w:val="bottom"/>
          </w:tcPr>
          <w:p>
            <w:pPr>
              <w:spacing w:after="0"/>
              <w:rPr>
                <w:sz w:val="22"/>
                <w:szCs w:val="22"/>
                <w:color w:val="auto"/>
              </w:rPr>
            </w:pP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Leases</w:t>
            </w:r>
          </w:p>
        </w:tc>
        <w:tc>
          <w:tcPr>
            <w:tcW w:w="12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12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Generating</w:t>
            </w:r>
          </w:p>
        </w:tc>
        <w:tc>
          <w:tcPr>
            <w:tcW w:w="1180" w:type="dxa"/>
            <w:vAlign w:val="bottom"/>
            <w:vMerge w:val="continue"/>
          </w:tcPr>
          <w:p>
            <w:pPr>
              <w:spacing w:after="0"/>
              <w:rPr>
                <w:sz w:val="14"/>
                <w:szCs w:val="14"/>
                <w:color w:val="auto"/>
              </w:rPr>
            </w:pPr>
          </w:p>
        </w:tc>
        <w:tc>
          <w:tcPr>
            <w:tcW w:w="13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Generating</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32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9"/>
              </w:rPr>
              <w:t>Income</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Occupancy</w:t>
            </w:r>
          </w:p>
        </w:tc>
        <w:tc>
          <w:tcPr>
            <w:tcW w:w="1360" w:type="dxa"/>
            <w:vAlign w:val="bottom"/>
            <w:vMerge w:val="continue"/>
          </w:tcPr>
          <w:p>
            <w:pPr>
              <w:spacing w:after="0"/>
              <w:rPr>
                <w:sz w:val="14"/>
                <w:szCs w:val="14"/>
                <w:color w:val="auto"/>
              </w:rPr>
            </w:pP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Income</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7560" w:type="dxa"/>
            <w:vAlign w:val="bottom"/>
            <w:gridSpan w:val="6"/>
          </w:tcPr>
          <w:p>
            <w:pPr>
              <w:spacing w:after="0"/>
              <w:rPr>
                <w:sz w:val="20"/>
                <w:szCs w:val="20"/>
                <w:color w:val="auto"/>
              </w:rPr>
            </w:pPr>
            <w:r>
              <w:rPr>
                <w:rFonts w:ascii="Courier New" w:cs="Courier New" w:eastAsia="Courier New" w:hAnsi="Courier New"/>
                <w:sz w:val="15"/>
                <w:szCs w:val="15"/>
                <w:color w:val="auto"/>
              </w:rPr>
              <w:t>----------  ---------------  ------------  -------------  ------------  -----------</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14,497,898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13,626,536</w:t>
            </w:r>
          </w:p>
        </w:tc>
        <w:tc>
          <w:tcPr>
            <w:tcW w:w="1180" w:type="dxa"/>
            <w:vAlign w:val="bottom"/>
          </w:tcPr>
          <w:p>
            <w:pPr>
              <w:ind w:left="340"/>
              <w:spacing w:after="0"/>
              <w:rPr>
                <w:sz w:val="20"/>
                <w:szCs w:val="20"/>
                <w:color w:val="auto"/>
              </w:rPr>
            </w:pPr>
            <w:r>
              <w:rPr>
                <w:rFonts w:ascii="Courier New" w:cs="Courier New" w:eastAsia="Courier New" w:hAnsi="Courier New"/>
                <w:sz w:val="15"/>
                <w:szCs w:val="15"/>
                <w:color w:val="auto"/>
              </w:rPr>
              <w:t>94%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14,419,458</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13,578,116</w:t>
            </w: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ind w:left="620"/>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281</w:t>
            </w:r>
          </w:p>
        </w:tc>
        <w:tc>
          <w:tcPr>
            <w:tcW w:w="1180" w:type="dxa"/>
            <w:vAlign w:val="bottom"/>
          </w:tcPr>
          <w:p>
            <w:pPr>
              <w:ind w:left="340"/>
              <w:spacing w:after="0"/>
              <w:rPr>
                <w:sz w:val="20"/>
                <w:szCs w:val="20"/>
                <w:color w:val="auto"/>
              </w:rPr>
            </w:pPr>
            <w:r>
              <w:rPr>
                <w:rFonts w:ascii="Courier New" w:cs="Courier New" w:eastAsia="Courier New" w:hAnsi="Courier New"/>
                <w:sz w:val="15"/>
                <w:szCs w:val="15"/>
                <w:color w:val="auto"/>
              </w:rPr>
              <w:t>99%</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w:t>
            </w: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509"/>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3960" w:type="dxa"/>
            <w:vAlign w:val="bottom"/>
          </w:tcPr>
          <w:p>
            <w:pPr>
              <w:jc w:val="right"/>
              <w:ind w:right="728"/>
              <w:spacing w:after="0"/>
              <w:rPr>
                <w:sz w:val="20"/>
                <w:szCs w:val="20"/>
                <w:color w:val="auto"/>
              </w:rPr>
            </w:pPr>
            <w:r>
              <w:rPr>
                <w:rFonts w:ascii="Courier New" w:cs="Courier New" w:eastAsia="Courier New" w:hAnsi="Courier New"/>
                <w:sz w:val="15"/>
                <w:szCs w:val="15"/>
                <w:color w:val="auto"/>
              </w:rPr>
              <w:t>Same Center Economic Occupancy</w:t>
            </w:r>
          </w:p>
        </w:tc>
        <w:tc>
          <w:tcPr>
            <w:tcW w:w="2560" w:type="dxa"/>
            <w:vAlign w:val="bottom"/>
            <w:gridSpan w:val="2"/>
            <w:vMerge w:val="restart"/>
          </w:tcPr>
          <w:p>
            <w:pPr>
              <w:jc w:val="right"/>
              <w:ind w:right="207"/>
              <w:spacing w:after="0"/>
              <w:rPr>
                <w:sz w:val="20"/>
                <w:szCs w:val="20"/>
                <w:color w:val="auto"/>
              </w:rPr>
            </w:pPr>
            <w:r>
              <w:rPr>
                <w:rFonts w:ascii="Courier New" w:cs="Courier New" w:eastAsia="Courier New" w:hAnsi="Courier New"/>
                <w:sz w:val="15"/>
                <w:szCs w:val="15"/>
                <w:color w:val="auto"/>
              </w:rPr>
              <w:t>June 30, 1999</w:t>
            </w:r>
          </w:p>
        </w:tc>
        <w:tc>
          <w:tcPr>
            <w:tcW w:w="1180" w:type="dxa"/>
            <w:vAlign w:val="bottom"/>
          </w:tcPr>
          <w:p>
            <w:pPr>
              <w:spacing w:after="0"/>
              <w:rPr>
                <w:sz w:val="24"/>
                <w:szCs w:val="24"/>
                <w:color w:val="auto"/>
              </w:rPr>
            </w:pPr>
          </w:p>
        </w:tc>
        <w:tc>
          <w:tcPr>
            <w:tcW w:w="256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June 30, 1998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960" w:type="dxa"/>
            <w:vAlign w:val="bottom"/>
          </w:tcPr>
          <w:p>
            <w:pPr>
              <w:jc w:val="right"/>
              <w:ind w:right="728"/>
              <w:spacing w:after="0"/>
              <w:rPr>
                <w:sz w:val="20"/>
                <w:szCs w:val="20"/>
                <w:color w:val="auto"/>
              </w:rPr>
            </w:pPr>
            <w:r>
              <w:rPr>
                <w:rFonts w:ascii="Courier New" w:cs="Courier New" w:eastAsia="Courier New" w:hAnsi="Courier New"/>
                <w:sz w:val="15"/>
                <w:szCs w:val="15"/>
                <w:color w:val="auto"/>
              </w:rPr>
              <w:t>(Quarter to Quarter Comparison)</w:t>
            </w:r>
          </w:p>
        </w:tc>
        <w:tc>
          <w:tcPr>
            <w:tcW w:w="256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25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2"/>
              </w:rPr>
              <w:t>---------------------------------------</w:t>
            </w:r>
          </w:p>
        </w:tc>
        <w:tc>
          <w:tcPr>
            <w:tcW w:w="1180" w:type="dxa"/>
            <w:vAlign w:val="bottom"/>
          </w:tcPr>
          <w:p>
            <w:pPr>
              <w:spacing w:after="0"/>
              <w:rPr>
                <w:sz w:val="21"/>
                <w:szCs w:val="21"/>
                <w:color w:val="auto"/>
              </w:rPr>
            </w:pPr>
          </w:p>
        </w:tc>
        <w:tc>
          <w:tcPr>
            <w:tcW w:w="38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Leases</w:t>
            </w: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Economic</w:t>
            </w:r>
          </w:p>
        </w:tc>
        <w:tc>
          <w:tcPr>
            <w:tcW w:w="1360" w:type="dxa"/>
            <w:vAlign w:val="bottom"/>
          </w:tcPr>
          <w:p>
            <w:pPr>
              <w:spacing w:after="0"/>
              <w:rPr>
                <w:sz w:val="24"/>
                <w:szCs w:val="24"/>
                <w:color w:val="auto"/>
              </w:rPr>
            </w:pP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Leases</w:t>
            </w:r>
          </w:p>
        </w:tc>
        <w:tc>
          <w:tcPr>
            <w:tcW w:w="12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0"/>
        </w:trPr>
        <w:tc>
          <w:tcPr>
            <w:tcW w:w="396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Type</w:t>
            </w:r>
          </w:p>
        </w:tc>
        <w:tc>
          <w:tcPr>
            <w:tcW w:w="12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Generating</w:t>
            </w:r>
          </w:p>
        </w:tc>
        <w:tc>
          <w:tcPr>
            <w:tcW w:w="1180" w:type="dxa"/>
            <w:vAlign w:val="bottom"/>
            <w:vMerge w:val="continue"/>
          </w:tcPr>
          <w:p>
            <w:pPr>
              <w:spacing w:after="0"/>
              <w:rPr>
                <w:sz w:val="14"/>
                <w:szCs w:val="14"/>
                <w:color w:val="auto"/>
              </w:rPr>
            </w:pP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Generating</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Income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Occupancy</w:t>
            </w:r>
          </w:p>
        </w:tc>
        <w:tc>
          <w:tcPr>
            <w:tcW w:w="1360" w:type="dxa"/>
            <w:vAlign w:val="bottom"/>
            <w:vMerge w:val="continue"/>
          </w:tcPr>
          <w:p>
            <w:pPr>
              <w:spacing w:after="0"/>
              <w:rPr>
                <w:sz w:val="14"/>
                <w:szCs w:val="14"/>
                <w:color w:val="auto"/>
              </w:rPr>
            </w:pP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Income</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7560" w:type="dxa"/>
            <w:vAlign w:val="bottom"/>
            <w:gridSpan w:val="6"/>
          </w:tcPr>
          <w:p>
            <w:pPr>
              <w:ind w:left="340"/>
              <w:spacing w:after="0"/>
              <w:rPr>
                <w:sz w:val="20"/>
                <w:szCs w:val="20"/>
                <w:color w:val="auto"/>
              </w:rPr>
            </w:pPr>
            <w:r>
              <w:rPr>
                <w:rFonts w:ascii="Courier New" w:cs="Courier New" w:eastAsia="Courier New" w:hAnsi="Courier New"/>
                <w:sz w:val="15"/>
                <w:szCs w:val="15"/>
                <w:color w:val="auto"/>
                <w:w w:val="97"/>
              </w:rPr>
              <w:t>-------------  ------------  -----------  ------------  ------------ -------------</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jc w:val="right"/>
              <w:ind w:right="28"/>
              <w:spacing w:after="0"/>
              <w:rPr>
                <w:sz w:val="20"/>
                <w:szCs w:val="20"/>
                <w:color w:val="auto"/>
              </w:rPr>
            </w:pPr>
            <w:r>
              <w:rPr>
                <w:rFonts w:ascii="Courier New" w:cs="Courier New" w:eastAsia="Courier New" w:hAnsi="Courier New"/>
                <w:sz w:val="15"/>
                <w:szCs w:val="15"/>
                <w:color w:val="auto"/>
              </w:rPr>
              <w:t>13,622,710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12,744,193</w:t>
            </w:r>
          </w:p>
        </w:tc>
        <w:tc>
          <w:tcPr>
            <w:tcW w:w="1180" w:type="dxa"/>
            <w:vAlign w:val="bottom"/>
          </w:tcPr>
          <w:p>
            <w:pPr>
              <w:ind w:left="340"/>
              <w:spacing w:after="0"/>
              <w:rPr>
                <w:sz w:val="20"/>
                <w:szCs w:val="20"/>
                <w:color w:val="auto"/>
              </w:rPr>
            </w:pPr>
            <w:r>
              <w:rPr>
                <w:rFonts w:ascii="Courier New" w:cs="Courier New" w:eastAsia="Courier New" w:hAnsi="Courier New"/>
                <w:sz w:val="15"/>
                <w:szCs w:val="15"/>
                <w:color w:val="auto"/>
              </w:rPr>
              <w:t>93.6%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13,455,573</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12,576,762</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93.5%</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jc w:val="right"/>
              <w:ind w:right="28"/>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280</w:t>
            </w:r>
          </w:p>
        </w:tc>
        <w:tc>
          <w:tcPr>
            <w:tcW w:w="11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99%</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771"/>
        </w:trPr>
        <w:tc>
          <w:tcPr>
            <w:tcW w:w="3960" w:type="dxa"/>
            <w:vAlign w:val="bottom"/>
          </w:tcPr>
          <w:p>
            <w:pPr>
              <w:jc w:val="right"/>
              <w:ind w:right="808"/>
              <w:spacing w:after="0"/>
              <w:rPr>
                <w:sz w:val="20"/>
                <w:szCs w:val="20"/>
                <w:color w:val="auto"/>
              </w:rPr>
            </w:pPr>
            <w:r>
              <w:rPr>
                <w:rFonts w:ascii="Courier New" w:cs="Courier New" w:eastAsia="Courier New" w:hAnsi="Courier New"/>
                <w:sz w:val="15"/>
                <w:szCs w:val="15"/>
                <w:color w:val="auto"/>
              </w:rPr>
              <w:t>Same Center Economic Occupancy</w:t>
            </w:r>
          </w:p>
        </w:tc>
        <w:tc>
          <w:tcPr>
            <w:tcW w:w="1240" w:type="dxa"/>
            <w:vAlign w:val="bottom"/>
          </w:tcPr>
          <w:p>
            <w:pPr>
              <w:spacing w:after="0"/>
              <w:rPr>
                <w:sz w:val="24"/>
                <w:szCs w:val="24"/>
                <w:color w:val="auto"/>
              </w:rPr>
            </w:pP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June 30, 1999</w:t>
            </w:r>
          </w:p>
        </w:tc>
        <w:tc>
          <w:tcPr>
            <w:tcW w:w="1180" w:type="dxa"/>
            <w:vAlign w:val="bottom"/>
          </w:tcPr>
          <w:p>
            <w:pPr>
              <w:spacing w:after="0"/>
              <w:rPr>
                <w:sz w:val="24"/>
                <w:szCs w:val="24"/>
                <w:color w:val="auto"/>
              </w:rPr>
            </w:pPr>
          </w:p>
        </w:tc>
        <w:tc>
          <w:tcPr>
            <w:tcW w:w="3820" w:type="dxa"/>
            <w:vAlign w:val="bottom"/>
            <w:gridSpan w:val="3"/>
            <w:vMerge w:val="restart"/>
          </w:tcPr>
          <w:p>
            <w:pPr>
              <w:jc w:val="right"/>
              <w:ind w:right="967"/>
              <w:spacing w:after="0"/>
              <w:rPr>
                <w:sz w:val="20"/>
                <w:szCs w:val="20"/>
                <w:color w:val="auto"/>
              </w:rPr>
            </w:pPr>
            <w:r>
              <w:rPr>
                <w:rFonts w:ascii="Courier New" w:cs="Courier New" w:eastAsia="Courier New" w:hAnsi="Courier New"/>
                <w:sz w:val="15"/>
                <w:szCs w:val="15"/>
                <w:color w:val="auto"/>
              </w:rPr>
              <w:t>At March 31, 1999</w:t>
            </w:r>
          </w:p>
        </w:tc>
        <w:tc>
          <w:tcPr>
            <w:tcW w:w="0" w:type="dxa"/>
            <w:vAlign w:val="bottom"/>
          </w:tcPr>
          <w:p>
            <w:pPr>
              <w:spacing w:after="0"/>
              <w:rPr>
                <w:sz w:val="1"/>
                <w:szCs w:val="1"/>
                <w:color w:val="auto"/>
              </w:rPr>
            </w:pPr>
          </w:p>
        </w:tc>
      </w:tr>
      <w:tr>
        <w:trPr>
          <w:trHeight w:val="170"/>
        </w:trPr>
        <w:tc>
          <w:tcPr>
            <w:tcW w:w="3960" w:type="dxa"/>
            <w:vAlign w:val="bottom"/>
          </w:tcPr>
          <w:p>
            <w:pPr>
              <w:jc w:val="right"/>
              <w:ind w:right="1428"/>
              <w:spacing w:after="0"/>
              <w:rPr>
                <w:sz w:val="20"/>
                <w:szCs w:val="20"/>
                <w:color w:val="auto"/>
              </w:rPr>
            </w:pPr>
            <w:r>
              <w:rPr>
                <w:rFonts w:ascii="Courier New" w:cs="Courier New" w:eastAsia="Courier New" w:hAnsi="Courier New"/>
                <w:sz w:val="15"/>
                <w:szCs w:val="15"/>
                <w:color w:val="auto"/>
              </w:rPr>
              <w:t>(Rolling 12 Months)</w:t>
            </w:r>
          </w:p>
        </w:tc>
        <w:tc>
          <w:tcPr>
            <w:tcW w:w="1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3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25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1180" w:type="dxa"/>
            <w:vAlign w:val="bottom"/>
          </w:tcPr>
          <w:p>
            <w:pPr>
              <w:spacing w:after="0"/>
              <w:rPr>
                <w:sz w:val="21"/>
                <w:szCs w:val="21"/>
                <w:color w:val="auto"/>
              </w:rPr>
            </w:pPr>
          </w:p>
        </w:tc>
        <w:tc>
          <w:tcPr>
            <w:tcW w:w="38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Leases</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Economic</w:t>
            </w:r>
          </w:p>
        </w:tc>
        <w:tc>
          <w:tcPr>
            <w:tcW w:w="1360" w:type="dxa"/>
            <w:vAlign w:val="bottom"/>
          </w:tcPr>
          <w:p>
            <w:pPr>
              <w:spacing w:after="0"/>
              <w:rPr>
                <w:sz w:val="22"/>
                <w:szCs w:val="22"/>
                <w:color w:val="auto"/>
              </w:rPr>
            </w:pP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Leases</w:t>
            </w:r>
          </w:p>
        </w:tc>
        <w:tc>
          <w:tcPr>
            <w:tcW w:w="12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0"/>
        </w:trPr>
        <w:tc>
          <w:tcPr>
            <w:tcW w:w="3960" w:type="dxa"/>
            <w:vAlign w:val="bottom"/>
            <w:vMerge w:val="restart"/>
          </w:tcPr>
          <w:p>
            <w:pPr>
              <w:jc w:val="right"/>
              <w:ind w:right="1428"/>
              <w:spacing w:after="0"/>
              <w:rPr>
                <w:sz w:val="20"/>
                <w:szCs w:val="20"/>
                <w:color w:val="auto"/>
              </w:rPr>
            </w:pPr>
            <w:r>
              <w:rPr>
                <w:rFonts w:ascii="Courier New" w:cs="Courier New" w:eastAsia="Courier New" w:hAnsi="Courier New"/>
                <w:sz w:val="15"/>
                <w:szCs w:val="15"/>
                <w:color w:val="auto"/>
              </w:rPr>
              <w:t>Type</w:t>
            </w:r>
          </w:p>
        </w:tc>
        <w:tc>
          <w:tcPr>
            <w:tcW w:w="12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Generating</w:t>
            </w:r>
          </w:p>
        </w:tc>
        <w:tc>
          <w:tcPr>
            <w:tcW w:w="1180" w:type="dxa"/>
            <w:vAlign w:val="bottom"/>
            <w:vMerge w:val="continue"/>
          </w:tcPr>
          <w:p>
            <w:pPr>
              <w:spacing w:after="0"/>
              <w:rPr>
                <w:sz w:val="14"/>
                <w:szCs w:val="14"/>
                <w:color w:val="auto"/>
              </w:rPr>
            </w:pP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Generating</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Income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Occupancy</w:t>
            </w:r>
          </w:p>
        </w:tc>
        <w:tc>
          <w:tcPr>
            <w:tcW w:w="1360" w:type="dxa"/>
            <w:vAlign w:val="bottom"/>
            <w:vMerge w:val="continue"/>
          </w:tcPr>
          <w:p>
            <w:pPr>
              <w:spacing w:after="0"/>
              <w:rPr>
                <w:sz w:val="14"/>
                <w:szCs w:val="14"/>
                <w:color w:val="auto"/>
              </w:rPr>
            </w:pP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Income</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5100" w:type="dxa"/>
            <w:vAlign w:val="bottom"/>
            <w:gridSpan w:val="4"/>
          </w:tcPr>
          <w:p>
            <w:pPr>
              <w:ind w:left="340"/>
              <w:spacing w:after="0"/>
              <w:rPr>
                <w:sz w:val="20"/>
                <w:szCs w:val="20"/>
                <w:color w:val="auto"/>
              </w:rPr>
            </w:pPr>
            <w:r>
              <w:rPr>
                <w:rFonts w:ascii="Courier New" w:cs="Courier New" w:eastAsia="Courier New" w:hAnsi="Courier New"/>
                <w:sz w:val="15"/>
                <w:szCs w:val="15"/>
                <w:color w:val="auto"/>
                <w:w w:val="97"/>
              </w:rPr>
              <w:t>-------------  ------------  -----------  ------------</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ind w:left="340"/>
              <w:spacing w:after="0"/>
              <w:rPr>
                <w:sz w:val="20"/>
                <w:szCs w:val="20"/>
                <w:color w:val="auto"/>
              </w:rPr>
            </w:pPr>
            <w:r>
              <w:rPr>
                <w:rFonts w:ascii="Courier New" w:cs="Courier New" w:eastAsia="Courier New" w:hAnsi="Courier New"/>
                <w:sz w:val="15"/>
                <w:szCs w:val="15"/>
                <w:color w:val="auto"/>
                <w:w w:val="97"/>
              </w:rPr>
              <w:t>13,622,710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12,744,193</w:t>
            </w:r>
          </w:p>
        </w:tc>
        <w:tc>
          <w:tcPr>
            <w:tcW w:w="118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93.6%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13,091,729</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12,170,282</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ind w:left="960"/>
              <w:spacing w:after="0"/>
              <w:rPr>
                <w:sz w:val="20"/>
                <w:szCs w:val="20"/>
                <w:color w:val="auto"/>
              </w:rPr>
            </w:pPr>
            <w:r>
              <w:rPr>
                <w:rFonts w:ascii="Courier New" w:cs="Courier New" w:eastAsia="Courier New" w:hAnsi="Courier New"/>
                <w:sz w:val="15"/>
                <w:szCs w:val="15"/>
                <w:color w:val="auto"/>
                <w:w w:val="96"/>
              </w:rPr>
              <w:t>282</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278</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4"/>
                <w:szCs w:val="24"/>
                <w:color w:val="auto"/>
              </w:rPr>
            </w:pPr>
          </w:p>
        </w:tc>
        <w:tc>
          <w:tcPr>
            <w:tcW w:w="3740" w:type="dxa"/>
            <w:vAlign w:val="bottom"/>
            <w:gridSpan w:val="3"/>
          </w:tcPr>
          <w:p>
            <w:pPr>
              <w:ind w:left="1140"/>
              <w:spacing w:after="0"/>
              <w:rPr>
                <w:sz w:val="20"/>
                <w:szCs w:val="20"/>
                <w:color w:val="auto"/>
              </w:rPr>
            </w:pPr>
            <w:r>
              <w:rPr>
                <w:rFonts w:ascii="Courier New" w:cs="Courier New" w:eastAsia="Courier New" w:hAnsi="Courier New"/>
                <w:sz w:val="15"/>
                <w:szCs w:val="15"/>
                <w:color w:val="auto"/>
              </w:rPr>
              <w:t>At December 31, 1998</w:t>
            </w:r>
          </w:p>
        </w:tc>
        <w:tc>
          <w:tcPr>
            <w:tcW w:w="382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At September 30, 1998</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2560" w:type="dxa"/>
            <w:vAlign w:val="bottom"/>
            <w:gridSpan w:val="2"/>
          </w:tcPr>
          <w:p>
            <w:pPr>
              <w:ind w:left="180"/>
              <w:spacing w:after="0"/>
              <w:rPr>
                <w:sz w:val="20"/>
                <w:szCs w:val="20"/>
                <w:color w:val="auto"/>
              </w:rPr>
            </w:pPr>
            <w:r>
              <w:rPr>
                <w:rFonts w:ascii="Courier New" w:cs="Courier New" w:eastAsia="Courier New" w:hAnsi="Courier New"/>
                <w:sz w:val="13"/>
                <w:szCs w:val="13"/>
                <w:color w:val="auto"/>
                <w:w w:val="73"/>
              </w:rPr>
              <w:t>-----------------------------------------</w:t>
            </w:r>
          </w:p>
        </w:tc>
        <w:tc>
          <w:tcPr>
            <w:tcW w:w="1180" w:type="dxa"/>
            <w:vAlign w:val="bottom"/>
          </w:tcPr>
          <w:p>
            <w:pPr>
              <w:spacing w:after="0"/>
              <w:rPr>
                <w:sz w:val="21"/>
                <w:szCs w:val="21"/>
                <w:color w:val="auto"/>
              </w:rPr>
            </w:pPr>
          </w:p>
        </w:tc>
        <w:tc>
          <w:tcPr>
            <w:tcW w:w="38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Leases</w:t>
            </w: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Economic</w:t>
            </w:r>
          </w:p>
        </w:tc>
        <w:tc>
          <w:tcPr>
            <w:tcW w:w="1360" w:type="dxa"/>
            <w:vAlign w:val="bottom"/>
          </w:tcPr>
          <w:p>
            <w:pPr>
              <w:spacing w:after="0"/>
              <w:rPr>
                <w:sz w:val="22"/>
                <w:szCs w:val="22"/>
                <w:color w:val="auto"/>
              </w:rPr>
            </w:pP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Leases</w:t>
            </w:r>
          </w:p>
        </w:tc>
        <w:tc>
          <w:tcPr>
            <w:tcW w:w="126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Economic</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12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Size</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Generating</w:t>
            </w:r>
          </w:p>
        </w:tc>
        <w:tc>
          <w:tcPr>
            <w:tcW w:w="1180" w:type="dxa"/>
            <w:vAlign w:val="bottom"/>
            <w:vMerge w:val="continue"/>
          </w:tcPr>
          <w:p>
            <w:pPr>
              <w:spacing w:after="0"/>
              <w:rPr>
                <w:sz w:val="14"/>
                <w:szCs w:val="14"/>
                <w:color w:val="auto"/>
              </w:rPr>
            </w:pP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Size</w:t>
            </w: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Generating</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Income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Occupancy</w:t>
            </w:r>
          </w:p>
        </w:tc>
        <w:tc>
          <w:tcPr>
            <w:tcW w:w="1360" w:type="dxa"/>
            <w:vAlign w:val="bottom"/>
            <w:vMerge w:val="continue"/>
          </w:tcPr>
          <w:p>
            <w:pPr>
              <w:spacing w:after="0"/>
              <w:rPr>
                <w:sz w:val="14"/>
                <w:szCs w:val="14"/>
                <w:color w:val="auto"/>
              </w:rPr>
            </w:pP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Income</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632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240" w:type="dxa"/>
            <w:vAlign w:val="bottom"/>
          </w:tcPr>
          <w:p>
            <w:pPr>
              <w:jc w:val="right"/>
              <w:ind w:right="28"/>
              <w:spacing w:after="0"/>
              <w:rPr>
                <w:sz w:val="20"/>
                <w:szCs w:val="20"/>
                <w:color w:val="auto"/>
              </w:rPr>
            </w:pPr>
            <w:r>
              <w:rPr>
                <w:rFonts w:ascii="Courier New" w:cs="Courier New" w:eastAsia="Courier New" w:hAnsi="Courier New"/>
                <w:sz w:val="15"/>
                <w:szCs w:val="15"/>
                <w:color w:val="auto"/>
              </w:rPr>
              <w:t>13,102,582</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12,274,943</w:t>
            </w:r>
          </w:p>
        </w:tc>
        <w:tc>
          <w:tcPr>
            <w:tcW w:w="11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94%</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12,056,443</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11,315,875</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40" w:type="dxa"/>
            <w:vAlign w:val="bottom"/>
          </w:tcPr>
          <w:p>
            <w:pPr>
              <w:jc w:val="right"/>
              <w:ind w:right="28"/>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281</w:t>
            </w:r>
          </w:p>
        </w:tc>
        <w:tc>
          <w:tcPr>
            <w:tcW w:w="11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99%</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282</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282</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bl>
    <w:p>
      <w:pPr>
        <w:sectPr>
          <w:pgSz w:w="11900" w:h="16838" w:orient="portrait"/>
          <w:cols w:equalWidth="0" w:num="1">
            <w:col w:w="11520"/>
          </w:cols>
          <w:pgMar w:left="240" w:top="432" w:right="139" w:bottom="170" w:gutter="0" w:footer="0" w:header="0"/>
        </w:sectPr>
      </w:pPr>
    </w:p>
    <w:bookmarkStart w:id="7" w:name="page8"/>
    <w:bookmarkEnd w:id="7"/>
    <w:p>
      <w:pPr>
        <w:ind w:left="5580"/>
        <w:spacing w:after="0"/>
        <w:rPr>
          <w:sz w:val="20"/>
          <w:szCs w:val="20"/>
          <w:color w:val="auto"/>
        </w:rPr>
      </w:pPr>
      <w:r>
        <w:rPr>
          <w:rFonts w:ascii="Courier New" w:cs="Courier New" w:eastAsia="Courier New" w:hAnsi="Courier New"/>
          <w:sz w:val="14"/>
          <w:szCs w:val="14"/>
          <w:color w:val="auto"/>
        </w:rPr>
        <w:t>E-4</w:t>
      </w:r>
    </w:p>
    <w:p>
      <w:pPr>
        <w:sectPr>
          <w:pgSz w:w="11900" w:h="16838" w:orient="portrait"/>
          <w:cols w:equalWidth="0" w:num="1">
            <w:col w:w="9019"/>
          </w:cols>
          <w:pgMar w:left="1440" w:top="11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Regional Occupancy Analysis</w:t>
      </w:r>
    </w:p>
    <w:p>
      <w:pPr>
        <w:spacing w:after="0"/>
        <w:rPr>
          <w:sz w:val="20"/>
          <w:szCs w:val="20"/>
          <w:color w:val="auto"/>
        </w:rPr>
      </w:pPr>
      <w:r>
        <w:rPr>
          <w:rFonts w:ascii="Courier New" w:cs="Courier New" w:eastAsia="Courier New" w:hAnsi="Courier New"/>
          <w:sz w:val="15"/>
          <w:szCs w:val="15"/>
          <w:color w:val="auto"/>
        </w:rPr>
        <w:t>June 30, 1999</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Region</w:t>
            </w:r>
          </w:p>
        </w:tc>
        <w:tc>
          <w:tcPr>
            <w:tcW w:w="2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Total Square</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Occupancy</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226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Footage</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06/30/99</w:t>
            </w: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14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2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6,296,972</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95.5%</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Mid-Atlantic</w:t>
            </w:r>
          </w:p>
        </w:tc>
        <w:tc>
          <w:tcPr>
            <w:tcW w:w="2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5,686,640</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96.5%</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Mid-West</w:t>
            </w:r>
          </w:p>
        </w:tc>
        <w:tc>
          <w:tcPr>
            <w:tcW w:w="2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929,749</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94.7%</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Southeast</w:t>
            </w:r>
          </w:p>
        </w:tc>
        <w:tc>
          <w:tcPr>
            <w:tcW w:w="2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635,890</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74.4%</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West Coast</w:t>
            </w:r>
          </w:p>
        </w:tc>
        <w:tc>
          <w:tcPr>
            <w:tcW w:w="2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952,874</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95.1%</w:t>
            </w: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0"/>
                <w:szCs w:val="20"/>
                <w:color w:val="auto"/>
              </w:rPr>
            </w:pPr>
            <w:r>
              <w:rPr>
                <w:rFonts w:ascii="Courier New" w:cs="Courier New" w:eastAsia="Courier New" w:hAnsi="Courier New"/>
                <w:sz w:val="15"/>
                <w:szCs w:val="15"/>
                <w:color w:val="auto"/>
              </w:rPr>
              <w:t>Southwest</w:t>
            </w:r>
          </w:p>
        </w:tc>
        <w:tc>
          <w:tcPr>
            <w:tcW w:w="2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39,625</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92.3%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Region</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Total Square</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170"/>
        </w:trPr>
        <w:tc>
          <w:tcPr>
            <w:tcW w:w="2240" w:type="dxa"/>
            <w:vAlign w:val="bottom"/>
            <w:vMerge w:val="continue"/>
          </w:tcPr>
          <w:p>
            <w:pPr>
              <w:spacing w:after="0"/>
              <w:rPr>
                <w:sz w:val="14"/>
                <w:szCs w:val="14"/>
                <w:color w:val="auto"/>
              </w:rPr>
            </w:pPr>
          </w:p>
        </w:tc>
        <w:tc>
          <w:tcPr>
            <w:tcW w:w="216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Footage</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06/30/99</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6,296,972</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95.5%</w:t>
            </w:r>
          </w:p>
        </w:tc>
        <w:tc>
          <w:tcPr>
            <w:tcW w:w="0" w:type="dxa"/>
            <w:vAlign w:val="bottom"/>
          </w:tcPr>
          <w:p>
            <w:pPr>
              <w:spacing w:after="0"/>
              <w:rPr>
                <w:sz w:val="1"/>
                <w:szCs w:val="1"/>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3,609,990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97.8%</w:t>
            </w:r>
          </w:p>
        </w:tc>
        <w:tc>
          <w:tcPr>
            <w:tcW w:w="0" w:type="dxa"/>
            <w:vAlign w:val="bottom"/>
          </w:tcPr>
          <w:p>
            <w:pPr>
              <w:spacing w:after="0"/>
              <w:rPr>
                <w:sz w:val="1"/>
                <w:szCs w:val="1"/>
                <w:color w:val="auto"/>
              </w:rPr>
            </w:pPr>
          </w:p>
        </w:tc>
      </w:tr>
      <w:tr>
        <w:trPr>
          <w:trHeight w:val="246"/>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Small Shops</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2,686,982</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92.3%</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Courier New" w:cs="Courier New" w:eastAsia="Courier New" w:hAnsi="Courier New"/>
                <w:sz w:val="15"/>
                <w:szCs w:val="15"/>
                <w:color w:val="auto"/>
              </w:rPr>
              <w:t>Mid-Atlantic</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5,686,640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96.5%</w:t>
            </w:r>
          </w:p>
        </w:tc>
        <w:tc>
          <w:tcPr>
            <w:tcW w:w="0" w:type="dxa"/>
            <w:vAlign w:val="bottom"/>
          </w:tcPr>
          <w:p>
            <w:pPr>
              <w:spacing w:after="0"/>
              <w:rPr>
                <w:sz w:val="1"/>
                <w:szCs w:val="1"/>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2,723,982</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98.8%</w:t>
            </w:r>
          </w:p>
        </w:tc>
        <w:tc>
          <w:tcPr>
            <w:tcW w:w="0" w:type="dxa"/>
            <w:vAlign w:val="bottom"/>
          </w:tcPr>
          <w:p>
            <w:pPr>
              <w:spacing w:after="0"/>
              <w:rPr>
                <w:sz w:val="1"/>
                <w:szCs w:val="1"/>
                <w:color w:val="auto"/>
              </w:rPr>
            </w:pPr>
          </w:p>
        </w:tc>
      </w:tr>
      <w:tr>
        <w:trPr>
          <w:trHeight w:val="246"/>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Small Shops</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2,962,658</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94.5%</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Courier New" w:cs="Courier New" w:eastAsia="Courier New" w:hAnsi="Courier New"/>
                <w:sz w:val="15"/>
                <w:szCs w:val="15"/>
                <w:color w:val="auto"/>
              </w:rPr>
              <w:t>Mid-West</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929,749</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94.7%</w:t>
            </w:r>
          </w:p>
        </w:tc>
        <w:tc>
          <w:tcPr>
            <w:tcW w:w="0" w:type="dxa"/>
            <w:vAlign w:val="bottom"/>
          </w:tcPr>
          <w:p>
            <w:pPr>
              <w:spacing w:after="0"/>
              <w:rPr>
                <w:sz w:val="1"/>
                <w:szCs w:val="1"/>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585,978</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97.7%</w:t>
            </w:r>
          </w:p>
        </w:tc>
        <w:tc>
          <w:tcPr>
            <w:tcW w:w="0" w:type="dxa"/>
            <w:vAlign w:val="bottom"/>
          </w:tcPr>
          <w:p>
            <w:pPr>
              <w:spacing w:after="0"/>
              <w:rPr>
                <w:sz w:val="1"/>
                <w:szCs w:val="1"/>
                <w:color w:val="auto"/>
              </w:rPr>
            </w:pPr>
          </w:p>
        </w:tc>
      </w:tr>
      <w:tr>
        <w:trPr>
          <w:trHeight w:val="246"/>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Small Shops</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343,771</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89.5%</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Courier New" w:cs="Courier New" w:eastAsia="Courier New" w:hAnsi="Courier New"/>
                <w:sz w:val="15"/>
                <w:szCs w:val="15"/>
                <w:color w:val="auto"/>
              </w:rPr>
              <w:t>Southeast</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635,890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74.4%</w:t>
            </w:r>
          </w:p>
        </w:tc>
        <w:tc>
          <w:tcPr>
            <w:tcW w:w="0" w:type="dxa"/>
            <w:vAlign w:val="bottom"/>
          </w:tcPr>
          <w:p>
            <w:pPr>
              <w:spacing w:after="0"/>
              <w:rPr>
                <w:sz w:val="1"/>
                <w:szCs w:val="1"/>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304,894</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67.5%</w:t>
            </w:r>
          </w:p>
        </w:tc>
        <w:tc>
          <w:tcPr>
            <w:tcW w:w="0" w:type="dxa"/>
            <w:vAlign w:val="bottom"/>
          </w:tcPr>
          <w:p>
            <w:pPr>
              <w:spacing w:after="0"/>
              <w:rPr>
                <w:sz w:val="1"/>
                <w:szCs w:val="1"/>
                <w:color w:val="auto"/>
              </w:rPr>
            </w:pPr>
          </w:p>
        </w:tc>
      </w:tr>
      <w:tr>
        <w:trPr>
          <w:trHeight w:val="246"/>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Small Shops</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330,996</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80.6%</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Courier New" w:cs="Courier New" w:eastAsia="Courier New" w:hAnsi="Courier New"/>
                <w:sz w:val="15"/>
                <w:szCs w:val="15"/>
                <w:color w:val="auto"/>
              </w:rPr>
              <w:t>West Coast</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952,874</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95.1%</w:t>
            </w:r>
          </w:p>
        </w:tc>
        <w:tc>
          <w:tcPr>
            <w:tcW w:w="0" w:type="dxa"/>
            <w:vAlign w:val="bottom"/>
          </w:tcPr>
          <w:p>
            <w:pPr>
              <w:spacing w:after="0"/>
              <w:rPr>
                <w:sz w:val="1"/>
                <w:szCs w:val="1"/>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192,292</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6"/>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Small Shops</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760,582</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93.9%</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Courier New" w:cs="Courier New" w:eastAsia="Courier New" w:hAnsi="Courier New"/>
                <w:sz w:val="15"/>
                <w:szCs w:val="15"/>
                <w:color w:val="auto"/>
              </w:rPr>
              <w:t>Southwest</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39,625</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92.3%</w:t>
            </w:r>
          </w:p>
        </w:tc>
        <w:tc>
          <w:tcPr>
            <w:tcW w:w="0" w:type="dxa"/>
            <w:vAlign w:val="bottom"/>
          </w:tcPr>
          <w:p>
            <w:pPr>
              <w:spacing w:after="0"/>
              <w:rPr>
                <w:sz w:val="1"/>
                <w:szCs w:val="1"/>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Anchor</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46"/>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Small Shops</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39,625</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92.3%</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E-5</w:t>
      </w:r>
    </w:p>
    <w:p>
      <w:pPr>
        <w:sectPr>
          <w:pgSz w:w="11900" w:h="16838" w:orient="portrait"/>
          <w:cols w:equalWidth="0" w:num="1">
            <w:col w:w="10219"/>
          </w:cols>
          <w:pgMar w:left="240" w:top="43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Leasing Activity</w:t>
      </w:r>
    </w:p>
    <w:p>
      <w:pPr>
        <w:spacing w:after="0"/>
        <w:rPr>
          <w:sz w:val="20"/>
          <w:szCs w:val="20"/>
          <w:color w:val="auto"/>
        </w:rPr>
      </w:pPr>
      <w:r>
        <w:rPr>
          <w:rFonts w:ascii="Courier New" w:cs="Courier New" w:eastAsia="Courier New" w:hAnsi="Courier New"/>
          <w:sz w:val="15"/>
          <w:szCs w:val="15"/>
          <w:color w:val="auto"/>
        </w:rPr>
        <w:t>June 30, 1999</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28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Comparable</w:t>
            </w:r>
          </w:p>
        </w:tc>
        <w:tc>
          <w:tcPr>
            <w:tcW w:w="2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760" w:type="dxa"/>
            <w:vAlign w:val="bottom"/>
          </w:tcPr>
          <w:p>
            <w:pPr>
              <w:spacing w:after="0"/>
              <w:rPr>
                <w:sz w:val="24"/>
                <w:szCs w:val="24"/>
                <w:color w:val="auto"/>
              </w:rPr>
            </w:pPr>
          </w:p>
        </w:tc>
        <w:tc>
          <w:tcPr>
            <w:tcW w:w="2260" w:type="dxa"/>
            <w:vAlign w:val="bottom"/>
            <w:vMerge w:val="restart"/>
          </w:tcPr>
          <w:p>
            <w:pPr>
              <w:jc w:val="right"/>
              <w:ind w:right="907"/>
              <w:spacing w:after="0"/>
              <w:rPr>
                <w:sz w:val="20"/>
                <w:szCs w:val="20"/>
                <w:color w:val="auto"/>
              </w:rPr>
            </w:pPr>
            <w:r>
              <w:rPr>
                <w:rFonts w:ascii="Courier New" w:cs="Courier New" w:eastAsia="Courier New" w:hAnsi="Courier New"/>
                <w:sz w:val="15"/>
                <w:szCs w:val="15"/>
                <w:color w:val="auto"/>
              </w:rPr>
              <w:t>Number of</w:t>
            </w:r>
          </w:p>
        </w:tc>
        <w:tc>
          <w:tcPr>
            <w:tcW w:w="184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Square</w:t>
            </w:r>
          </w:p>
        </w:tc>
        <w:tc>
          <w:tcPr>
            <w:tcW w:w="242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Weighted</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Average Prior</w:t>
            </w:r>
          </w:p>
        </w:tc>
        <w:tc>
          <w:tcPr>
            <w:tcW w:w="0" w:type="dxa"/>
            <w:vAlign w:val="bottom"/>
          </w:tcPr>
          <w:p>
            <w:pPr>
              <w:spacing w:after="0"/>
              <w:rPr>
                <w:sz w:val="1"/>
                <w:szCs w:val="1"/>
                <w:color w:val="auto"/>
              </w:rPr>
            </w:pPr>
          </w:p>
        </w:tc>
      </w:tr>
      <w:tr>
        <w:trPr>
          <w:trHeight w:val="170"/>
        </w:trPr>
        <w:tc>
          <w:tcPr>
            <w:tcW w:w="276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Rolling 12 Months</w:t>
            </w:r>
          </w:p>
        </w:tc>
        <w:tc>
          <w:tcPr>
            <w:tcW w:w="226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4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7"/>
              </w:rPr>
              <w:t>Average Lease</w:t>
            </w:r>
          </w:p>
        </w:tc>
        <w:tc>
          <w:tcPr>
            <w:tcW w:w="20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Rent Per</w:t>
            </w:r>
          </w:p>
        </w:tc>
        <w:tc>
          <w:tcPr>
            <w:tcW w:w="0" w:type="dxa"/>
            <w:vAlign w:val="bottom"/>
          </w:tcPr>
          <w:p>
            <w:pPr>
              <w:spacing w:after="0"/>
              <w:rPr>
                <w:sz w:val="1"/>
                <w:szCs w:val="1"/>
                <w:color w:val="auto"/>
              </w:rPr>
            </w:pPr>
          </w:p>
        </w:tc>
      </w:tr>
      <w:tr>
        <w:trPr>
          <w:trHeight w:val="170"/>
        </w:trPr>
        <w:tc>
          <w:tcPr>
            <w:tcW w:w="2760" w:type="dxa"/>
            <w:vAlign w:val="bottom"/>
            <w:vMerge w:val="continue"/>
          </w:tcPr>
          <w:p>
            <w:pPr>
              <w:spacing w:after="0"/>
              <w:rPr>
                <w:sz w:val="14"/>
                <w:szCs w:val="14"/>
                <w:color w:val="auto"/>
              </w:rPr>
            </w:pP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Leases Signed</w:t>
            </w:r>
          </w:p>
        </w:tc>
        <w:tc>
          <w:tcPr>
            <w:tcW w:w="18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Feet</w:t>
            </w:r>
          </w:p>
        </w:tc>
        <w:tc>
          <w:tcPr>
            <w:tcW w:w="242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8"/>
              </w:rPr>
              <w:t>Term (Years)</w:t>
            </w:r>
          </w:p>
        </w:tc>
        <w:tc>
          <w:tcPr>
            <w:tcW w:w="2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Square Foot</w:t>
            </w:r>
          </w:p>
        </w:tc>
        <w:tc>
          <w:tcPr>
            <w:tcW w:w="0" w:type="dxa"/>
            <w:vAlign w:val="bottom"/>
          </w:tcPr>
          <w:p>
            <w:pPr>
              <w:spacing w:after="0"/>
              <w:rPr>
                <w:sz w:val="1"/>
                <w:szCs w:val="1"/>
                <w:color w:val="auto"/>
              </w:rPr>
            </w:pPr>
          </w:p>
        </w:tc>
      </w:tr>
      <w:tr>
        <w:trPr>
          <w:trHeight w:val="246"/>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rPr>
              <w:t>2nd Quarter 1999</w:t>
            </w:r>
          </w:p>
        </w:tc>
        <w:tc>
          <w:tcPr>
            <w:tcW w:w="226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74</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237,065</w:t>
            </w:r>
          </w:p>
        </w:tc>
        <w:tc>
          <w:tcPr>
            <w:tcW w:w="24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6"/>
              </w:rPr>
              <w:t>5.9</w:t>
            </w:r>
          </w:p>
        </w:tc>
        <w:tc>
          <w:tcPr>
            <w:tcW w:w="2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$18.03</w:t>
            </w:r>
          </w:p>
        </w:tc>
        <w:tc>
          <w:tcPr>
            <w:tcW w:w="0" w:type="dxa"/>
            <w:vAlign w:val="bottom"/>
          </w:tcPr>
          <w:p>
            <w:pPr>
              <w:spacing w:after="0"/>
              <w:rPr>
                <w:sz w:val="1"/>
                <w:szCs w:val="1"/>
                <w:color w:val="auto"/>
              </w:rPr>
            </w:pPr>
          </w:p>
        </w:tc>
      </w:tr>
      <w:tr>
        <w:trPr>
          <w:trHeight w:val="170"/>
        </w:trPr>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rPr>
              <w:t>1st Quarter 1999</w:t>
            </w:r>
          </w:p>
        </w:tc>
        <w:tc>
          <w:tcPr>
            <w:tcW w:w="226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56</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199,197</w:t>
            </w:r>
          </w:p>
        </w:tc>
        <w:tc>
          <w:tcPr>
            <w:tcW w:w="24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6"/>
              </w:rPr>
              <w:t>6.0</w:t>
            </w:r>
          </w:p>
        </w:tc>
        <w:tc>
          <w:tcPr>
            <w:tcW w:w="2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$16.88</w:t>
            </w:r>
          </w:p>
        </w:tc>
        <w:tc>
          <w:tcPr>
            <w:tcW w:w="0" w:type="dxa"/>
            <w:vAlign w:val="bottom"/>
          </w:tcPr>
          <w:p>
            <w:pPr>
              <w:spacing w:after="0"/>
              <w:rPr>
                <w:sz w:val="1"/>
                <w:szCs w:val="1"/>
                <w:color w:val="auto"/>
              </w:rPr>
            </w:pPr>
          </w:p>
        </w:tc>
      </w:tr>
      <w:tr>
        <w:trPr>
          <w:trHeight w:val="170"/>
        </w:trPr>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rPr>
              <w:t>4th Quarter 1998</w:t>
            </w:r>
          </w:p>
        </w:tc>
        <w:tc>
          <w:tcPr>
            <w:tcW w:w="226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59</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314,603</w:t>
            </w:r>
          </w:p>
        </w:tc>
        <w:tc>
          <w:tcPr>
            <w:tcW w:w="24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6"/>
              </w:rPr>
              <w:t>7.2</w:t>
            </w:r>
          </w:p>
        </w:tc>
        <w:tc>
          <w:tcPr>
            <w:tcW w:w="2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$15.52</w:t>
            </w:r>
          </w:p>
        </w:tc>
        <w:tc>
          <w:tcPr>
            <w:tcW w:w="0" w:type="dxa"/>
            <w:vAlign w:val="bottom"/>
          </w:tcPr>
          <w:p>
            <w:pPr>
              <w:spacing w:after="0"/>
              <w:rPr>
                <w:sz w:val="1"/>
                <w:szCs w:val="1"/>
                <w:color w:val="auto"/>
              </w:rPr>
            </w:pPr>
          </w:p>
        </w:tc>
      </w:tr>
      <w:tr>
        <w:trPr>
          <w:trHeight w:val="170"/>
        </w:trPr>
        <w:tc>
          <w:tcPr>
            <w:tcW w:w="2760" w:type="dxa"/>
            <w:vAlign w:val="bottom"/>
          </w:tcPr>
          <w:p>
            <w:pPr>
              <w:ind w:left="520"/>
              <w:spacing w:after="0"/>
              <w:rPr>
                <w:sz w:val="20"/>
                <w:szCs w:val="20"/>
                <w:color w:val="auto"/>
              </w:rPr>
            </w:pPr>
            <w:r>
              <w:rPr>
                <w:rFonts w:ascii="Courier New" w:cs="Courier New" w:eastAsia="Courier New" w:hAnsi="Courier New"/>
                <w:sz w:val="15"/>
                <w:szCs w:val="15"/>
                <w:color w:val="auto"/>
              </w:rPr>
              <w:t>3rd Quarter 1998</w:t>
            </w:r>
          </w:p>
        </w:tc>
        <w:tc>
          <w:tcPr>
            <w:tcW w:w="226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59</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230,114</w:t>
            </w:r>
          </w:p>
        </w:tc>
        <w:tc>
          <w:tcPr>
            <w:tcW w:w="24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6"/>
              </w:rPr>
              <w:t>5.9</w:t>
            </w:r>
          </w:p>
        </w:tc>
        <w:tc>
          <w:tcPr>
            <w:tcW w:w="2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$14.04</w:t>
            </w:r>
          </w:p>
        </w:tc>
        <w:tc>
          <w:tcPr>
            <w:tcW w:w="0" w:type="dxa"/>
            <w:vAlign w:val="bottom"/>
          </w:tcPr>
          <w:p>
            <w:pPr>
              <w:spacing w:after="0"/>
              <w:rPr>
                <w:sz w:val="1"/>
                <w:szCs w:val="1"/>
                <w:color w:val="auto"/>
              </w:rPr>
            </w:pPr>
          </w:p>
        </w:tc>
      </w:tr>
      <w:tr>
        <w:trPr>
          <w:trHeight w:val="246"/>
        </w:trPr>
        <w:tc>
          <w:tcPr>
            <w:tcW w:w="2760" w:type="dxa"/>
            <w:vAlign w:val="bottom"/>
          </w:tcPr>
          <w:p>
            <w:pPr>
              <w:ind w:left="1040"/>
              <w:spacing w:after="0"/>
              <w:rPr>
                <w:sz w:val="20"/>
                <w:szCs w:val="20"/>
                <w:color w:val="auto"/>
              </w:rPr>
            </w:pPr>
            <w:r>
              <w:rPr>
                <w:rFonts w:ascii="Courier New" w:cs="Courier New" w:eastAsia="Courier New" w:hAnsi="Courier New"/>
                <w:sz w:val="15"/>
                <w:szCs w:val="15"/>
                <w:color w:val="auto"/>
              </w:rPr>
              <w:t>Total</w:t>
            </w:r>
          </w:p>
        </w:tc>
        <w:tc>
          <w:tcPr>
            <w:tcW w:w="226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248</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980,979</w:t>
            </w:r>
          </w:p>
        </w:tc>
        <w:tc>
          <w:tcPr>
            <w:tcW w:w="24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6"/>
              </w:rPr>
              <w:t>6.4</w:t>
            </w:r>
          </w:p>
        </w:tc>
        <w:tc>
          <w:tcPr>
            <w:tcW w:w="2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Average Current</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Percentage</w:t>
            </w:r>
          </w:p>
        </w:tc>
        <w:tc>
          <w:tcPr>
            <w:tcW w:w="19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Estimated</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2"/>
            <w:vMerge w:val="restart"/>
          </w:tcPr>
          <w:p>
            <w:pPr>
              <w:jc w:val="center"/>
              <w:ind w:right="707"/>
              <w:spacing w:after="0"/>
              <w:rPr>
                <w:sz w:val="20"/>
                <w:szCs w:val="20"/>
                <w:color w:val="auto"/>
              </w:rPr>
            </w:pPr>
            <w:r>
              <w:rPr>
                <w:rFonts w:ascii="Courier New" w:cs="Courier New" w:eastAsia="Courier New" w:hAnsi="Courier New"/>
                <w:sz w:val="15"/>
                <w:szCs w:val="15"/>
                <w:color w:val="auto"/>
                <w:w w:val="97"/>
              </w:rPr>
              <w:t>Annualized</w:t>
            </w:r>
          </w:p>
        </w:tc>
        <w:tc>
          <w:tcPr>
            <w:tcW w:w="1720" w:type="dxa"/>
            <w:vAlign w:val="bottom"/>
            <w:vMerge w:val="continue"/>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Tenant</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rPr>
              <w:t>Rent Per</w:t>
            </w:r>
          </w:p>
        </w:tc>
        <w:tc>
          <w:tcPr>
            <w:tcW w:w="7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Increase</w:t>
            </w:r>
          </w:p>
        </w:tc>
        <w:tc>
          <w:tcPr>
            <w:tcW w:w="19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Improvement</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Square Foot</w:t>
            </w:r>
          </w:p>
        </w:tc>
        <w:tc>
          <w:tcPr>
            <w:tcW w:w="2560" w:type="dxa"/>
            <w:vAlign w:val="bottom"/>
            <w:gridSpan w:val="3"/>
          </w:tcPr>
          <w:p>
            <w:pPr>
              <w:jc w:val="center"/>
              <w:ind w:right="7"/>
              <w:spacing w:after="0"/>
              <w:rPr>
                <w:sz w:val="20"/>
                <w:szCs w:val="20"/>
                <w:color w:val="auto"/>
              </w:rPr>
            </w:pPr>
            <w:r>
              <w:rPr>
                <w:rFonts w:ascii="Courier New" w:cs="Courier New" w:eastAsia="Courier New" w:hAnsi="Courier New"/>
                <w:sz w:val="15"/>
                <w:szCs w:val="15"/>
                <w:color w:val="auto"/>
                <w:w w:val="97"/>
              </w:rPr>
              <w:t>Increase in Rent</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over Prior Rent</w:t>
            </w:r>
          </w:p>
        </w:tc>
        <w:tc>
          <w:tcPr>
            <w:tcW w:w="190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Costs</w:t>
            </w:r>
          </w:p>
        </w:tc>
        <w:tc>
          <w:tcPr>
            <w:tcW w:w="0" w:type="dxa"/>
            <w:vAlign w:val="bottom"/>
          </w:tcPr>
          <w:p>
            <w:pPr>
              <w:spacing w:after="0"/>
              <w:rPr>
                <w:sz w:val="1"/>
                <w:szCs w:val="1"/>
                <w:color w:val="auto"/>
              </w:rPr>
            </w:pPr>
          </w:p>
        </w:tc>
      </w:tr>
      <w:tr>
        <w:trPr>
          <w:trHeight w:val="246"/>
        </w:trPr>
        <w:tc>
          <w:tcPr>
            <w:tcW w:w="4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2nd Quarter 1999</w:t>
            </w:r>
          </w:p>
        </w:tc>
        <w:tc>
          <w:tcPr>
            <w:tcW w:w="1360" w:type="dxa"/>
            <w:vAlign w:val="bottom"/>
          </w:tcPr>
          <w:p>
            <w:pPr>
              <w:ind w:left="840"/>
              <w:spacing w:after="0"/>
              <w:rPr>
                <w:sz w:val="20"/>
                <w:szCs w:val="20"/>
                <w:color w:val="auto"/>
              </w:rPr>
            </w:pPr>
            <w:r>
              <w:rPr>
                <w:rFonts w:ascii="Courier New" w:cs="Courier New" w:eastAsia="Courier New" w:hAnsi="Courier New"/>
                <w:sz w:val="15"/>
                <w:szCs w:val="15"/>
                <w:color w:val="auto"/>
                <w:w w:val="92"/>
              </w:rPr>
              <w:t>$21.70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871,258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$1,799,000</w:t>
            </w:r>
          </w:p>
        </w:tc>
        <w:tc>
          <w:tcPr>
            <w:tcW w:w="0" w:type="dxa"/>
            <w:vAlign w:val="bottom"/>
          </w:tcPr>
          <w:p>
            <w:pPr>
              <w:spacing w:after="0"/>
              <w:rPr>
                <w:sz w:val="1"/>
                <w:szCs w:val="1"/>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1st Quarter 1999</w:t>
            </w:r>
          </w:p>
        </w:tc>
        <w:tc>
          <w:tcPr>
            <w:tcW w:w="1360" w:type="dxa"/>
            <w:vAlign w:val="bottom"/>
          </w:tcPr>
          <w:p>
            <w:pPr>
              <w:ind w:left="840"/>
              <w:spacing w:after="0"/>
              <w:rPr>
                <w:sz w:val="20"/>
                <w:szCs w:val="20"/>
                <w:color w:val="auto"/>
              </w:rPr>
            </w:pPr>
            <w:r>
              <w:rPr>
                <w:rFonts w:ascii="Courier New" w:cs="Courier New" w:eastAsia="Courier New" w:hAnsi="Courier New"/>
                <w:sz w:val="15"/>
                <w:szCs w:val="15"/>
                <w:color w:val="auto"/>
                <w:w w:val="92"/>
              </w:rPr>
              <w:t>$20.27</w:t>
            </w:r>
          </w:p>
        </w:tc>
        <w:tc>
          <w:tcPr>
            <w:tcW w:w="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675,482</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935,000</w:t>
            </w:r>
          </w:p>
        </w:tc>
        <w:tc>
          <w:tcPr>
            <w:tcW w:w="0" w:type="dxa"/>
            <w:vAlign w:val="bottom"/>
          </w:tcPr>
          <w:p>
            <w:pPr>
              <w:spacing w:after="0"/>
              <w:rPr>
                <w:sz w:val="1"/>
                <w:szCs w:val="1"/>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4th Quarter 1998</w:t>
            </w:r>
          </w:p>
        </w:tc>
        <w:tc>
          <w:tcPr>
            <w:tcW w:w="1360" w:type="dxa"/>
            <w:vAlign w:val="bottom"/>
          </w:tcPr>
          <w:p>
            <w:pPr>
              <w:ind w:left="840"/>
              <w:spacing w:after="0"/>
              <w:rPr>
                <w:sz w:val="20"/>
                <w:szCs w:val="20"/>
                <w:color w:val="auto"/>
              </w:rPr>
            </w:pPr>
            <w:r>
              <w:rPr>
                <w:rFonts w:ascii="Courier New" w:cs="Courier New" w:eastAsia="Courier New" w:hAnsi="Courier New"/>
                <w:sz w:val="15"/>
                <w:szCs w:val="15"/>
                <w:color w:val="auto"/>
                <w:w w:val="92"/>
              </w:rPr>
              <w:t>$17.45</w:t>
            </w:r>
          </w:p>
        </w:tc>
        <w:tc>
          <w:tcPr>
            <w:tcW w:w="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607,238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588,000</w:t>
            </w:r>
          </w:p>
        </w:tc>
        <w:tc>
          <w:tcPr>
            <w:tcW w:w="0" w:type="dxa"/>
            <w:vAlign w:val="bottom"/>
          </w:tcPr>
          <w:p>
            <w:pPr>
              <w:spacing w:after="0"/>
              <w:rPr>
                <w:sz w:val="1"/>
                <w:szCs w:val="1"/>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3rd Quarter 1998</w:t>
            </w:r>
          </w:p>
        </w:tc>
        <w:tc>
          <w:tcPr>
            <w:tcW w:w="1360" w:type="dxa"/>
            <w:vAlign w:val="bottom"/>
          </w:tcPr>
          <w:p>
            <w:pPr>
              <w:ind w:left="840"/>
              <w:spacing w:after="0"/>
              <w:rPr>
                <w:sz w:val="20"/>
                <w:szCs w:val="20"/>
                <w:color w:val="auto"/>
              </w:rPr>
            </w:pPr>
            <w:r>
              <w:rPr>
                <w:rFonts w:ascii="Courier New" w:cs="Courier New" w:eastAsia="Courier New" w:hAnsi="Courier New"/>
                <w:sz w:val="15"/>
                <w:szCs w:val="15"/>
                <w:color w:val="auto"/>
                <w:w w:val="92"/>
              </w:rPr>
              <w:t>$15.47</w:t>
            </w:r>
          </w:p>
        </w:tc>
        <w:tc>
          <w:tcPr>
            <w:tcW w:w="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330,680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333,000</w:t>
            </w:r>
          </w:p>
        </w:tc>
        <w:tc>
          <w:tcPr>
            <w:tcW w:w="0" w:type="dxa"/>
            <w:vAlign w:val="bottom"/>
          </w:tcPr>
          <w:p>
            <w:pPr>
              <w:spacing w:after="0"/>
              <w:rPr>
                <w:sz w:val="1"/>
                <w:szCs w:val="1"/>
                <w:color w:val="auto"/>
              </w:rPr>
            </w:pPr>
          </w:p>
        </w:tc>
      </w:tr>
      <w:tr>
        <w:trPr>
          <w:trHeight w:val="246"/>
        </w:trPr>
        <w:tc>
          <w:tcPr>
            <w:tcW w:w="2860" w:type="dxa"/>
            <w:vAlign w:val="bottom"/>
          </w:tcPr>
          <w:p>
            <w:pPr>
              <w:ind w:left="1040"/>
              <w:spacing w:after="0"/>
              <w:rPr>
                <w:sz w:val="20"/>
                <w:szCs w:val="20"/>
                <w:color w:val="auto"/>
              </w:rPr>
            </w:pPr>
            <w:r>
              <w:rPr>
                <w:rFonts w:ascii="Courier New" w:cs="Courier New" w:eastAsia="Courier New" w:hAnsi="Courier New"/>
                <w:sz w:val="15"/>
                <w:szCs w:val="15"/>
                <w:color w:val="auto"/>
              </w:rPr>
              <w:t>Total</w:t>
            </w:r>
          </w:p>
        </w:tc>
        <w:tc>
          <w:tcPr>
            <w:tcW w:w="1360" w:type="dxa"/>
            <w:vAlign w:val="bottom"/>
          </w:tcPr>
          <w:p>
            <w:pPr>
              <w:ind w:left="840"/>
              <w:spacing w:after="0"/>
              <w:rPr>
                <w:sz w:val="20"/>
                <w:szCs w:val="20"/>
                <w:color w:val="auto"/>
              </w:rPr>
            </w:pPr>
            <w:r>
              <w:rPr>
                <w:rFonts w:ascii="Courier New" w:cs="Courier New" w:eastAsia="Courier New" w:hAnsi="Courier New"/>
                <w:sz w:val="15"/>
                <w:szCs w:val="15"/>
                <w:color w:val="auto"/>
                <w:w w:val="92"/>
              </w:rPr>
              <w:t>$16.05</w:t>
            </w:r>
          </w:p>
        </w:tc>
        <w:tc>
          <w:tcPr>
            <w:tcW w:w="700" w:type="dxa"/>
            <w:vAlign w:val="bottom"/>
          </w:tcPr>
          <w:p>
            <w:pPr>
              <w:spacing w:after="0"/>
              <w:rPr>
                <w:sz w:val="21"/>
                <w:szCs w:val="21"/>
                <w:color w:val="auto"/>
              </w:rPr>
            </w:pP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$2,484,658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$3,655,000</w:t>
            </w:r>
          </w:p>
        </w:tc>
        <w:tc>
          <w:tcPr>
            <w:tcW w:w="0" w:type="dxa"/>
            <w:vAlign w:val="bottom"/>
          </w:tcPr>
          <w:p>
            <w:pPr>
              <w:spacing w:after="0"/>
              <w:rPr>
                <w:sz w:val="1"/>
                <w:szCs w:val="1"/>
                <w:color w:val="auto"/>
              </w:rPr>
            </w:pPr>
          </w:p>
        </w:tc>
      </w:tr>
      <w:tr>
        <w:trPr>
          <w:trHeight w:val="509"/>
        </w:trPr>
        <w:tc>
          <w:tcPr>
            <w:tcW w:w="2860" w:type="dxa"/>
            <w:vAlign w:val="bottom"/>
          </w:tcPr>
          <w:p>
            <w:pPr>
              <w:spacing w:after="0"/>
              <w:rPr>
                <w:sz w:val="20"/>
                <w:szCs w:val="20"/>
                <w:color w:val="auto"/>
              </w:rPr>
            </w:pPr>
            <w:r>
              <w:rPr>
                <w:rFonts w:ascii="Courier New" w:cs="Courier New" w:eastAsia="Courier New" w:hAnsi="Courier New"/>
                <w:sz w:val="15"/>
                <w:szCs w:val="15"/>
                <w:color w:val="auto"/>
              </w:rPr>
              <w:t>Non-Comparable</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Number of</w:t>
            </w:r>
          </w:p>
        </w:tc>
        <w:tc>
          <w:tcPr>
            <w:tcW w:w="700" w:type="dxa"/>
            <w:vAlign w:val="bottom"/>
          </w:tcPr>
          <w:p>
            <w:pPr>
              <w:spacing w:after="0"/>
              <w:rPr>
                <w:sz w:val="14"/>
                <w:szCs w:val="14"/>
                <w:color w:val="auto"/>
              </w:rPr>
            </w:pPr>
          </w:p>
        </w:tc>
        <w:tc>
          <w:tcPr>
            <w:tcW w:w="1860" w:type="dxa"/>
            <w:vAlign w:val="bottom"/>
            <w:gridSpan w:val="2"/>
            <w:vMerge w:val="restart"/>
          </w:tcPr>
          <w:p>
            <w:pPr>
              <w:jc w:val="center"/>
              <w:ind w:right="707"/>
              <w:spacing w:after="0"/>
              <w:rPr>
                <w:sz w:val="20"/>
                <w:szCs w:val="20"/>
                <w:color w:val="auto"/>
              </w:rPr>
            </w:pPr>
            <w:r>
              <w:rPr>
                <w:rFonts w:ascii="Courier New" w:cs="Courier New" w:eastAsia="Courier New" w:hAnsi="Courier New"/>
                <w:sz w:val="15"/>
                <w:szCs w:val="15"/>
                <w:color w:val="auto"/>
                <w:w w:val="96"/>
              </w:rPr>
              <w:t>Square</w:t>
            </w:r>
          </w:p>
        </w:tc>
        <w:tc>
          <w:tcPr>
            <w:tcW w:w="17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Average</w:t>
            </w:r>
          </w:p>
        </w:tc>
        <w:tc>
          <w:tcPr>
            <w:tcW w:w="1900" w:type="dxa"/>
            <w:vAlign w:val="bottom"/>
            <w:gridSpan w:val="2"/>
            <w:vMerge w:val="restart"/>
          </w:tcPr>
          <w:p>
            <w:pPr>
              <w:jc w:val="right"/>
              <w:ind w:right="467"/>
              <w:spacing w:after="0"/>
              <w:rPr>
                <w:sz w:val="20"/>
                <w:szCs w:val="20"/>
                <w:color w:val="auto"/>
              </w:rPr>
            </w:pPr>
            <w:r>
              <w:rPr>
                <w:rFonts w:ascii="Courier New" w:cs="Courier New" w:eastAsia="Courier New" w:hAnsi="Courier New"/>
                <w:sz w:val="15"/>
                <w:szCs w:val="15"/>
                <w:color w:val="auto"/>
              </w:rPr>
              <w:t>Average Rent</w:t>
            </w:r>
          </w:p>
        </w:tc>
        <w:tc>
          <w:tcPr>
            <w:tcW w:w="0" w:type="dxa"/>
            <w:vAlign w:val="bottom"/>
          </w:tcPr>
          <w:p>
            <w:pPr>
              <w:spacing w:after="0"/>
              <w:rPr>
                <w:sz w:val="1"/>
                <w:szCs w:val="1"/>
                <w:color w:val="auto"/>
              </w:rPr>
            </w:pPr>
          </w:p>
        </w:tc>
      </w:tr>
      <w:tr>
        <w:trPr>
          <w:trHeight w:val="170"/>
        </w:trPr>
        <w:tc>
          <w:tcPr>
            <w:tcW w:w="286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Rolling 12 Months</w:t>
            </w:r>
          </w:p>
        </w:tc>
        <w:tc>
          <w:tcPr>
            <w:tcW w:w="13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7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Lease</w:t>
            </w:r>
          </w:p>
        </w:tc>
        <w:tc>
          <w:tcPr>
            <w:tcW w:w="1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vMerge w:val="continue"/>
          </w:tcPr>
          <w:p>
            <w:pPr>
              <w:spacing w:after="0"/>
              <w:rPr>
                <w:sz w:val="14"/>
                <w:szCs w:val="14"/>
                <w:color w:val="auto"/>
              </w:rPr>
            </w:pPr>
          </w:p>
        </w:tc>
        <w:tc>
          <w:tcPr>
            <w:tcW w:w="20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Leases Signed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Feet</w:t>
            </w:r>
          </w:p>
        </w:tc>
        <w:tc>
          <w:tcPr>
            <w:tcW w:w="114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Term (Years)</w:t>
            </w:r>
          </w:p>
        </w:tc>
        <w:tc>
          <w:tcPr>
            <w:tcW w:w="19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Per Square Foot</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2nd Quarter 1999</w:t>
            </w:r>
          </w:p>
        </w:tc>
        <w:tc>
          <w:tcPr>
            <w:tcW w:w="1360" w:type="dxa"/>
            <w:vAlign w:val="bottom"/>
          </w:tcPr>
          <w:p>
            <w:pPr>
              <w:ind w:left="840"/>
              <w:spacing w:after="0"/>
              <w:rPr>
                <w:sz w:val="20"/>
                <w:szCs w:val="20"/>
                <w:color w:val="auto"/>
              </w:rPr>
            </w:pPr>
            <w:r>
              <w:rPr>
                <w:rFonts w:ascii="Courier New" w:cs="Courier New" w:eastAsia="Courier New" w:hAnsi="Courier New"/>
                <w:sz w:val="15"/>
                <w:szCs w:val="15"/>
                <w:color w:val="auto"/>
              </w:rPr>
              <w:t>7</w:t>
            </w: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11,592</w:t>
            </w:r>
          </w:p>
        </w:tc>
        <w:tc>
          <w:tcPr>
            <w:tcW w:w="17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7.9</w:t>
            </w:r>
          </w:p>
        </w:tc>
        <w:tc>
          <w:tcPr>
            <w:tcW w:w="1000" w:type="dxa"/>
            <w:vAlign w:val="bottom"/>
          </w:tcPr>
          <w:p>
            <w:pPr>
              <w:spacing w:after="0"/>
              <w:rPr>
                <w:sz w:val="22"/>
                <w:szCs w:val="22"/>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$43.30</w:t>
            </w:r>
          </w:p>
        </w:tc>
        <w:tc>
          <w:tcPr>
            <w:tcW w:w="0" w:type="dxa"/>
            <w:vAlign w:val="bottom"/>
          </w:tcPr>
          <w:p>
            <w:pPr>
              <w:spacing w:after="0"/>
              <w:rPr>
                <w:sz w:val="1"/>
                <w:szCs w:val="1"/>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1st Quarter 1999</w:t>
            </w:r>
          </w:p>
        </w:tc>
        <w:tc>
          <w:tcPr>
            <w:tcW w:w="1360" w:type="dxa"/>
            <w:vAlign w:val="bottom"/>
          </w:tcPr>
          <w:p>
            <w:pPr>
              <w:ind w:left="740"/>
              <w:spacing w:after="0"/>
              <w:rPr>
                <w:sz w:val="20"/>
                <w:szCs w:val="20"/>
                <w:color w:val="auto"/>
              </w:rPr>
            </w:pPr>
            <w:r>
              <w:rPr>
                <w:rFonts w:ascii="Courier New" w:cs="Courier New" w:eastAsia="Courier New" w:hAnsi="Courier New"/>
                <w:sz w:val="15"/>
                <w:szCs w:val="15"/>
                <w:color w:val="auto"/>
              </w:rPr>
              <w:t>13</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1"/>
              </w:rPr>
              <w:t>120,121</w:t>
            </w:r>
          </w:p>
        </w:tc>
        <w:tc>
          <w:tcPr>
            <w:tcW w:w="17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14.7</w:t>
            </w:r>
          </w:p>
        </w:tc>
        <w:tc>
          <w:tcPr>
            <w:tcW w:w="100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$20.91</w:t>
            </w:r>
          </w:p>
        </w:tc>
        <w:tc>
          <w:tcPr>
            <w:tcW w:w="0" w:type="dxa"/>
            <w:vAlign w:val="bottom"/>
          </w:tcPr>
          <w:p>
            <w:pPr>
              <w:spacing w:after="0"/>
              <w:rPr>
                <w:sz w:val="1"/>
                <w:szCs w:val="1"/>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4th Quarter 1998</w:t>
            </w:r>
          </w:p>
        </w:tc>
        <w:tc>
          <w:tcPr>
            <w:tcW w:w="1360" w:type="dxa"/>
            <w:vAlign w:val="bottom"/>
          </w:tcPr>
          <w:p>
            <w:pPr>
              <w:ind w:left="740"/>
              <w:spacing w:after="0"/>
              <w:rPr>
                <w:sz w:val="20"/>
                <w:szCs w:val="20"/>
                <w:color w:val="auto"/>
              </w:rPr>
            </w:pPr>
            <w:r>
              <w:rPr>
                <w:rFonts w:ascii="Courier New" w:cs="Courier New" w:eastAsia="Courier New" w:hAnsi="Courier New"/>
                <w:sz w:val="15"/>
                <w:szCs w:val="15"/>
                <w:color w:val="auto"/>
              </w:rPr>
              <w:t>19</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1"/>
              </w:rPr>
              <w:t>130,798</w:t>
            </w:r>
          </w:p>
        </w:tc>
        <w:tc>
          <w:tcPr>
            <w:tcW w:w="17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10.6</w:t>
            </w:r>
          </w:p>
        </w:tc>
        <w:tc>
          <w:tcPr>
            <w:tcW w:w="100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$21.47</w:t>
            </w:r>
          </w:p>
        </w:tc>
        <w:tc>
          <w:tcPr>
            <w:tcW w:w="0" w:type="dxa"/>
            <w:vAlign w:val="bottom"/>
          </w:tcPr>
          <w:p>
            <w:pPr>
              <w:spacing w:after="0"/>
              <w:rPr>
                <w:sz w:val="1"/>
                <w:szCs w:val="1"/>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3rd Quarter 1998</w:t>
            </w:r>
          </w:p>
        </w:tc>
        <w:tc>
          <w:tcPr>
            <w:tcW w:w="1360" w:type="dxa"/>
            <w:vAlign w:val="bottom"/>
          </w:tcPr>
          <w:p>
            <w:pPr>
              <w:ind w:left="840"/>
              <w:spacing w:after="0"/>
              <w:rPr>
                <w:sz w:val="20"/>
                <w:szCs w:val="20"/>
                <w:color w:val="auto"/>
              </w:rPr>
            </w:pPr>
            <w:r>
              <w:rPr>
                <w:rFonts w:ascii="Courier New" w:cs="Courier New" w:eastAsia="Courier New" w:hAnsi="Courier New"/>
                <w:sz w:val="15"/>
                <w:szCs w:val="15"/>
                <w:color w:val="auto"/>
              </w:rPr>
              <w:t>7</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57,613</w:t>
            </w:r>
          </w:p>
        </w:tc>
        <w:tc>
          <w:tcPr>
            <w:tcW w:w="17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16.9</w:t>
            </w:r>
          </w:p>
        </w:tc>
        <w:tc>
          <w:tcPr>
            <w:tcW w:w="100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$22.15</w:t>
            </w:r>
          </w:p>
        </w:tc>
        <w:tc>
          <w:tcPr>
            <w:tcW w:w="0" w:type="dxa"/>
            <w:vAlign w:val="bottom"/>
          </w:tcPr>
          <w:p>
            <w:pPr>
              <w:spacing w:after="0"/>
              <w:rPr>
                <w:sz w:val="1"/>
                <w:szCs w:val="1"/>
                <w:color w:val="auto"/>
              </w:rPr>
            </w:pPr>
          </w:p>
        </w:tc>
      </w:tr>
      <w:tr>
        <w:trPr>
          <w:trHeight w:val="246"/>
        </w:trPr>
        <w:tc>
          <w:tcPr>
            <w:tcW w:w="2860" w:type="dxa"/>
            <w:vAlign w:val="bottom"/>
          </w:tcPr>
          <w:p>
            <w:pPr>
              <w:ind w:left="1040"/>
              <w:spacing w:after="0"/>
              <w:rPr>
                <w:sz w:val="20"/>
                <w:szCs w:val="20"/>
                <w:color w:val="auto"/>
              </w:rPr>
            </w:pPr>
            <w:r>
              <w:rPr>
                <w:rFonts w:ascii="Courier New" w:cs="Courier New" w:eastAsia="Courier New" w:hAnsi="Courier New"/>
                <w:sz w:val="15"/>
                <w:szCs w:val="15"/>
                <w:color w:val="auto"/>
              </w:rPr>
              <w:t>Total</w:t>
            </w:r>
          </w:p>
        </w:tc>
        <w:tc>
          <w:tcPr>
            <w:tcW w:w="1360" w:type="dxa"/>
            <w:vAlign w:val="bottom"/>
          </w:tcPr>
          <w:p>
            <w:pPr>
              <w:ind w:left="740"/>
              <w:spacing w:after="0"/>
              <w:rPr>
                <w:sz w:val="20"/>
                <w:szCs w:val="20"/>
                <w:color w:val="auto"/>
              </w:rPr>
            </w:pPr>
            <w:r>
              <w:rPr>
                <w:rFonts w:ascii="Courier New" w:cs="Courier New" w:eastAsia="Courier New" w:hAnsi="Courier New"/>
                <w:sz w:val="15"/>
                <w:szCs w:val="15"/>
                <w:color w:val="auto"/>
              </w:rPr>
              <w:t>46</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1"/>
              </w:rPr>
              <w:t>320,124</w:t>
            </w:r>
          </w:p>
        </w:tc>
        <w:tc>
          <w:tcPr>
            <w:tcW w:w="17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13.7</w:t>
            </w:r>
          </w:p>
        </w:tc>
        <w:tc>
          <w:tcPr>
            <w:tcW w:w="1000" w:type="dxa"/>
            <w:vAlign w:val="bottom"/>
          </w:tcPr>
          <w:p>
            <w:pPr>
              <w:spacing w:after="0"/>
              <w:rPr>
                <w:sz w:val="21"/>
                <w:szCs w:val="21"/>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$22.17</w:t>
            </w:r>
          </w:p>
        </w:tc>
        <w:tc>
          <w:tcPr>
            <w:tcW w:w="0" w:type="dxa"/>
            <w:vAlign w:val="bottom"/>
          </w:tcPr>
          <w:p>
            <w:pPr>
              <w:spacing w:after="0"/>
              <w:rPr>
                <w:sz w:val="1"/>
                <w:szCs w:val="1"/>
                <w:color w:val="auto"/>
              </w:rPr>
            </w:pPr>
          </w:p>
        </w:tc>
      </w:tr>
      <w:tr>
        <w:trPr>
          <w:trHeight w:val="432"/>
        </w:trPr>
        <w:tc>
          <w:tcPr>
            <w:tcW w:w="2860" w:type="dxa"/>
            <w:vAlign w:val="bottom"/>
          </w:tcPr>
          <w:p>
            <w:pPr>
              <w:spacing w:after="0"/>
              <w:rPr>
                <w:sz w:val="24"/>
                <w:szCs w:val="24"/>
                <w:color w:val="auto"/>
              </w:rPr>
            </w:pPr>
          </w:p>
        </w:tc>
        <w:tc>
          <w:tcPr>
            <w:tcW w:w="2060" w:type="dxa"/>
            <w:vAlign w:val="bottom"/>
            <w:gridSpan w:val="2"/>
            <w:vMerge w:val="restart"/>
          </w:tcPr>
          <w:p>
            <w:pPr>
              <w:ind w:left="660"/>
              <w:spacing w:after="0"/>
              <w:rPr>
                <w:sz w:val="20"/>
                <w:szCs w:val="20"/>
                <w:color w:val="auto"/>
              </w:rPr>
            </w:pPr>
            <w:r>
              <w:rPr>
                <w:rFonts w:ascii="Courier New" w:cs="Courier New" w:eastAsia="Courier New" w:hAnsi="Courier New"/>
                <w:sz w:val="15"/>
                <w:szCs w:val="15"/>
                <w:color w:val="auto"/>
              </w:rPr>
              <w:t>Annualized</w:t>
            </w:r>
          </w:p>
        </w:tc>
        <w:tc>
          <w:tcPr>
            <w:tcW w:w="18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Estimated</w:t>
            </w: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8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Tenant</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20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Current</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Improvement</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Rent</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Costs</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2nd Quarter 1999</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501,908</w:t>
            </w:r>
          </w:p>
        </w:tc>
        <w:tc>
          <w:tcPr>
            <w:tcW w:w="7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$ 91,000</w:t>
            </w:r>
          </w:p>
        </w:tc>
        <w:tc>
          <w:tcPr>
            <w:tcW w:w="1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1st Quarter 1999</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$2,511,594</w:t>
            </w: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$494,000</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4th Quarter 1998</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$2,808,414</w:t>
            </w: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$280,000</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3rd Quarter 1998</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$1,276,091</w:t>
            </w: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$121,000</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60" w:type="dxa"/>
            <w:vAlign w:val="bottom"/>
          </w:tcPr>
          <w:p>
            <w:pPr>
              <w:ind w:left="1040"/>
              <w:spacing w:after="0"/>
              <w:rPr>
                <w:sz w:val="20"/>
                <w:szCs w:val="20"/>
                <w:color w:val="auto"/>
              </w:rPr>
            </w:pPr>
            <w:r>
              <w:rPr>
                <w:rFonts w:ascii="Courier New" w:cs="Courier New" w:eastAsia="Courier New" w:hAnsi="Courier New"/>
                <w:sz w:val="15"/>
                <w:szCs w:val="15"/>
                <w:color w:val="auto"/>
              </w:rPr>
              <w:t>Total</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$7,098,007</w:t>
            </w:r>
          </w:p>
        </w:tc>
        <w:tc>
          <w:tcPr>
            <w:tcW w:w="7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$986,000</w:t>
            </w:r>
          </w:p>
        </w:tc>
        <w:tc>
          <w:tcPr>
            <w:tcW w:w="1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E-6</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32" w:right="299" w:bottom="1440" w:gutter="0" w:footer="0" w:header="0"/>
        </w:sectPr>
      </w:pPr>
    </w:p>
    <w:bookmarkStart w:id="10" w:name="page11"/>
    <w:bookmarkEnd w:id="10"/>
    <w:p>
      <w:pPr>
        <w:ind w:left="4580"/>
        <w:spacing w:after="0"/>
        <w:rPr>
          <w:sz w:val="20"/>
          <w:szCs w:val="20"/>
          <w:color w:val="auto"/>
        </w:rPr>
      </w:pPr>
      <w:r>
        <w:rPr>
          <w:rFonts w:ascii="Courier New" w:cs="Courier New" w:eastAsia="Courier New" w:hAnsi="Courier New"/>
          <w:sz w:val="15"/>
          <w:szCs w:val="15"/>
          <w:color w:val="auto"/>
        </w:rPr>
        <w:t>Kathy Klein</w:t>
      </w:r>
    </w:p>
    <w:p>
      <w:pPr>
        <w:spacing w:after="0" w:line="2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Vice President</w:t>
      </w:r>
    </w:p>
    <w:p>
      <w:pPr>
        <w:ind w:left="4580"/>
        <w:spacing w:after="0"/>
        <w:rPr>
          <w:sz w:val="20"/>
          <w:szCs w:val="20"/>
          <w:color w:val="auto"/>
        </w:rPr>
      </w:pPr>
      <w:r>
        <w:rPr>
          <w:rFonts w:ascii="Courier New" w:cs="Courier New" w:eastAsia="Courier New" w:hAnsi="Courier New"/>
          <w:sz w:val="15"/>
          <w:szCs w:val="15"/>
          <w:color w:val="auto"/>
        </w:rPr>
        <w:t>Corporate Communications</w:t>
      </w:r>
    </w:p>
    <w:p>
      <w:pPr>
        <w:ind w:left="4580"/>
        <w:spacing w:after="0"/>
        <w:rPr>
          <w:sz w:val="20"/>
          <w:szCs w:val="20"/>
          <w:color w:val="auto"/>
        </w:rPr>
      </w:pPr>
      <w:r>
        <w:rPr>
          <w:rFonts w:ascii="Courier New" w:cs="Courier New" w:eastAsia="Courier New" w:hAnsi="Courier New"/>
          <w:sz w:val="15"/>
          <w:szCs w:val="15"/>
          <w:color w:val="auto"/>
        </w:rPr>
        <w:t>301/998-8211</w:t>
      </w:r>
    </w:p>
    <w:p>
      <w:pPr>
        <w:spacing w:after="0" w:line="200" w:lineRule="exact"/>
        <w:rPr>
          <w:sz w:val="20"/>
          <w:szCs w:val="20"/>
          <w:color w:val="auto"/>
        </w:rPr>
      </w:pPr>
    </w:p>
    <w:p>
      <w:pPr>
        <w:spacing w:after="0" w:line="28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FEDERAL REALTY INVESTMENT TRUST ANNOUNCES</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SECOND QUARTER 1999 OPERATING RESULTS</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28, 1999</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Rockville, Maryland</w:t>
      </w:r>
    </w:p>
    <w:p>
      <w:pPr>
        <w:spacing w:after="0" w:line="143" w:lineRule="exact"/>
        <w:rPr>
          <w:sz w:val="20"/>
          <w:szCs w:val="20"/>
          <w:color w:val="auto"/>
        </w:rPr>
      </w:pPr>
    </w:p>
    <w:p>
      <w:pPr>
        <w:ind w:right="3359" w:firstLine="441"/>
        <w:spacing w:after="0" w:line="266" w:lineRule="auto"/>
        <w:rPr>
          <w:sz w:val="20"/>
          <w:szCs w:val="20"/>
          <w:color w:val="auto"/>
        </w:rPr>
      </w:pPr>
      <w:r>
        <w:rPr>
          <w:rFonts w:ascii="Courier New" w:cs="Courier New" w:eastAsia="Courier New" w:hAnsi="Courier New"/>
          <w:sz w:val="15"/>
          <w:szCs w:val="15"/>
          <w:color w:val="auto"/>
        </w:rPr>
        <w:t>Federal Realty Investment Trust (NYSE:FRT) reported today that funds from operations for the second quarter of 1999 increased 16% to $24.2 million from $20.9 million in the second quarter of 1998. On a per share basis, funds from operations rose 15% to $.60 in the second quarter of 1999 from $.52 in the comparable quarter of 1998.</w:t>
      </w:r>
    </w:p>
    <w:p>
      <w:pPr>
        <w:spacing w:after="0" w:line="75" w:lineRule="exact"/>
        <w:rPr>
          <w:sz w:val="20"/>
          <w:szCs w:val="20"/>
          <w:color w:val="auto"/>
        </w:rPr>
      </w:pPr>
    </w:p>
    <w:p>
      <w:pPr>
        <w:ind w:right="3359" w:firstLine="441"/>
        <w:spacing w:after="0" w:line="347" w:lineRule="auto"/>
        <w:rPr>
          <w:sz w:val="20"/>
          <w:szCs w:val="20"/>
          <w:color w:val="auto"/>
        </w:rPr>
      </w:pPr>
      <w:r>
        <w:rPr>
          <w:rFonts w:ascii="Courier New" w:cs="Courier New" w:eastAsia="Courier New" w:hAnsi="Courier New"/>
          <w:sz w:val="15"/>
          <w:szCs w:val="15"/>
          <w:color w:val="auto"/>
        </w:rPr>
        <w:t>A comparison of property operations for the second quarter of 1999 versus the second quarter of 1998 shows the following:</w:t>
      </w:r>
    </w:p>
    <w:p>
      <w:pPr>
        <w:spacing w:after="0" w:line="17" w:lineRule="exact"/>
        <w:rPr>
          <w:sz w:val="20"/>
          <w:szCs w:val="20"/>
          <w:color w:val="auto"/>
        </w:rPr>
      </w:pPr>
    </w:p>
    <w:p>
      <w:pPr>
        <w:ind w:left="880" w:right="3179" w:hanging="449"/>
        <w:spacing w:after="0" w:line="275"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Rental income increased 10% to $59.7 million in 1999 from $54.1 million in 1998. When adjusted to exclude properties acquired and sold during 1998 and 1999, rental income increased 4% to $55.9 million in 1999 from $53.9 million in 1998.</w:t>
      </w:r>
    </w:p>
    <w:p>
      <w:pPr>
        <w:spacing w:after="0" w:line="69" w:lineRule="exact"/>
        <w:rPr>
          <w:sz w:val="20"/>
          <w:szCs w:val="20"/>
          <w:color w:val="auto"/>
        </w:rPr>
      </w:pPr>
    </w:p>
    <w:p>
      <w:pPr>
        <w:ind w:left="880" w:right="3179" w:hanging="449"/>
        <w:spacing w:after="0" w:line="261"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income increased 10% to $43.9 million in 1999 from $40.0 million in 1998. On a same center basis, net operating income increased 4% to $40.1 million in 1999 from $38.7 million in 1998. Same center growth was muted in the period by write-offs associated with the Cosmetic Center bankruptcy and by the operational disruption of several properties under redevelopment.</w:t>
      </w:r>
    </w:p>
    <w:p>
      <w:pPr>
        <w:spacing w:after="0" w:line="78" w:lineRule="exact"/>
        <w:rPr>
          <w:sz w:val="20"/>
          <w:szCs w:val="20"/>
          <w:color w:val="auto"/>
        </w:rPr>
      </w:pPr>
    </w:p>
    <w:p>
      <w:pPr>
        <w:ind w:left="880" w:right="3179" w:hanging="449"/>
        <w:spacing w:after="0" w:line="26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second quarter of 1999, the Trust signed leases for a total 249,000 square feet of retail space. On a same space basis, the Trust re-leased 237,000 square feet of retail space at an average increase in rent per square foot of 20%. The weighted average rent on these leases was $21.70 per square foot compared to the previous average rent of $18.03 per square foot.</w:t>
      </w:r>
    </w:p>
    <w:p>
      <w:pPr>
        <w:spacing w:after="0" w:line="78" w:lineRule="exact"/>
        <w:rPr>
          <w:sz w:val="20"/>
          <w:szCs w:val="20"/>
          <w:color w:val="auto"/>
        </w:rPr>
      </w:pPr>
    </w:p>
    <w:p>
      <w:pPr>
        <w:ind w:left="880" w:right="3359" w:hanging="449"/>
        <w:spacing w:after="0" w:line="293"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Same property occupancy stood at 95% at both June 30, 1999 and 1998. At June 30, 1999, the Trust's overall portfolio was 95% leased compared to 95% a year ago.</w:t>
      </w:r>
    </w:p>
    <w:p>
      <w:pPr>
        <w:spacing w:after="0" w:line="5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E-7</w:t>
      </w:r>
    </w:p>
    <w:p>
      <w:pPr>
        <w:sectPr>
          <w:pgSz w:w="11900" w:h="16838" w:orient="portrait"/>
          <w:cols w:equalWidth="0" w:num="1">
            <w:col w:w="10219"/>
          </w:cols>
          <w:pgMar w:left="240" w:top="601" w:right="1440" w:bottom="1440" w:gutter="0" w:footer="0" w:header="0"/>
        </w:sectPr>
      </w:pPr>
    </w:p>
    <w:bookmarkStart w:id="11" w:name="page12"/>
    <w:bookmarkEnd w:id="11"/>
    <w:p>
      <w:pPr>
        <w:ind w:right="3539" w:firstLine="441"/>
        <w:spacing w:after="0" w:line="300" w:lineRule="auto"/>
        <w:rPr>
          <w:sz w:val="20"/>
          <w:szCs w:val="20"/>
          <w:color w:val="auto"/>
        </w:rPr>
      </w:pPr>
      <w:r>
        <w:rPr>
          <w:rFonts w:ascii="Courier New" w:cs="Courier New" w:eastAsia="Courier New" w:hAnsi="Courier New"/>
          <w:sz w:val="14"/>
          <w:szCs w:val="14"/>
          <w:color w:val="auto"/>
        </w:rPr>
        <w:t>Also during the quarter, the Trust recorded a $7 million charge representing the estimated loss on the potential sale of certain assets, principally Northeast Plaza in Atlanta, Georgia. Portfolio-wide occupancy levels would increase to 96% if the sale of Northeast Plaza were successful.</w:t>
      </w:r>
    </w:p>
    <w:p>
      <w:pPr>
        <w:spacing w:after="0" w:line="55" w:lineRule="exact"/>
        <w:rPr>
          <w:sz w:val="20"/>
          <w:szCs w:val="20"/>
          <w:color w:val="auto"/>
        </w:rPr>
      </w:pPr>
    </w:p>
    <w:p>
      <w:pPr>
        <w:ind w:right="3259" w:firstLine="441"/>
        <w:spacing w:after="0" w:line="266" w:lineRule="auto"/>
        <w:rPr>
          <w:sz w:val="20"/>
          <w:szCs w:val="20"/>
          <w:color w:val="auto"/>
        </w:rPr>
      </w:pPr>
      <w:r>
        <w:rPr>
          <w:rFonts w:ascii="Courier New" w:cs="Courier New" w:eastAsia="Courier New" w:hAnsi="Courier New"/>
          <w:sz w:val="15"/>
          <w:szCs w:val="15"/>
          <w:color w:val="auto"/>
        </w:rPr>
        <w:t>Funds from operations also improved for the first six months of 1999 increasing 14% to $47.9 million from $42.2 million in the first half of 1998. On a per share basis, funds from operations advanced 12% to $1.18 per share for the first six months of 1999 compared to $1.05 for the comparable period of 1998.</w:t>
      </w:r>
    </w:p>
    <w:p>
      <w:pPr>
        <w:spacing w:after="0" w:line="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5"/>
          <w:szCs w:val="15"/>
          <w:color w:val="auto"/>
        </w:rPr>
        <w:t>Commenting on the results, Steven Guttman, President and Chief Executive Officer stated, "We are pleased with the strong pace of FFO growth through the first half of 1999. Our core portfolio continues to generate solid rental income growth, which combined with tight operating expense control is producing improved profitability. We remain enthused about our current development pipeline and see many opportunities to develop unique mixed use main street assets that meet our long term growth goals."</w:t>
      </w:r>
    </w:p>
    <w:p>
      <w:pPr>
        <w:spacing w:after="0" w:line="82" w:lineRule="exact"/>
        <w:rPr>
          <w:sz w:val="20"/>
          <w:szCs w:val="20"/>
          <w:color w:val="auto"/>
        </w:rPr>
      </w:pPr>
    </w:p>
    <w:p>
      <w:pPr>
        <w:ind w:right="3359" w:firstLine="441"/>
        <w:spacing w:after="0" w:line="278"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122 retail properties, consisting of neighborhood and community shopping centers and main street retail properties, located in strategic metropolitan markets across the United States. These markets include Boston, New York, Philadelphia, Washington D.C., Chicago, San Antonio, Portland, San Francisco, Los Angeles, San Jose and San Diego.</w:t>
      </w:r>
    </w:p>
    <w:p>
      <w:pPr>
        <w:spacing w:after="0" w:line="70" w:lineRule="exact"/>
        <w:rPr>
          <w:sz w:val="20"/>
          <w:szCs w:val="20"/>
          <w:color w:val="auto"/>
        </w:rPr>
      </w:pPr>
    </w:p>
    <w:p>
      <w:pPr>
        <w:ind w:right="3259" w:firstLine="441"/>
        <w:spacing w:after="0" w:line="275" w:lineRule="auto"/>
        <w:rPr>
          <w:sz w:val="20"/>
          <w:szCs w:val="20"/>
          <w:color w:val="auto"/>
        </w:rPr>
      </w:pPr>
      <w:r>
        <w:rPr>
          <w:rFonts w:ascii="Courier New" w:cs="Courier New" w:eastAsia="Courier New" w:hAnsi="Courier New"/>
          <w:sz w:val="15"/>
          <w:szCs w:val="15"/>
          <w:color w:val="auto"/>
        </w:rPr>
        <w:t>Federal Realty has paid quarterly dividends to its shareholders continuously since its founding in 1962 and has increased its dividend rate for 31 consecutive years. Shares of the Trust are traded on the New York Stock Exchange under the symbol:FRT.</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E-8</w:t>
      </w:r>
    </w:p>
    <w:p>
      <w:pPr>
        <w:sectPr>
          <w:pgSz w:w="11900" w:h="16838" w:orient="portrait"/>
          <w:cols w:equalWidth="0" w:num="1">
            <w:col w:w="10219"/>
          </w:cols>
          <w:pgMar w:left="240" w:top="601" w:right="1440" w:bottom="1440" w:gutter="0" w:footer="0" w:header="0"/>
        </w:sectPr>
      </w:pPr>
    </w:p>
    <w:bookmarkStart w:id="12" w:name="page13"/>
    <w:bookmarkEnd w:id="12"/>
    <w:p>
      <w:pPr>
        <w:ind w:left="2540"/>
        <w:spacing w:after="0"/>
        <w:rPr>
          <w:sz w:val="20"/>
          <w:szCs w:val="20"/>
          <w:color w:val="auto"/>
        </w:rPr>
      </w:pPr>
      <w:r>
        <w:rPr>
          <w:rFonts w:ascii="Courier New" w:cs="Courier New" w:eastAsia="Courier New" w:hAnsi="Courier New"/>
          <w:sz w:val="15"/>
          <w:szCs w:val="15"/>
          <w:color w:val="auto"/>
        </w:rPr>
        <w:t>Financial Highlights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84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18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9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Three Months Ended</w:t>
            </w:r>
          </w:p>
        </w:tc>
        <w:tc>
          <w:tcPr>
            <w:tcW w:w="300" w:type="dxa"/>
            <w:vAlign w:val="bottom"/>
          </w:tcPr>
          <w:p>
            <w:pPr>
              <w:spacing w:after="0"/>
              <w:rPr>
                <w:sz w:val="24"/>
                <w:szCs w:val="24"/>
                <w:color w:val="auto"/>
              </w:rPr>
            </w:pPr>
          </w:p>
        </w:tc>
        <w:tc>
          <w:tcPr>
            <w:tcW w:w="204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0"/>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RESULTS</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June 30,</w:t>
            </w:r>
          </w:p>
        </w:tc>
        <w:tc>
          <w:tcPr>
            <w:tcW w:w="300" w:type="dxa"/>
            <w:vAlign w:val="bottom"/>
          </w:tcPr>
          <w:p>
            <w:pPr>
              <w:spacing w:after="0"/>
              <w:rPr>
                <w:sz w:val="14"/>
                <w:szCs w:val="14"/>
                <w:color w:val="auto"/>
              </w:rPr>
            </w:pPr>
          </w:p>
        </w:tc>
        <w:tc>
          <w:tcPr>
            <w:tcW w:w="204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6"/>
        </w:trPr>
        <w:tc>
          <w:tcPr>
            <w:tcW w:w="1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Revenues</w:t>
            </w:r>
          </w:p>
        </w:tc>
        <w:tc>
          <w:tcPr>
            <w:tcW w:w="4760" w:type="dxa"/>
            <w:vAlign w:val="bottom"/>
          </w:tcPr>
          <w:p>
            <w:pPr>
              <w:spacing w:after="0"/>
              <w:rPr>
                <w:sz w:val="22"/>
                <w:szCs w:val="22"/>
                <w:color w:val="auto"/>
              </w:rPr>
            </w:pPr>
          </w:p>
        </w:tc>
        <w:tc>
          <w:tcPr>
            <w:tcW w:w="10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$59,674</w:t>
            </w:r>
          </w:p>
        </w:tc>
        <w:tc>
          <w:tcPr>
            <w:tcW w:w="88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$54,127</w:t>
            </w:r>
          </w:p>
        </w:tc>
        <w:tc>
          <w:tcPr>
            <w:tcW w:w="114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$119,107</w:t>
            </w:r>
          </w:p>
        </w:tc>
        <w:tc>
          <w:tcPr>
            <w:tcW w:w="1200" w:type="dxa"/>
            <w:vAlign w:val="bottom"/>
            <w:gridSpan w:val="2"/>
            <w:vMerge w:val="restart"/>
          </w:tcPr>
          <w:p>
            <w:pPr>
              <w:jc w:val="right"/>
              <w:ind w:right="287"/>
              <w:spacing w:after="0"/>
              <w:rPr>
                <w:sz w:val="20"/>
                <w:szCs w:val="20"/>
                <w:color w:val="auto"/>
              </w:rPr>
            </w:pPr>
            <w:r>
              <w:rPr>
                <w:rFonts w:ascii="Courier New" w:cs="Courier New" w:eastAsia="Courier New" w:hAnsi="Courier New"/>
                <w:sz w:val="15"/>
                <w:szCs w:val="15"/>
                <w:color w:val="auto"/>
              </w:rPr>
              <w:t>$106,608</w:t>
            </w: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rPr>
              <w:t>Rental income</w:t>
            </w:r>
          </w:p>
        </w:tc>
        <w:tc>
          <w:tcPr>
            <w:tcW w:w="47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 property income</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2,555</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2,934</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4,827</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5,036</w:t>
            </w:r>
          </w:p>
        </w:tc>
        <w:tc>
          <w:tcPr>
            <w:tcW w:w="0" w:type="dxa"/>
            <w:vAlign w:val="bottom"/>
          </w:tcPr>
          <w:p>
            <w:pPr>
              <w:spacing w:after="0"/>
              <w:rPr>
                <w:sz w:val="1"/>
                <w:szCs w:val="1"/>
                <w:color w:val="auto"/>
              </w:rPr>
            </w:pPr>
          </w:p>
        </w:tc>
      </w:tr>
      <w:tr>
        <w:trPr>
          <w:trHeight w:val="170"/>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Interest  and other income</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1,966</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1,341</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3,844</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2,935</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8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Expenses</w:t>
            </w: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64,195</w:t>
            </w:r>
          </w:p>
        </w:tc>
        <w:tc>
          <w:tcPr>
            <w:tcW w:w="220" w:type="dxa"/>
            <w:vAlign w:val="bottom"/>
          </w:tcPr>
          <w:p>
            <w:pPr>
              <w:spacing w:after="0"/>
              <w:rPr>
                <w:sz w:val="21"/>
                <w:szCs w:val="21"/>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58,402</w:t>
            </w:r>
          </w:p>
        </w:tc>
        <w:tc>
          <w:tcPr>
            <w:tcW w:w="30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127,778</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114,579</w:t>
            </w:r>
          </w:p>
        </w:tc>
        <w:tc>
          <w:tcPr>
            <w:tcW w:w="0" w:type="dxa"/>
            <w:vAlign w:val="bottom"/>
          </w:tcPr>
          <w:p>
            <w:pPr>
              <w:spacing w:after="0"/>
              <w:rPr>
                <w:sz w:val="1"/>
                <w:szCs w:val="1"/>
                <w:color w:val="auto"/>
              </w:rPr>
            </w:pPr>
          </w:p>
        </w:tc>
      </w:tr>
      <w:tr>
        <w:trPr>
          <w:trHeight w:val="93"/>
        </w:trPr>
        <w:tc>
          <w:tcPr>
            <w:tcW w:w="1840" w:type="dxa"/>
            <w:vAlign w:val="bottom"/>
            <w:vMerge w:val="continue"/>
          </w:tcPr>
          <w:p>
            <w:pPr>
              <w:spacing w:after="0"/>
              <w:rPr>
                <w:sz w:val="8"/>
                <w:szCs w:val="8"/>
                <w:color w:val="auto"/>
              </w:rPr>
            </w:pPr>
          </w:p>
        </w:tc>
        <w:tc>
          <w:tcPr>
            <w:tcW w:w="4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6"/>
              </w:rPr>
              <w:t>12,456</w:t>
            </w:r>
          </w:p>
        </w:tc>
        <w:tc>
          <w:tcPr>
            <w:tcW w:w="220" w:type="dxa"/>
            <w:vAlign w:val="bottom"/>
          </w:tcPr>
          <w:p>
            <w:pPr>
              <w:spacing w:after="0"/>
              <w:rPr>
                <w:sz w:val="8"/>
                <w:szCs w:val="8"/>
                <w:color w:val="auto"/>
              </w:rPr>
            </w:pP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2"/>
              </w:rPr>
              <w:t>11,347</w:t>
            </w:r>
          </w:p>
        </w:tc>
        <w:tc>
          <w:tcPr>
            <w:tcW w:w="300" w:type="dxa"/>
            <w:vAlign w:val="bottom"/>
          </w:tcPr>
          <w:p>
            <w:pPr>
              <w:spacing w:after="0"/>
              <w:rPr>
                <w:sz w:val="8"/>
                <w:szCs w:val="8"/>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26,104</w:t>
            </w:r>
          </w:p>
        </w:tc>
        <w:tc>
          <w:tcPr>
            <w:tcW w:w="320" w:type="dxa"/>
            <w:vAlign w:val="bottom"/>
          </w:tcPr>
          <w:p>
            <w:pPr>
              <w:spacing w:after="0"/>
              <w:rPr>
                <w:sz w:val="8"/>
                <w:szCs w:val="8"/>
                <w:color w:val="auto"/>
              </w:rPr>
            </w:pPr>
          </w:p>
        </w:tc>
        <w:tc>
          <w:tcPr>
            <w:tcW w:w="8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2"/>
              </w:rPr>
              <w:t>23,269</w:t>
            </w: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rPr>
              <w:t>Rental</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w w:val="96"/>
              </w:rPr>
              <w:t>Real estate taxes</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5,855</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5,745</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11,867</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11,217</w:t>
            </w: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rPr>
              <w:t>Interest</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15,385</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13,404</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30,518</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26,097</w:t>
            </w: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rPr>
              <w:t>Administrative</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3,160</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3,995</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5,414</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5,836</w:t>
            </w:r>
          </w:p>
        </w:tc>
        <w:tc>
          <w:tcPr>
            <w:tcW w:w="0" w:type="dxa"/>
            <w:vAlign w:val="bottom"/>
          </w:tcPr>
          <w:p>
            <w:pPr>
              <w:spacing w:after="0"/>
              <w:rPr>
                <w:sz w:val="1"/>
                <w:szCs w:val="1"/>
                <w:color w:val="auto"/>
              </w:rPr>
            </w:pPr>
          </w:p>
        </w:tc>
      </w:tr>
      <w:tr>
        <w:trPr>
          <w:trHeight w:val="170"/>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12,651</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11,203</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24,932</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21,972</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49,507</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45,694</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98,835</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88,391</w:t>
            </w:r>
          </w:p>
        </w:tc>
        <w:tc>
          <w:tcPr>
            <w:tcW w:w="0" w:type="dxa"/>
            <w:vAlign w:val="bottom"/>
          </w:tcPr>
          <w:p>
            <w:pPr>
              <w:spacing w:after="0"/>
              <w:rPr>
                <w:sz w:val="1"/>
                <w:szCs w:val="1"/>
                <w:color w:val="auto"/>
              </w:rPr>
            </w:pPr>
          </w:p>
        </w:tc>
      </w:tr>
      <w:tr>
        <w:trPr>
          <w:trHeight w:val="246"/>
        </w:trPr>
        <w:tc>
          <w:tcPr>
            <w:tcW w:w="18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Operating income before investors' share of operations</w:t>
            </w:r>
          </w:p>
        </w:tc>
        <w:tc>
          <w:tcPr>
            <w:tcW w:w="260" w:type="dxa"/>
            <w:vAlign w:val="bottom"/>
          </w:tcPr>
          <w:p>
            <w:pPr>
              <w:spacing w:after="0"/>
              <w:rPr>
                <w:sz w:val="22"/>
                <w:szCs w:val="22"/>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14,688</w:t>
            </w:r>
          </w:p>
        </w:tc>
        <w:tc>
          <w:tcPr>
            <w:tcW w:w="220" w:type="dxa"/>
            <w:vAlign w:val="bottom"/>
          </w:tcPr>
          <w:p>
            <w:pPr>
              <w:spacing w:after="0"/>
              <w:rPr>
                <w:sz w:val="22"/>
                <w:szCs w:val="22"/>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12,708</w:t>
            </w:r>
          </w:p>
        </w:tc>
        <w:tc>
          <w:tcPr>
            <w:tcW w:w="300" w:type="dxa"/>
            <w:vAlign w:val="bottom"/>
          </w:tcPr>
          <w:p>
            <w:pPr>
              <w:spacing w:after="0"/>
              <w:rPr>
                <w:sz w:val="22"/>
                <w:szCs w:val="22"/>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28,943</w:t>
            </w:r>
          </w:p>
        </w:tc>
        <w:tc>
          <w:tcPr>
            <w:tcW w:w="320" w:type="dxa"/>
            <w:vAlign w:val="bottom"/>
          </w:tcPr>
          <w:p>
            <w:pPr>
              <w:spacing w:after="0"/>
              <w:rPr>
                <w:sz w:val="22"/>
                <w:szCs w:val="22"/>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26,188</w:t>
            </w:r>
          </w:p>
        </w:tc>
        <w:tc>
          <w:tcPr>
            <w:tcW w:w="0" w:type="dxa"/>
            <w:vAlign w:val="bottom"/>
          </w:tcPr>
          <w:p>
            <w:pPr>
              <w:spacing w:after="0"/>
              <w:rPr>
                <w:sz w:val="1"/>
                <w:szCs w:val="1"/>
                <w:color w:val="auto"/>
              </w:rPr>
            </w:pPr>
          </w:p>
        </w:tc>
      </w:tr>
      <w:tr>
        <w:trPr>
          <w:trHeight w:val="170"/>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Investor's share of operations</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(823)</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(745)</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(1,524)</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(1,531)</w:t>
            </w:r>
          </w:p>
        </w:tc>
        <w:tc>
          <w:tcPr>
            <w:tcW w:w="0" w:type="dxa"/>
            <w:vAlign w:val="bottom"/>
          </w:tcPr>
          <w:p>
            <w:pPr>
              <w:spacing w:after="0"/>
              <w:rPr>
                <w:sz w:val="1"/>
                <w:szCs w:val="1"/>
                <w:color w:val="auto"/>
              </w:rPr>
            </w:pPr>
          </w:p>
        </w:tc>
      </w:tr>
      <w:tr>
        <w:trPr>
          <w:trHeight w:val="170"/>
        </w:trPr>
        <w:tc>
          <w:tcPr>
            <w:tcW w:w="660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Income before loss on real estate to be sold</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13,865</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11,963</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27,419</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24,657</w:t>
            </w:r>
          </w:p>
        </w:tc>
        <w:tc>
          <w:tcPr>
            <w:tcW w:w="0" w:type="dxa"/>
            <w:vAlign w:val="bottom"/>
          </w:tcPr>
          <w:p>
            <w:pPr>
              <w:spacing w:after="0"/>
              <w:rPr>
                <w:sz w:val="1"/>
                <w:szCs w:val="1"/>
                <w:color w:val="auto"/>
              </w:rPr>
            </w:pPr>
          </w:p>
        </w:tc>
      </w:tr>
      <w:tr>
        <w:trPr>
          <w:trHeight w:val="170"/>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Loss on real estate to be sold</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(7,050)</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(7,050)</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8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Net Income</w:t>
            </w:r>
          </w:p>
        </w:tc>
        <w:tc>
          <w:tcPr>
            <w:tcW w:w="47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47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$ 6,815</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$11,963</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$ 20,369</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$ 24,657</w:t>
            </w:r>
          </w:p>
        </w:tc>
        <w:tc>
          <w:tcPr>
            <w:tcW w:w="0" w:type="dxa"/>
            <w:vAlign w:val="bottom"/>
          </w:tcPr>
          <w:p>
            <w:pPr>
              <w:spacing w:after="0"/>
              <w:rPr>
                <w:sz w:val="1"/>
                <w:szCs w:val="1"/>
                <w:color w:val="auto"/>
              </w:rPr>
            </w:pPr>
          </w:p>
        </w:tc>
      </w:tr>
      <w:tr>
        <w:trPr>
          <w:trHeight w:val="170"/>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Dividends on preferred stock</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(1,987)</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(1,987)</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(3,975)</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(3,975)</w:t>
            </w:r>
          </w:p>
        </w:tc>
        <w:tc>
          <w:tcPr>
            <w:tcW w:w="0" w:type="dxa"/>
            <w:vAlign w:val="bottom"/>
          </w:tcPr>
          <w:p>
            <w:pPr>
              <w:spacing w:after="0"/>
              <w:rPr>
                <w:sz w:val="1"/>
                <w:szCs w:val="1"/>
                <w:color w:val="auto"/>
              </w:rPr>
            </w:pPr>
          </w:p>
        </w:tc>
      </w:tr>
      <w:tr>
        <w:trPr>
          <w:trHeight w:val="170"/>
        </w:trPr>
        <w:tc>
          <w:tcPr>
            <w:tcW w:w="660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00" w:type="dxa"/>
            <w:vAlign w:val="bottom"/>
            <w:gridSpan w:val="2"/>
            <w:vMerge w:val="continue"/>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$ 4,828</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$ 9,976</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$ 16,394</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$ 20,682</w:t>
            </w:r>
          </w:p>
        </w:tc>
        <w:tc>
          <w:tcPr>
            <w:tcW w:w="0" w:type="dxa"/>
            <w:vAlign w:val="bottom"/>
          </w:tcPr>
          <w:p>
            <w:pPr>
              <w:spacing w:after="0"/>
              <w:rPr>
                <w:sz w:val="1"/>
                <w:szCs w:val="1"/>
                <w:color w:val="auto"/>
              </w:rPr>
            </w:pPr>
          </w:p>
        </w:tc>
      </w:tr>
      <w:tr>
        <w:trPr>
          <w:trHeight w:val="170"/>
        </w:trPr>
        <w:tc>
          <w:tcPr>
            <w:tcW w:w="660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Earnings per common share, basic</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00" w:type="dxa"/>
            <w:vAlign w:val="bottom"/>
            <w:gridSpan w:val="2"/>
            <w:vMerge w:val="continue"/>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0.41</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0.53</w:t>
            </w:r>
          </w:p>
        </w:tc>
        <w:tc>
          <w:tcPr>
            <w:tcW w:w="0" w:type="dxa"/>
            <w:vAlign w:val="bottom"/>
          </w:tcPr>
          <w:p>
            <w:pPr>
              <w:spacing w:after="0"/>
              <w:rPr>
                <w:sz w:val="1"/>
                <w:szCs w:val="1"/>
                <w:color w:val="auto"/>
              </w:rPr>
            </w:pPr>
          </w:p>
        </w:tc>
      </w:tr>
      <w:tr>
        <w:trPr>
          <w:trHeight w:val="170"/>
        </w:trPr>
        <w:tc>
          <w:tcPr>
            <w:tcW w:w="660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Earnings per common share, diluted</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00" w:type="dxa"/>
            <w:vAlign w:val="bottom"/>
            <w:gridSpan w:val="2"/>
            <w:vMerge w:val="continue"/>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0.41</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0.52</w:t>
            </w:r>
          </w:p>
        </w:tc>
        <w:tc>
          <w:tcPr>
            <w:tcW w:w="0" w:type="dxa"/>
            <w:vAlign w:val="bottom"/>
          </w:tcPr>
          <w:p>
            <w:pPr>
              <w:spacing w:after="0"/>
              <w:rPr>
                <w:sz w:val="1"/>
                <w:szCs w:val="1"/>
                <w:color w:val="auto"/>
              </w:rPr>
            </w:pPr>
          </w:p>
        </w:tc>
      </w:tr>
      <w:tr>
        <w:trPr>
          <w:trHeight w:val="170"/>
        </w:trPr>
        <w:tc>
          <w:tcPr>
            <w:tcW w:w="660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Weighted average shares outstanding, basic</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39,543</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39,122</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39,489</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39,057</w:t>
            </w:r>
          </w:p>
        </w:tc>
        <w:tc>
          <w:tcPr>
            <w:tcW w:w="0" w:type="dxa"/>
            <w:vAlign w:val="bottom"/>
          </w:tcPr>
          <w:p>
            <w:pPr>
              <w:spacing w:after="0"/>
              <w:rPr>
                <w:sz w:val="1"/>
                <w:szCs w:val="1"/>
                <w:color w:val="auto"/>
              </w:rPr>
            </w:pPr>
          </w:p>
        </w:tc>
      </w:tr>
      <w:tr>
        <w:trPr>
          <w:trHeight w:val="246"/>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Weighted average shares outstanding, diluted</w:t>
            </w:r>
          </w:p>
        </w:tc>
        <w:tc>
          <w:tcPr>
            <w:tcW w:w="260" w:type="dxa"/>
            <w:vAlign w:val="bottom"/>
          </w:tcPr>
          <w:p>
            <w:pPr>
              <w:spacing w:after="0"/>
              <w:rPr>
                <w:sz w:val="21"/>
                <w:szCs w:val="21"/>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40,682</w:t>
            </w:r>
          </w:p>
        </w:tc>
        <w:tc>
          <w:tcPr>
            <w:tcW w:w="220" w:type="dxa"/>
            <w:vAlign w:val="bottom"/>
          </w:tcPr>
          <w:p>
            <w:pPr>
              <w:spacing w:after="0"/>
              <w:rPr>
                <w:sz w:val="21"/>
                <w:szCs w:val="21"/>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39,900</w:t>
            </w:r>
          </w:p>
        </w:tc>
        <w:tc>
          <w:tcPr>
            <w:tcW w:w="30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40,613</w:t>
            </w:r>
          </w:p>
        </w:tc>
        <w:tc>
          <w:tcPr>
            <w:tcW w:w="320" w:type="dxa"/>
            <w:vAlign w:val="bottom"/>
          </w:tcPr>
          <w:p>
            <w:pPr>
              <w:spacing w:after="0"/>
              <w:rPr>
                <w:sz w:val="21"/>
                <w:szCs w:val="21"/>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39,896</w:t>
            </w:r>
          </w:p>
        </w:tc>
        <w:tc>
          <w:tcPr>
            <w:tcW w:w="0" w:type="dxa"/>
            <w:vAlign w:val="bottom"/>
          </w:tcPr>
          <w:p>
            <w:pPr>
              <w:spacing w:after="0"/>
              <w:rPr>
                <w:sz w:val="1"/>
                <w:szCs w:val="1"/>
                <w:color w:val="auto"/>
              </w:rPr>
            </w:pPr>
          </w:p>
        </w:tc>
      </w:tr>
      <w:tr>
        <w:trPr>
          <w:trHeight w:val="262"/>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Funds from Operations</w:t>
            </w:r>
          </w:p>
        </w:tc>
        <w:tc>
          <w:tcPr>
            <w:tcW w:w="10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$ 4,828</w:t>
            </w:r>
          </w:p>
        </w:tc>
        <w:tc>
          <w:tcPr>
            <w:tcW w:w="88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$ 9,976</w:t>
            </w:r>
          </w:p>
        </w:tc>
        <w:tc>
          <w:tcPr>
            <w:tcW w:w="114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$ 16,394</w:t>
            </w:r>
          </w:p>
        </w:tc>
        <w:tc>
          <w:tcPr>
            <w:tcW w:w="1200" w:type="dxa"/>
            <w:vAlign w:val="bottom"/>
            <w:gridSpan w:val="2"/>
            <w:vMerge w:val="restart"/>
          </w:tcPr>
          <w:p>
            <w:pPr>
              <w:jc w:val="right"/>
              <w:ind w:right="287"/>
              <w:spacing w:after="0"/>
              <w:rPr>
                <w:sz w:val="20"/>
                <w:szCs w:val="20"/>
                <w:color w:val="auto"/>
              </w:rPr>
            </w:pPr>
            <w:r>
              <w:rPr>
                <w:rFonts w:ascii="Courier New" w:cs="Courier New" w:eastAsia="Courier New" w:hAnsi="Courier New"/>
                <w:sz w:val="15"/>
                <w:szCs w:val="15"/>
                <w:color w:val="auto"/>
              </w:rPr>
              <w:t>$ 20,682</w:t>
            </w:r>
          </w:p>
        </w:tc>
        <w:tc>
          <w:tcPr>
            <w:tcW w:w="0" w:type="dxa"/>
            <w:vAlign w:val="bottom"/>
          </w:tcPr>
          <w:p>
            <w:pPr>
              <w:spacing w:after="0"/>
              <w:rPr>
                <w:sz w:val="1"/>
                <w:szCs w:val="1"/>
                <w:color w:val="auto"/>
              </w:rPr>
            </w:pPr>
          </w:p>
        </w:tc>
      </w:tr>
      <w:tr>
        <w:trPr>
          <w:trHeight w:val="170"/>
        </w:trPr>
        <w:tc>
          <w:tcPr>
            <w:tcW w:w="660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10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320"/>
              <w:spacing w:after="0"/>
              <w:rPr>
                <w:sz w:val="20"/>
                <w:szCs w:val="20"/>
                <w:color w:val="auto"/>
              </w:rPr>
            </w:pPr>
            <w:r>
              <w:rPr>
                <w:rFonts w:ascii="Courier New" w:cs="Courier New" w:eastAsia="Courier New" w:hAnsi="Courier New"/>
                <w:sz w:val="15"/>
                <w:szCs w:val="15"/>
                <w:color w:val="auto"/>
              </w:rPr>
              <w:t>Add:</w:t>
            </w:r>
          </w:p>
        </w:tc>
        <w:tc>
          <w:tcPr>
            <w:tcW w:w="4760" w:type="dxa"/>
            <w:vAlign w:val="bottom"/>
          </w:tcPr>
          <w:p>
            <w:pPr>
              <w:spacing w:after="0"/>
              <w:rPr>
                <w:sz w:val="20"/>
                <w:szCs w:val="20"/>
                <w:color w:val="auto"/>
              </w:rPr>
            </w:pPr>
            <w:r>
              <w:rPr>
                <w:rFonts w:ascii="Courier New" w:cs="Courier New" w:eastAsia="Courier New" w:hAnsi="Courier New"/>
                <w:sz w:val="15"/>
                <w:szCs w:val="15"/>
                <w:color w:val="auto"/>
              </w:rPr>
              <w:t>loss on sale of</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7,050</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7,050</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1320"/>
              <w:spacing w:after="0"/>
              <w:rPr>
                <w:sz w:val="20"/>
                <w:szCs w:val="20"/>
                <w:color w:val="auto"/>
              </w:rPr>
            </w:pPr>
            <w:r>
              <w:rPr>
                <w:rFonts w:ascii="Courier New" w:cs="Courier New" w:eastAsia="Courier New" w:hAnsi="Courier New"/>
                <w:sz w:val="15"/>
                <w:szCs w:val="15"/>
                <w:color w:val="auto"/>
              </w:rPr>
              <w:t>Add:</w:t>
            </w:r>
          </w:p>
        </w:tc>
        <w:tc>
          <w:tcPr>
            <w:tcW w:w="4760" w:type="dxa"/>
            <w:vAlign w:val="bottom"/>
          </w:tcPr>
          <w:p>
            <w:pPr>
              <w:spacing w:after="0"/>
              <w:rPr>
                <w:sz w:val="20"/>
                <w:szCs w:val="20"/>
                <w:color w:val="auto"/>
              </w:rPr>
            </w:pPr>
            <w:r>
              <w:rPr>
                <w:rFonts w:ascii="Courier New" w:cs="Courier New" w:eastAsia="Courier New" w:hAnsi="Courier New"/>
                <w:sz w:val="15"/>
                <w:szCs w:val="15"/>
                <w:color w:val="auto"/>
              </w:rPr>
              <w:t>depreciation and amoritization of real estate assets</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11,489</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10,168</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22,617</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19,906</w:t>
            </w:r>
          </w:p>
        </w:tc>
        <w:tc>
          <w:tcPr>
            <w:tcW w:w="0" w:type="dxa"/>
            <w:vAlign w:val="bottom"/>
          </w:tcPr>
          <w:p>
            <w:pPr>
              <w:spacing w:after="0"/>
              <w:rPr>
                <w:sz w:val="1"/>
                <w:szCs w:val="1"/>
                <w:color w:val="auto"/>
              </w:rPr>
            </w:pPr>
          </w:p>
        </w:tc>
      </w:tr>
      <w:tr>
        <w:trPr>
          <w:trHeight w:val="170"/>
        </w:trPr>
        <w:tc>
          <w:tcPr>
            <w:tcW w:w="1840" w:type="dxa"/>
            <w:vAlign w:val="bottom"/>
          </w:tcPr>
          <w:p>
            <w:pPr>
              <w:ind w:left="1320"/>
              <w:spacing w:after="0"/>
              <w:rPr>
                <w:sz w:val="20"/>
                <w:szCs w:val="20"/>
                <w:color w:val="auto"/>
              </w:rPr>
            </w:pPr>
            <w:r>
              <w:rPr>
                <w:rFonts w:ascii="Courier New" w:cs="Courier New" w:eastAsia="Courier New" w:hAnsi="Courier New"/>
                <w:sz w:val="15"/>
                <w:szCs w:val="15"/>
                <w:color w:val="auto"/>
              </w:rPr>
              <w:t>Add:</w:t>
            </w:r>
          </w:p>
        </w:tc>
        <w:tc>
          <w:tcPr>
            <w:tcW w:w="4760" w:type="dxa"/>
            <w:vAlign w:val="bottom"/>
          </w:tcPr>
          <w:p>
            <w:pPr>
              <w:spacing w:after="0"/>
              <w:rPr>
                <w:sz w:val="20"/>
                <w:szCs w:val="20"/>
                <w:color w:val="auto"/>
              </w:rPr>
            </w:pPr>
            <w:r>
              <w:rPr>
                <w:rFonts w:ascii="Courier New" w:cs="Courier New" w:eastAsia="Courier New" w:hAnsi="Courier New"/>
                <w:sz w:val="15"/>
                <w:szCs w:val="15"/>
                <w:color w:val="auto"/>
              </w:rPr>
              <w:t>amorization of initial direct costs of losses</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742</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588</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1,460</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1,181</w:t>
            </w:r>
          </w:p>
        </w:tc>
        <w:tc>
          <w:tcPr>
            <w:tcW w:w="0" w:type="dxa"/>
            <w:vAlign w:val="bottom"/>
          </w:tcPr>
          <w:p>
            <w:pPr>
              <w:spacing w:after="0"/>
              <w:rPr>
                <w:sz w:val="1"/>
                <w:szCs w:val="1"/>
                <w:color w:val="auto"/>
              </w:rPr>
            </w:pPr>
          </w:p>
        </w:tc>
      </w:tr>
      <w:tr>
        <w:trPr>
          <w:trHeight w:val="246"/>
        </w:trPr>
        <w:tc>
          <w:tcPr>
            <w:tcW w:w="1840" w:type="dxa"/>
            <w:vAlign w:val="bottom"/>
          </w:tcPr>
          <w:p>
            <w:pPr>
              <w:ind w:left="1320"/>
              <w:spacing w:after="0"/>
              <w:rPr>
                <w:sz w:val="20"/>
                <w:szCs w:val="20"/>
                <w:color w:val="auto"/>
              </w:rPr>
            </w:pPr>
            <w:r>
              <w:rPr>
                <w:rFonts w:ascii="Courier New" w:cs="Courier New" w:eastAsia="Courier New" w:hAnsi="Courier New"/>
                <w:sz w:val="15"/>
                <w:szCs w:val="15"/>
                <w:color w:val="auto"/>
              </w:rPr>
              <w:t>Add:</w:t>
            </w:r>
          </w:p>
        </w:tc>
        <w:tc>
          <w:tcPr>
            <w:tcW w:w="4760" w:type="dxa"/>
            <w:vAlign w:val="bottom"/>
          </w:tcPr>
          <w:p>
            <w:pPr>
              <w:spacing w:after="0"/>
              <w:rPr>
                <w:sz w:val="20"/>
                <w:szCs w:val="20"/>
                <w:color w:val="auto"/>
              </w:rPr>
            </w:pPr>
            <w:r>
              <w:rPr>
                <w:rFonts w:ascii="Courier New" w:cs="Courier New" w:eastAsia="Courier New" w:hAnsi="Courier New"/>
                <w:sz w:val="15"/>
                <w:szCs w:val="15"/>
                <w:color w:val="auto"/>
              </w:rPr>
              <w:t>income attributable to operating partnership units</w:t>
            </w:r>
          </w:p>
        </w:tc>
        <w:tc>
          <w:tcPr>
            <w:tcW w:w="260" w:type="dxa"/>
            <w:vAlign w:val="bottom"/>
          </w:tcPr>
          <w:p>
            <w:pPr>
              <w:spacing w:after="0"/>
              <w:rPr>
                <w:sz w:val="21"/>
                <w:szCs w:val="21"/>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w:t>
            </w:r>
          </w:p>
        </w:tc>
        <w:tc>
          <w:tcPr>
            <w:tcW w:w="220" w:type="dxa"/>
            <w:vAlign w:val="bottom"/>
          </w:tcPr>
          <w:p>
            <w:pPr>
              <w:spacing w:after="0"/>
              <w:rPr>
                <w:sz w:val="21"/>
                <w:szCs w:val="21"/>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w:t>
            </w:r>
          </w:p>
        </w:tc>
        <w:tc>
          <w:tcPr>
            <w:tcW w:w="30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361</w:t>
            </w:r>
          </w:p>
        </w:tc>
        <w:tc>
          <w:tcPr>
            <w:tcW w:w="320" w:type="dxa"/>
            <w:vAlign w:val="bottom"/>
          </w:tcPr>
          <w:p>
            <w:pPr>
              <w:spacing w:after="0"/>
              <w:rPr>
                <w:sz w:val="21"/>
                <w:szCs w:val="21"/>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414</w:t>
            </w:r>
          </w:p>
        </w:tc>
        <w:tc>
          <w:tcPr>
            <w:tcW w:w="0" w:type="dxa"/>
            <w:vAlign w:val="bottom"/>
          </w:tcPr>
          <w:p>
            <w:pPr>
              <w:spacing w:after="0"/>
              <w:rPr>
                <w:sz w:val="1"/>
                <w:szCs w:val="1"/>
                <w:color w:val="auto"/>
              </w:rPr>
            </w:pPr>
          </w:p>
        </w:tc>
      </w:tr>
      <w:tr>
        <w:trPr>
          <w:trHeight w:val="262"/>
        </w:trPr>
        <w:tc>
          <w:tcPr>
            <w:tcW w:w="66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Funds from operations</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$24,206</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$20,939</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$ 47,882</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$ 42,183</w:t>
            </w:r>
          </w:p>
        </w:tc>
        <w:tc>
          <w:tcPr>
            <w:tcW w:w="0" w:type="dxa"/>
            <w:vAlign w:val="bottom"/>
          </w:tcPr>
          <w:p>
            <w:pPr>
              <w:spacing w:after="0"/>
              <w:rPr>
                <w:sz w:val="1"/>
                <w:szCs w:val="1"/>
                <w:color w:val="auto"/>
              </w:rPr>
            </w:pPr>
          </w:p>
        </w:tc>
      </w:tr>
      <w:tr>
        <w:trPr>
          <w:trHeight w:val="170"/>
        </w:trPr>
        <w:tc>
          <w:tcPr>
            <w:tcW w:w="6600" w:type="dxa"/>
            <w:vAlign w:val="bottom"/>
            <w:gridSpan w:val="2"/>
            <w:vMerge w:val="restart"/>
          </w:tcPr>
          <w:p>
            <w:pPr>
              <w:ind w:left="520"/>
              <w:spacing w:after="0"/>
              <w:rPr>
                <w:sz w:val="20"/>
                <w:szCs w:val="20"/>
                <w:color w:val="auto"/>
              </w:rPr>
            </w:pPr>
            <w:r>
              <w:rPr>
                <w:rFonts w:ascii="Courier New" w:cs="Courier New" w:eastAsia="Courier New" w:hAnsi="Courier New"/>
                <w:sz w:val="15"/>
                <w:szCs w:val="15"/>
                <w:color w:val="auto"/>
              </w:rPr>
              <w:t>Funds from operations per share, diluted</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00" w:type="dxa"/>
            <w:vAlign w:val="bottom"/>
            <w:gridSpan w:val="2"/>
            <w:vMerge w:val="continue"/>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246"/>
        </w:trPr>
        <w:tc>
          <w:tcPr>
            <w:tcW w:w="18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71"/>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SHEET DATA</w:t>
            </w: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June 30,</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December 31,</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6"/>
        </w:trPr>
        <w:tc>
          <w:tcPr>
            <w:tcW w:w="1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Assets</w:t>
            </w:r>
          </w:p>
        </w:tc>
        <w:tc>
          <w:tcPr>
            <w:tcW w:w="4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w w:val="99"/>
              </w:rPr>
              <w:t>$1,701,981</w:t>
            </w:r>
          </w:p>
        </w:tc>
        <w:tc>
          <w:tcPr>
            <w:tcW w:w="120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$1,642,136</w:t>
            </w:r>
          </w:p>
        </w:tc>
        <w:tc>
          <w:tcPr>
            <w:tcW w:w="0" w:type="dxa"/>
            <w:vAlign w:val="bottom"/>
          </w:tcPr>
          <w:p>
            <w:pPr>
              <w:spacing w:after="0"/>
              <w:rPr>
                <w:sz w:val="1"/>
                <w:szCs w:val="1"/>
                <w:color w:val="auto"/>
              </w:rPr>
            </w:pPr>
          </w:p>
        </w:tc>
      </w:tr>
      <w:tr>
        <w:trPr>
          <w:trHeight w:val="170"/>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Real estate, at cost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depreciation and amortization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(308,580)</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(286,053)</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0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Mortgage notes receivable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1,393,401</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1,356,083</w:t>
            </w:r>
          </w:p>
        </w:tc>
        <w:tc>
          <w:tcPr>
            <w:tcW w:w="0" w:type="dxa"/>
            <w:vAlign w:val="bottom"/>
          </w:tcPr>
          <w:p>
            <w:pPr>
              <w:spacing w:after="0"/>
              <w:rPr>
                <w:sz w:val="1"/>
                <w:szCs w:val="1"/>
                <w:color w:val="auto"/>
              </w:rPr>
            </w:pPr>
          </w:p>
        </w:tc>
      </w:tr>
      <w:tr>
        <w:trPr>
          <w:trHeight w:val="170"/>
        </w:trPr>
        <w:tc>
          <w:tcPr>
            <w:tcW w:w="66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56,451</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51,154</w:t>
            </w:r>
          </w:p>
        </w:tc>
        <w:tc>
          <w:tcPr>
            <w:tcW w:w="0" w:type="dxa"/>
            <w:vAlign w:val="bottom"/>
          </w:tcPr>
          <w:p>
            <w:pPr>
              <w:spacing w:after="0"/>
              <w:rPr>
                <w:sz w:val="1"/>
                <w:szCs w:val="1"/>
                <w:color w:val="auto"/>
              </w:rPr>
            </w:pPr>
          </w:p>
        </w:tc>
      </w:tr>
      <w:tr>
        <w:trPr>
          <w:trHeight w:val="170"/>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investments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11,853</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17,230</w:t>
            </w: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rPr>
              <w:t>Receivables</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14,923</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17,873</w:t>
            </w: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rPr>
              <w:t>Other assets</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38,269</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41,977</w:t>
            </w:r>
          </w:p>
        </w:tc>
        <w:tc>
          <w:tcPr>
            <w:tcW w:w="0" w:type="dxa"/>
            <w:vAlign w:val="bottom"/>
          </w:tcPr>
          <w:p>
            <w:pPr>
              <w:spacing w:after="0"/>
              <w:rPr>
                <w:sz w:val="1"/>
                <w:szCs w:val="1"/>
                <w:color w:val="auto"/>
              </w:rPr>
            </w:pPr>
          </w:p>
        </w:tc>
      </w:tr>
      <w:tr>
        <w:trPr>
          <w:trHeight w:val="170"/>
        </w:trPr>
        <w:tc>
          <w:tcPr>
            <w:tcW w:w="18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 assets</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$1,514,897</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$1,484,317</w:t>
            </w:r>
          </w:p>
        </w:tc>
        <w:tc>
          <w:tcPr>
            <w:tcW w:w="0" w:type="dxa"/>
            <w:vAlign w:val="bottom"/>
          </w:tcPr>
          <w:p>
            <w:pPr>
              <w:spacing w:after="0"/>
              <w:rPr>
                <w:sz w:val="1"/>
                <w:szCs w:val="1"/>
                <w:color w:val="auto"/>
              </w:rPr>
            </w:pPr>
          </w:p>
        </w:tc>
      </w:tr>
      <w:tr>
        <w:trPr>
          <w:trHeight w:val="246"/>
        </w:trPr>
        <w:tc>
          <w:tcPr>
            <w:tcW w:w="6600" w:type="dxa"/>
            <w:vAlign w:val="bottom"/>
            <w:gridSpan w:val="2"/>
            <w:vMerge w:val="restart"/>
          </w:tcPr>
          <w:p>
            <w:pPr>
              <w:ind w:left="160"/>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6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173,038</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173,480</w:t>
            </w:r>
          </w:p>
        </w:tc>
        <w:tc>
          <w:tcPr>
            <w:tcW w:w="0" w:type="dxa"/>
            <w:vAlign w:val="bottom"/>
          </w:tcPr>
          <w:p>
            <w:pPr>
              <w:spacing w:after="0"/>
              <w:rPr>
                <w:sz w:val="1"/>
                <w:szCs w:val="1"/>
                <w:color w:val="auto"/>
              </w:rPr>
            </w:pPr>
          </w:p>
        </w:tc>
      </w:tr>
      <w:tr>
        <w:trPr>
          <w:trHeight w:val="170"/>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Obligations under capital leases &amp; mortgages payable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rPr>
              <w:t>Notes payable</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308,840</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263,159</w:t>
            </w: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rPr>
              <w:t>Senior Notes</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335,000</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335,000</w:t>
            </w:r>
          </w:p>
        </w:tc>
        <w:tc>
          <w:tcPr>
            <w:tcW w:w="0" w:type="dxa"/>
            <w:vAlign w:val="bottom"/>
          </w:tcPr>
          <w:p>
            <w:pPr>
              <w:spacing w:after="0"/>
              <w:rPr>
                <w:sz w:val="1"/>
                <w:szCs w:val="1"/>
                <w:color w:val="auto"/>
              </w:rPr>
            </w:pPr>
          </w:p>
        </w:tc>
      </w:tr>
      <w:tr>
        <w:trPr>
          <w:trHeight w:val="170"/>
        </w:trPr>
        <w:tc>
          <w:tcPr>
            <w:tcW w:w="6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5 1/4% Convertible subordinated debentures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75,289</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75,289</w:t>
            </w:r>
          </w:p>
        </w:tc>
        <w:tc>
          <w:tcPr>
            <w:tcW w:w="0" w:type="dxa"/>
            <w:vAlign w:val="bottom"/>
          </w:tcPr>
          <w:p>
            <w:pPr>
              <w:spacing w:after="0"/>
              <w:rPr>
                <w:sz w:val="1"/>
                <w:szCs w:val="1"/>
                <w:color w:val="auto"/>
              </w:rPr>
            </w:pPr>
          </w:p>
        </w:tc>
      </w:tr>
      <w:tr>
        <w:trPr>
          <w:trHeight w:val="246"/>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w w:val="96"/>
              </w:rPr>
              <w:t>Other liabilities</w:t>
            </w: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108,140</w:t>
            </w:r>
          </w:p>
        </w:tc>
        <w:tc>
          <w:tcPr>
            <w:tcW w:w="32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107,442</w:t>
            </w:r>
          </w:p>
        </w:tc>
        <w:tc>
          <w:tcPr>
            <w:tcW w:w="0" w:type="dxa"/>
            <w:vAlign w:val="bottom"/>
          </w:tcPr>
          <w:p>
            <w:pPr>
              <w:spacing w:after="0"/>
              <w:rPr>
                <w:sz w:val="1"/>
                <w:szCs w:val="1"/>
                <w:color w:val="auto"/>
              </w:rPr>
            </w:pPr>
          </w:p>
        </w:tc>
      </w:tr>
      <w:tr>
        <w:trPr>
          <w:trHeight w:val="262"/>
        </w:trPr>
        <w:tc>
          <w:tcPr>
            <w:tcW w:w="66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514,590</w:t>
            </w:r>
          </w:p>
        </w:tc>
        <w:tc>
          <w:tcPr>
            <w:tcW w:w="32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529,947</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$1,514,897</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$1,484,317</w:t>
            </w:r>
          </w:p>
        </w:tc>
        <w:tc>
          <w:tcPr>
            <w:tcW w:w="0" w:type="dxa"/>
            <w:vAlign w:val="bottom"/>
          </w:tcPr>
          <w:p>
            <w:pPr>
              <w:spacing w:after="0"/>
              <w:rPr>
                <w:sz w:val="1"/>
                <w:szCs w:val="1"/>
                <w:color w:val="auto"/>
              </w:rPr>
            </w:pPr>
          </w:p>
        </w:tc>
      </w:tr>
      <w:tr>
        <w:trPr>
          <w:trHeight w:val="246"/>
        </w:trPr>
        <w:tc>
          <w:tcPr>
            <w:tcW w:w="18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18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E-9</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432" w:right="819" w:bottom="679" w:gutter="0" w:footer="0" w:header="0"/>
        </w:sectPr>
      </w:pPr>
    </w:p>
    <w:bookmarkStart w:id="13" w:name="page14"/>
    <w:bookmarkEnd w:id="13"/>
    <w:p>
      <w:pPr>
        <w:ind w:left="2720"/>
        <w:spacing w:after="0"/>
        <w:rPr>
          <w:sz w:val="20"/>
          <w:szCs w:val="20"/>
          <w:color w:val="auto"/>
        </w:rPr>
      </w:pPr>
      <w:r>
        <w:rPr>
          <w:rFonts w:ascii="Courier New" w:cs="Courier New" w:eastAsia="Courier New" w:hAnsi="Courier New"/>
          <w:sz w:val="15"/>
          <w:szCs w:val="15"/>
          <w:color w:val="auto"/>
        </w:rPr>
        <w:t>Glossary of Terms</w:t>
      </w:r>
    </w:p>
    <w:p>
      <w:pPr>
        <w:spacing w:after="0" w:line="200" w:lineRule="exact"/>
        <w:rPr>
          <w:sz w:val="20"/>
          <w:szCs w:val="20"/>
          <w:color w:val="auto"/>
        </w:rPr>
      </w:pPr>
    </w:p>
    <w:p>
      <w:pPr>
        <w:spacing w:after="0" w:line="308"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Average occupancy costs: Includes rent, common area maintenance expense, real estate taxes, merchant association dues and other charges</w:t>
      </w:r>
    </w:p>
    <w:p>
      <w:pPr>
        <w:spacing w:after="0" w:line="17"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Economic occupancy: The square footage generating rental income expressed as a percentage of its total rentable square feet.</w:t>
      </w:r>
    </w:p>
    <w:p>
      <w:pPr>
        <w:spacing w:after="0" w:line="17"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Leases signed - comparable: Represents leases signed on spaces for which there was a former tenant.</w:t>
      </w:r>
    </w:p>
    <w:p>
      <w:pPr>
        <w:spacing w:after="0" w:line="17"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Leases signed - noncomparable: Represents leases signed on spaces for which there was no previous tenant, i.e. expansion space or space that was previously non-leasable.</w:t>
      </w:r>
    </w:p>
    <w:p>
      <w:pPr>
        <w:spacing w:after="0" w:line="56"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Leases signed - prior rent: Total rent paid by the previous tenant; includes minimum and percentage rent.</w:t>
      </w:r>
    </w:p>
    <w:p>
      <w:pPr>
        <w:spacing w:after="0" w:line="17"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Occupancy: The currently leased portion of a property expressed as a percentage of its total rentable square feet; includes square feet covered by leases for stores not yet opened.</w:t>
      </w:r>
    </w:p>
    <w:p>
      <w:pPr>
        <w:spacing w:after="0" w:line="56"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Overall occupancy: Occupancy for the entire portfolio -- includes all operating properties owned in reporting period.</w:t>
      </w:r>
    </w:p>
    <w:p>
      <w:pPr>
        <w:spacing w:after="0" w:line="17"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Same center occupancy: Occupancy for only those properties owned and operating in the periods being compared. Excludes centers purchased or sold as well as properties under redevelopment and development.</w:t>
      </w:r>
    </w:p>
    <w:p>
      <w:pPr>
        <w:spacing w:after="0" w:line="56"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pacing w:after="0" w:line="7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E-10</w:t>
      </w:r>
    </w:p>
    <w:sectPr>
      <w:pgSz w:w="11900" w:h="16838" w:orient="portrait"/>
      <w:cols w:equalWidth="0" w:num="1">
        <w:col w:w="10219"/>
      </w:cols>
      <w:pgMar w:left="240" w:top="6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3"/>
    </w:lvl>
  </w:abstractNum>
  <w:abstractNum w:abstractNumId="1">
    <w:nsid w:val="625558EC"/>
    <w:multiLevelType w:val="hybridMultilevel"/>
    <w:lvl w:ilvl="0">
      <w:lvlJc w:val="left"/>
      <w:lvlText w:val="%1."/>
      <w:numFmt w:val="decimal"/>
      <w:start w:val="3"/>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2020-02-22T13:35:44Z</dcterms:created>
  <dcterms:modified xsi:type="dcterms:W3CDTF">2020-02-22T13:35:44Z</dcterms:modified>
</cp:coreProperties>
</file>