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Washington, D.C. 20549</w:t>
      </w:r>
    </w:p>
    <w:p>
      <w:pPr>
        <w:spacing w:after="0" w:line="200" w:lineRule="exact"/>
        <w:rPr>
          <w:sz w:val="24"/>
          <w:szCs w:val="24"/>
          <w:color w:val="auto"/>
        </w:rPr>
      </w:pPr>
    </w:p>
    <w:p>
      <w:pPr>
        <w:spacing w:after="0" w:line="30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ind w:left="620" w:right="3779" w:hanging="171"/>
        <w:spacing w:after="0" w:line="255"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September 30, 2002</w:t>
      </w:r>
    </w:p>
    <w:p>
      <w:pPr>
        <w:spacing w:after="0" w:line="160"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Maryland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1-07533</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600" w:space="420"/>
            <w:col w:w="1300" w:space="680"/>
            <w:col w:w="5239"/>
          </w:cols>
          <w:pgMar w:left="220" w:top="561" w:right="1440" w:bottom="1440" w:gutter="0" w:footer="0" w:header="0"/>
          <w:type w:val="continuous"/>
        </w:sectPr>
      </w:pPr>
    </w:p>
    <w:p>
      <w:pPr>
        <w:spacing w:after="0" w:line="304" w:lineRule="exact"/>
        <w:rPr>
          <w:sz w:val="24"/>
          <w:szCs w:val="24"/>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1626 East Jefferson Street, Rockville, Maryland</w:t>
      </w:r>
      <w:r>
        <w:rPr>
          <w:sz w:val="20"/>
          <w:szCs w:val="20"/>
          <w:color w:val="auto"/>
        </w:rPr>
        <w:tab/>
      </w:r>
      <w:r>
        <w:rPr>
          <w:rFonts w:ascii="Courier New" w:cs="Courier New" w:eastAsia="Courier New" w:hAnsi="Courier New"/>
          <w:sz w:val="14"/>
          <w:szCs w:val="14"/>
          <w:color w:val="auto"/>
        </w:rPr>
        <w:t>20852-4041</w:t>
      </w:r>
    </w:p>
    <w:p>
      <w:pPr>
        <w:sectPr>
          <w:pgSz w:w="11900" w:h="16838" w:orient="portrait"/>
          <w:cols w:equalWidth="0" w:num="1">
            <w:col w:w="10239"/>
          </w:cols>
          <w:pgMar w:left="220" w:top="561"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4"/>
          <w:szCs w:val="24"/>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200" w:lineRule="exact"/>
        <w:rPr>
          <w:sz w:val="24"/>
          <w:szCs w:val="24"/>
          <w:color w:val="auto"/>
        </w:rPr>
      </w:pPr>
    </w:p>
    <w:p>
      <w:pPr>
        <w:spacing w:after="0" w:line="304" w:lineRule="exact"/>
        <w:rPr>
          <w:sz w:val="24"/>
          <w:szCs w:val="24"/>
          <w:color w:val="auto"/>
        </w:rPr>
      </w:pPr>
    </w:p>
    <w:p>
      <w:pPr>
        <w:jc w:val="right"/>
        <w:ind w:left="780" w:right="4019"/>
        <w:spacing w:after="0" w:line="255" w:lineRule="auto"/>
        <w:rPr>
          <w:sz w:val="20"/>
          <w:szCs w:val="20"/>
          <w:color w:val="auto"/>
        </w:rPr>
      </w:pPr>
      <w:r>
        <w:rPr>
          <w:rFonts w:ascii="Courier New" w:cs="Courier New" w:eastAsia="Courier New" w:hAnsi="Courier New"/>
          <w:sz w:val="14"/>
          <w:szCs w:val="14"/>
          <w:color w:val="auto"/>
        </w:rPr>
        <w:t>Registrant's telephone number including area code: 301/998-8100 ------------</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1" w:right="1440" w:bottom="1440" w:gutter="0" w:footer="0" w:header="0"/>
          <w:type w:val="continuous"/>
        </w:sectPr>
      </w:pPr>
    </w:p>
    <w:bookmarkStart w:id="1" w:name="page2"/>
    <w:bookmarkEnd w:id="1"/>
    <w:p>
      <w:pPr>
        <w:spacing w:after="0"/>
        <w:tabs>
          <w:tab w:leader="none" w:pos="128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0"/>
          <w:szCs w:val="20"/>
          <w:color w:val="auto"/>
        </w:rPr>
      </w:pPr>
    </w:p>
    <w:p>
      <w:pPr>
        <w:ind w:right="3599" w:firstLine="1292"/>
        <w:spacing w:after="0" w:line="252"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September 30, 2002.</w:t>
      </w:r>
    </w:p>
    <w:p>
      <w:pPr>
        <w:spacing w:after="0" w:line="16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3" w:lineRule="exact"/>
        <w:rPr>
          <w:sz w:val="20"/>
          <w:szCs w:val="20"/>
          <w:color w:val="auto"/>
        </w:rPr>
      </w:pPr>
    </w:p>
    <w:p>
      <w:pPr>
        <w:ind w:left="1300" w:hanging="861"/>
        <w:spacing w:after="0"/>
        <w:tabs>
          <w:tab w:leader="none" w:pos="13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99Supplemental portfolio information at September 30, 2002</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FEDERAL REALTY INVESTMENT TRUST</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 Larry E. Finger</w:t>
      </w:r>
    </w:p>
    <w:p>
      <w:pPr>
        <w:spacing w:after="0" w:line="7"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Date: October 30, 2002</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Larry E. Finger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 w:name="page3"/>
    <w:bookmarkEnd w:id="2"/>
    <w:p>
      <w:pPr>
        <w:ind w:left="294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780" w:space="80"/>
            <w:col w:w="4460" w:space="720"/>
            <w:col w:w="4199"/>
          </w:cols>
          <w:pgMar w:left="220" w:top="616" w:right="1440" w:bottom="1440" w:gutter="0" w:footer="0" w:header="0"/>
          <w:type w:val="continuous"/>
        </w:sectPr>
      </w:pPr>
    </w:p>
    <w:p>
      <w:pPr>
        <w:ind w:left="260"/>
        <w:spacing w:after="0"/>
        <w:tabs>
          <w:tab w:leader="none" w:pos="84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information at September 30,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4</w:t>
      </w:r>
    </w:p>
    <w:p>
      <w:pPr>
        <w:spacing w:after="0" w:line="184" w:lineRule="exact"/>
        <w:rPr>
          <w:sz w:val="20"/>
          <w:szCs w:val="20"/>
          <w:color w:val="auto"/>
        </w:rPr>
      </w:pPr>
    </w:p>
    <w:p>
      <w:pPr>
        <w:sectPr>
          <w:pgSz w:w="11900" w:h="16838" w:orient="portrait"/>
          <w:cols w:equalWidth="0" w:num="2">
            <w:col w:w="5840" w:space="720"/>
            <w:col w:w="3679"/>
          </w:cols>
          <w:pgMar w:left="220" w:top="616"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jc w:val="right"/>
        <w:ind w:right="5399"/>
        <w:spacing w:after="0"/>
        <w:rPr>
          <w:sz w:val="20"/>
          <w:szCs w:val="20"/>
          <w:color w:val="auto"/>
        </w:rPr>
      </w:pPr>
      <w:r>
        <w:rPr>
          <w:rFonts w:ascii="Courier New" w:cs="Courier New" w:eastAsia="Courier New" w:hAnsi="Courier New"/>
          <w:sz w:val="14"/>
          <w:szCs w:val="14"/>
          <w:color w:val="auto"/>
        </w:rPr>
        <w:t>FEDERAL REALTY INVESTMENT TRUST</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September 30, 2002</w:t>
      </w:r>
    </w:p>
    <w:p>
      <w:pPr>
        <w:spacing w:after="0" w:line="338"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20"/>
                <w:szCs w:val="20"/>
                <w:color w:val="auto"/>
              </w:rPr>
            </w:pPr>
            <w:r>
              <w:rPr>
                <w:rFonts w:ascii="Courier New" w:cs="Courier New" w:eastAsia="Courier New" w:hAnsi="Courier New"/>
                <w:sz w:val="14"/>
                <w:szCs w:val="14"/>
                <w:color w:val="auto"/>
              </w:rPr>
              <w:t>1.   Third Quarter Earnings Press Release, October 30, 2002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w w:val="95"/>
              </w:rPr>
              <w:t>E-2</w:t>
            </w:r>
          </w:p>
        </w:tc>
      </w:tr>
    </w:tbl>
    <w:p>
      <w:pPr>
        <w:spacing w:after="0" w:line="170"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5400" w:type="dxa"/>
            <w:vAlign w:val="bottom"/>
            <w:gridSpan w:val="3"/>
          </w:tcPr>
          <w:p>
            <w:pPr>
              <w:spacing w:after="0"/>
              <w:rPr>
                <w:sz w:val="20"/>
                <w:szCs w:val="20"/>
                <w:color w:val="auto"/>
              </w:rPr>
            </w:pPr>
            <w:r>
              <w:rPr>
                <w:rFonts w:ascii="Courier New" w:cs="Courier New" w:eastAsia="Courier New" w:hAnsi="Courier New"/>
                <w:sz w:val="14"/>
                <w:szCs w:val="14"/>
                <w:color w:val="auto"/>
              </w:rPr>
              <w:t>Summarized Operating Results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w w:val="95"/>
              </w:rPr>
              <w:t>E-6</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Summarized</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Balance</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Sheet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w w:val="95"/>
              </w:rPr>
              <w:t>E-7</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Funds From</w:t>
            </w: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Operations / Funds Available for</w:t>
            </w:r>
          </w:p>
        </w:tc>
        <w:tc>
          <w:tcPr>
            <w:tcW w:w="560" w:type="dxa"/>
            <w:vAlign w:val="bottom"/>
          </w:tcPr>
          <w:p>
            <w:pPr>
              <w:spacing w:after="0"/>
              <w:rPr>
                <w:sz w:val="14"/>
                <w:szCs w:val="14"/>
                <w:color w:val="auto"/>
              </w:rPr>
            </w:pPr>
          </w:p>
        </w:tc>
      </w:tr>
      <w:tr>
        <w:trPr>
          <w:trHeight w:val="166"/>
        </w:trPr>
        <w:tc>
          <w:tcPr>
            <w:tcW w:w="5400" w:type="dxa"/>
            <w:vAlign w:val="bottom"/>
            <w:gridSpan w:val="3"/>
          </w:tcPr>
          <w:p>
            <w:pPr>
              <w:spacing w:after="0"/>
              <w:rPr>
                <w:sz w:val="20"/>
                <w:szCs w:val="20"/>
                <w:color w:val="auto"/>
              </w:rPr>
            </w:pPr>
            <w:r>
              <w:rPr>
                <w:rFonts w:ascii="Courier New" w:cs="Courier New" w:eastAsia="Courier New" w:hAnsi="Courier New"/>
                <w:sz w:val="14"/>
                <w:szCs w:val="14"/>
                <w:color w:val="auto"/>
              </w:rPr>
              <w:t>Distribution / Summary of Capital Expenditures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w w:val="95"/>
              </w:rPr>
              <w:t>E-8</w:t>
            </w:r>
          </w:p>
        </w:tc>
      </w:tr>
      <w:tr>
        <w:trPr>
          <w:trHeight w:val="166"/>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Selected Financial</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Data ...................................</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w w:val="95"/>
              </w:rPr>
              <w:t>E-9</w:t>
            </w:r>
          </w:p>
        </w:tc>
      </w:tr>
    </w:tbl>
    <w:p>
      <w:pPr>
        <w:spacing w:after="0" w:line="170" w:lineRule="exact"/>
        <w:rPr>
          <w:sz w:val="20"/>
          <w:szCs w:val="20"/>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Debt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Summary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4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Outstanding Debt ...............................</w:t>
            </w:r>
          </w:p>
        </w:tc>
        <w:tc>
          <w:tcPr>
            <w:tcW w:w="600" w:type="dxa"/>
            <w:vAlign w:val="bottom"/>
          </w:tcPr>
          <w:p>
            <w:pPr>
              <w:ind w:left="240"/>
              <w:spacing w:after="0"/>
              <w:rPr>
                <w:sz w:val="20"/>
                <w:szCs w:val="20"/>
                <w:color w:val="auto"/>
              </w:rPr>
            </w:pPr>
            <w:r>
              <w:rPr>
                <w:rFonts w:ascii="Courier New" w:cs="Courier New" w:eastAsia="Courier New" w:hAnsi="Courier New"/>
                <w:sz w:val="14"/>
                <w:szCs w:val="14"/>
                <w:color w:val="auto"/>
              </w:rPr>
              <w:t>E-10</w:t>
            </w:r>
          </w:p>
        </w:tc>
      </w:tr>
      <w:tr>
        <w:trPr>
          <w:trHeight w:val="166"/>
        </w:trPr>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Summary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4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Debt Maturities ................................</w:t>
            </w:r>
          </w:p>
        </w:tc>
        <w:tc>
          <w:tcPr>
            <w:tcW w:w="600" w:type="dxa"/>
            <w:vAlign w:val="bottom"/>
          </w:tcPr>
          <w:p>
            <w:pPr>
              <w:ind w:left="240"/>
              <w:spacing w:after="0"/>
              <w:rPr>
                <w:sz w:val="20"/>
                <w:szCs w:val="20"/>
                <w:color w:val="auto"/>
              </w:rPr>
            </w:pPr>
            <w:r>
              <w:rPr>
                <w:rFonts w:ascii="Courier New" w:cs="Courier New" w:eastAsia="Courier New" w:hAnsi="Courier New"/>
                <w:sz w:val="14"/>
                <w:szCs w:val="14"/>
                <w:color w:val="auto"/>
              </w:rPr>
              <w:t>E-11</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4.</w:t>
            </w:r>
          </w:p>
        </w:tc>
        <w:tc>
          <w:tcPr>
            <w:tcW w:w="59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Santana Row Development Summary ................................</w:t>
            </w:r>
          </w:p>
        </w:tc>
        <w:tc>
          <w:tcPr>
            <w:tcW w:w="600" w:type="dxa"/>
            <w:vAlign w:val="bottom"/>
          </w:tcPr>
          <w:p>
            <w:pPr>
              <w:ind w:left="240"/>
              <w:spacing w:after="0"/>
              <w:rPr>
                <w:sz w:val="20"/>
                <w:szCs w:val="20"/>
                <w:color w:val="auto"/>
              </w:rPr>
            </w:pPr>
            <w:r>
              <w:rPr>
                <w:rFonts w:ascii="Courier New" w:cs="Courier New" w:eastAsia="Courier New" w:hAnsi="Courier New"/>
                <w:sz w:val="14"/>
                <w:szCs w:val="14"/>
                <w:color w:val="auto"/>
              </w:rPr>
              <w:t>E-12</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Acquisitions</w:t>
            </w:r>
          </w:p>
        </w:tc>
        <w:tc>
          <w:tcPr>
            <w:tcW w:w="47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and Dispositions - Year to Date ...................</w:t>
            </w:r>
          </w:p>
        </w:tc>
        <w:tc>
          <w:tcPr>
            <w:tcW w:w="600" w:type="dxa"/>
            <w:vAlign w:val="bottom"/>
          </w:tcPr>
          <w:p>
            <w:pPr>
              <w:ind w:left="240"/>
              <w:spacing w:after="0"/>
              <w:rPr>
                <w:sz w:val="20"/>
                <w:szCs w:val="20"/>
                <w:color w:val="auto"/>
              </w:rPr>
            </w:pPr>
            <w:r>
              <w:rPr>
                <w:rFonts w:ascii="Courier New" w:cs="Courier New" w:eastAsia="Courier New" w:hAnsi="Courier New"/>
                <w:sz w:val="14"/>
                <w:szCs w:val="14"/>
                <w:color w:val="auto"/>
              </w:rPr>
              <w:t>E-13</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6.</w:t>
            </w:r>
          </w:p>
        </w:tc>
        <w:tc>
          <w:tcPr>
            <w:tcW w:w="59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Real Estate Status Report ......................................</w:t>
            </w:r>
          </w:p>
        </w:tc>
        <w:tc>
          <w:tcPr>
            <w:tcW w:w="600" w:type="dxa"/>
            <w:vAlign w:val="bottom"/>
          </w:tcPr>
          <w:p>
            <w:pPr>
              <w:ind w:left="240"/>
              <w:spacing w:after="0"/>
              <w:rPr>
                <w:sz w:val="20"/>
                <w:szCs w:val="20"/>
                <w:color w:val="auto"/>
              </w:rPr>
            </w:pPr>
            <w:r>
              <w:rPr>
                <w:rFonts w:ascii="Courier New" w:cs="Courier New" w:eastAsia="Courier New" w:hAnsi="Courier New"/>
                <w:sz w:val="14"/>
                <w:szCs w:val="14"/>
                <w:color w:val="auto"/>
              </w:rPr>
              <w:t>E-14</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7.</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Shopping Center</w:t>
            </w:r>
          </w:p>
        </w:tc>
        <w:tc>
          <w:tcPr>
            <w:tcW w:w="4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Street Retail Summary ........................</w:t>
            </w:r>
          </w:p>
        </w:tc>
        <w:tc>
          <w:tcPr>
            <w:tcW w:w="600" w:type="dxa"/>
            <w:vAlign w:val="bottom"/>
          </w:tcPr>
          <w:p>
            <w:pPr>
              <w:ind w:left="240"/>
              <w:spacing w:after="0"/>
              <w:rPr>
                <w:sz w:val="20"/>
                <w:szCs w:val="20"/>
                <w:color w:val="auto"/>
              </w:rPr>
            </w:pPr>
            <w:r>
              <w:rPr>
                <w:rFonts w:ascii="Courier New" w:cs="Courier New" w:eastAsia="Courier New" w:hAnsi="Courier New"/>
                <w:sz w:val="14"/>
                <w:szCs w:val="14"/>
                <w:color w:val="auto"/>
              </w:rPr>
              <w:t>E-16</w:t>
            </w:r>
          </w:p>
        </w:tc>
      </w:tr>
    </w:tbl>
    <w:p>
      <w:pPr>
        <w:spacing w:after="0" w:line="170" w:lineRule="exact"/>
        <w:rPr>
          <w:sz w:val="20"/>
          <w:szCs w:val="20"/>
          <w:color w:val="auto"/>
        </w:rPr>
      </w:pP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Leasing Summary</w:t>
      </w:r>
    </w:p>
    <w:p>
      <w:pPr>
        <w:spacing w:after="0" w:line="7"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Retail</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Leasing</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Summary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Comparable .......................</w:t>
            </w:r>
          </w:p>
        </w:tc>
        <w:tc>
          <w:tcPr>
            <w:tcW w:w="600" w:type="dxa"/>
            <w:vAlign w:val="bottom"/>
          </w:tcPr>
          <w:p>
            <w:pPr>
              <w:ind w:left="240"/>
              <w:spacing w:after="0"/>
              <w:rPr>
                <w:sz w:val="20"/>
                <w:szCs w:val="20"/>
                <w:color w:val="auto"/>
              </w:rPr>
            </w:pPr>
            <w:r>
              <w:rPr>
                <w:rFonts w:ascii="Courier New" w:cs="Courier New" w:eastAsia="Courier New" w:hAnsi="Courier New"/>
                <w:sz w:val="14"/>
                <w:szCs w:val="14"/>
                <w:color w:val="auto"/>
              </w:rPr>
              <w:t>E-17</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Retail</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Leasing</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Summary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Non-comparable ...................</w:t>
            </w:r>
          </w:p>
        </w:tc>
        <w:tc>
          <w:tcPr>
            <w:tcW w:w="600" w:type="dxa"/>
            <w:vAlign w:val="bottom"/>
          </w:tcPr>
          <w:p>
            <w:pPr>
              <w:ind w:left="240"/>
              <w:spacing w:after="0"/>
              <w:rPr>
                <w:sz w:val="20"/>
                <w:szCs w:val="20"/>
                <w:color w:val="auto"/>
              </w:rPr>
            </w:pPr>
            <w:r>
              <w:rPr>
                <w:rFonts w:ascii="Courier New" w:cs="Courier New" w:eastAsia="Courier New" w:hAnsi="Courier New"/>
                <w:sz w:val="14"/>
                <w:szCs w:val="14"/>
                <w:color w:val="auto"/>
              </w:rPr>
              <w:t>E-18</w:t>
            </w:r>
          </w:p>
        </w:tc>
      </w:tr>
    </w:tbl>
    <w:p>
      <w:pPr>
        <w:spacing w:after="0" w:line="170" w:lineRule="exact"/>
        <w:rPr>
          <w:sz w:val="20"/>
          <w:szCs w:val="20"/>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Summary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Occupancy</w:t>
            </w:r>
          </w:p>
        </w:tc>
        <w:tc>
          <w:tcPr>
            <w:tcW w:w="4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Summary - Overall ...............................</w:t>
            </w:r>
          </w:p>
        </w:tc>
        <w:tc>
          <w:tcPr>
            <w:tcW w:w="600" w:type="dxa"/>
            <w:vAlign w:val="bottom"/>
          </w:tcPr>
          <w:p>
            <w:pPr>
              <w:ind w:left="240"/>
              <w:spacing w:after="0"/>
              <w:rPr>
                <w:sz w:val="20"/>
                <w:szCs w:val="20"/>
                <w:color w:val="auto"/>
              </w:rPr>
            </w:pPr>
            <w:r>
              <w:rPr>
                <w:rFonts w:ascii="Courier New" w:cs="Courier New" w:eastAsia="Courier New" w:hAnsi="Courier New"/>
                <w:sz w:val="14"/>
                <w:szCs w:val="14"/>
                <w:color w:val="auto"/>
              </w:rPr>
              <w:t>E-19</w:t>
            </w:r>
          </w:p>
        </w:tc>
      </w:tr>
      <w:tr>
        <w:trPr>
          <w:trHeight w:val="166"/>
        </w:trPr>
        <w:tc>
          <w:tcPr>
            <w:tcW w:w="3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Occupancy</w:t>
            </w:r>
          </w:p>
        </w:tc>
        <w:tc>
          <w:tcPr>
            <w:tcW w:w="4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Summary - Same Center ...........................</w:t>
            </w:r>
          </w:p>
        </w:tc>
        <w:tc>
          <w:tcPr>
            <w:tcW w:w="600" w:type="dxa"/>
            <w:vAlign w:val="bottom"/>
          </w:tcPr>
          <w:p>
            <w:pPr>
              <w:ind w:left="240"/>
              <w:spacing w:after="0"/>
              <w:rPr>
                <w:sz w:val="20"/>
                <w:szCs w:val="20"/>
                <w:color w:val="auto"/>
              </w:rPr>
            </w:pPr>
            <w:r>
              <w:rPr>
                <w:rFonts w:ascii="Courier New" w:cs="Courier New" w:eastAsia="Courier New" w:hAnsi="Courier New"/>
                <w:sz w:val="14"/>
                <w:szCs w:val="14"/>
                <w:color w:val="auto"/>
              </w:rPr>
              <w:t>E-20</w:t>
            </w:r>
          </w:p>
        </w:tc>
      </w:tr>
      <w:tr>
        <w:trPr>
          <w:trHeight w:val="331"/>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Summary of Top</w:t>
            </w:r>
          </w:p>
        </w:tc>
        <w:tc>
          <w:tcPr>
            <w:tcW w:w="4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Twenty-five Tenants - Prospective ...............</w:t>
            </w:r>
          </w:p>
        </w:tc>
        <w:tc>
          <w:tcPr>
            <w:tcW w:w="600" w:type="dxa"/>
            <w:vAlign w:val="bottom"/>
          </w:tcPr>
          <w:p>
            <w:pPr>
              <w:ind w:left="240"/>
              <w:spacing w:after="0"/>
              <w:rPr>
                <w:sz w:val="20"/>
                <w:szCs w:val="20"/>
                <w:color w:val="auto"/>
              </w:rPr>
            </w:pPr>
            <w:r>
              <w:rPr>
                <w:rFonts w:ascii="Courier New" w:cs="Courier New" w:eastAsia="Courier New" w:hAnsi="Courier New"/>
                <w:sz w:val="14"/>
                <w:szCs w:val="14"/>
                <w:color w:val="auto"/>
              </w:rPr>
              <w:t>E-21</w:t>
            </w:r>
          </w:p>
        </w:tc>
      </w:tr>
      <w:tr>
        <w:trPr>
          <w:trHeight w:val="331"/>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11.</w:t>
            </w:r>
          </w:p>
        </w:tc>
        <w:tc>
          <w:tcPr>
            <w:tcW w:w="5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Glossary of Terms ..............................................</w:t>
            </w:r>
          </w:p>
        </w:tc>
        <w:tc>
          <w:tcPr>
            <w:tcW w:w="600" w:type="dxa"/>
            <w:vAlign w:val="bottom"/>
          </w:tcPr>
          <w:p>
            <w:pPr>
              <w:ind w:left="240"/>
              <w:spacing w:after="0"/>
              <w:rPr>
                <w:sz w:val="20"/>
                <w:szCs w:val="20"/>
                <w:color w:val="auto"/>
              </w:rPr>
            </w:pPr>
            <w:r>
              <w:rPr>
                <w:rFonts w:ascii="Courier New" w:cs="Courier New" w:eastAsia="Courier New" w:hAnsi="Courier New"/>
                <w:sz w:val="14"/>
                <w:szCs w:val="14"/>
                <w:color w:val="auto"/>
              </w:rPr>
              <w:t>E-22</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Rockville, Maryland 20852-4041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473" w:right="1440" w:bottom="1440" w:gutter="0" w:footer="0" w:header="0"/>
        </w:sectPr>
      </w:pPr>
    </w:p>
    <w:bookmarkStart w:id="4" w:name="page5"/>
    <w:bookmarkEnd w:id="4"/>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IMMEDIATE RELEASE</w:t>
      </w:r>
    </w:p>
    <w:p>
      <w:pPr>
        <w:sectPr>
          <w:pgSz w:w="11900" w:h="16880" w:orient="portrait"/>
          <w:cols w:equalWidth="0" w:num="1">
            <w:col w:w="10239"/>
          </w:cols>
          <w:pgMar w:left="220" w:top="616" w:right="1440" w:bottom="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 Inquiries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Media Inquiries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80" w:orient="portrait"/>
          <w:cols w:equalWidth="0" w:num="2">
            <w:col w:w="4120" w:space="720"/>
            <w:col w:w="5399"/>
          </w:cols>
          <w:pgMar w:left="220" w:top="616"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Andrew Blocher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Investor Relations &amp; Capital Markets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301/998-8166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ablocher@federalrealty.com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Kristine Warner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Corporate Communications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301/998-8212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kwarner@federalrealty.com</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80" w:orient="portrait"/>
          <w:cols w:equalWidth="0" w:num="2">
            <w:col w:w="4480" w:space="360"/>
            <w:col w:w="5399"/>
          </w:cols>
          <w:pgMar w:left="220" w:top="616" w:right="1440" w:bottom="0" w:gutter="0" w:footer="0" w:header="0"/>
          <w:type w:val="continuous"/>
        </w:sectPr>
      </w:pPr>
    </w:p>
    <w:p>
      <w:pPr>
        <w:spacing w:after="0" w:line="30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THIRD QUARTER 2002 OPERATING RESULTS</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-Core Portfolio Continues to Drive Strong Results-</w:t>
      </w:r>
    </w:p>
    <w:p>
      <w:pPr>
        <w:spacing w:after="0" w:line="3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ROCKVILLE, MD (October 30, 2002) - Federal Realty Investment Trust (NYSE:FRT) today reported operating results for its third quarter ended September 30, 2002.</w:t>
      </w:r>
    </w:p>
    <w:p>
      <w:pPr>
        <w:spacing w:after="0" w:line="160" w:lineRule="exact"/>
        <w:rPr>
          <w:sz w:val="20"/>
          <w:szCs w:val="20"/>
          <w:color w:val="auto"/>
        </w:rPr>
      </w:pPr>
    </w:p>
    <w:p>
      <w:pPr>
        <w:ind w:left="260" w:right="3939" w:hanging="257"/>
        <w:spacing w:after="0" w:line="250" w:lineRule="auto"/>
        <w:tabs>
          <w:tab w:leader="none" w:pos="240" w:val="left"/>
        </w:tabs>
        <w:rPr>
          <w:sz w:val="20"/>
          <w:szCs w:val="20"/>
          <w:color w:val="auto"/>
        </w:rPr>
      </w:pPr>
      <w:r>
        <w:rPr>
          <w:rFonts w:ascii="Courier New" w:cs="Courier New" w:eastAsia="Courier New" w:hAnsi="Courier New"/>
          <w:sz w:val="14"/>
          <w:szCs w:val="14"/>
          <w:color w:val="auto"/>
        </w:rPr>
        <w:t>..</w:t>
        <w:tab/>
        <w:t>Funds from operations (FFO) of $0.67 per diluted share beat consensus estimates of $0.64 per diluted share</w:t>
      </w:r>
    </w:p>
    <w:p>
      <w:pPr>
        <w:spacing w:after="0" w:line="1"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tab/>
        <w:t>Net operating income increased 4.0% on a same-center basis</w:t>
      </w:r>
    </w:p>
    <w:p>
      <w:pPr>
        <w:spacing w:after="0" w:line="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tab/>
        <w:t>20% average increase, on a cash basis, on lease rollovers</w:t>
      </w:r>
    </w:p>
    <w:p>
      <w:pPr>
        <w:spacing w:after="0" w:line="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tab/>
        <w:t>Occupancy remained strong at 95.5%</w:t>
      </w:r>
    </w:p>
    <w:p>
      <w:pPr>
        <w:spacing w:after="0" w:line="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tab/>
        <w:t>Santana Row grand opening on November 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Trust reported FFO of $29.7 million for the third quarter, or $0.67 per diluted share, beating First Call consensus estimates by $0.03 per share. This compares to third quarter 2001 FFO of $28.3 million, or $0.70 per diluted share. Rental income increased 6.0% from $68.2 million in the third quarter of 2001 to $72.3 million in the third quarter of 2002. On a same-center basis, which excludes the impact of properties acquired, developed or sold during the analyzed periods, rental income increased 3.1% from $67.1 million in the third quarter of 2001 to $69.2 million in the third quarter of 2002.</w:t>
      </w:r>
    </w:p>
    <w:p>
      <w:pPr>
        <w:spacing w:after="0" w:line="16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On a same-center basis, net operating income increased 4.0% versus third quarter 2001.</w:t>
      </w:r>
    </w:p>
    <w:p>
      <w:pPr>
        <w:spacing w:after="0" w:line="200" w:lineRule="exact"/>
        <w:rPr>
          <w:sz w:val="20"/>
          <w:szCs w:val="20"/>
          <w:color w:val="auto"/>
        </w:rPr>
      </w:pPr>
    </w:p>
    <w:p>
      <w:pPr>
        <w:spacing w:after="0" w:line="29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THIRD QUARTER 2002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While same-center net operating income increased, pre-opening expenses at Santana Row, increased preferred dividends, and short-term dilution resulting from recent property disposition and equity proceeds being utilized to pay down balances on the Trust's line of credit offset these increases, resulting in a year-over-year decline in FFO per diluted share.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FRT vs. REIT Industry Same Center NOI Growth Over Last 6 Quarters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20" w:type="dxa"/>
            <w:vAlign w:val="bottom"/>
          </w:tcPr>
          <w:p>
            <w:pPr>
              <w:ind w:left="1040"/>
              <w:spacing w:after="0"/>
              <w:rPr>
                <w:sz w:val="20"/>
                <w:szCs w:val="20"/>
                <w:color w:val="auto"/>
              </w:rPr>
            </w:pPr>
            <w:r>
              <w:rPr>
                <w:rFonts w:ascii="Courier New" w:cs="Courier New" w:eastAsia="Courier New" w:hAnsi="Courier New"/>
                <w:sz w:val="14"/>
                <w:szCs w:val="14"/>
                <w:color w:val="auto"/>
              </w:rPr>
              <w:t>2Q01</w:t>
            </w:r>
          </w:p>
        </w:tc>
        <w:tc>
          <w:tcPr>
            <w:tcW w:w="1000" w:type="dxa"/>
            <w:vAlign w:val="bottom"/>
          </w:tcPr>
          <w:p>
            <w:pPr>
              <w:ind w:left="340"/>
              <w:spacing w:after="0"/>
              <w:rPr>
                <w:sz w:val="20"/>
                <w:szCs w:val="20"/>
                <w:color w:val="auto"/>
              </w:rPr>
            </w:pPr>
            <w:r>
              <w:rPr>
                <w:rFonts w:ascii="Courier New" w:cs="Courier New" w:eastAsia="Courier New" w:hAnsi="Courier New"/>
                <w:sz w:val="14"/>
                <w:szCs w:val="14"/>
                <w:color w:val="auto"/>
              </w:rPr>
              <w:t>3Q01</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4Q01</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1Q02</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2Q02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3Q02</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FRT</w:t>
            </w:r>
          </w:p>
        </w:tc>
        <w:tc>
          <w:tcPr>
            <w:tcW w:w="2640" w:type="dxa"/>
            <w:vAlign w:val="bottom"/>
          </w:tcPr>
          <w:p>
            <w:pPr>
              <w:jc w:val="right"/>
              <w:ind w:right="2248"/>
              <w:spacing w:after="0"/>
              <w:rPr>
                <w:sz w:val="20"/>
                <w:szCs w:val="20"/>
                <w:color w:val="auto"/>
              </w:rPr>
            </w:pPr>
            <w:r>
              <w:rPr>
                <w:rFonts w:ascii="Courier New" w:cs="Courier New" w:eastAsia="Courier New" w:hAnsi="Courier New"/>
                <w:sz w:val="14"/>
                <w:szCs w:val="14"/>
                <w:color w:val="auto"/>
              </w:rPr>
              <w:t>(1)</w:t>
            </w:r>
          </w:p>
        </w:tc>
        <w:tc>
          <w:tcPr>
            <w:tcW w:w="1720" w:type="dxa"/>
            <w:vAlign w:val="bottom"/>
          </w:tcPr>
          <w:p>
            <w:pPr>
              <w:ind w:left="1040"/>
              <w:spacing w:after="0"/>
              <w:rPr>
                <w:sz w:val="20"/>
                <w:szCs w:val="20"/>
                <w:color w:val="auto"/>
              </w:rPr>
            </w:pPr>
            <w:r>
              <w:rPr>
                <w:rFonts w:ascii="Courier New" w:cs="Courier New" w:eastAsia="Courier New" w:hAnsi="Courier New"/>
                <w:sz w:val="14"/>
                <w:szCs w:val="14"/>
                <w:color w:val="auto"/>
              </w:rPr>
              <w:t>5.2%</w:t>
            </w:r>
          </w:p>
        </w:tc>
        <w:tc>
          <w:tcPr>
            <w:tcW w:w="1000" w:type="dxa"/>
            <w:vAlign w:val="bottom"/>
          </w:tcPr>
          <w:p>
            <w:pPr>
              <w:ind w:left="340"/>
              <w:spacing w:after="0"/>
              <w:rPr>
                <w:sz w:val="20"/>
                <w:szCs w:val="20"/>
                <w:color w:val="auto"/>
              </w:rPr>
            </w:pPr>
            <w:r>
              <w:rPr>
                <w:rFonts w:ascii="Courier New" w:cs="Courier New" w:eastAsia="Courier New" w:hAnsi="Courier New"/>
                <w:sz w:val="14"/>
                <w:szCs w:val="14"/>
                <w:color w:val="auto"/>
              </w:rPr>
              <w:t>6.5%</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6.3%</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6.2%</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Peer Group Average (2)</w:t>
            </w:r>
          </w:p>
        </w:tc>
        <w:tc>
          <w:tcPr>
            <w:tcW w:w="1720" w:type="dxa"/>
            <w:vAlign w:val="bottom"/>
          </w:tcPr>
          <w:p>
            <w:pPr>
              <w:ind w:left="1040"/>
              <w:spacing w:after="0"/>
              <w:rPr>
                <w:sz w:val="20"/>
                <w:szCs w:val="20"/>
                <w:color w:val="auto"/>
              </w:rPr>
            </w:pPr>
            <w:r>
              <w:rPr>
                <w:rFonts w:ascii="Courier New" w:cs="Courier New" w:eastAsia="Courier New" w:hAnsi="Courier New"/>
                <w:sz w:val="14"/>
                <w:szCs w:val="14"/>
                <w:color w:val="auto"/>
              </w:rPr>
              <w:t>3.7%</w:t>
            </w:r>
          </w:p>
        </w:tc>
        <w:tc>
          <w:tcPr>
            <w:tcW w:w="1000" w:type="dxa"/>
            <w:vAlign w:val="bottom"/>
          </w:tcPr>
          <w:p>
            <w:pPr>
              <w:ind w:left="340"/>
              <w:spacing w:after="0"/>
              <w:rPr>
                <w:sz w:val="20"/>
                <w:szCs w:val="20"/>
                <w:color w:val="auto"/>
              </w:rPr>
            </w:pPr>
            <w:r>
              <w:rPr>
                <w:rFonts w:ascii="Courier New" w:cs="Courier New" w:eastAsia="Courier New" w:hAnsi="Courier New"/>
                <w:sz w:val="14"/>
                <w:szCs w:val="14"/>
                <w:color w:val="auto"/>
              </w:rPr>
              <w:t>2.4%</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1.5%</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0.3%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497"/>
        </w:trPr>
        <w:tc>
          <w:tcPr>
            <w:tcW w:w="30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660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FRT same-center NOI growth excludes redevelopment capital. If redevelopment</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80" w:orient="portrait"/>
          <w:cols w:equalWidth="0" w:num="1">
            <w:col w:w="10239"/>
          </w:cols>
          <w:pgMar w:left="220" w:top="616" w:right="1440" w:bottom="0" w:gutter="0" w:footer="0" w:header="0"/>
          <w:type w:val="continuous"/>
        </w:sectPr>
      </w:pPr>
    </w:p>
    <w:bookmarkStart w:id="5" w:name="page6"/>
    <w:bookmarkEnd w:id="5"/>
    <w:p>
      <w:pPr>
        <w:spacing w:after="0" w:line="73"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capital was included, same-center NOI growth would have exceeded or equaled growth shown in all periods.</w:t>
      </w:r>
    </w:p>
    <w:p>
      <w:pPr>
        <w:spacing w:after="0" w:line="1" w:lineRule="exact"/>
        <w:rPr>
          <w:sz w:val="20"/>
          <w:szCs w:val="20"/>
          <w:color w:val="auto"/>
        </w:rPr>
      </w:pPr>
    </w:p>
    <w:p>
      <w:pPr>
        <w:ind w:left="440" w:right="3339" w:hanging="432"/>
        <w:spacing w:after="0" w:line="255"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Peer group includes KIM, REG, NXL, WRI and PNP. Complete 3Q02 data not yet available.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Source: Morgan Stanley Research</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Portfolio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September 30, 2002, overall occupancy remained strong at 95.5%, compared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95.8% on September 30, 2001. During the third quarter, the Trust signed leases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more than 480,000 square feet of retail space. On a comparable retail space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the Trust leased over 375,000 square feet, at an average cash increase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rent per square foot of 20%. The weighted-average new rent on this space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$19.05 per square foot compared to the previous weighted-average rent of $15.93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square foot. Rent increases on the over 1 million square feet of comparable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space leased year-to-date have averaged 13% on a cash basis.</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THIRD QUARTER 2002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strong leasing production that our team has achieved this quarter, and in fact all year, has been very encouraging," stated Donald C. Wood, Federal Realty's president and chief operating officer. "Given the strength of our properties and our leasing team, we would expect to continue to produce sector-leading property operating income growth for the balance of 2002."</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Santana Row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At Santana Row, Federal Realty's mixed-use development in San Jose, California, construction continues in advance of the November 7, 2002 grand opening. Phase I of Santana Row will include 445,000 square feet of retail space, 255 residential units and a 214-room boutique hotel.</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Other Quarterly Activities and Recent Developments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 w:right="3419" w:hanging="257"/>
        <w:spacing w:after="0" w:line="255" w:lineRule="auto"/>
        <w:tabs>
          <w:tab w:leader="none" w:pos="240" w:val="left"/>
        </w:tabs>
        <w:rPr>
          <w:sz w:val="20"/>
          <w:szCs w:val="20"/>
          <w:color w:val="auto"/>
        </w:rPr>
      </w:pPr>
      <w:r>
        <w:rPr>
          <w:rFonts w:ascii="Courier New" w:cs="Courier New" w:eastAsia="Courier New" w:hAnsi="Courier New"/>
          <w:sz w:val="14"/>
          <w:szCs w:val="14"/>
          <w:color w:val="auto"/>
        </w:rPr>
        <w:t>..</w:t>
        <w:tab/>
        <w:t>On October 9, Standard &amp; Poor's reaffirmed the Trust's BBB corporate credit rating and removed the Trust from credit watch.</w:t>
      </w:r>
    </w:p>
    <w:p>
      <w:pPr>
        <w:spacing w:after="0" w:line="160" w:lineRule="exact"/>
        <w:rPr>
          <w:sz w:val="20"/>
          <w:szCs w:val="20"/>
          <w:color w:val="auto"/>
        </w:rPr>
      </w:pPr>
    </w:p>
    <w:p>
      <w:pPr>
        <w:ind w:left="260" w:right="3519" w:hanging="257"/>
        <w:spacing w:after="0" w:line="251" w:lineRule="auto"/>
        <w:tabs>
          <w:tab w:leader="none" w:pos="240" w:val="left"/>
        </w:tabs>
        <w:rPr>
          <w:sz w:val="20"/>
          <w:szCs w:val="20"/>
          <w:color w:val="auto"/>
        </w:rPr>
      </w:pPr>
      <w:r>
        <w:rPr>
          <w:rFonts w:ascii="Courier New" w:cs="Courier New" w:eastAsia="Courier New" w:hAnsi="Courier New"/>
          <w:sz w:val="14"/>
          <w:szCs w:val="14"/>
          <w:color w:val="auto"/>
        </w:rPr>
        <w:t>..</w:t>
        <w:tab/>
        <w:t>On October 7, Federal Realty reaffirmed its 2002 FFO guidance of $2.62 per diluted share, and provided 2003 FFO guidance of $2.60 per diluted share, before taking into account any one-time charges related to the previously announced retirement of Steven Guttman, the Trust's chief executive officer, in March 2003. The Trust remains comfortable with both 2002 and 2003 FFO guidance.</w:t>
      </w:r>
    </w:p>
    <w:p>
      <w:pPr>
        <w:spacing w:after="0" w:line="164" w:lineRule="exact"/>
        <w:rPr>
          <w:sz w:val="20"/>
          <w:szCs w:val="20"/>
          <w:color w:val="auto"/>
        </w:rPr>
      </w:pPr>
    </w:p>
    <w:p>
      <w:pPr>
        <w:jc w:val="both"/>
        <w:ind w:left="260" w:right="3419" w:hanging="257"/>
        <w:spacing w:after="0" w:line="252" w:lineRule="auto"/>
        <w:tabs>
          <w:tab w:leader="none" w:pos="240" w:val="left"/>
        </w:tabs>
        <w:rPr>
          <w:sz w:val="20"/>
          <w:szCs w:val="20"/>
          <w:color w:val="auto"/>
        </w:rPr>
      </w:pPr>
      <w:r>
        <w:rPr>
          <w:rFonts w:ascii="Courier New" w:cs="Courier New" w:eastAsia="Courier New" w:hAnsi="Courier New"/>
          <w:sz w:val="14"/>
          <w:szCs w:val="14"/>
          <w:color w:val="auto"/>
        </w:rPr>
        <w:t>..</w:t>
        <w:tab/>
        <w:t>On October 3, Moody's Investor Service reaffirmed its Baa2 senior unsecured debt ratings for the Trust and changed its rating outlook to negative, from stable, as a result of the impact of property loss and cash flow disruption caused by the August 19 fire at Santana Row.</w:t>
      </w:r>
    </w:p>
    <w:p>
      <w:pPr>
        <w:spacing w:after="0" w:line="162" w:lineRule="exact"/>
        <w:rPr>
          <w:sz w:val="20"/>
          <w:szCs w:val="20"/>
          <w:color w:val="auto"/>
        </w:rPr>
      </w:pPr>
    </w:p>
    <w:p>
      <w:pPr>
        <w:ind w:left="260" w:right="3259" w:hanging="257"/>
        <w:spacing w:after="0" w:line="255" w:lineRule="auto"/>
        <w:tabs>
          <w:tab w:leader="none" w:pos="240" w:val="left"/>
        </w:tabs>
        <w:rPr>
          <w:sz w:val="20"/>
          <w:szCs w:val="20"/>
          <w:color w:val="auto"/>
        </w:rPr>
      </w:pPr>
      <w:r>
        <w:rPr>
          <w:rFonts w:ascii="Courier New" w:cs="Courier New" w:eastAsia="Courier New" w:hAnsi="Courier New"/>
          <w:sz w:val="14"/>
          <w:szCs w:val="14"/>
          <w:color w:val="auto"/>
        </w:rPr>
        <w:t>..</w:t>
        <w:tab/>
        <w:t>On September 13, the Trust increased its common dividend to $0.485 per share, marking the 35th consecutive year that Federal Realty has increased its</w:t>
      </w:r>
    </w:p>
    <w:p>
      <w:pPr>
        <w:sectPr>
          <w:pgSz w:w="11900" w:h="16912" w:orient="portrait"/>
          <w:cols w:equalWidth="0" w:num="1">
            <w:col w:w="10239"/>
          </w:cols>
          <w:pgMar w:left="220" w:top="141" w:right="1440" w:bottom="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common dividend.</w:t>
      </w:r>
    </w:p>
    <w:p>
      <w:pPr>
        <w:spacing w:after="0" w:line="173" w:lineRule="exact"/>
        <w:rPr>
          <w:sz w:val="20"/>
          <w:szCs w:val="20"/>
          <w:color w:val="auto"/>
        </w:rPr>
      </w:pPr>
    </w:p>
    <w:p>
      <w:pPr>
        <w:ind w:left="260" w:right="3339" w:hanging="257"/>
        <w:spacing w:after="0" w:line="252" w:lineRule="auto"/>
        <w:tabs>
          <w:tab w:leader="none" w:pos="240" w:val="left"/>
        </w:tabs>
        <w:rPr>
          <w:sz w:val="20"/>
          <w:szCs w:val="20"/>
          <w:color w:val="auto"/>
        </w:rPr>
      </w:pPr>
      <w:r>
        <w:rPr>
          <w:rFonts w:ascii="Courier New" w:cs="Courier New" w:eastAsia="Courier New" w:hAnsi="Courier New"/>
          <w:sz w:val="14"/>
          <w:szCs w:val="14"/>
          <w:color w:val="auto"/>
        </w:rPr>
        <w:t>..</w:t>
        <w:tab/>
        <w:t>On August 19, a fire broke out in Building 7 at Santana Row, destroying the vast majority of the residential component and causing smoke and water damage to the retail component of that building. As</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THIRD QUARTER 2002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4</w:t>
      </w:r>
    </w:p>
    <w:p>
      <w:pPr>
        <w:spacing w:after="0" w:line="338" w:lineRule="exact"/>
        <w:rPr>
          <w:sz w:val="20"/>
          <w:szCs w:val="20"/>
          <w:color w:val="auto"/>
        </w:rPr>
      </w:pPr>
    </w:p>
    <w:p>
      <w:pPr>
        <w:ind w:left="260" w:right="4379"/>
        <w:spacing w:after="0" w:line="255" w:lineRule="auto"/>
        <w:rPr>
          <w:sz w:val="20"/>
          <w:szCs w:val="20"/>
          <w:color w:val="auto"/>
        </w:rPr>
      </w:pPr>
      <w:r>
        <w:rPr>
          <w:rFonts w:ascii="Courier New" w:cs="Courier New" w:eastAsia="Courier New" w:hAnsi="Courier New"/>
          <w:sz w:val="14"/>
          <w:szCs w:val="14"/>
          <w:color w:val="auto"/>
        </w:rPr>
        <w:t>a result of the fire, the opening of Santana Row was delayed from September 19 to November 7.</w:t>
      </w:r>
    </w:p>
    <w:p>
      <w:pPr>
        <w:spacing w:after="0" w:line="160" w:lineRule="exact"/>
        <w:rPr>
          <w:sz w:val="20"/>
          <w:szCs w:val="20"/>
          <w:color w:val="auto"/>
        </w:rPr>
      </w:pPr>
    </w:p>
    <w:p>
      <w:pPr>
        <w:ind w:left="260" w:right="3519" w:hanging="257"/>
        <w:spacing w:after="0" w:line="252" w:lineRule="auto"/>
        <w:tabs>
          <w:tab w:leader="none" w:pos="240" w:val="left"/>
        </w:tabs>
        <w:rPr>
          <w:sz w:val="20"/>
          <w:szCs w:val="20"/>
          <w:color w:val="auto"/>
        </w:rPr>
      </w:pPr>
      <w:r>
        <w:rPr>
          <w:rFonts w:ascii="Courier New" w:cs="Courier New" w:eastAsia="Courier New" w:hAnsi="Courier New"/>
          <w:sz w:val="14"/>
          <w:szCs w:val="14"/>
          <w:color w:val="auto"/>
        </w:rPr>
        <w:t>..</w:t>
        <w:tab/>
        <w:t>On July 25, the Trust appointed two new members to serve on the Board of Trustees, Amy Lane, former retail investment banking chief at Merrill Lynch and Joseph Vassalluzzo, current vice chairman of Staples, Inc.</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Conference Call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Federal Realty's management team will present a more in depth discussion of the Trust's operating performance on its third quarter earnings conference call, which is scheduled for Thursday, October 31, 2002 at 1:00 P.M. Eastern Time. To participate, please call (877) 352-5209 five to ten minutes prior to the start time and use the Passcode EARNINGS (required). The conference leader is Andrew Blocher. Federal Realty will also provide an online Web Simulcast on the company's web site, www.federalrealty.com, available for 14 days following the</w:t>
      </w:r>
    </w:p>
    <w:p>
      <w:pPr>
        <w:spacing w:after="0" w:line="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conference call. A telephone recording of the call will be available for 14 days by dialing (888) 445-8675.</w:t>
      </w:r>
    </w:p>
    <w:p>
      <w:pPr>
        <w:spacing w:after="0" w:line="16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Federal Realty Investment Trust is an equity real estate investment trust specializing in the ownership, management, development and re-development of shopping centers and street retail properties. Federal Realty's portfolio contains 15 million square feet located in major metropolitan markets across the United States. The operating portfolio is currently approximately 96% occupied by over 2,100 national, regional and local retailers with no single tenant accounting for more than 3% of rental revenue. Federal Realty has paid quarterly dividends to its shareholders continuously since its founding in 1962, and has increased its dividend rate for 35 consecutive years, the longest consecutive record in the REIT industry. Shares of Federal Realty are traded on the New York Stock Exchange under the symbol FRT. Additional information about Federal Realty can be found on the Internet at www.federalrealty.com.</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Language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Certain matters discussed within this press release may be deemed to be forward looking statements within the meaning of the Private Securities Litigation Reform Act of 1995. Although Federal Realty Investment Trust believes the expectations reflected in such forward looking statements are based on reasonable assumptions, it can give no assurance that its expectations will be attained. Factors that could cause actual results to differ materially from Federal's expectations are detailed from time to time in the Company's SEC reports and filings, including its annual report on Form 10-K. Federal Realty assumes no obligation to update or supplement forward-looking statements that become untrue because of subsequent events.</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403"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gridSpan w:val="3"/>
          </w:tcPr>
          <w:p>
            <w:pPr>
              <w:jc w:val="right"/>
              <w:ind w:right="388"/>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14"/>
                <w:szCs w:val="14"/>
                <w:color w:val="auto"/>
              </w:rPr>
            </w:pPr>
          </w:p>
        </w:tc>
        <w:tc>
          <w:tcPr>
            <w:tcW w:w="18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6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gridSpan w:val="3"/>
          </w:tcPr>
          <w:p>
            <w:pPr>
              <w:jc w:val="right"/>
              <w:ind w:right="568"/>
              <w:spacing w:after="0"/>
              <w:rPr>
                <w:sz w:val="20"/>
                <w:szCs w:val="20"/>
                <w:color w:val="auto"/>
              </w:rPr>
            </w:pPr>
            <w:r>
              <w:rPr>
                <w:rFonts w:ascii="Courier New" w:cs="Courier New" w:eastAsia="Courier New" w:hAnsi="Courier New"/>
                <w:sz w:val="14"/>
                <w:szCs w:val="14"/>
                <w:color w:val="auto"/>
              </w:rPr>
              <w:t>September 30,</w:t>
            </w:r>
          </w:p>
        </w:tc>
        <w:tc>
          <w:tcPr>
            <w:tcW w:w="260" w:type="dxa"/>
            <w:vAlign w:val="bottom"/>
          </w:tcPr>
          <w:p>
            <w:pPr>
              <w:spacing w:after="0"/>
              <w:rPr>
                <w:sz w:val="14"/>
                <w:szCs w:val="14"/>
                <w:color w:val="auto"/>
              </w:rPr>
            </w:pPr>
          </w:p>
        </w:tc>
        <w:tc>
          <w:tcPr>
            <w:tcW w:w="186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5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30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26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Rental income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72,277</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68,179</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$ 214,242</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$ 201,177</w:t>
            </w: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Other property income</w:t>
            </w: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4,412</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4,292</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11,393</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10,189</w:t>
            </w: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Interest and other income</w:t>
            </w: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1,644</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1,678</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3,762</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5,275</w:t>
            </w:r>
          </w:p>
        </w:tc>
      </w:tr>
      <w:tr>
        <w:trPr>
          <w:trHeight w:val="166"/>
        </w:trPr>
        <w:tc>
          <w:tcPr>
            <w:tcW w:w="668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78,333</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74,149</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229,397</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216,641</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Rental</w:t>
            </w: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17,471</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15,254</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49,288</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45,114</w:t>
            </w: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Real estate taxes</w:t>
            </w: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7,891</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7,284</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23,078</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20,541</w:t>
            </w: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Interest</w:t>
            </w: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13,540</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17,680</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45,313</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52,360</w:t>
            </w: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Administrative</w:t>
            </w: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3,713</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3,516</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10,209</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9,971</w:t>
            </w: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Restructuring expenses</w:t>
            </w: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8,489</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Depreciation and amortization</w:t>
            </w: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16,074</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14,966</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47,826</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43,561</w:t>
            </w:r>
          </w:p>
        </w:tc>
      </w:tr>
      <w:tr>
        <w:trPr>
          <w:trHeight w:val="166"/>
        </w:trPr>
        <w:tc>
          <w:tcPr>
            <w:tcW w:w="668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58,689</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58,700</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184,203</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171,547</w:t>
            </w:r>
          </w:p>
        </w:tc>
      </w:tr>
      <w:tr>
        <w:trPr>
          <w:trHeight w:val="166"/>
        </w:trPr>
        <w:tc>
          <w:tcPr>
            <w:tcW w:w="668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Operating income before investors' share of operations and discontinued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19,644</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15,449</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45,194</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45,094</w:t>
            </w: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Investors' share of operations</w:t>
            </w:r>
          </w:p>
        </w:tc>
        <w:tc>
          <w:tcPr>
            <w:tcW w:w="5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(1,081)</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(1,185)</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(3,357)</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(3,991)</w:t>
            </w:r>
          </w:p>
        </w:tc>
      </w:tr>
      <w:tr>
        <w:trPr>
          <w:trHeight w:val="166"/>
        </w:trPr>
        <w:tc>
          <w:tcPr>
            <w:tcW w:w="668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Income before gain on sale of real estate net of loss on abandoned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developments held for sale and discontinued operations</w:t>
            </w: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18,563</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14,264</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41,837</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41,103</w:t>
            </w: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Income (loss) from operations of discontinued assets</w:t>
            </w:r>
          </w:p>
        </w:tc>
        <w:tc>
          <w:tcPr>
            <w:tcW w:w="5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918</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1,217</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2,581</w:t>
            </w:r>
          </w:p>
        </w:tc>
      </w:tr>
      <w:tr>
        <w:trPr>
          <w:trHeight w:val="166"/>
        </w:trPr>
        <w:tc>
          <w:tcPr>
            <w:tcW w:w="668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Income before gain on sale of real estate net of loss on abandoned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6680" w:type="dxa"/>
            <w:vAlign w:val="bottom"/>
          </w:tcPr>
          <w:p>
            <w:pPr>
              <w:ind w:left="260"/>
              <w:spacing w:after="0"/>
              <w:rPr>
                <w:sz w:val="20"/>
                <w:szCs w:val="20"/>
                <w:color w:val="auto"/>
              </w:rPr>
            </w:pPr>
            <w:r>
              <w:rPr>
                <w:rFonts w:ascii="Courier New" w:cs="Courier New" w:eastAsia="Courier New" w:hAnsi="Courier New"/>
                <w:sz w:val="14"/>
                <w:szCs w:val="14"/>
                <w:color w:val="auto"/>
              </w:rPr>
              <w:t>developments held for sale</w:t>
            </w: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18,504</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15,182</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43,054</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43,684</w:t>
            </w: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Gain on sale of real estate net of loss on abandoned developments held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6680" w:type="dxa"/>
            <w:vAlign w:val="bottom"/>
          </w:tcPr>
          <w:p>
            <w:pPr>
              <w:ind w:left="260"/>
              <w:spacing w:after="0"/>
              <w:rPr>
                <w:sz w:val="20"/>
                <w:szCs w:val="20"/>
                <w:color w:val="auto"/>
              </w:rPr>
            </w:pPr>
            <w:r>
              <w:rPr>
                <w:rFonts w:ascii="Courier New" w:cs="Courier New" w:eastAsia="Courier New" w:hAnsi="Courier New"/>
                <w:sz w:val="14"/>
                <w:szCs w:val="14"/>
                <w:color w:val="auto"/>
              </w:rPr>
              <w:t>for sale</w:t>
            </w: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9,454</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7,898</w:t>
            </w:r>
          </w:p>
        </w:tc>
      </w:tr>
      <w:tr>
        <w:trPr>
          <w:trHeight w:val="166"/>
        </w:trPr>
        <w:tc>
          <w:tcPr>
            <w:tcW w:w="668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ind w:left="1300"/>
              <w:spacing w:after="0"/>
              <w:rPr>
                <w:sz w:val="20"/>
                <w:szCs w:val="20"/>
                <w:color w:val="auto"/>
              </w:rPr>
            </w:pPr>
            <w:r>
              <w:rPr>
                <w:rFonts w:ascii="Courier New" w:cs="Courier New" w:eastAsia="Courier New" w:hAnsi="Courier New"/>
                <w:sz w:val="14"/>
                <w:szCs w:val="14"/>
                <w:color w:val="auto"/>
              </w:rPr>
              <w:t>Net income</w:t>
            </w:r>
          </w:p>
        </w:tc>
        <w:tc>
          <w:tcPr>
            <w:tcW w:w="5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18,504</w:t>
            </w:r>
          </w:p>
        </w:tc>
        <w:tc>
          <w:tcPr>
            <w:tcW w:w="30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15,182</w:t>
            </w:r>
          </w:p>
        </w:tc>
        <w:tc>
          <w:tcPr>
            <w:tcW w:w="260" w:type="dxa"/>
            <w:vAlign w:val="bottom"/>
          </w:tcPr>
          <w:p>
            <w:pPr>
              <w:spacing w:after="0"/>
              <w:rPr>
                <w:sz w:val="24"/>
                <w:szCs w:val="2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52,508</w:t>
            </w:r>
          </w:p>
        </w:tc>
        <w:tc>
          <w:tcPr>
            <w:tcW w:w="26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51,582</w:t>
            </w:r>
          </w:p>
        </w:tc>
      </w:tr>
      <w:tr>
        <w:trPr>
          <w:trHeight w:val="166"/>
        </w:trPr>
        <w:tc>
          <w:tcPr>
            <w:tcW w:w="6680" w:type="dxa"/>
            <w:vAlign w:val="bottom"/>
          </w:tcPr>
          <w:p>
            <w:pPr>
              <w:ind w:left="260"/>
              <w:spacing w:after="0"/>
              <w:rPr>
                <w:sz w:val="20"/>
                <w:szCs w:val="20"/>
                <w:color w:val="auto"/>
              </w:rPr>
            </w:pPr>
            <w:r>
              <w:rPr>
                <w:rFonts w:ascii="Courier New" w:cs="Courier New" w:eastAsia="Courier New" w:hAnsi="Courier New"/>
                <w:sz w:val="14"/>
                <w:szCs w:val="14"/>
                <w:color w:val="auto"/>
              </w:rPr>
              <w:t>Dividends on preferred stock</w:t>
            </w:r>
          </w:p>
        </w:tc>
        <w:tc>
          <w:tcPr>
            <w:tcW w:w="5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(4,856)</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(1,988)</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(14,568)</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(5,963)</w:t>
            </w:r>
          </w:p>
        </w:tc>
      </w:tr>
      <w:tr>
        <w:trPr>
          <w:trHeight w:val="166"/>
        </w:trPr>
        <w:tc>
          <w:tcPr>
            <w:tcW w:w="668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13,648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13,194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37,940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45,619</w:t>
            </w:r>
          </w:p>
        </w:tc>
      </w:tr>
      <w:tr>
        <w:trPr>
          <w:trHeight w:val="166"/>
        </w:trPr>
        <w:tc>
          <w:tcPr>
            <w:tcW w:w="668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spacing w:after="0"/>
              <w:rPr>
                <w:sz w:val="20"/>
                <w:szCs w:val="20"/>
                <w:color w:val="auto"/>
              </w:rPr>
            </w:pPr>
            <w:r>
              <w:rPr>
                <w:rFonts w:ascii="Courier New" w:cs="Courier New" w:eastAsia="Courier New" w:hAnsi="Courier New"/>
                <w:sz w:val="14"/>
                <w:szCs w:val="14"/>
                <w:color w:val="auto"/>
              </w:rPr>
              <w:t>Earnings per common share, basic</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Income before gain on sale of real estate net of loss on abandoned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668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developments held for sale and discontinued operations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0.32</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0.31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0.66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0.90</w:t>
            </w: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Discontinued operations</w:t>
            </w: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0.03</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0.03</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0.07</w:t>
            </w:r>
          </w:p>
        </w:tc>
      </w:tr>
      <w:tr>
        <w:trPr>
          <w:trHeight w:val="166"/>
        </w:trPr>
        <w:tc>
          <w:tcPr>
            <w:tcW w:w="6680" w:type="dxa"/>
            <w:vAlign w:val="bottom"/>
          </w:tcPr>
          <w:p>
            <w:pPr>
              <w:ind w:left="100"/>
              <w:spacing w:after="0"/>
              <w:rPr>
                <w:sz w:val="20"/>
                <w:szCs w:val="20"/>
                <w:color w:val="auto"/>
              </w:rPr>
            </w:pPr>
            <w:r>
              <w:rPr>
                <w:rFonts w:ascii="Courier New" w:cs="Courier New" w:eastAsia="Courier New" w:hAnsi="Courier New"/>
                <w:sz w:val="14"/>
                <w:szCs w:val="14"/>
                <w:color w:val="auto"/>
              </w:rPr>
              <w:t>Gain on sale of real estate net of loss on abandoned developments held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6680" w:type="dxa"/>
            <w:vAlign w:val="bottom"/>
          </w:tcPr>
          <w:p>
            <w:pPr>
              <w:ind w:left="260"/>
              <w:spacing w:after="0"/>
              <w:rPr>
                <w:sz w:val="20"/>
                <w:szCs w:val="20"/>
                <w:color w:val="auto"/>
              </w:rPr>
            </w:pPr>
            <w:r>
              <w:rPr>
                <w:rFonts w:ascii="Courier New" w:cs="Courier New" w:eastAsia="Courier New" w:hAnsi="Courier New"/>
                <w:sz w:val="14"/>
                <w:szCs w:val="14"/>
                <w:color w:val="auto"/>
              </w:rPr>
              <w:t>for sale</w:t>
            </w: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0.23</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0.20</w:t>
            </w:r>
          </w:p>
        </w:tc>
      </w:tr>
      <w:tr>
        <w:trPr>
          <w:trHeight w:val="166"/>
        </w:trPr>
        <w:tc>
          <w:tcPr>
            <w:tcW w:w="668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0.32</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0.34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0.92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w:t>
            </w:r>
          </w:p>
        </w:tc>
      </w:tr>
      <w:tr>
        <w:trPr>
          <w:trHeight w:val="166"/>
        </w:trPr>
        <w:tc>
          <w:tcPr>
            <w:tcW w:w="668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number of common shares, basic</w:t>
            </w:r>
          </w:p>
        </w:tc>
        <w:tc>
          <w:tcPr>
            <w:tcW w:w="5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42,802</w:t>
            </w:r>
          </w:p>
        </w:tc>
        <w:tc>
          <w:tcPr>
            <w:tcW w:w="30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39,347</w:t>
            </w:r>
          </w:p>
        </w:tc>
        <w:tc>
          <w:tcPr>
            <w:tcW w:w="260" w:type="dxa"/>
            <w:vAlign w:val="bottom"/>
          </w:tcPr>
          <w:p>
            <w:pPr>
              <w:spacing w:after="0"/>
              <w:rPr>
                <w:sz w:val="24"/>
                <w:szCs w:val="2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41,155</w:t>
            </w:r>
          </w:p>
        </w:tc>
        <w:tc>
          <w:tcPr>
            <w:tcW w:w="26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39,061</w:t>
            </w:r>
          </w:p>
        </w:tc>
      </w:tr>
      <w:tr>
        <w:trPr>
          <w:trHeight w:val="166"/>
        </w:trPr>
        <w:tc>
          <w:tcPr>
            <w:tcW w:w="668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spacing w:after="0"/>
              <w:rPr>
                <w:sz w:val="20"/>
                <w:szCs w:val="20"/>
                <w:color w:val="auto"/>
              </w:rPr>
            </w:pPr>
            <w:r>
              <w:rPr>
                <w:rFonts w:ascii="Courier New" w:cs="Courier New" w:eastAsia="Courier New" w:hAnsi="Courier New"/>
                <w:sz w:val="14"/>
                <w:szCs w:val="14"/>
                <w:color w:val="auto"/>
              </w:rPr>
              <w:t>Earnings per common share, diluted</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Income before gain on sale of real estate net of loss on abandoned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668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developments held for sale and discontinued operations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0.31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0.31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0.66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0.90</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Discontinued operations</w:t>
            </w: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0.02</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0.03</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0.06</w:t>
            </w:r>
          </w:p>
        </w:tc>
      </w:tr>
      <w:tr>
        <w:trPr>
          <w:trHeight w:val="166"/>
        </w:trPr>
        <w:tc>
          <w:tcPr>
            <w:tcW w:w="668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real estate net of loss on abandoned developments held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6680" w:type="dxa"/>
            <w:vAlign w:val="bottom"/>
          </w:tcPr>
          <w:p>
            <w:pPr>
              <w:ind w:left="260"/>
              <w:spacing w:after="0"/>
              <w:rPr>
                <w:sz w:val="20"/>
                <w:szCs w:val="20"/>
                <w:color w:val="auto"/>
              </w:rPr>
            </w:pPr>
            <w:r>
              <w:rPr>
                <w:rFonts w:ascii="Courier New" w:cs="Courier New" w:eastAsia="Courier New" w:hAnsi="Courier New"/>
                <w:sz w:val="14"/>
                <w:szCs w:val="14"/>
                <w:color w:val="auto"/>
              </w:rPr>
              <w:t>for sale</w:t>
            </w:r>
          </w:p>
        </w:tc>
        <w:tc>
          <w:tcPr>
            <w:tcW w:w="56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0.22</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0.20</w:t>
            </w:r>
          </w:p>
        </w:tc>
      </w:tr>
      <w:tr>
        <w:trPr>
          <w:trHeight w:val="166"/>
        </w:trPr>
        <w:tc>
          <w:tcPr>
            <w:tcW w:w="668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0.31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0.33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0.91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w:t>
            </w:r>
          </w:p>
        </w:tc>
      </w:tr>
      <w:tr>
        <w:trPr>
          <w:trHeight w:val="166"/>
        </w:trPr>
        <w:tc>
          <w:tcPr>
            <w:tcW w:w="668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80" w:type="dxa"/>
            <w:vAlign w:val="bottom"/>
          </w:tcPr>
          <w:p>
            <w:pPr>
              <w:jc w:val="right"/>
              <w:ind w:right="1508"/>
              <w:spacing w:after="0"/>
              <w:rPr>
                <w:sz w:val="20"/>
                <w:szCs w:val="20"/>
                <w:color w:val="auto"/>
              </w:rPr>
            </w:pPr>
            <w:r>
              <w:rPr>
                <w:rFonts w:ascii="Courier New" w:cs="Courier New" w:eastAsia="Courier New" w:hAnsi="Courier New"/>
                <w:sz w:val="14"/>
                <w:szCs w:val="14"/>
                <w:color w:val="auto"/>
              </w:rPr>
              <w:t>Weighted average number of common shares, diluted</w:t>
            </w:r>
          </w:p>
        </w:tc>
        <w:tc>
          <w:tcPr>
            <w:tcW w:w="56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44,036</w:t>
            </w:r>
          </w:p>
        </w:tc>
        <w:tc>
          <w:tcPr>
            <w:tcW w:w="30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40,492</w:t>
            </w:r>
          </w:p>
        </w:tc>
        <w:tc>
          <w:tcPr>
            <w:tcW w:w="260" w:type="dxa"/>
            <w:vAlign w:val="bottom"/>
          </w:tcPr>
          <w:p>
            <w:pPr>
              <w:spacing w:after="0"/>
              <w:rPr>
                <w:sz w:val="24"/>
                <w:szCs w:val="2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42,421</w:t>
            </w:r>
          </w:p>
        </w:tc>
        <w:tc>
          <w:tcPr>
            <w:tcW w:w="26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40,136</w:t>
            </w:r>
          </w:p>
        </w:tc>
      </w:tr>
      <w:tr>
        <w:trPr>
          <w:trHeight w:val="166"/>
        </w:trPr>
        <w:tc>
          <w:tcPr>
            <w:tcW w:w="6680" w:type="dxa"/>
            <w:vAlign w:val="bottom"/>
          </w:tcPr>
          <w:p>
            <w:pPr>
              <w:spacing w:after="0"/>
              <w:rPr>
                <w:sz w:val="14"/>
                <w:szCs w:val="14"/>
                <w:color w:val="auto"/>
              </w:rPr>
            </w:pP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380"/>
          </w:cols>
          <w:pgMar w:left="220" w:top="451" w:right="29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ind w:left="1900"/>
              <w:spacing w:after="0"/>
              <w:rPr>
                <w:sz w:val="20"/>
                <w:szCs w:val="20"/>
                <w:color w:val="auto"/>
              </w:rPr>
            </w:pPr>
            <w:r>
              <w:rPr>
                <w:rFonts w:ascii="Courier New" w:cs="Courier New" w:eastAsia="Courier New" w:hAnsi="Courier New"/>
                <w:sz w:val="14"/>
                <w:szCs w:val="14"/>
                <w:color w:val="auto"/>
              </w:rPr>
              <w:t>(in thousands, except per share data)</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28"/>
        </w:trPr>
        <w:tc>
          <w:tcPr>
            <w:tcW w:w="672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September 30,</w:t>
            </w: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2002</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00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(unaudited)</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1"/>
        </w:trPr>
        <w:tc>
          <w:tcPr>
            <w:tcW w:w="6720" w:type="dxa"/>
            <w:vAlign w:val="bottom"/>
          </w:tcPr>
          <w:p>
            <w:pPr>
              <w:spacing w:after="0"/>
              <w:rPr>
                <w:sz w:val="20"/>
                <w:szCs w:val="20"/>
                <w:color w:val="auto"/>
              </w:rPr>
            </w:pPr>
            <w:r>
              <w:rPr>
                <w:rFonts w:ascii="Courier New" w:cs="Courier New" w:eastAsia="Courier New" w:hAnsi="Courier New"/>
                <w:sz w:val="14"/>
                <w:szCs w:val="14"/>
                <w:color w:val="auto"/>
              </w:rPr>
              <w:t>Real estate, at cost</w:t>
            </w: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6720" w:type="dxa"/>
            <w:vAlign w:val="bottom"/>
          </w:tcPr>
          <w:p>
            <w:pPr>
              <w:ind w:left="260"/>
              <w:spacing w:after="0"/>
              <w:rPr>
                <w:sz w:val="20"/>
                <w:szCs w:val="20"/>
                <w:color w:val="auto"/>
              </w:rPr>
            </w:pPr>
            <w:r>
              <w:rPr>
                <w:rFonts w:ascii="Courier New" w:cs="Courier New" w:eastAsia="Courier New" w:hAnsi="Courier New"/>
                <w:sz w:val="14"/>
                <w:szCs w:val="14"/>
                <w:color w:val="auto"/>
              </w:rPr>
              <w:t>Operating</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1,850,345</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1,741,385</w:t>
            </w:r>
          </w:p>
        </w:tc>
      </w:tr>
      <w:tr>
        <w:trPr>
          <w:trHeight w:val="166"/>
        </w:trPr>
        <w:tc>
          <w:tcPr>
            <w:tcW w:w="6720" w:type="dxa"/>
            <w:vAlign w:val="bottom"/>
          </w:tcPr>
          <w:p>
            <w:pPr>
              <w:ind w:left="260"/>
              <w:spacing w:after="0"/>
              <w:rPr>
                <w:sz w:val="20"/>
                <w:szCs w:val="20"/>
                <w:color w:val="auto"/>
              </w:rPr>
            </w:pPr>
            <w:r>
              <w:rPr>
                <w:rFonts w:ascii="Courier New" w:cs="Courier New" w:eastAsia="Courier New" w:hAnsi="Courier New"/>
                <w:sz w:val="14"/>
                <w:szCs w:val="14"/>
                <w:color w:val="auto"/>
              </w:rPr>
              <w:t>Development</w:t>
            </w:r>
          </w:p>
        </w:tc>
        <w:tc>
          <w:tcPr>
            <w:tcW w:w="10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404,195</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321,986</w:t>
            </w:r>
          </w:p>
        </w:tc>
      </w:tr>
      <w:tr>
        <w:trPr>
          <w:trHeight w:val="166"/>
        </w:trPr>
        <w:tc>
          <w:tcPr>
            <w:tcW w:w="672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10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40,933</w:t>
            </w:r>
          </w:p>
        </w:tc>
      </w:tr>
      <w:tr>
        <w:trPr>
          <w:trHeight w:val="166"/>
        </w:trPr>
        <w:tc>
          <w:tcPr>
            <w:tcW w:w="6720" w:type="dxa"/>
            <w:vAlign w:val="bottom"/>
          </w:tcPr>
          <w:p>
            <w:pPr>
              <w:spacing w:after="0"/>
              <w:rPr>
                <w:sz w:val="14"/>
                <w:szCs w:val="14"/>
                <w:color w:val="auto"/>
              </w:rPr>
            </w:pPr>
          </w:p>
        </w:tc>
        <w:tc>
          <w:tcPr>
            <w:tcW w:w="2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2,254,540</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2,104,304</w:t>
            </w:r>
          </w:p>
        </w:tc>
      </w:tr>
      <w:tr>
        <w:trPr>
          <w:trHeight w:val="166"/>
        </w:trPr>
        <w:tc>
          <w:tcPr>
            <w:tcW w:w="6720" w:type="dxa"/>
            <w:vAlign w:val="bottom"/>
          </w:tcPr>
          <w:p>
            <w:pPr>
              <w:ind w:left="26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00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(435,922)</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(395,767)</w:t>
            </w:r>
          </w:p>
        </w:tc>
      </w:tr>
      <w:tr>
        <w:trPr>
          <w:trHeight w:val="166"/>
        </w:trPr>
        <w:tc>
          <w:tcPr>
            <w:tcW w:w="6720" w:type="dxa"/>
            <w:vAlign w:val="bottom"/>
          </w:tcPr>
          <w:p>
            <w:pPr>
              <w:spacing w:after="0"/>
              <w:rPr>
                <w:sz w:val="14"/>
                <w:szCs w:val="14"/>
                <w:color w:val="auto"/>
              </w:rPr>
            </w:pPr>
          </w:p>
        </w:tc>
        <w:tc>
          <w:tcPr>
            <w:tcW w:w="2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1,818,618</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1,708,537</w:t>
            </w:r>
          </w:p>
        </w:tc>
      </w:tr>
      <w:tr>
        <w:trPr>
          <w:trHeight w:val="166"/>
        </w:trPr>
        <w:tc>
          <w:tcPr>
            <w:tcW w:w="67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6720" w:type="dxa"/>
            <w:vAlign w:val="bottom"/>
          </w:tcPr>
          <w:p>
            <w:pPr>
              <w:ind w:left="260"/>
              <w:spacing w:after="0"/>
              <w:rPr>
                <w:sz w:val="20"/>
                <w:szCs w:val="20"/>
                <w:color w:val="auto"/>
              </w:rPr>
            </w:pPr>
            <w:r>
              <w:rPr>
                <w:rFonts w:ascii="Courier New" w:cs="Courier New" w:eastAsia="Courier New" w:hAnsi="Courier New"/>
                <w:sz w:val="14"/>
                <w:szCs w:val="14"/>
                <w:color w:val="auto"/>
              </w:rPr>
              <w:t>Mortgage notes receivable</w:t>
            </w:r>
          </w:p>
        </w:tc>
        <w:tc>
          <w:tcPr>
            <w:tcW w:w="10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35,570</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35,607</w:t>
            </w:r>
          </w:p>
        </w:tc>
      </w:tr>
      <w:tr>
        <w:trPr>
          <w:trHeight w:val="166"/>
        </w:trPr>
        <w:tc>
          <w:tcPr>
            <w:tcW w:w="6720" w:type="dxa"/>
            <w:vAlign w:val="bottom"/>
          </w:tcPr>
          <w:p>
            <w:pPr>
              <w:ind w:left="260"/>
              <w:spacing w:after="0"/>
              <w:rPr>
                <w:sz w:val="20"/>
                <w:szCs w:val="20"/>
                <w:color w:val="auto"/>
              </w:rPr>
            </w:pPr>
            <w:r>
              <w:rPr>
                <w:rFonts w:ascii="Courier New" w:cs="Courier New" w:eastAsia="Courier New" w:hAnsi="Courier New"/>
                <w:sz w:val="14"/>
                <w:szCs w:val="14"/>
                <w:color w:val="auto"/>
              </w:rPr>
              <w:t>Cash and investments</w:t>
            </w:r>
          </w:p>
        </w:tc>
        <w:tc>
          <w:tcPr>
            <w:tcW w:w="10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24,652</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17,563</w:t>
            </w:r>
          </w:p>
        </w:tc>
      </w:tr>
      <w:tr>
        <w:trPr>
          <w:trHeight w:val="166"/>
        </w:trPr>
        <w:tc>
          <w:tcPr>
            <w:tcW w:w="6720" w:type="dxa"/>
            <w:vAlign w:val="bottom"/>
          </w:tcPr>
          <w:p>
            <w:pPr>
              <w:ind w:left="260"/>
              <w:spacing w:after="0"/>
              <w:rPr>
                <w:sz w:val="20"/>
                <w:szCs w:val="20"/>
                <w:color w:val="auto"/>
              </w:rPr>
            </w:pPr>
            <w:r>
              <w:rPr>
                <w:rFonts w:ascii="Courier New" w:cs="Courier New" w:eastAsia="Courier New" w:hAnsi="Courier New"/>
                <w:sz w:val="14"/>
                <w:szCs w:val="14"/>
                <w:color w:val="auto"/>
              </w:rPr>
              <w:t>Receivables</w:t>
            </w:r>
          </w:p>
        </w:tc>
        <w:tc>
          <w:tcPr>
            <w:tcW w:w="10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10,874</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15,483</w:t>
            </w:r>
          </w:p>
        </w:tc>
      </w:tr>
      <w:tr>
        <w:trPr>
          <w:trHeight w:val="166"/>
        </w:trPr>
        <w:tc>
          <w:tcPr>
            <w:tcW w:w="6720" w:type="dxa"/>
            <w:vAlign w:val="bottom"/>
          </w:tcPr>
          <w:p>
            <w:pPr>
              <w:ind w:left="260"/>
              <w:spacing w:after="0"/>
              <w:rPr>
                <w:sz w:val="20"/>
                <w:szCs w:val="20"/>
                <w:color w:val="auto"/>
              </w:rPr>
            </w:pPr>
            <w:r>
              <w:rPr>
                <w:rFonts w:ascii="Courier New" w:cs="Courier New" w:eastAsia="Courier New" w:hAnsi="Courier New"/>
                <w:sz w:val="14"/>
                <w:szCs w:val="14"/>
                <w:color w:val="auto"/>
              </w:rPr>
              <w:t>Tax deferred exchange escrows</w:t>
            </w:r>
          </w:p>
        </w:tc>
        <w:tc>
          <w:tcPr>
            <w:tcW w:w="10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55,204</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6,006</w:t>
            </w:r>
          </w:p>
        </w:tc>
      </w:tr>
      <w:tr>
        <w:trPr>
          <w:trHeight w:val="166"/>
        </w:trPr>
        <w:tc>
          <w:tcPr>
            <w:tcW w:w="672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10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58,616</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51,685</w:t>
            </w:r>
          </w:p>
        </w:tc>
      </w:tr>
      <w:tr>
        <w:trPr>
          <w:trHeight w:val="166"/>
        </w:trPr>
        <w:tc>
          <w:tcPr>
            <w:tcW w:w="6720" w:type="dxa"/>
            <w:vAlign w:val="bottom"/>
          </w:tcPr>
          <w:p>
            <w:pPr>
              <w:spacing w:after="0"/>
              <w:rPr>
                <w:sz w:val="14"/>
                <w:szCs w:val="14"/>
                <w:color w:val="auto"/>
              </w:rPr>
            </w:pPr>
          </w:p>
        </w:tc>
        <w:tc>
          <w:tcPr>
            <w:tcW w:w="2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2,003,534</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1,834,881</w:t>
            </w:r>
          </w:p>
        </w:tc>
      </w:tr>
      <w:tr>
        <w:trPr>
          <w:trHeight w:val="166"/>
        </w:trPr>
        <w:tc>
          <w:tcPr>
            <w:tcW w:w="6720" w:type="dxa"/>
            <w:vAlign w:val="bottom"/>
          </w:tcPr>
          <w:p>
            <w:pPr>
              <w:spacing w:after="0"/>
              <w:rPr>
                <w:sz w:val="14"/>
                <w:szCs w:val="14"/>
                <w:color w:val="auto"/>
              </w:rPr>
            </w:pPr>
          </w:p>
        </w:tc>
        <w:tc>
          <w:tcPr>
            <w:tcW w:w="2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67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1"/>
        </w:trPr>
        <w:tc>
          <w:tcPr>
            <w:tcW w:w="6720" w:type="dxa"/>
            <w:vAlign w:val="bottom"/>
          </w:tcPr>
          <w:p>
            <w:pPr>
              <w:ind w:left="260"/>
              <w:spacing w:after="0"/>
              <w:rPr>
                <w:sz w:val="20"/>
                <w:szCs w:val="20"/>
                <w:color w:val="auto"/>
              </w:rPr>
            </w:pPr>
            <w:r>
              <w:rPr>
                <w:rFonts w:ascii="Courier New" w:cs="Courier New" w:eastAsia="Courier New" w:hAnsi="Courier New"/>
                <w:sz w:val="14"/>
                <w:szCs w:val="14"/>
                <w:color w:val="auto"/>
              </w:rPr>
              <w:t>Obligations under capital leases, mortgages and construction loans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544,721</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450,336</w:t>
            </w:r>
          </w:p>
        </w:tc>
      </w:tr>
      <w:tr>
        <w:trPr>
          <w:trHeight w:val="166"/>
        </w:trPr>
        <w:tc>
          <w:tcPr>
            <w:tcW w:w="6720" w:type="dxa"/>
            <w:vAlign w:val="bottom"/>
          </w:tcPr>
          <w:p>
            <w:pPr>
              <w:ind w:left="260"/>
              <w:spacing w:after="0"/>
              <w:rPr>
                <w:sz w:val="20"/>
                <w:szCs w:val="20"/>
                <w:color w:val="auto"/>
              </w:rPr>
            </w:pPr>
            <w:r>
              <w:rPr>
                <w:rFonts w:ascii="Courier New" w:cs="Courier New" w:eastAsia="Courier New" w:hAnsi="Courier New"/>
                <w:sz w:val="14"/>
                <w:szCs w:val="14"/>
                <w:color w:val="auto"/>
              </w:rPr>
              <w:t>Notes payable</w:t>
            </w:r>
          </w:p>
        </w:tc>
        <w:tc>
          <w:tcPr>
            <w:tcW w:w="10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192,343</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174,843</w:t>
            </w:r>
          </w:p>
        </w:tc>
      </w:tr>
      <w:tr>
        <w:trPr>
          <w:trHeight w:val="166"/>
        </w:trPr>
        <w:tc>
          <w:tcPr>
            <w:tcW w:w="6720" w:type="dxa"/>
            <w:vAlign w:val="bottom"/>
          </w:tcPr>
          <w:p>
            <w:pPr>
              <w:ind w:left="260"/>
              <w:spacing w:after="0"/>
              <w:rPr>
                <w:sz w:val="20"/>
                <w:szCs w:val="20"/>
                <w:color w:val="auto"/>
              </w:rPr>
            </w:pPr>
            <w:r>
              <w:rPr>
                <w:rFonts w:ascii="Courier New" w:cs="Courier New" w:eastAsia="Courier New" w:hAnsi="Courier New"/>
                <w:sz w:val="14"/>
                <w:szCs w:val="14"/>
                <w:color w:val="auto"/>
              </w:rPr>
              <w:t>Senior notes</w:t>
            </w:r>
          </w:p>
        </w:tc>
        <w:tc>
          <w:tcPr>
            <w:tcW w:w="10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385,000</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410,000</w:t>
            </w:r>
          </w:p>
        </w:tc>
      </w:tr>
      <w:tr>
        <w:trPr>
          <w:trHeight w:val="166"/>
        </w:trPr>
        <w:tc>
          <w:tcPr>
            <w:tcW w:w="6720" w:type="dxa"/>
            <w:vAlign w:val="bottom"/>
          </w:tcPr>
          <w:p>
            <w:pPr>
              <w:ind w:left="260"/>
              <w:spacing w:after="0"/>
              <w:rPr>
                <w:sz w:val="20"/>
                <w:szCs w:val="20"/>
                <w:color w:val="auto"/>
              </w:rPr>
            </w:pPr>
            <w:r>
              <w:rPr>
                <w:rFonts w:ascii="Courier New" w:cs="Courier New" w:eastAsia="Courier New" w:hAnsi="Courier New"/>
                <w:sz w:val="14"/>
                <w:szCs w:val="14"/>
                <w:color w:val="auto"/>
              </w:rPr>
              <w:t>5 1/4% Convertible subordinated debentures</w:t>
            </w:r>
          </w:p>
        </w:tc>
        <w:tc>
          <w:tcPr>
            <w:tcW w:w="10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6720" w:type="dxa"/>
            <w:vAlign w:val="bottom"/>
          </w:tcPr>
          <w:p>
            <w:pPr>
              <w:ind w:left="260"/>
              <w:spacing w:after="0"/>
              <w:rPr>
                <w:sz w:val="20"/>
                <w:szCs w:val="20"/>
                <w:color w:val="auto"/>
              </w:rPr>
            </w:pPr>
            <w:r>
              <w:rPr>
                <w:rFonts w:ascii="Courier New" w:cs="Courier New" w:eastAsia="Courier New" w:hAnsi="Courier New"/>
                <w:sz w:val="14"/>
                <w:szCs w:val="14"/>
                <w:color w:val="auto"/>
              </w:rPr>
              <w:t>Other liabilities</w:t>
            </w:r>
          </w:p>
        </w:tc>
        <w:tc>
          <w:tcPr>
            <w:tcW w:w="10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160,081</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135,122</w:t>
            </w:r>
          </w:p>
        </w:tc>
      </w:tr>
      <w:tr>
        <w:trPr>
          <w:trHeight w:val="331"/>
        </w:trPr>
        <w:tc>
          <w:tcPr>
            <w:tcW w:w="67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000" w:type="dxa"/>
            <w:vAlign w:val="bottom"/>
          </w:tcPr>
          <w:p>
            <w:pPr>
              <w:spacing w:after="0"/>
              <w:rPr>
                <w:sz w:val="24"/>
                <w:szCs w:val="2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646,389</w:t>
            </w:r>
          </w:p>
        </w:tc>
        <w:tc>
          <w:tcPr>
            <w:tcW w:w="36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589,291</w:t>
            </w:r>
          </w:p>
        </w:tc>
      </w:tr>
      <w:tr>
        <w:trPr>
          <w:trHeight w:val="166"/>
        </w:trPr>
        <w:tc>
          <w:tcPr>
            <w:tcW w:w="6720" w:type="dxa"/>
            <w:vAlign w:val="bottom"/>
          </w:tcPr>
          <w:p>
            <w:pPr>
              <w:spacing w:after="0"/>
              <w:rPr>
                <w:sz w:val="14"/>
                <w:szCs w:val="14"/>
                <w:color w:val="auto"/>
              </w:rPr>
            </w:pPr>
          </w:p>
        </w:tc>
        <w:tc>
          <w:tcPr>
            <w:tcW w:w="2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2,003,534</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1,834,881</w:t>
            </w:r>
          </w:p>
        </w:tc>
      </w:tr>
      <w:tr>
        <w:trPr>
          <w:trHeight w:val="166"/>
        </w:trPr>
        <w:tc>
          <w:tcPr>
            <w:tcW w:w="6720" w:type="dxa"/>
            <w:vAlign w:val="bottom"/>
          </w:tcPr>
          <w:p>
            <w:pPr>
              <w:spacing w:after="0"/>
              <w:rPr>
                <w:sz w:val="14"/>
                <w:szCs w:val="14"/>
                <w:color w:val="auto"/>
              </w:rPr>
            </w:pPr>
          </w:p>
        </w:tc>
        <w:tc>
          <w:tcPr>
            <w:tcW w:w="2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340"/>
          </w:cols>
          <w:pgMar w:left="220" w:top="616" w:right="133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Funds From Operations / Funds Available for Distribution / Summary of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Expenditures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Three months ended</w:t>
            </w:r>
          </w:p>
        </w:tc>
        <w:tc>
          <w:tcPr>
            <w:tcW w:w="1040" w:type="dxa"/>
            <w:vAlign w:val="bottom"/>
          </w:tcPr>
          <w:p>
            <w:pPr>
              <w:spacing w:after="0"/>
              <w:rPr>
                <w:sz w:val="14"/>
                <w:szCs w:val="14"/>
                <w:color w:val="auto"/>
              </w:rPr>
            </w:pPr>
          </w:p>
        </w:tc>
      </w:tr>
      <w:tr>
        <w:trPr>
          <w:trHeight w:val="166"/>
        </w:trPr>
        <w:tc>
          <w:tcPr>
            <w:tcW w:w="6300" w:type="dxa"/>
            <w:vAlign w:val="bottom"/>
          </w:tcPr>
          <w:p>
            <w:pPr>
              <w:spacing w:after="0"/>
              <w:rPr>
                <w:sz w:val="14"/>
                <w:szCs w:val="14"/>
                <w:color w:val="auto"/>
              </w:rPr>
            </w:pPr>
          </w:p>
        </w:tc>
        <w:tc>
          <w:tcPr>
            <w:tcW w:w="27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September 30, 2002</w:t>
            </w: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 2001</w:t>
            </w:r>
          </w:p>
        </w:tc>
      </w:tr>
      <w:tr>
        <w:trPr>
          <w:trHeight w:val="166"/>
        </w:trPr>
        <w:tc>
          <w:tcPr>
            <w:tcW w:w="6300" w:type="dxa"/>
            <w:vAlign w:val="bottom"/>
          </w:tcPr>
          <w:p>
            <w:pPr>
              <w:spacing w:after="0"/>
              <w:rPr>
                <w:sz w:val="14"/>
                <w:szCs w:val="14"/>
                <w:color w:val="auto"/>
              </w:rPr>
            </w:pPr>
          </w:p>
        </w:tc>
        <w:tc>
          <w:tcPr>
            <w:tcW w:w="27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Funds From Operations (FFO)</w:t>
            </w:r>
          </w:p>
        </w:tc>
        <w:tc>
          <w:tcPr>
            <w:tcW w:w="1020" w:type="dxa"/>
            <w:vAlign w:val="bottom"/>
          </w:tcPr>
          <w:p>
            <w:pPr>
              <w:spacing w:after="0"/>
              <w:rPr>
                <w:sz w:val="14"/>
                <w:szCs w:val="14"/>
                <w:color w:val="auto"/>
              </w:rPr>
            </w:pPr>
          </w:p>
        </w:tc>
        <w:tc>
          <w:tcPr>
            <w:tcW w:w="380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(in thousands, except per share data)</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13,648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13,194</w:t>
            </w:r>
          </w:p>
        </w:tc>
      </w:tr>
      <w:tr>
        <w:trPr>
          <w:trHeight w:val="166"/>
        </w:trPr>
        <w:tc>
          <w:tcPr>
            <w:tcW w:w="6300" w:type="dxa"/>
            <w:vAlign w:val="bottom"/>
          </w:tcPr>
          <w:p>
            <w:pPr>
              <w:ind w:left="1220"/>
              <w:spacing w:after="0"/>
              <w:rPr>
                <w:sz w:val="20"/>
                <w:szCs w:val="20"/>
                <w:color w:val="auto"/>
              </w:rPr>
            </w:pPr>
            <w:r>
              <w:rPr>
                <w:rFonts w:ascii="Courier New" w:cs="Courier New" w:eastAsia="Courier New" w:hAnsi="Courier New"/>
                <w:sz w:val="14"/>
                <w:szCs w:val="14"/>
                <w:color w:val="auto"/>
              </w:rPr>
              <w:t>Depreciation and amortization of real estate assets</w:t>
            </w:r>
          </w:p>
        </w:tc>
        <w:tc>
          <w:tcPr>
            <w:tcW w:w="1020" w:type="dxa"/>
            <w:vAlign w:val="bottom"/>
          </w:tcPr>
          <w:p>
            <w:pPr>
              <w:spacing w:after="0"/>
              <w:rPr>
                <w:sz w:val="14"/>
                <w:szCs w:val="14"/>
                <w:color w:val="auto"/>
              </w:rPr>
            </w:pP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14,614</w:t>
            </w:r>
          </w:p>
        </w:tc>
        <w:tc>
          <w:tcPr>
            <w:tcW w:w="10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13,764</w:t>
            </w:r>
          </w:p>
        </w:tc>
      </w:tr>
      <w:tr>
        <w:trPr>
          <w:trHeight w:val="166"/>
        </w:trPr>
        <w:tc>
          <w:tcPr>
            <w:tcW w:w="6300" w:type="dxa"/>
            <w:vAlign w:val="bottom"/>
          </w:tcPr>
          <w:p>
            <w:pPr>
              <w:ind w:left="1220"/>
              <w:spacing w:after="0"/>
              <w:rPr>
                <w:sz w:val="20"/>
                <w:szCs w:val="20"/>
                <w:color w:val="auto"/>
              </w:rPr>
            </w:pPr>
            <w:r>
              <w:rPr>
                <w:rFonts w:ascii="Courier New" w:cs="Courier New" w:eastAsia="Courier New" w:hAnsi="Courier New"/>
                <w:sz w:val="14"/>
                <w:szCs w:val="14"/>
                <w:color w:val="auto"/>
              </w:rPr>
              <w:t>Amortization of initial direct costs of leases</w:t>
            </w:r>
          </w:p>
        </w:tc>
        <w:tc>
          <w:tcPr>
            <w:tcW w:w="1020" w:type="dxa"/>
            <w:vAlign w:val="bottom"/>
          </w:tcPr>
          <w:p>
            <w:pPr>
              <w:spacing w:after="0"/>
              <w:rPr>
                <w:sz w:val="14"/>
                <w:szCs w:val="14"/>
                <w:color w:val="auto"/>
              </w:rPr>
            </w:pP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1,175</w:t>
            </w:r>
          </w:p>
        </w:tc>
        <w:tc>
          <w:tcPr>
            <w:tcW w:w="10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1,039</w:t>
            </w:r>
          </w:p>
        </w:tc>
      </w:tr>
      <w:tr>
        <w:trPr>
          <w:trHeight w:val="166"/>
        </w:trPr>
        <w:tc>
          <w:tcPr>
            <w:tcW w:w="6300" w:type="dxa"/>
            <w:vAlign w:val="bottom"/>
          </w:tcPr>
          <w:p>
            <w:pPr>
              <w:ind w:left="1220"/>
              <w:spacing w:after="0"/>
              <w:rPr>
                <w:sz w:val="20"/>
                <w:szCs w:val="20"/>
                <w:color w:val="auto"/>
              </w:rPr>
            </w:pPr>
            <w:r>
              <w:rPr>
                <w:rFonts w:ascii="Courier New" w:cs="Courier New" w:eastAsia="Courier New" w:hAnsi="Courier New"/>
                <w:sz w:val="14"/>
                <w:szCs w:val="14"/>
                <w:color w:val="auto"/>
              </w:rPr>
              <w:t>Income attributable to operating partnership units</w:t>
            </w:r>
          </w:p>
        </w:tc>
        <w:tc>
          <w:tcPr>
            <w:tcW w:w="1020" w:type="dxa"/>
            <w:vAlign w:val="bottom"/>
          </w:tcPr>
          <w:p>
            <w:pPr>
              <w:spacing w:after="0"/>
              <w:rPr>
                <w:sz w:val="14"/>
                <w:szCs w:val="14"/>
                <w:color w:val="auto"/>
              </w:rPr>
            </w:pP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263</w:t>
            </w:r>
          </w:p>
        </w:tc>
        <w:tc>
          <w:tcPr>
            <w:tcW w:w="10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289</w:t>
            </w:r>
          </w:p>
        </w:tc>
      </w:tr>
      <w:tr>
        <w:trPr>
          <w:trHeight w:val="166"/>
        </w:trPr>
        <w:tc>
          <w:tcPr>
            <w:tcW w:w="6300" w:type="dxa"/>
            <w:vAlign w:val="bottom"/>
          </w:tcPr>
          <w:p>
            <w:pPr>
              <w:spacing w:after="0"/>
              <w:rPr>
                <w:sz w:val="14"/>
                <w:szCs w:val="14"/>
                <w:color w:val="auto"/>
              </w:rPr>
            </w:pPr>
          </w:p>
        </w:tc>
        <w:tc>
          <w:tcPr>
            <w:tcW w:w="27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Funds From Operations (FFO)</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29,700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28,286</w:t>
            </w:r>
          </w:p>
        </w:tc>
      </w:tr>
      <w:tr>
        <w:trPr>
          <w:trHeight w:val="166"/>
        </w:trPr>
        <w:tc>
          <w:tcPr>
            <w:tcW w:w="6300" w:type="dxa"/>
            <w:vAlign w:val="bottom"/>
          </w:tcPr>
          <w:p>
            <w:pPr>
              <w:spacing w:after="0"/>
              <w:rPr>
                <w:sz w:val="14"/>
                <w:szCs w:val="14"/>
                <w:color w:val="auto"/>
              </w:rPr>
            </w:pPr>
          </w:p>
        </w:tc>
        <w:tc>
          <w:tcPr>
            <w:tcW w:w="27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ind w:left="1220"/>
              <w:spacing w:after="0"/>
              <w:rPr>
                <w:sz w:val="20"/>
                <w:szCs w:val="20"/>
                <w:color w:val="auto"/>
              </w:rPr>
            </w:pPr>
            <w:r>
              <w:rPr>
                <w:rFonts w:ascii="Courier New" w:cs="Courier New" w:eastAsia="Courier New" w:hAnsi="Courier New"/>
                <w:sz w:val="14"/>
                <w:szCs w:val="14"/>
                <w:color w:val="auto"/>
              </w:rPr>
              <w:t>Weighted average shares outstanding</w:t>
            </w:r>
          </w:p>
        </w:tc>
        <w:tc>
          <w:tcPr>
            <w:tcW w:w="1020" w:type="dxa"/>
            <w:vAlign w:val="bottom"/>
          </w:tcPr>
          <w:p>
            <w:pPr>
              <w:spacing w:after="0"/>
              <w:rPr>
                <w:sz w:val="24"/>
                <w:szCs w:val="24"/>
                <w:color w:val="auto"/>
              </w:rPr>
            </w:pP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44,036</w:t>
            </w:r>
          </w:p>
        </w:tc>
        <w:tc>
          <w:tcPr>
            <w:tcW w:w="1020" w:type="dxa"/>
            <w:vAlign w:val="bottom"/>
          </w:tcPr>
          <w:p>
            <w:pPr>
              <w:spacing w:after="0"/>
              <w:rPr>
                <w:sz w:val="24"/>
                <w:szCs w:val="2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40,492</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FFO per share</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0.67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0.70</w:t>
            </w:r>
          </w:p>
        </w:tc>
      </w:tr>
      <w:tr>
        <w:trPr>
          <w:trHeight w:val="166"/>
        </w:trPr>
        <w:tc>
          <w:tcPr>
            <w:tcW w:w="6300" w:type="dxa"/>
            <w:vAlign w:val="bottom"/>
          </w:tcPr>
          <w:p>
            <w:pPr>
              <w:spacing w:after="0"/>
              <w:rPr>
                <w:sz w:val="14"/>
                <w:szCs w:val="14"/>
                <w:color w:val="auto"/>
              </w:rPr>
            </w:pPr>
          </w:p>
        </w:tc>
        <w:tc>
          <w:tcPr>
            <w:tcW w:w="27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Funds Available for Distribution (FAD)</w:t>
            </w:r>
          </w:p>
        </w:tc>
        <w:tc>
          <w:tcPr>
            <w:tcW w:w="1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29,700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28,286</w:t>
            </w:r>
          </w:p>
        </w:tc>
      </w:tr>
      <w:tr>
        <w:trPr>
          <w:trHeight w:val="166"/>
        </w:trPr>
        <w:tc>
          <w:tcPr>
            <w:tcW w:w="6300" w:type="dxa"/>
            <w:vAlign w:val="bottom"/>
          </w:tcPr>
          <w:p>
            <w:pPr>
              <w:ind w:left="1220"/>
              <w:spacing w:after="0"/>
              <w:rPr>
                <w:sz w:val="20"/>
                <w:szCs w:val="20"/>
                <w:color w:val="auto"/>
              </w:rPr>
            </w:pPr>
            <w:r>
              <w:rPr>
                <w:rFonts w:ascii="Courier New" w:cs="Courier New" w:eastAsia="Courier New" w:hAnsi="Courier New"/>
                <w:sz w:val="14"/>
                <w:szCs w:val="14"/>
                <w:color w:val="auto"/>
              </w:rPr>
              <w:t>Recurring capital expenditures</w:t>
            </w:r>
          </w:p>
        </w:tc>
        <w:tc>
          <w:tcPr>
            <w:tcW w:w="1020" w:type="dxa"/>
            <w:vAlign w:val="bottom"/>
          </w:tcPr>
          <w:p>
            <w:pPr>
              <w:spacing w:after="0"/>
              <w:rPr>
                <w:sz w:val="14"/>
                <w:szCs w:val="14"/>
                <w:color w:val="auto"/>
              </w:rPr>
            </w:pPr>
          </w:p>
        </w:tc>
        <w:tc>
          <w:tcPr>
            <w:tcW w:w="17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(1,648)</w:t>
            </w:r>
          </w:p>
        </w:tc>
        <w:tc>
          <w:tcPr>
            <w:tcW w:w="10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(2,192)</w:t>
            </w:r>
          </w:p>
        </w:tc>
      </w:tr>
      <w:tr>
        <w:trPr>
          <w:trHeight w:val="166"/>
        </w:trPr>
        <w:tc>
          <w:tcPr>
            <w:tcW w:w="6300" w:type="dxa"/>
            <w:vAlign w:val="bottom"/>
          </w:tcPr>
          <w:p>
            <w:pPr>
              <w:spacing w:after="0"/>
              <w:rPr>
                <w:sz w:val="14"/>
                <w:szCs w:val="14"/>
                <w:color w:val="auto"/>
              </w:rPr>
            </w:pPr>
          </w:p>
        </w:tc>
        <w:tc>
          <w:tcPr>
            <w:tcW w:w="27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Funds available for distribution (FAD)</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28,052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26,094</w:t>
            </w:r>
          </w:p>
        </w:tc>
      </w:tr>
      <w:tr>
        <w:trPr>
          <w:trHeight w:val="166"/>
        </w:trPr>
        <w:tc>
          <w:tcPr>
            <w:tcW w:w="6300" w:type="dxa"/>
            <w:vAlign w:val="bottom"/>
          </w:tcPr>
          <w:p>
            <w:pPr>
              <w:spacing w:after="0"/>
              <w:rPr>
                <w:sz w:val="14"/>
                <w:szCs w:val="14"/>
                <w:color w:val="auto"/>
              </w:rPr>
            </w:pPr>
          </w:p>
        </w:tc>
        <w:tc>
          <w:tcPr>
            <w:tcW w:w="27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ind w:left="1220"/>
              <w:spacing w:after="0"/>
              <w:rPr>
                <w:sz w:val="20"/>
                <w:szCs w:val="20"/>
                <w:color w:val="auto"/>
              </w:rPr>
            </w:pPr>
            <w:r>
              <w:rPr>
                <w:rFonts w:ascii="Courier New" w:cs="Courier New" w:eastAsia="Courier New" w:hAnsi="Courier New"/>
                <w:sz w:val="14"/>
                <w:szCs w:val="14"/>
                <w:color w:val="auto"/>
              </w:rPr>
              <w:t>Weighted average shares outstanding</w:t>
            </w:r>
          </w:p>
        </w:tc>
        <w:tc>
          <w:tcPr>
            <w:tcW w:w="1020" w:type="dxa"/>
            <w:vAlign w:val="bottom"/>
          </w:tcPr>
          <w:p>
            <w:pPr>
              <w:spacing w:after="0"/>
              <w:rPr>
                <w:sz w:val="24"/>
                <w:szCs w:val="24"/>
                <w:color w:val="auto"/>
              </w:rPr>
            </w:pP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44,036</w:t>
            </w:r>
          </w:p>
        </w:tc>
        <w:tc>
          <w:tcPr>
            <w:tcW w:w="1020" w:type="dxa"/>
            <w:vAlign w:val="bottom"/>
          </w:tcPr>
          <w:p>
            <w:pPr>
              <w:spacing w:after="0"/>
              <w:rPr>
                <w:sz w:val="24"/>
                <w:szCs w:val="2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40,492</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FAD per share</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0.64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0.64</w:t>
            </w:r>
          </w:p>
        </w:tc>
      </w:tr>
      <w:tr>
        <w:trPr>
          <w:trHeight w:val="166"/>
        </w:trPr>
        <w:tc>
          <w:tcPr>
            <w:tcW w:w="6300" w:type="dxa"/>
            <w:vAlign w:val="bottom"/>
          </w:tcPr>
          <w:p>
            <w:pPr>
              <w:spacing w:after="0"/>
              <w:rPr>
                <w:sz w:val="14"/>
                <w:szCs w:val="14"/>
                <w:color w:val="auto"/>
              </w:rPr>
            </w:pPr>
          </w:p>
        </w:tc>
        <w:tc>
          <w:tcPr>
            <w:tcW w:w="27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Dividends per share</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0.485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0.48</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Dividend payout ratio % - FFO</w:t>
            </w:r>
          </w:p>
        </w:tc>
        <w:tc>
          <w:tcPr>
            <w:tcW w:w="1020" w:type="dxa"/>
            <w:vAlign w:val="bottom"/>
          </w:tcPr>
          <w:p>
            <w:pPr>
              <w:spacing w:after="0"/>
              <w:rPr>
                <w:sz w:val="24"/>
                <w:szCs w:val="24"/>
                <w:color w:val="auto"/>
              </w:rPr>
            </w:pPr>
          </w:p>
        </w:tc>
        <w:tc>
          <w:tcPr>
            <w:tcW w:w="17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72%</w:t>
            </w:r>
          </w:p>
        </w:tc>
        <w:tc>
          <w:tcPr>
            <w:tcW w:w="102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Dividend payout ratio % - FAD</w:t>
            </w:r>
          </w:p>
        </w:tc>
        <w:tc>
          <w:tcPr>
            <w:tcW w:w="1020" w:type="dxa"/>
            <w:vAlign w:val="bottom"/>
          </w:tcPr>
          <w:p>
            <w:pPr>
              <w:spacing w:after="0"/>
              <w:rPr>
                <w:sz w:val="24"/>
                <w:szCs w:val="24"/>
                <w:color w:val="auto"/>
              </w:rPr>
            </w:pPr>
          </w:p>
        </w:tc>
        <w:tc>
          <w:tcPr>
            <w:tcW w:w="17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76%</w:t>
            </w:r>
          </w:p>
        </w:tc>
        <w:tc>
          <w:tcPr>
            <w:tcW w:w="102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Summary of Capital Expenditures</w:t>
            </w:r>
          </w:p>
        </w:tc>
        <w:tc>
          <w:tcPr>
            <w:tcW w:w="1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Accretive Capital Expenditures</w:t>
            </w:r>
          </w:p>
        </w:tc>
        <w:tc>
          <w:tcPr>
            <w:tcW w:w="1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300" w:type="dxa"/>
            <w:vAlign w:val="bottom"/>
          </w:tcPr>
          <w:p>
            <w:pPr>
              <w:ind w:left="1220"/>
              <w:spacing w:after="0"/>
              <w:rPr>
                <w:sz w:val="20"/>
                <w:szCs w:val="20"/>
                <w:color w:val="auto"/>
              </w:rPr>
            </w:pPr>
            <w:r>
              <w:rPr>
                <w:rFonts w:ascii="Courier New" w:cs="Courier New" w:eastAsia="Courier New" w:hAnsi="Courier New"/>
                <w:sz w:val="14"/>
                <w:szCs w:val="14"/>
                <w:color w:val="auto"/>
              </w:rPr>
              <w:t>Development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69,700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42,389</w:t>
            </w:r>
          </w:p>
        </w:tc>
      </w:tr>
      <w:tr>
        <w:trPr>
          <w:trHeight w:val="166"/>
        </w:trPr>
        <w:tc>
          <w:tcPr>
            <w:tcW w:w="6300" w:type="dxa"/>
            <w:vAlign w:val="bottom"/>
          </w:tcPr>
          <w:p>
            <w:pPr>
              <w:ind w:left="1220"/>
              <w:spacing w:after="0"/>
              <w:rPr>
                <w:sz w:val="20"/>
                <w:szCs w:val="20"/>
                <w:color w:val="auto"/>
              </w:rPr>
            </w:pPr>
            <w:r>
              <w:rPr>
                <w:rFonts w:ascii="Courier New" w:cs="Courier New" w:eastAsia="Courier New" w:hAnsi="Courier New"/>
                <w:sz w:val="14"/>
                <w:szCs w:val="14"/>
                <w:color w:val="auto"/>
              </w:rPr>
              <w:t>Acquisition Related (1)</w:t>
            </w:r>
          </w:p>
        </w:tc>
        <w:tc>
          <w:tcPr>
            <w:tcW w:w="1020" w:type="dxa"/>
            <w:vAlign w:val="bottom"/>
          </w:tcPr>
          <w:p>
            <w:pPr>
              <w:spacing w:after="0"/>
              <w:rPr>
                <w:sz w:val="14"/>
                <w:szCs w:val="14"/>
                <w:color w:val="auto"/>
              </w:rPr>
            </w:pP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w:t>
            </w:r>
          </w:p>
        </w:tc>
        <w:tc>
          <w:tcPr>
            <w:tcW w:w="10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w:t>
            </w:r>
          </w:p>
        </w:tc>
      </w:tr>
      <w:tr>
        <w:trPr>
          <w:trHeight w:val="166"/>
        </w:trPr>
        <w:tc>
          <w:tcPr>
            <w:tcW w:w="6300" w:type="dxa"/>
            <w:vAlign w:val="bottom"/>
          </w:tcPr>
          <w:p>
            <w:pPr>
              <w:ind w:left="1220"/>
              <w:spacing w:after="0"/>
              <w:rPr>
                <w:sz w:val="20"/>
                <w:szCs w:val="20"/>
                <w:color w:val="auto"/>
              </w:rPr>
            </w:pPr>
            <w:r>
              <w:rPr>
                <w:rFonts w:ascii="Courier New" w:cs="Courier New" w:eastAsia="Courier New" w:hAnsi="Courier New"/>
                <w:sz w:val="14"/>
                <w:szCs w:val="14"/>
                <w:color w:val="auto"/>
              </w:rPr>
              <w:t>Redevelopments and Expansions</w:t>
            </w:r>
          </w:p>
        </w:tc>
        <w:tc>
          <w:tcPr>
            <w:tcW w:w="1020" w:type="dxa"/>
            <w:vAlign w:val="bottom"/>
          </w:tcPr>
          <w:p>
            <w:pPr>
              <w:spacing w:after="0"/>
              <w:rPr>
                <w:sz w:val="14"/>
                <w:szCs w:val="14"/>
                <w:color w:val="auto"/>
              </w:rPr>
            </w:pP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1,100</w:t>
            </w:r>
          </w:p>
        </w:tc>
        <w:tc>
          <w:tcPr>
            <w:tcW w:w="10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4,221</w:t>
            </w:r>
          </w:p>
        </w:tc>
      </w:tr>
      <w:tr>
        <w:trPr>
          <w:trHeight w:val="166"/>
        </w:trPr>
        <w:tc>
          <w:tcPr>
            <w:tcW w:w="6300" w:type="dxa"/>
            <w:vAlign w:val="bottom"/>
          </w:tcPr>
          <w:p>
            <w:pPr>
              <w:ind w:left="1220"/>
              <w:spacing w:after="0"/>
              <w:rPr>
                <w:sz w:val="20"/>
                <w:szCs w:val="20"/>
                <w:color w:val="auto"/>
              </w:rPr>
            </w:pPr>
            <w:r>
              <w:rPr>
                <w:rFonts w:ascii="Courier New" w:cs="Courier New" w:eastAsia="Courier New" w:hAnsi="Courier New"/>
                <w:sz w:val="14"/>
                <w:szCs w:val="14"/>
                <w:color w:val="auto"/>
              </w:rPr>
              <w:t>Tenant Improvements</w:t>
            </w:r>
          </w:p>
        </w:tc>
        <w:tc>
          <w:tcPr>
            <w:tcW w:w="1020" w:type="dxa"/>
            <w:vAlign w:val="bottom"/>
          </w:tcPr>
          <w:p>
            <w:pPr>
              <w:spacing w:after="0"/>
              <w:rPr>
                <w:sz w:val="14"/>
                <w:szCs w:val="14"/>
                <w:color w:val="auto"/>
              </w:rPr>
            </w:pP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1,430</w:t>
            </w:r>
          </w:p>
        </w:tc>
        <w:tc>
          <w:tcPr>
            <w:tcW w:w="10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1,874</w:t>
            </w:r>
          </w:p>
        </w:tc>
      </w:tr>
      <w:tr>
        <w:trPr>
          <w:trHeight w:val="166"/>
        </w:trPr>
        <w:tc>
          <w:tcPr>
            <w:tcW w:w="6300" w:type="dxa"/>
            <w:vAlign w:val="bottom"/>
          </w:tcPr>
          <w:p>
            <w:pPr>
              <w:spacing w:after="0"/>
              <w:rPr>
                <w:sz w:val="14"/>
                <w:szCs w:val="14"/>
                <w:color w:val="auto"/>
              </w:rPr>
            </w:pPr>
          </w:p>
        </w:tc>
        <w:tc>
          <w:tcPr>
            <w:tcW w:w="27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Total Accretive Capital Expenditures</w:t>
            </w:r>
          </w:p>
        </w:tc>
        <w:tc>
          <w:tcPr>
            <w:tcW w:w="1020" w:type="dxa"/>
            <w:vAlign w:val="bottom"/>
          </w:tcPr>
          <w:p>
            <w:pPr>
              <w:spacing w:after="0"/>
              <w:rPr>
                <w:sz w:val="24"/>
                <w:szCs w:val="24"/>
                <w:color w:val="auto"/>
              </w:rPr>
            </w:pP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72,240</w:t>
            </w:r>
          </w:p>
        </w:tc>
        <w:tc>
          <w:tcPr>
            <w:tcW w:w="1020" w:type="dxa"/>
            <w:vAlign w:val="bottom"/>
          </w:tcPr>
          <w:p>
            <w:pPr>
              <w:spacing w:after="0"/>
              <w:rPr>
                <w:sz w:val="24"/>
                <w:szCs w:val="2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48,697</w:t>
            </w:r>
          </w:p>
        </w:tc>
      </w:tr>
      <w:tr>
        <w:trPr>
          <w:trHeight w:val="331"/>
        </w:trPr>
        <w:tc>
          <w:tcPr>
            <w:tcW w:w="6300" w:type="dxa"/>
            <w:vAlign w:val="bottom"/>
          </w:tcPr>
          <w:p>
            <w:pPr>
              <w:ind w:left="1220"/>
              <w:spacing w:after="0"/>
              <w:rPr>
                <w:sz w:val="20"/>
                <w:szCs w:val="20"/>
                <w:color w:val="auto"/>
              </w:rPr>
            </w:pPr>
            <w:r>
              <w:rPr>
                <w:rFonts w:ascii="Courier New" w:cs="Courier New" w:eastAsia="Courier New" w:hAnsi="Courier New"/>
                <w:sz w:val="14"/>
                <w:szCs w:val="14"/>
                <w:color w:val="auto"/>
              </w:rPr>
              <w:t>Recurring Capital Expenditures</w:t>
            </w:r>
          </w:p>
        </w:tc>
        <w:tc>
          <w:tcPr>
            <w:tcW w:w="1020" w:type="dxa"/>
            <w:vAlign w:val="bottom"/>
          </w:tcPr>
          <w:p>
            <w:pPr>
              <w:spacing w:after="0"/>
              <w:rPr>
                <w:sz w:val="24"/>
                <w:szCs w:val="24"/>
                <w:color w:val="auto"/>
              </w:rPr>
            </w:pP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1,648</w:t>
            </w:r>
          </w:p>
        </w:tc>
        <w:tc>
          <w:tcPr>
            <w:tcW w:w="1020" w:type="dxa"/>
            <w:vAlign w:val="bottom"/>
          </w:tcPr>
          <w:p>
            <w:pPr>
              <w:spacing w:after="0"/>
              <w:rPr>
                <w:sz w:val="24"/>
                <w:szCs w:val="2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2,192</w:t>
            </w:r>
          </w:p>
        </w:tc>
      </w:tr>
      <w:tr>
        <w:trPr>
          <w:trHeight w:val="166"/>
        </w:trPr>
        <w:tc>
          <w:tcPr>
            <w:tcW w:w="6300" w:type="dxa"/>
            <w:vAlign w:val="bottom"/>
          </w:tcPr>
          <w:p>
            <w:pPr>
              <w:spacing w:after="0"/>
              <w:rPr>
                <w:sz w:val="14"/>
                <w:szCs w:val="14"/>
                <w:color w:val="auto"/>
              </w:rPr>
            </w:pPr>
          </w:p>
        </w:tc>
        <w:tc>
          <w:tcPr>
            <w:tcW w:w="27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Total Capital Expenditures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73,888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50,889</w:t>
            </w:r>
          </w:p>
        </w:tc>
      </w:tr>
      <w:tr>
        <w:trPr>
          <w:trHeight w:val="166"/>
        </w:trPr>
        <w:tc>
          <w:tcPr>
            <w:tcW w:w="6300" w:type="dxa"/>
            <w:vAlign w:val="bottom"/>
          </w:tcPr>
          <w:p>
            <w:pPr>
              <w:spacing w:after="0"/>
              <w:rPr>
                <w:sz w:val="14"/>
                <w:szCs w:val="14"/>
                <w:color w:val="auto"/>
              </w:rPr>
            </w:pPr>
          </w:p>
        </w:tc>
        <w:tc>
          <w:tcPr>
            <w:tcW w:w="27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7" w:lineRule="exact"/>
        <w:rPr>
          <w:sz w:val="20"/>
          <w:szCs w:val="20"/>
          <w:color w:val="auto"/>
        </w:rPr>
      </w:pPr>
    </w:p>
    <w:p>
      <w:pPr>
        <w:ind w:right="4560" w:firstLine="8"/>
        <w:spacing w:after="0" w:line="255"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expenditures related to acquisitions in the last two years which were projected in the acquisition underwriting.</w:t>
      </w:r>
    </w:p>
    <w:p>
      <w:pPr>
        <w:sectPr>
          <w:pgSz w:w="11900" w:h="16838" w:orient="portrait"/>
          <w:cols w:equalWidth="0" w:num="1">
            <w:col w:w="11120"/>
          </w:cols>
          <w:pgMar w:left="220" w:top="616" w:right="55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Financial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 2002</w:t>
            </w:r>
          </w:p>
        </w:tc>
        <w:tc>
          <w:tcPr>
            <w:tcW w:w="620" w:type="dxa"/>
            <w:vAlign w:val="bottom"/>
          </w:tcPr>
          <w:p>
            <w:pPr>
              <w:spacing w:after="0"/>
              <w:rPr>
                <w:sz w:val="14"/>
                <w:szCs w:val="14"/>
                <w:color w:val="auto"/>
              </w:rPr>
            </w:pPr>
          </w:p>
        </w:tc>
        <w:tc>
          <w:tcPr>
            <w:tcW w:w="2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December 31, 2001</w:t>
            </w:r>
          </w:p>
        </w:tc>
      </w:tr>
      <w:tr>
        <w:trPr>
          <w:trHeight w:val="166"/>
        </w:trPr>
        <w:tc>
          <w:tcPr>
            <w:tcW w:w="504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4960" w:type="dxa"/>
            <w:vAlign w:val="bottom"/>
            <w:gridSpan w:val="5"/>
          </w:tcPr>
          <w:p>
            <w:pPr>
              <w:jc w:val="right"/>
              <w:ind w:right="708"/>
              <w:spacing w:after="0"/>
              <w:rPr>
                <w:sz w:val="20"/>
                <w:szCs w:val="20"/>
                <w:color w:val="auto"/>
              </w:rPr>
            </w:pPr>
            <w:r>
              <w:rPr>
                <w:rFonts w:ascii="Courier New" w:cs="Courier New" w:eastAsia="Courier New" w:hAnsi="Courier New"/>
                <w:sz w:val="14"/>
                <w:szCs w:val="14"/>
                <w:color w:val="auto"/>
              </w:rPr>
              <w:t>(in thousands, except per share data)</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Market data</w:t>
            </w: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Shares outstanding</w:t>
            </w:r>
          </w:p>
        </w:tc>
        <w:tc>
          <w:tcPr>
            <w:tcW w:w="14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43,300</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40,071</w:t>
            </w:r>
          </w:p>
        </w:tc>
      </w:tr>
      <w:tr>
        <w:trPr>
          <w:trHeight w:val="331"/>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Market price per share (end of period)</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27.00</w:t>
            </w:r>
          </w:p>
        </w:tc>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23.00</w:t>
            </w:r>
          </w:p>
        </w:tc>
      </w:tr>
      <w:tr>
        <w:trPr>
          <w:trHeight w:val="331"/>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Equity market capitalization (end of period)</w:t>
            </w:r>
          </w:p>
        </w:tc>
        <w:tc>
          <w:tcPr>
            <w:tcW w:w="290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$ 1,404,100 (1)</w:t>
            </w: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$ 1,156,633 (1)</w:t>
            </w:r>
          </w:p>
        </w:tc>
      </w:tr>
      <w:tr>
        <w:trPr>
          <w:trHeight w:val="331"/>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Total debt</w:t>
            </w:r>
          </w:p>
        </w:tc>
        <w:tc>
          <w:tcPr>
            <w:tcW w:w="14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1,092,610</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1,010,175</w:t>
            </w:r>
          </w:p>
        </w:tc>
      </w:tr>
      <w:tr>
        <w:trPr>
          <w:trHeight w:val="166"/>
        </w:trPr>
        <w:tc>
          <w:tcPr>
            <w:tcW w:w="5040" w:type="dxa"/>
            <w:vAlign w:val="bottom"/>
          </w:tcPr>
          <w:p>
            <w:pPr>
              <w:spacing w:after="0"/>
              <w:rPr>
                <w:sz w:val="14"/>
                <w:szCs w:val="14"/>
                <w:color w:val="auto"/>
              </w:rPr>
            </w:pP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Total market capitalization</w:t>
            </w: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$ 2,496,710</w:t>
            </w:r>
          </w:p>
        </w:tc>
        <w:tc>
          <w:tcPr>
            <w:tcW w:w="620" w:type="dxa"/>
            <w:vAlign w:val="bottom"/>
          </w:tcPr>
          <w:p>
            <w:pPr>
              <w:spacing w:after="0"/>
              <w:rPr>
                <w:sz w:val="24"/>
                <w:szCs w:val="24"/>
                <w:color w:val="auto"/>
              </w:rPr>
            </w:pPr>
          </w:p>
        </w:tc>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$ 2,166,808</w:t>
            </w:r>
          </w:p>
        </w:tc>
      </w:tr>
      <w:tr>
        <w:trPr>
          <w:trHeight w:val="166"/>
        </w:trPr>
        <w:tc>
          <w:tcPr>
            <w:tcW w:w="5040" w:type="dxa"/>
            <w:vAlign w:val="bottom"/>
          </w:tcPr>
          <w:p>
            <w:pPr>
              <w:spacing w:after="0"/>
              <w:rPr>
                <w:sz w:val="14"/>
                <w:szCs w:val="14"/>
                <w:color w:val="auto"/>
              </w:rPr>
            </w:pP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Total debt to market capitalization</w:t>
            </w:r>
          </w:p>
        </w:tc>
        <w:tc>
          <w:tcPr>
            <w:tcW w:w="14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.47:1</w:t>
            </w:r>
          </w:p>
        </w:tc>
      </w:tr>
      <w:tr>
        <w:trPr>
          <w:trHeight w:val="166"/>
        </w:trPr>
        <w:tc>
          <w:tcPr>
            <w:tcW w:w="5040" w:type="dxa"/>
            <w:vAlign w:val="bottom"/>
          </w:tcPr>
          <w:p>
            <w:pPr>
              <w:spacing w:after="0"/>
              <w:rPr>
                <w:sz w:val="14"/>
                <w:szCs w:val="14"/>
                <w:color w:val="auto"/>
              </w:rPr>
            </w:pP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Capital availability:</w:t>
            </w: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Cash on hand</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24,652</w:t>
            </w:r>
          </w:p>
        </w:tc>
        <w:tc>
          <w:tcPr>
            <w:tcW w:w="6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17,563</w:t>
            </w: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Tax deferred exchange escrows</w:t>
            </w:r>
          </w:p>
        </w:tc>
        <w:tc>
          <w:tcPr>
            <w:tcW w:w="14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55,204</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6,006</w:t>
            </w: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Available under line of credit</w:t>
            </w:r>
          </w:p>
        </w:tc>
        <w:tc>
          <w:tcPr>
            <w:tcW w:w="14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235,000</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256,000</w:t>
            </w: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Available under Santana Row construction loan</w:t>
            </w:r>
          </w:p>
        </w:tc>
        <w:tc>
          <w:tcPr>
            <w:tcW w:w="14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143,675</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233,000</w:t>
            </w: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Shelf registration</w:t>
            </w:r>
          </w:p>
        </w:tc>
        <w:tc>
          <w:tcPr>
            <w:tcW w:w="14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130,240</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(2)</w:t>
            </w:r>
          </w:p>
        </w:tc>
        <w:tc>
          <w:tcPr>
            <w:tcW w:w="9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190,000</w:t>
            </w:r>
          </w:p>
        </w:tc>
      </w:tr>
      <w:tr>
        <w:trPr>
          <w:trHeight w:val="166"/>
        </w:trPr>
        <w:tc>
          <w:tcPr>
            <w:tcW w:w="5040" w:type="dxa"/>
            <w:vAlign w:val="bottom"/>
          </w:tcPr>
          <w:p>
            <w:pPr>
              <w:spacing w:after="0"/>
              <w:rPr>
                <w:sz w:val="14"/>
                <w:szCs w:val="14"/>
                <w:color w:val="auto"/>
              </w:rPr>
            </w:pP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4"/>
                <w:szCs w:val="2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588,771</w:t>
            </w:r>
          </w:p>
        </w:tc>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702,569</w:t>
            </w:r>
          </w:p>
        </w:tc>
      </w:tr>
      <w:tr>
        <w:trPr>
          <w:trHeight w:val="166"/>
        </w:trPr>
        <w:tc>
          <w:tcPr>
            <w:tcW w:w="5040" w:type="dxa"/>
            <w:vAlign w:val="bottom"/>
          </w:tcPr>
          <w:p>
            <w:pPr>
              <w:spacing w:after="0"/>
              <w:rPr>
                <w:sz w:val="14"/>
                <w:szCs w:val="14"/>
                <w:color w:val="auto"/>
              </w:rPr>
            </w:pP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hanging="432"/>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$235 million of preferred stock issued and outstanding.</w:t>
      </w:r>
    </w:p>
    <w:p>
      <w:pPr>
        <w:spacing w:after="0" w:line="7" w:lineRule="exact"/>
        <w:rPr>
          <w:rFonts w:ascii="Courier New" w:cs="Courier New" w:eastAsia="Courier New" w:hAnsi="Courier New"/>
          <w:sz w:val="14"/>
          <w:szCs w:val="14"/>
          <w:color w:val="auto"/>
        </w:rPr>
      </w:pPr>
    </w:p>
    <w:p>
      <w:pPr>
        <w:ind w:left="440" w:right="4379" w:hanging="432"/>
        <w:spacing w:after="0" w:line="255"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462(b) availability can be increased to $156.3 million.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760" w:type="dxa"/>
            <w:vAlign w:val="bottom"/>
          </w:tcPr>
          <w:p>
            <w:pPr>
              <w:ind w:left="860"/>
              <w:spacing w:after="0"/>
              <w:rPr>
                <w:sz w:val="20"/>
                <w:szCs w:val="20"/>
                <w:color w:val="auto"/>
              </w:rPr>
            </w:pPr>
            <w:r>
              <w:rPr>
                <w:rFonts w:ascii="Courier New" w:cs="Courier New" w:eastAsia="Courier New" w:hAnsi="Courier New"/>
                <w:sz w:val="14"/>
                <w:szCs w:val="14"/>
                <w:color w:val="auto"/>
              </w:rPr>
              <w:t>Nine months ended</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9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760" w:type="dxa"/>
            <w:vAlign w:val="bottom"/>
          </w:tcPr>
          <w:p>
            <w:pPr>
              <w:ind w:left="780"/>
              <w:spacing w:after="0"/>
              <w:rPr>
                <w:sz w:val="20"/>
                <w:szCs w:val="20"/>
                <w:color w:val="auto"/>
              </w:rPr>
            </w:pPr>
            <w:r>
              <w:rPr>
                <w:rFonts w:ascii="Courier New" w:cs="Courier New" w:eastAsia="Courier New" w:hAnsi="Courier New"/>
                <w:sz w:val="14"/>
                <w:szCs w:val="14"/>
                <w:color w:val="auto"/>
              </w:rPr>
              <w:t>September 30, 2002 (3)</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September 30, 2001</w:t>
            </w:r>
          </w:p>
        </w:tc>
      </w:tr>
      <w:tr>
        <w:trPr>
          <w:trHeight w:val="166"/>
        </w:trPr>
        <w:tc>
          <w:tcPr>
            <w:tcW w:w="9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76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Operational statistics</w:t>
            </w:r>
          </w:p>
        </w:tc>
        <w:tc>
          <w:tcPr>
            <w:tcW w:w="27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Ratio</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of earnings to combined fixed charges</w:t>
            </w:r>
          </w:p>
        </w:tc>
        <w:tc>
          <w:tcPr>
            <w:tcW w:w="27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preferred dividends</w:t>
            </w:r>
          </w:p>
        </w:tc>
        <w:tc>
          <w:tcPr>
            <w:tcW w:w="2760" w:type="dxa"/>
            <w:vAlign w:val="bottom"/>
          </w:tcPr>
          <w:p>
            <w:pPr>
              <w:ind w:left="1800"/>
              <w:spacing w:after="0"/>
              <w:rPr>
                <w:sz w:val="20"/>
                <w:szCs w:val="20"/>
                <w:color w:val="auto"/>
              </w:rPr>
            </w:pPr>
            <w:r>
              <w:rPr>
                <w:rFonts w:ascii="Courier New" w:cs="Courier New" w:eastAsia="Courier New" w:hAnsi="Courier New"/>
                <w:sz w:val="14"/>
                <w:szCs w:val="14"/>
                <w:color w:val="auto"/>
              </w:rPr>
              <w:t>1.22x</w:t>
            </w:r>
          </w:p>
        </w:tc>
        <w:tc>
          <w:tcPr>
            <w:tcW w:w="1640" w:type="dxa"/>
            <w:vAlign w:val="bottom"/>
          </w:tcPr>
          <w:p>
            <w:pPr>
              <w:ind w:left="1020"/>
              <w:spacing w:after="0"/>
              <w:rPr>
                <w:sz w:val="20"/>
                <w:szCs w:val="20"/>
                <w:color w:val="auto"/>
              </w:rPr>
            </w:pPr>
            <w:r>
              <w:rPr>
                <w:rFonts w:ascii="Courier New" w:cs="Courier New" w:eastAsia="Courier New" w:hAnsi="Courier New"/>
                <w:sz w:val="14"/>
                <w:szCs w:val="14"/>
                <w:color w:val="auto"/>
              </w:rPr>
              <w:t>1.35x</w:t>
            </w:r>
          </w:p>
        </w:tc>
      </w:tr>
      <w:tr>
        <w:trPr>
          <w:trHeight w:val="331"/>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Ratio</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of earnings to fixed charges</w:t>
            </w:r>
          </w:p>
        </w:tc>
        <w:tc>
          <w:tcPr>
            <w:tcW w:w="2760" w:type="dxa"/>
            <w:vAlign w:val="bottom"/>
          </w:tcPr>
          <w:p>
            <w:pPr>
              <w:ind w:left="1800"/>
              <w:spacing w:after="0"/>
              <w:rPr>
                <w:sz w:val="20"/>
                <w:szCs w:val="20"/>
                <w:color w:val="auto"/>
              </w:rPr>
            </w:pPr>
            <w:r>
              <w:rPr>
                <w:rFonts w:ascii="Courier New" w:cs="Courier New" w:eastAsia="Courier New" w:hAnsi="Courier New"/>
                <w:sz w:val="14"/>
                <w:szCs w:val="14"/>
                <w:color w:val="auto"/>
              </w:rPr>
              <w:t>1.49x</w:t>
            </w:r>
          </w:p>
        </w:tc>
        <w:tc>
          <w:tcPr>
            <w:tcW w:w="1640" w:type="dxa"/>
            <w:vAlign w:val="bottom"/>
          </w:tcPr>
          <w:p>
            <w:pPr>
              <w:ind w:left="1020"/>
              <w:spacing w:after="0"/>
              <w:rPr>
                <w:sz w:val="20"/>
                <w:szCs w:val="20"/>
                <w:color w:val="auto"/>
              </w:rPr>
            </w:pPr>
            <w:r>
              <w:rPr>
                <w:rFonts w:ascii="Courier New" w:cs="Courier New" w:eastAsia="Courier New" w:hAnsi="Courier New"/>
                <w:sz w:val="14"/>
                <w:szCs w:val="14"/>
                <w:color w:val="auto"/>
              </w:rPr>
              <w:t>1.47x</w:t>
            </w:r>
          </w:p>
        </w:tc>
      </w:tr>
      <w:tr>
        <w:trPr>
          <w:trHeight w:val="331"/>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Ratio</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of EBITDA to combined fixed charges</w:t>
            </w:r>
          </w:p>
        </w:tc>
        <w:tc>
          <w:tcPr>
            <w:tcW w:w="27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preferred dividends</w:t>
            </w:r>
          </w:p>
        </w:tc>
        <w:tc>
          <w:tcPr>
            <w:tcW w:w="2760" w:type="dxa"/>
            <w:vAlign w:val="bottom"/>
          </w:tcPr>
          <w:p>
            <w:pPr>
              <w:ind w:left="1800"/>
              <w:spacing w:after="0"/>
              <w:rPr>
                <w:sz w:val="20"/>
                <w:szCs w:val="20"/>
                <w:color w:val="auto"/>
              </w:rPr>
            </w:pPr>
            <w:r>
              <w:rPr>
                <w:rFonts w:ascii="Courier New" w:cs="Courier New" w:eastAsia="Courier New" w:hAnsi="Courier New"/>
                <w:sz w:val="14"/>
                <w:szCs w:val="14"/>
                <w:color w:val="auto"/>
              </w:rPr>
              <w:t>1.80x</w:t>
            </w:r>
          </w:p>
        </w:tc>
        <w:tc>
          <w:tcPr>
            <w:tcW w:w="1640" w:type="dxa"/>
            <w:vAlign w:val="bottom"/>
          </w:tcPr>
          <w:p>
            <w:pPr>
              <w:ind w:left="1020"/>
              <w:spacing w:after="0"/>
              <w:rPr>
                <w:sz w:val="20"/>
                <w:szCs w:val="20"/>
                <w:color w:val="auto"/>
              </w:rPr>
            </w:pPr>
            <w:r>
              <w:rPr>
                <w:rFonts w:ascii="Courier New" w:cs="Courier New" w:eastAsia="Courier New" w:hAnsi="Courier New"/>
                <w:sz w:val="14"/>
                <w:szCs w:val="14"/>
                <w:color w:val="auto"/>
              </w:rPr>
              <w:t>1.93x</w:t>
            </w:r>
          </w:p>
        </w:tc>
      </w:tr>
      <w:tr>
        <w:trPr>
          <w:trHeight w:val="331"/>
        </w:trPr>
        <w:tc>
          <w:tcPr>
            <w:tcW w:w="49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Administrative expense/total revenues</w:t>
            </w:r>
          </w:p>
        </w:tc>
        <w:tc>
          <w:tcPr>
            <w:tcW w:w="2760" w:type="dxa"/>
            <w:vAlign w:val="bottom"/>
          </w:tcPr>
          <w:p>
            <w:pPr>
              <w:ind w:left="1800"/>
              <w:spacing w:after="0"/>
              <w:rPr>
                <w:sz w:val="20"/>
                <w:szCs w:val="20"/>
                <w:color w:val="auto"/>
              </w:rPr>
            </w:pPr>
            <w:r>
              <w:rPr>
                <w:rFonts w:ascii="Courier New" w:cs="Courier New" w:eastAsia="Courier New" w:hAnsi="Courier New"/>
                <w:sz w:val="14"/>
                <w:szCs w:val="14"/>
                <w:color w:val="auto"/>
              </w:rPr>
              <w:t>4.45%</w:t>
            </w:r>
          </w:p>
        </w:tc>
        <w:tc>
          <w:tcPr>
            <w:tcW w:w="1640" w:type="dxa"/>
            <w:vAlign w:val="bottom"/>
          </w:tcPr>
          <w:p>
            <w:pPr>
              <w:ind w:left="1020"/>
              <w:spacing w:after="0"/>
              <w:rPr>
                <w:sz w:val="20"/>
                <w:szCs w:val="20"/>
                <w:color w:val="auto"/>
              </w:rPr>
            </w:pPr>
            <w:r>
              <w:rPr>
                <w:rFonts w:ascii="Courier New" w:cs="Courier New" w:eastAsia="Courier New" w:hAnsi="Courier New"/>
                <w:sz w:val="14"/>
                <w:szCs w:val="14"/>
                <w:color w:val="auto"/>
              </w:rPr>
              <w:t>4.60%</w:t>
            </w:r>
          </w:p>
        </w:tc>
      </w:tr>
    </w:tbl>
    <w:p>
      <w:pPr>
        <w:spacing w:after="0" w:line="335" w:lineRule="exact"/>
        <w:rPr>
          <w:sz w:val="20"/>
          <w:szCs w:val="20"/>
          <w:color w:val="auto"/>
        </w:rPr>
      </w:pPr>
    </w:p>
    <w:p>
      <w:pPr>
        <w:ind w:right="3859"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one-time restructuring charge of $8.5 million incurred in the first quarter of 2002.</w:t>
      </w:r>
    </w:p>
    <w:p>
      <w:pPr>
        <w:sectPr>
          <w:pgSz w:w="11900" w:h="16838" w:orient="portrait"/>
          <w:cols w:equalWidth="0" w:num="1">
            <w:col w:w="10239"/>
          </w:cols>
          <w:pgMar w:left="220" w:top="61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Outstanding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2002</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3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Maturity</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Rate</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Balance</w:t>
            </w:r>
          </w:p>
        </w:tc>
        <w:tc>
          <w:tcPr>
            <w:tcW w:w="960" w:type="dxa"/>
            <w:vAlign w:val="bottom"/>
          </w:tcPr>
          <w:p>
            <w:pPr>
              <w:spacing w:after="0"/>
              <w:rPr>
                <w:sz w:val="24"/>
                <w:szCs w:val="2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Mortgages and Construction Loans</w:t>
            </w: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(in thousands)</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458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Construction loan on Woodmont East</w:t>
            </w:r>
          </w:p>
        </w:tc>
        <w:tc>
          <w:tcPr>
            <w:tcW w:w="2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58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(may be extended to 8/29/04)</w:t>
            </w: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08/29/03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libor + 1.20%</w:t>
            </w:r>
          </w:p>
        </w:tc>
        <w:tc>
          <w:tcPr>
            <w:tcW w:w="5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24,449</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Friendship Center</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09/22/03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libor + 1.35%</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17,000</w:t>
            </w:r>
          </w:p>
        </w:tc>
        <w:tc>
          <w:tcPr>
            <w:tcW w:w="960" w:type="dxa"/>
            <w:vAlign w:val="bottom"/>
          </w:tcPr>
          <w:p>
            <w:pPr>
              <w:spacing w:after="0"/>
              <w:rPr>
                <w:sz w:val="14"/>
                <w:szCs w:val="14"/>
                <w:color w:val="auto"/>
              </w:rPr>
            </w:pPr>
          </w:p>
        </w:tc>
      </w:tr>
      <w:tr>
        <w:trPr>
          <w:trHeight w:val="166"/>
        </w:trPr>
        <w:tc>
          <w:tcPr>
            <w:tcW w:w="458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Construction loan on Santana Row</w:t>
            </w: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58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(may be extended to 4/16/06)</w:t>
            </w: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04/16/04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libor + 2.125%</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151,325</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Leesburg Plaza</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10/01/08</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6.510%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9,900</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164 E Houston Street</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10/06/08</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278</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Federal Plaza</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06/01/11</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6.750%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36,025</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Barracks Road</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11/01/15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44,300</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Hauppauge</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11/01/15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16,700</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Lawrence Park</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11/01/15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31,400</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Wildwood</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11/01/15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27,600</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Wynnewood</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11/01/15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32,000</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Brick Plaza</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11/01/15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7.415%</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33,000</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Tysons Station</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09/01/11</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7.400%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6,890</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Escondido (Municipal bonds)</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10/01/16</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9,400</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440,267</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Revolving credit facilities</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12/19/03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libor + .80%</w:t>
            </w:r>
          </w:p>
        </w:tc>
        <w:tc>
          <w:tcPr>
            <w:tcW w:w="5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65,000</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Term note with banks</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12/19/03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6.22%</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125,000</w:t>
            </w:r>
          </w:p>
        </w:tc>
        <w:tc>
          <w:tcPr>
            <w:tcW w:w="960" w:type="dxa"/>
            <w:vAlign w:val="bottom"/>
          </w:tcPr>
          <w:p>
            <w:pPr>
              <w:spacing w:after="0"/>
              <w:rPr>
                <w:sz w:val="14"/>
                <w:szCs w:val="14"/>
                <w:color w:val="auto"/>
              </w:rPr>
            </w:pPr>
          </w:p>
        </w:tc>
      </w:tr>
      <w:tr>
        <w:trPr>
          <w:trHeight w:val="166"/>
        </w:trPr>
        <w:tc>
          <w:tcPr>
            <w:tcW w:w="458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Note issued in connection with</w:t>
            </w: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58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renovation of Perring Plaza</w:t>
            </w: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01/31/13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2,298</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various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various</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192,343</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58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5 1/4% Convertible subordinated debentures</w:t>
            </w: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10/28/03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5.250%</w:t>
            </w:r>
          </w:p>
        </w:tc>
        <w:tc>
          <w:tcPr>
            <w:tcW w:w="5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75,000</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6.74% Medium Term Notes</w:t>
            </w:r>
          </w:p>
        </w:tc>
        <w:tc>
          <w:tcPr>
            <w:tcW w:w="1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(c)</w:t>
            </w: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03/10/04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6.370%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39,500</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6.625% Notes (fixed)</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12/01/05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6.625%</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40,000</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6.99% Medium Term Notes</w:t>
            </w:r>
          </w:p>
        </w:tc>
        <w:tc>
          <w:tcPr>
            <w:tcW w:w="1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(c)</w:t>
            </w: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03/10/06</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6.894%</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40,500</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8.75% Notes</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12/01/09</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8.750%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175,000</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7.48% Debentures</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08/15/26</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7.480%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50,000</w:t>
            </w:r>
          </w:p>
        </w:tc>
        <w:tc>
          <w:tcPr>
            <w:tcW w:w="960" w:type="dxa"/>
            <w:vAlign w:val="bottom"/>
          </w:tcPr>
          <w:p>
            <w:pPr>
              <w:spacing w:after="0"/>
              <w:rPr>
                <w:sz w:val="14"/>
                <w:szCs w:val="14"/>
                <w:color w:val="auto"/>
              </w:rPr>
            </w:pPr>
          </w:p>
        </w:tc>
      </w:tr>
      <w:tr>
        <w:trPr>
          <w:trHeight w:val="166"/>
        </w:trPr>
        <w:tc>
          <w:tcPr>
            <w:tcW w:w="3280" w:type="dxa"/>
            <w:vAlign w:val="bottom"/>
          </w:tcPr>
          <w:p>
            <w:pPr>
              <w:ind w:left="860"/>
              <w:spacing w:after="0"/>
              <w:rPr>
                <w:sz w:val="20"/>
                <w:szCs w:val="20"/>
                <w:color w:val="auto"/>
              </w:rPr>
            </w:pPr>
            <w:r>
              <w:rPr>
                <w:rFonts w:ascii="Courier New" w:cs="Courier New" w:eastAsia="Courier New" w:hAnsi="Courier New"/>
                <w:sz w:val="14"/>
                <w:szCs w:val="14"/>
                <w:color w:val="auto"/>
              </w:rPr>
              <w:t>6.82% Medium Term Notes</w:t>
            </w:r>
          </w:p>
        </w:tc>
        <w:tc>
          <w:tcPr>
            <w:tcW w:w="1300" w:type="dxa"/>
            <w:vAlign w:val="bottom"/>
          </w:tcPr>
          <w:p>
            <w:pPr>
              <w:spacing w:after="0"/>
              <w:rPr>
                <w:sz w:val="14"/>
                <w:szCs w:val="14"/>
                <w:color w:val="auto"/>
              </w:rPr>
            </w:pPr>
          </w:p>
        </w:tc>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08/01/27</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6.820%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40,000</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385,000</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1"/>
        </w:trPr>
        <w:tc>
          <w:tcPr>
            <w:tcW w:w="3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20" w:type="dxa"/>
            <w:vAlign w:val="bottom"/>
            <w:gridSpan w:val="2"/>
          </w:tcPr>
          <w:p>
            <w:pPr>
              <w:ind w:left="1020"/>
              <w:spacing w:after="0"/>
              <w:rPr>
                <w:sz w:val="20"/>
                <w:szCs w:val="20"/>
                <w:color w:val="auto"/>
              </w:rPr>
            </w:pPr>
            <w:r>
              <w:rPr>
                <w:rFonts w:ascii="Courier New" w:cs="Courier New" w:eastAsia="Courier New" w:hAnsi="Courier New"/>
                <w:sz w:val="14"/>
                <w:szCs w:val="14"/>
                <w:color w:val="auto"/>
              </w:rPr>
              <w:t>Total fixed rate debt</w:t>
            </w:r>
          </w:p>
        </w:tc>
        <w:tc>
          <w:tcPr>
            <w:tcW w:w="520" w:type="dxa"/>
            <w:vAlign w:val="bottom"/>
          </w:tcPr>
          <w:p>
            <w:pPr>
              <w:spacing w:after="0"/>
              <w:rPr>
                <w:sz w:val="24"/>
                <w:szCs w:val="2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825,436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75.55%</w:t>
            </w: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20" w:type="dxa"/>
            <w:vAlign w:val="bottom"/>
            <w:gridSpan w:val="2"/>
          </w:tcPr>
          <w:p>
            <w:pPr>
              <w:ind w:left="1020"/>
              <w:spacing w:after="0"/>
              <w:rPr>
                <w:sz w:val="20"/>
                <w:szCs w:val="20"/>
                <w:color w:val="auto"/>
              </w:rPr>
            </w:pPr>
            <w:r>
              <w:rPr>
                <w:rFonts w:ascii="Courier New" w:cs="Courier New" w:eastAsia="Courier New" w:hAnsi="Courier New"/>
                <w:sz w:val="14"/>
                <w:szCs w:val="14"/>
                <w:color w:val="auto"/>
              </w:rPr>
              <w:t>Total variable rate debt</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267,174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24.45%</w:t>
            </w: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ind w:left="1020"/>
              <w:spacing w:after="0"/>
              <w:rPr>
                <w:sz w:val="20"/>
                <w:szCs w:val="20"/>
                <w:color w:val="auto"/>
              </w:rPr>
            </w:pPr>
            <w:r>
              <w:rPr>
                <w:rFonts w:ascii="Courier New" w:cs="Courier New" w:eastAsia="Courier New" w:hAnsi="Courier New"/>
                <w:sz w:val="14"/>
                <w:szCs w:val="14"/>
                <w:color w:val="auto"/>
              </w:rPr>
              <w:t>Total debt</w:t>
            </w: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$1,092,610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40" w:type="dxa"/>
            <w:vAlign w:val="bottom"/>
            <w:gridSpan w:val="3"/>
          </w:tcPr>
          <w:p>
            <w:pPr>
              <w:ind w:left="1020"/>
              <w:spacing w:after="0"/>
              <w:rPr>
                <w:sz w:val="20"/>
                <w:szCs w:val="20"/>
                <w:color w:val="auto"/>
              </w:rPr>
            </w:pPr>
            <w:r>
              <w:rPr>
                <w:rFonts w:ascii="Courier New" w:cs="Courier New" w:eastAsia="Courier New" w:hAnsi="Courier New"/>
                <w:sz w:val="14"/>
                <w:szCs w:val="14"/>
                <w:color w:val="auto"/>
              </w:rPr>
              <w:t>Weighted average interest rate:</w:t>
            </w: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20" w:type="dxa"/>
            <w:vAlign w:val="bottom"/>
            <w:gridSpan w:val="2"/>
          </w:tcPr>
          <w:p>
            <w:pPr>
              <w:ind w:left="1200"/>
              <w:spacing w:after="0"/>
              <w:rPr>
                <w:sz w:val="20"/>
                <w:szCs w:val="20"/>
                <w:color w:val="auto"/>
              </w:rPr>
            </w:pPr>
            <w:r>
              <w:rPr>
                <w:rFonts w:ascii="Courier New" w:cs="Courier New" w:eastAsia="Courier New" w:hAnsi="Courier New"/>
                <w:sz w:val="14"/>
                <w:szCs w:val="14"/>
                <w:color w:val="auto"/>
              </w:rPr>
              <w:t>Fixed rate debt</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7.25%</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40" w:type="dxa"/>
            <w:vAlign w:val="bottom"/>
            <w:gridSpan w:val="3"/>
          </w:tcPr>
          <w:p>
            <w:pPr>
              <w:ind w:left="1200"/>
              <w:spacing w:after="0"/>
              <w:rPr>
                <w:sz w:val="20"/>
                <w:szCs w:val="20"/>
                <w:color w:val="auto"/>
              </w:rPr>
            </w:pPr>
            <w:r>
              <w:rPr>
                <w:rFonts w:ascii="Courier New" w:cs="Courier New" w:eastAsia="Courier New" w:hAnsi="Courier New"/>
                <w:sz w:val="14"/>
                <w:szCs w:val="14"/>
                <w:color w:val="auto"/>
              </w:rPr>
              <w:t>Variable on revolving credit</w:t>
            </w: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facilities</w:t>
            </w: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2.65% (d)</w:t>
            </w:r>
          </w:p>
        </w:tc>
        <w:tc>
          <w:tcPr>
            <w:tcW w:w="96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Capital lease obligations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40" w:type="dxa"/>
            <w:vAlign w:val="bottom"/>
            <w:gridSpan w:val="3"/>
          </w:tcPr>
          <w:p>
            <w:pPr>
              <w:ind w:left="1800"/>
              <w:spacing w:after="0"/>
              <w:rPr>
                <w:sz w:val="20"/>
                <w:szCs w:val="20"/>
                <w:color w:val="auto"/>
              </w:rPr>
            </w:pPr>
            <w:r>
              <w:rPr>
                <w:rFonts w:ascii="Courier New" w:cs="Courier New" w:eastAsia="Courier New" w:hAnsi="Courier New"/>
                <w:sz w:val="14"/>
                <w:szCs w:val="14"/>
                <w:color w:val="auto"/>
              </w:rPr>
              <w:t>Various through 2077 (e)</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104,454</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Total debt and capital lease obligations</w:t>
            </w:r>
          </w:p>
        </w:tc>
        <w:tc>
          <w:tcPr>
            <w:tcW w:w="520" w:type="dxa"/>
            <w:vAlign w:val="bottom"/>
          </w:tcPr>
          <w:p>
            <w:pPr>
              <w:spacing w:after="0"/>
              <w:rPr>
                <w:sz w:val="14"/>
                <w:szCs w:val="14"/>
                <w:color w:val="auto"/>
              </w:rPr>
            </w:pPr>
          </w:p>
        </w:tc>
        <w:tc>
          <w:tcPr>
            <w:tcW w:w="1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$1,197,064</w:t>
            </w: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bl>
    <w:p>
      <w:pPr>
        <w:spacing w:after="0" w:line="335" w:lineRule="exact"/>
        <w:rPr>
          <w:sz w:val="20"/>
          <w:szCs w:val="20"/>
          <w:color w:val="auto"/>
        </w:rPr>
      </w:pPr>
    </w:p>
    <w:p>
      <w:pPr>
        <w:ind w:right="4740" w:firstLine="8"/>
        <w:spacing w:after="0" w:line="250" w:lineRule="auto"/>
        <w:tabs>
          <w:tab w:leader="none" w:pos="34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w:t>
      </w:r>
    </w:p>
    <w:p>
      <w:pPr>
        <w:spacing w:after="0" w:line="1" w:lineRule="exact"/>
        <w:rPr>
          <w:rFonts w:ascii="Courier New" w:cs="Courier New" w:eastAsia="Courier New" w:hAnsi="Courier New"/>
          <w:sz w:val="14"/>
          <w:szCs w:val="14"/>
          <w:color w:val="auto"/>
        </w:rPr>
      </w:pPr>
    </w:p>
    <w:p>
      <w:pPr>
        <w:ind w:right="61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interest rate for the nine months ended September 30, 2002, was 3.14%.</w:t>
      </w:r>
    </w:p>
    <w:p>
      <w:pPr>
        <w:ind w:right="4920" w:firstLine="8"/>
        <w:spacing w:after="0" w:line="250" w:lineRule="auto"/>
        <w:tabs>
          <w:tab w:leader="none" w:pos="34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LIBOR plus 95 basis points. The Trust purchased interest rate swaps or hedges on this note, thereby locking in the LIBOR interest rate of 5.27%.</w:t>
      </w:r>
    </w:p>
    <w:p>
      <w:pPr>
        <w:ind w:right="4660" w:firstLine="8"/>
        <w:spacing w:after="0" w:line="250" w:lineRule="auto"/>
        <w:tabs>
          <w:tab w:leader="none" w:pos="34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interest rate swaps at issuance, thereby reducing the effective interest on these notes.</w:t>
      </w:r>
    </w:p>
    <w:p>
      <w:pPr>
        <w:ind w:right="4920" w:firstLine="8"/>
        <w:spacing w:after="0" w:line="250" w:lineRule="auto"/>
        <w:tabs>
          <w:tab w:leader="none" w:pos="34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revolving credit facilities for nine months ended September 30, 2002.</w:t>
      </w:r>
    </w:p>
    <w:p>
      <w:pPr>
        <w:ind w:right="4480" w:firstLine="8"/>
        <w:spacing w:after="0" w:line="252" w:lineRule="auto"/>
        <w:tabs>
          <w:tab w:leader="none" w:pos="34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capital lease obligations is 9.77% on a stated basis and 13.96% including performance based participation interest paid by the Trust.</w:t>
      </w:r>
    </w:p>
    <w:p>
      <w:pPr>
        <w:sectPr>
          <w:pgSz w:w="11900" w:h="16838" w:orient="portrait"/>
          <w:cols w:equalWidth="0" w:num="1">
            <w:col w:w="11300"/>
          </w:cols>
          <w:pgMar w:left="220" w:top="616" w:right="379" w:bottom="912"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Debt Maturities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MATURITIES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(Assumes the option to extend the Woodmont East construction loan is exercised)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 thousands)</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663"/>
        </w:trPr>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40" w:type="dxa"/>
            <w:vAlign w:val="bottom"/>
          </w:tcPr>
          <w:p>
            <w:pPr>
              <w:ind w:left="560"/>
              <w:spacing w:after="0"/>
              <w:rPr>
                <w:sz w:val="20"/>
                <w:szCs w:val="20"/>
                <w:color w:val="auto"/>
              </w:rPr>
            </w:pPr>
            <w:r>
              <w:rPr>
                <w:rFonts w:ascii="Courier New" w:cs="Courier New" w:eastAsia="Courier New" w:hAnsi="Courier New"/>
                <w:sz w:val="14"/>
                <w:szCs w:val="14"/>
                <w:color w:val="auto"/>
              </w:rPr>
              <w:t>Cumulative</w:t>
            </w:r>
          </w:p>
        </w:tc>
      </w:tr>
      <w:tr>
        <w:trPr>
          <w:trHeight w:val="166"/>
        </w:trPr>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Scheduled</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Percent of</w:t>
            </w:r>
          </w:p>
        </w:tc>
        <w:tc>
          <w:tcPr>
            <w:tcW w:w="1840" w:type="dxa"/>
            <w:vAlign w:val="bottom"/>
          </w:tcPr>
          <w:p>
            <w:pPr>
              <w:ind w:left="560"/>
              <w:spacing w:after="0"/>
              <w:rPr>
                <w:sz w:val="20"/>
                <w:szCs w:val="20"/>
                <w:color w:val="auto"/>
              </w:rPr>
            </w:pPr>
            <w:r>
              <w:rPr>
                <w:rFonts w:ascii="Courier New" w:cs="Courier New" w:eastAsia="Courier New" w:hAnsi="Courier New"/>
                <w:sz w:val="14"/>
                <w:szCs w:val="14"/>
                <w:color w:val="auto"/>
              </w:rPr>
              <w:t>Percent of</w:t>
            </w:r>
          </w:p>
        </w:tc>
      </w:tr>
      <w:tr>
        <w:trPr>
          <w:trHeight w:val="166"/>
        </w:trPr>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Year</w:t>
            </w:r>
          </w:p>
        </w:tc>
        <w:tc>
          <w:tcPr>
            <w:tcW w:w="3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Amortization</w:t>
            </w:r>
          </w:p>
        </w:tc>
        <w:tc>
          <w:tcPr>
            <w:tcW w:w="40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Maturities</w:t>
            </w:r>
          </w:p>
        </w:tc>
        <w:tc>
          <w:tcPr>
            <w:tcW w:w="36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Debt Expiring</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Debt Expiring</w:t>
            </w:r>
          </w:p>
        </w:tc>
      </w:tr>
      <w:tr>
        <w:trPr>
          <w:trHeight w:val="166"/>
        </w:trPr>
        <w:tc>
          <w:tcPr>
            <w:tcW w:w="18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3"/>
              </w:rPr>
              <w:t>- ------------------------------------------------------------------------------------------</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tcPr>
          <w:p>
            <w:pPr>
              <w:ind w:left="56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520" w:type="dxa"/>
            <w:vAlign w:val="bottom"/>
          </w:tcPr>
          <w:p>
            <w:pPr>
              <w:spacing w:after="0"/>
              <w:rPr>
                <w:sz w:val="24"/>
                <w:szCs w:val="2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148</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r>
      <w:tr>
        <w:trPr>
          <w:trHeight w:val="166"/>
        </w:trPr>
        <w:tc>
          <w:tcPr>
            <w:tcW w:w="520" w:type="dxa"/>
            <w:vAlign w:val="bottom"/>
          </w:tcPr>
          <w:p>
            <w:pPr>
              <w:jc w:val="right"/>
              <w:ind w:right="114"/>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2003</w:t>
            </w:r>
          </w:p>
        </w:tc>
        <w:tc>
          <w:tcPr>
            <w:tcW w:w="3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846</w:t>
            </w:r>
          </w:p>
        </w:tc>
        <w:tc>
          <w:tcPr>
            <w:tcW w:w="40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282,000</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282,846</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25.9%</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w:t>
            </w:r>
          </w:p>
        </w:tc>
      </w:tr>
      <w:tr>
        <w:trPr>
          <w:trHeight w:val="166"/>
        </w:trPr>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2,810</w:t>
            </w:r>
          </w:p>
        </w:tc>
        <w:tc>
          <w:tcPr>
            <w:tcW w:w="40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215,274</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218,084</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45.9%</w:t>
            </w:r>
          </w:p>
        </w:tc>
      </w:tr>
      <w:tr>
        <w:trPr>
          <w:trHeight w:val="166"/>
        </w:trPr>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2005</w:t>
            </w:r>
          </w:p>
        </w:tc>
        <w:tc>
          <w:tcPr>
            <w:tcW w:w="3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3,063</w:t>
            </w:r>
          </w:p>
        </w:tc>
        <w:tc>
          <w:tcPr>
            <w:tcW w:w="40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40,000</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43,063</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49.8%</w:t>
            </w:r>
          </w:p>
        </w:tc>
      </w:tr>
      <w:tr>
        <w:trPr>
          <w:trHeight w:val="166"/>
        </w:trPr>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2006</w:t>
            </w:r>
          </w:p>
        </w:tc>
        <w:tc>
          <w:tcPr>
            <w:tcW w:w="3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3,412</w:t>
            </w:r>
          </w:p>
        </w:tc>
        <w:tc>
          <w:tcPr>
            <w:tcW w:w="40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40,500</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43,912</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w:t>
            </w:r>
          </w:p>
        </w:tc>
      </w:tr>
      <w:tr>
        <w:trPr>
          <w:trHeight w:val="166"/>
        </w:trPr>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2007</w:t>
            </w:r>
          </w:p>
        </w:tc>
        <w:tc>
          <w:tcPr>
            <w:tcW w:w="3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3,686</w:t>
            </w:r>
          </w:p>
        </w:tc>
        <w:tc>
          <w:tcPr>
            <w:tcW w:w="40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3,686</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54.2%</w:t>
            </w:r>
          </w:p>
        </w:tc>
      </w:tr>
      <w:tr>
        <w:trPr>
          <w:trHeight w:val="166"/>
        </w:trPr>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2008</w:t>
            </w:r>
          </w:p>
        </w:tc>
        <w:tc>
          <w:tcPr>
            <w:tcW w:w="3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3,918</w:t>
            </w:r>
          </w:p>
        </w:tc>
        <w:tc>
          <w:tcPr>
            <w:tcW w:w="40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9,541</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13,459</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55.4%</w:t>
            </w:r>
          </w:p>
        </w:tc>
      </w:tr>
      <w:tr>
        <w:trPr>
          <w:trHeight w:val="166"/>
        </w:trPr>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2009</w:t>
            </w:r>
          </w:p>
        </w:tc>
        <w:tc>
          <w:tcPr>
            <w:tcW w:w="3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4,095</w:t>
            </w:r>
          </w:p>
        </w:tc>
        <w:tc>
          <w:tcPr>
            <w:tcW w:w="40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175,045</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179,140</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16.4%</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71.8%</w:t>
            </w:r>
          </w:p>
        </w:tc>
      </w:tr>
      <w:tr>
        <w:trPr>
          <w:trHeight w:val="166"/>
        </w:trPr>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2010</w:t>
            </w:r>
          </w:p>
        </w:tc>
        <w:tc>
          <w:tcPr>
            <w:tcW w:w="3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4,427</w:t>
            </w:r>
          </w:p>
        </w:tc>
        <w:tc>
          <w:tcPr>
            <w:tcW w:w="40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4,427</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72.2%</w:t>
            </w:r>
          </w:p>
        </w:tc>
      </w:tr>
      <w:tr>
        <w:trPr>
          <w:trHeight w:val="166"/>
        </w:trPr>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2011</w:t>
            </w:r>
          </w:p>
        </w:tc>
        <w:tc>
          <w:tcPr>
            <w:tcW w:w="3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4,287</w:t>
            </w:r>
          </w:p>
        </w:tc>
        <w:tc>
          <w:tcPr>
            <w:tcW w:w="40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37,235</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41,522</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76.0%</w:t>
            </w:r>
          </w:p>
        </w:tc>
      </w:tr>
      <w:tr>
        <w:trPr>
          <w:trHeight w:val="166"/>
        </w:trPr>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Thereafter</w:t>
            </w:r>
          </w:p>
        </w:tc>
        <w:tc>
          <w:tcPr>
            <w:tcW w:w="3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17,116</w:t>
            </w:r>
          </w:p>
        </w:tc>
        <w:tc>
          <w:tcPr>
            <w:tcW w:w="40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245,207</w:t>
            </w:r>
          </w:p>
        </w:tc>
        <w:tc>
          <w:tcPr>
            <w:tcW w:w="3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262,323</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24.0%</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380" w:type="dxa"/>
            <w:vAlign w:val="bottom"/>
            <w:gridSpan w:val="7"/>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r>
      <w:tr>
        <w:trPr>
          <w:trHeight w:val="331"/>
        </w:trPr>
        <w:tc>
          <w:tcPr>
            <w:tcW w:w="520" w:type="dxa"/>
            <w:vAlign w:val="bottom"/>
          </w:tcPr>
          <w:p>
            <w:pPr>
              <w:spacing w:after="0"/>
              <w:rPr>
                <w:sz w:val="24"/>
                <w:szCs w:val="2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47,808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1,044,802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1,092,610</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100.00%</w:t>
            </w:r>
          </w:p>
        </w:tc>
        <w:tc>
          <w:tcPr>
            <w:tcW w:w="1840" w:type="dxa"/>
            <w:vAlign w:val="bottom"/>
          </w:tcPr>
          <w:p>
            <w:pPr>
              <w:spacing w:after="0"/>
              <w:rPr>
                <w:sz w:val="24"/>
                <w:szCs w:val="24"/>
                <w:color w:val="auto"/>
              </w:rPr>
            </w:pPr>
          </w:p>
        </w:tc>
      </w:tr>
      <w:tr>
        <w:trPr>
          <w:trHeight w:val="166"/>
        </w:trPr>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380" w:type="dxa"/>
            <w:vAlign w:val="bottom"/>
            <w:gridSpan w:val="7"/>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7" w:lineRule="exact"/>
        <w:rPr>
          <w:sz w:val="20"/>
          <w:szCs w:val="20"/>
          <w:color w:val="auto"/>
        </w:rPr>
      </w:pPr>
    </w:p>
    <w:p>
      <w:pPr>
        <w:ind w:left="360" w:right="3519" w:hanging="352"/>
        <w:spacing w:after="0" w:line="255"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$65 million balance on revolving credit facility and $125 million balance on term loan.</w:t>
      </w:r>
    </w:p>
    <w:p>
      <w:pPr>
        <w:sectPr>
          <w:pgSz w:w="11900" w:h="16838" w:orient="portrait"/>
          <w:cols w:equalWidth="0" w:num="1">
            <w:col w:w="10239"/>
          </w:cols>
          <w:pgMar w:left="220" w:top="616" w:right="1440" w:bottom="1440" w:gutter="0" w:footer="0" w:header="0"/>
        </w:sectPr>
      </w:pPr>
    </w:p>
    <w:bookmarkStart w:id="13" w:name="page14"/>
    <w:bookmarkEnd w:id="13"/>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Santana Row Development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Development Description:</w:t>
            </w:r>
          </w:p>
        </w:tc>
        <w:tc>
          <w:tcPr>
            <w:tcW w:w="8100" w:type="dxa"/>
            <w:vAlign w:val="bottom"/>
            <w:gridSpan w:val="4"/>
          </w:tcPr>
          <w:p>
            <w:pPr>
              <w:ind w:left="600"/>
              <w:spacing w:after="0"/>
              <w:rPr>
                <w:sz w:val="20"/>
                <w:szCs w:val="20"/>
                <w:color w:val="auto"/>
              </w:rPr>
            </w:pPr>
            <w:r>
              <w:rPr>
                <w:rFonts w:ascii="Courier New" w:cs="Courier New" w:eastAsia="Courier New" w:hAnsi="Courier New"/>
                <w:sz w:val="14"/>
                <w:szCs w:val="14"/>
                <w:color w:val="auto"/>
              </w:rPr>
              <w:t>A multi-phased, mixed-use development built on 42 acres in San Jose, California, in</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1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the heart of the Silicon Valley.  Phase I of the development will consist of a 1,500</w:t>
            </w:r>
          </w:p>
        </w:tc>
      </w:tr>
      <w:tr>
        <w:trPr>
          <w:trHeight w:val="166"/>
        </w:trPr>
        <w:tc>
          <w:tcPr>
            <w:tcW w:w="3200" w:type="dxa"/>
            <w:vAlign w:val="bottom"/>
          </w:tcPr>
          <w:p>
            <w:pPr>
              <w:spacing w:after="0"/>
              <w:rPr>
                <w:sz w:val="14"/>
                <w:szCs w:val="14"/>
                <w:color w:val="auto"/>
              </w:rPr>
            </w:pPr>
          </w:p>
        </w:tc>
        <w:tc>
          <w:tcPr>
            <w:tcW w:w="34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foot long "main street" and eight</w:t>
            </w:r>
          </w:p>
        </w:tc>
        <w:tc>
          <w:tcPr>
            <w:tcW w:w="4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buildings comprising approximately 445,000 square</w:t>
            </w:r>
          </w:p>
        </w:tc>
      </w:tr>
      <w:tr>
        <w:trPr>
          <w:trHeight w:val="166"/>
        </w:trPr>
        <w:tc>
          <w:tcPr>
            <w:tcW w:w="3200" w:type="dxa"/>
            <w:vAlign w:val="bottom"/>
          </w:tcPr>
          <w:p>
            <w:pPr>
              <w:spacing w:after="0"/>
              <w:rPr>
                <w:sz w:val="14"/>
                <w:szCs w:val="14"/>
                <w:color w:val="auto"/>
              </w:rPr>
            </w:pPr>
          </w:p>
        </w:tc>
        <w:tc>
          <w:tcPr>
            <w:tcW w:w="706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feet of retail, 255 residential units, and a 214-room boutique hotel.</w:t>
            </w:r>
          </w:p>
        </w:tc>
        <w:tc>
          <w:tcPr>
            <w:tcW w:w="1040" w:type="dxa"/>
            <w:vAlign w:val="bottom"/>
          </w:tcPr>
          <w:p>
            <w:pPr>
              <w:spacing w:after="0"/>
              <w:rPr>
                <w:sz w:val="14"/>
                <w:szCs w:val="14"/>
                <w:color w:val="auto"/>
              </w:rPr>
            </w:pPr>
          </w:p>
        </w:tc>
      </w:tr>
      <w:tr>
        <w:trPr>
          <w:trHeight w:val="497"/>
        </w:trPr>
        <w:tc>
          <w:tcPr>
            <w:tcW w:w="3200" w:type="dxa"/>
            <w:vAlign w:val="bottom"/>
          </w:tcPr>
          <w:p>
            <w:pPr>
              <w:spacing w:after="0"/>
              <w:rPr>
                <w:sz w:val="20"/>
                <w:szCs w:val="20"/>
                <w:color w:val="auto"/>
              </w:rPr>
            </w:pPr>
            <w:r>
              <w:rPr>
                <w:rFonts w:ascii="Courier New" w:cs="Courier New" w:eastAsia="Courier New" w:hAnsi="Courier New"/>
                <w:sz w:val="14"/>
                <w:szCs w:val="14"/>
                <w:color w:val="auto"/>
              </w:rPr>
              <w:t>Phase I Retail Description</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Building</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Square Feet</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c>
          <w:tcPr>
            <w:tcW w:w="104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40,000</w:t>
            </w:r>
          </w:p>
        </w:tc>
        <w:tc>
          <w:tcPr>
            <w:tcW w:w="4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Crate &amp; Barrel (sole tenant) opened June 27, 2002</w:t>
            </w:r>
          </w:p>
        </w:tc>
      </w:tr>
      <w:tr>
        <w:trPr>
          <w:trHeight w:val="166"/>
        </w:trPr>
        <w:tc>
          <w:tcPr>
            <w:tcW w:w="320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40,872</w:t>
            </w:r>
          </w:p>
        </w:tc>
        <w:tc>
          <w:tcPr>
            <w:tcW w:w="4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Primarily luxury tenants including Gucci, Bottega</w:t>
            </w: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Veneta, Burberry, a French Bakery and a Singaporean</w:t>
            </w: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restaurant</w:t>
            </w: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33,609</w:t>
            </w:r>
          </w:p>
        </w:tc>
        <w:tc>
          <w:tcPr>
            <w:tcW w:w="4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Primarily luxury tenants including St John Knit,</w:t>
            </w: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Tods, Escada and Anne Fontaine</w:t>
            </w: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56,931</w:t>
            </w:r>
          </w:p>
        </w:tc>
        <w:tc>
          <w:tcPr>
            <w:tcW w:w="4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Lifestyle tenants including Tommy Bahama, Mullholland</w:t>
            </w: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Brothers, New Balance Shoes and Blowfish Sushi</w:t>
            </w:r>
          </w:p>
        </w:tc>
      </w:tr>
      <w:tr>
        <w:trPr>
          <w:trHeight w:val="166"/>
        </w:trPr>
        <w:tc>
          <w:tcPr>
            <w:tcW w:w="320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49,415</w:t>
            </w:r>
          </w:p>
        </w:tc>
        <w:tc>
          <w:tcPr>
            <w:tcW w:w="4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Lifestyle tenants including Anthropologie, Borders,</w:t>
            </w: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Oilily and Lather</w:t>
            </w: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87,494</w:t>
            </w:r>
          </w:p>
        </w:tc>
        <w:tc>
          <w:tcPr>
            <w:tcW w:w="4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Lifestyle tenants including Ann Taylor Loft, Cole</w:t>
            </w: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Haan, Theory and five restaurants (opening delayed</w:t>
            </w: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by August 19 fire)</w:t>
            </w: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39,974</w:t>
            </w:r>
          </w:p>
        </w:tc>
        <w:tc>
          <w:tcPr>
            <w:tcW w:w="4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Lifestyle tenants including Diesel, Sur La Table,</w:t>
            </w: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Z-Gallerie and three restaurants</w:t>
            </w: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95,897</w:t>
            </w:r>
          </w:p>
        </w:tc>
        <w:tc>
          <w:tcPr>
            <w:tcW w:w="4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Located on Olin Avenue, primarily home furnishing</w:t>
            </w: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tenants and restaurants including Maggiano's and</w:t>
            </w: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Starbucks</w:t>
            </w: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Kiosk and Carts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1,086</w:t>
            </w:r>
          </w:p>
        </w:tc>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Phase I Retail</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445,278</w:t>
            </w:r>
          </w:p>
        </w:tc>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3200" w:type="dxa"/>
            <w:vAlign w:val="bottom"/>
          </w:tcPr>
          <w:p>
            <w:pPr>
              <w:spacing w:after="0"/>
              <w:rPr>
                <w:sz w:val="20"/>
                <w:szCs w:val="20"/>
                <w:color w:val="auto"/>
              </w:rPr>
            </w:pPr>
            <w:r>
              <w:rPr>
                <w:rFonts w:ascii="Courier New" w:cs="Courier New" w:eastAsia="Courier New" w:hAnsi="Courier New"/>
                <w:sz w:val="14"/>
                <w:szCs w:val="14"/>
                <w:color w:val="auto"/>
              </w:rPr>
              <w:t>Phase I Residential Description</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Building</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Units</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c>
          <w:tcPr>
            <w:tcW w:w="104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One-, two- and three-bedroom loft units.</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Deliveries</w:t>
            </w: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beginning in November 2002.</w:t>
            </w: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One-, two- and three-bedroom loft units.</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Deliveries</w:t>
            </w: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beginning in November 2002.</w:t>
            </w: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4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Luxury three- and four-bedroom townhouses and villas.</w:t>
            </w: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Deliveries beginning in January 2003.</w:t>
            </w: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w:t>
            </w:r>
          </w:p>
        </w:tc>
        <w:tc>
          <w:tcPr>
            <w:tcW w:w="4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Two- and three-bedroom townhouses.  Deliveries</w:t>
            </w: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beginning in December 2002.</w:t>
            </w:r>
          </w:p>
        </w:tc>
        <w:tc>
          <w:tcPr>
            <w:tcW w:w="1040" w:type="dxa"/>
            <w:vAlign w:val="bottom"/>
          </w:tcPr>
          <w:p>
            <w:pPr>
              <w:spacing w:after="0"/>
              <w:rPr>
                <w:sz w:val="14"/>
                <w:szCs w:val="14"/>
                <w:color w:val="auto"/>
              </w:rPr>
            </w:pPr>
          </w:p>
        </w:tc>
      </w:tr>
      <w:tr>
        <w:trPr>
          <w:trHeight w:val="166"/>
        </w:trPr>
        <w:tc>
          <w:tcPr>
            <w:tcW w:w="52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Total Phase I Residential</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w:t>
            </w:r>
          </w:p>
        </w:tc>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97"/>
        </w:trPr>
        <w:tc>
          <w:tcPr>
            <w:tcW w:w="3200" w:type="dxa"/>
            <w:vAlign w:val="bottom"/>
          </w:tcPr>
          <w:p>
            <w:pPr>
              <w:spacing w:after="0"/>
              <w:rPr>
                <w:sz w:val="20"/>
                <w:szCs w:val="20"/>
                <w:color w:val="auto"/>
              </w:rPr>
            </w:pPr>
            <w:r>
              <w:rPr>
                <w:rFonts w:ascii="Courier New" w:cs="Courier New" w:eastAsia="Courier New" w:hAnsi="Courier New"/>
                <w:sz w:val="14"/>
                <w:szCs w:val="14"/>
                <w:color w:val="auto"/>
              </w:rPr>
              <w:t>Phase I Hotel Description</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Building</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Rooms</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c>
          <w:tcPr>
            <w:tcW w:w="104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w:t>
            </w:r>
          </w:p>
        </w:tc>
        <w:tc>
          <w:tcPr>
            <w:tcW w:w="4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Hotel Valencia Santana Row, a boutique hotel</w:t>
            </w:r>
          </w:p>
        </w:tc>
      </w:tr>
      <w:tr>
        <w:trPr>
          <w:trHeight w:val="166"/>
        </w:trPr>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scheduled to open in first quarter 2003.</w:t>
            </w:r>
          </w:p>
        </w:tc>
        <w:tc>
          <w:tcPr>
            <w:tcW w:w="1040" w:type="dxa"/>
            <w:vAlign w:val="bottom"/>
          </w:tcPr>
          <w:p>
            <w:pPr>
              <w:spacing w:after="0"/>
              <w:rPr>
                <w:sz w:val="14"/>
                <w:szCs w:val="14"/>
                <w:color w:val="auto"/>
              </w:rPr>
            </w:pPr>
          </w:p>
        </w:tc>
      </w:tr>
      <w:tr>
        <w:trPr>
          <w:trHeight w:val="497"/>
        </w:trPr>
        <w:tc>
          <w:tcPr>
            <w:tcW w:w="3200" w:type="dxa"/>
            <w:vAlign w:val="bottom"/>
          </w:tcPr>
          <w:p>
            <w:pPr>
              <w:spacing w:after="0"/>
              <w:rPr>
                <w:sz w:val="20"/>
                <w:szCs w:val="20"/>
                <w:color w:val="auto"/>
              </w:rPr>
            </w:pPr>
            <w:r>
              <w:rPr>
                <w:rFonts w:ascii="Courier New" w:cs="Courier New" w:eastAsia="Courier New" w:hAnsi="Courier New"/>
                <w:sz w:val="14"/>
                <w:szCs w:val="14"/>
                <w:color w:val="auto"/>
              </w:rPr>
              <w:t>Financial Summary:</w:t>
            </w:r>
          </w:p>
        </w:tc>
        <w:tc>
          <w:tcPr>
            <w:tcW w:w="2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Projected Cost (1)</w:t>
            </w:r>
          </w:p>
        </w:tc>
        <w:tc>
          <w:tcPr>
            <w:tcW w:w="20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$445 million</w:t>
            </w:r>
          </w:p>
        </w:tc>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Cost to Date (2)</w:t>
            </w:r>
          </w:p>
        </w:tc>
        <w:tc>
          <w:tcPr>
            <w:tcW w:w="20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 million</w:t>
            </w:r>
          </w:p>
        </w:tc>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Anticipated Cost to Complete (3)</w:t>
            </w:r>
          </w:p>
        </w:tc>
        <w:tc>
          <w:tcPr>
            <w:tcW w:w="20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 million</w:t>
            </w:r>
          </w:p>
        </w:tc>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Remaining Construction Loan Capacity</w:t>
            </w:r>
          </w:p>
        </w:tc>
        <w:tc>
          <w:tcPr>
            <w:tcW w:w="20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 million</w:t>
            </w:r>
          </w:p>
        </w:tc>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Anticipated Stabilized Yield - 2004</w:t>
            </w:r>
          </w:p>
        </w:tc>
        <w:tc>
          <w:tcPr>
            <w:tcW w:w="20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200" w:lineRule="exact"/>
        <w:rPr>
          <w:sz w:val="20"/>
          <w:szCs w:val="20"/>
          <w:color w:val="auto"/>
        </w:rPr>
      </w:pPr>
    </w:p>
    <w:p>
      <w:pPr>
        <w:sectPr>
          <w:pgSz w:w="11900" w:h="16877" w:orient="portrait"/>
          <w:cols w:equalWidth="0" w:num="1">
            <w:col w:w="11460"/>
          </w:cols>
          <w:pgMar w:left="220" w:top="616"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Leasing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First-floor Facing Santana Row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Santana Row Phase 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Executed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(square feet)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190,029</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299,916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(square feet)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4,475</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77,697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Leases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LOIs as a % of Total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Projected Open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 7 (square feet)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119,742</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163,623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Projected Open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 1 (square feet)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136,922</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181,889</w:t>
      </w:r>
    </w:p>
    <w:p>
      <w:pPr>
        <w:spacing w:after="0" w:line="200" w:lineRule="exact"/>
        <w:rPr>
          <w:sz w:val="20"/>
          <w:szCs w:val="20"/>
          <w:color w:val="auto"/>
        </w:rPr>
      </w:pPr>
    </w:p>
    <w:p>
      <w:pPr>
        <w:sectPr>
          <w:pgSz w:w="11900" w:h="16877" w:orient="portrait"/>
          <w:cols w:equalWidth="0" w:num="6">
            <w:col w:w="2600" w:space="260"/>
            <w:col w:w="1280" w:space="80"/>
            <w:col w:w="1300" w:space="80"/>
            <w:col w:w="1900" w:space="80"/>
            <w:col w:w="1900" w:space="80"/>
            <w:col w:w="1900"/>
          </w:cols>
          <w:pgMar w:left="220" w:top="616" w:right="219" w:bottom="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Residential Leasing Summary: - --------------------------- Deposits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Deposits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32</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Average Rent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Square Foot per Month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$2.03</w:t>
      </w:r>
    </w:p>
    <w:p>
      <w:pPr>
        <w:spacing w:after="0" w:line="209" w:lineRule="exact"/>
        <w:rPr>
          <w:sz w:val="20"/>
          <w:szCs w:val="20"/>
          <w:color w:val="auto"/>
        </w:rPr>
      </w:pPr>
    </w:p>
    <w:p>
      <w:pPr>
        <w:sectPr>
          <w:pgSz w:w="11900" w:h="16877" w:orient="portrait"/>
          <w:cols w:equalWidth="0" w:num="3">
            <w:col w:w="2500" w:space="180"/>
            <w:col w:w="1720" w:space="0"/>
            <w:col w:w="7060"/>
          </w:cols>
          <w:pgMar w:left="220" w:top="616" w:right="219" w:bottom="0" w:gutter="0" w:footer="0" w:header="0"/>
          <w:type w:val="continuous"/>
        </w:sect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hanging="352"/>
        <w:spacing w:after="0"/>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cost of land and infrastructure for future phases, net of anticipated insurance proceeds.</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costs associated with the Building 7 fire and clean-up before any insurance reimbursements.</w:t>
      </w:r>
    </w:p>
    <w:p>
      <w:pPr>
        <w:sectPr>
          <w:pgSz w:w="11900" w:h="16877" w:orient="portrait"/>
          <w:cols w:equalWidth="0" w:num="1">
            <w:col w:w="11460"/>
          </w:cols>
          <w:pgMar w:left="220" w:top="616" w:right="219" w:bottom="0" w:gutter="0" w:footer="0" w:header="0"/>
          <w:type w:val="continuous"/>
        </w:sectPr>
      </w:pPr>
    </w:p>
    <w:bookmarkStart w:id="14" w:name="page15"/>
    <w:bookmarkEnd w:id="14"/>
    <w:p>
      <w:pPr>
        <w:ind w:left="352" w:hanging="352"/>
        <w:spacing w:after="0"/>
        <w:tabs>
          <w:tab w:leader="none" w:pos="35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of anticipated insurance proceeds.</w:t>
      </w:r>
    </w:p>
    <w:p>
      <w:pPr>
        <w:spacing w:after="0" w:line="7" w:lineRule="exact"/>
        <w:rPr>
          <w:rFonts w:ascii="Courier New" w:cs="Courier New" w:eastAsia="Courier New" w:hAnsi="Courier New"/>
          <w:sz w:val="14"/>
          <w:szCs w:val="14"/>
          <w:color w:val="auto"/>
        </w:rPr>
      </w:pPr>
    </w:p>
    <w:p>
      <w:pPr>
        <w:ind w:left="352" w:hanging="352"/>
        <w:spacing w:after="0" w:line="255" w:lineRule="auto"/>
        <w:tabs>
          <w:tab w:leader="none" w:pos="35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Deposits as of October 28, 2002. Average rents are based on units for which rents have been set and specific units have been assigned. Excludes one luxury unit in Building 6 leased at approximately $3.10 per square foot per month.</w:t>
      </w:r>
    </w:p>
    <w:p>
      <w:pPr>
        <w:sectPr>
          <w:pgSz w:w="11900" w:h="16838" w:orient="portrait"/>
          <w:cols w:equalWidth="0" w:num="1">
            <w:col w:w="10592"/>
          </w:cols>
          <w:pgMar w:left="228" w:top="141" w:right="107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and Dispositions - Year to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2002</w:t>
      </w:r>
    </w:p>
    <w:p>
      <w:pPr>
        <w:spacing w:after="0" w:line="173"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10500"/>
        <w:spacing w:after="0" w:line="50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None Dispositions</w:t>
      </w:r>
    </w:p>
    <w:p>
      <w:pPr>
        <w:spacing w:after="0" w:line="328" w:lineRule="exact"/>
        <w:rPr>
          <w:sz w:val="20"/>
          <w:szCs w:val="20"/>
          <w:color w:val="auto"/>
        </w:rPr>
      </w:pPr>
    </w:p>
    <w:p>
      <w:pPr>
        <w:spacing w:after="0"/>
        <w:tabs>
          <w:tab w:leader="none" w:pos="1540" w:val="left"/>
          <w:tab w:leader="none" w:pos="3860" w:val="left"/>
          <w:tab w:leader="none" w:pos="5500" w:val="left"/>
          <w:tab w:leader="none" w:pos="6200" w:val="left"/>
          <w:tab w:leader="none" w:pos="7480" w:val="left"/>
          <w:tab w:leader="none" w:pos="868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Property</w:t>
      </w:r>
      <w:r>
        <w:rPr>
          <w:sz w:val="20"/>
          <w:szCs w:val="20"/>
          <w:color w:val="auto"/>
        </w:rPr>
        <w:tab/>
      </w:r>
      <w:r>
        <w:rPr>
          <w:rFonts w:ascii="Courier New" w:cs="Courier New" w:eastAsia="Courier New" w:hAnsi="Courier New"/>
          <w:sz w:val="14"/>
          <w:szCs w:val="14"/>
          <w:color w:val="auto"/>
        </w:rPr>
        <w:t>City / State</w:t>
      </w:r>
      <w:r>
        <w:rPr>
          <w:sz w:val="20"/>
          <w:szCs w:val="20"/>
          <w:color w:val="auto"/>
        </w:rPr>
        <w:tab/>
      </w:r>
      <w:r>
        <w:rPr>
          <w:rFonts w:ascii="Courier New" w:cs="Courier New" w:eastAsia="Courier New" w:hAnsi="Courier New"/>
          <w:sz w:val="14"/>
          <w:szCs w:val="14"/>
          <w:color w:val="auto"/>
        </w:rPr>
        <w:t>GLA</w:t>
      </w:r>
      <w:r>
        <w:rPr>
          <w:sz w:val="20"/>
          <w:szCs w:val="20"/>
          <w:color w:val="auto"/>
        </w:rPr>
        <w:tab/>
      </w:r>
      <w:r>
        <w:rPr>
          <w:rFonts w:ascii="Courier New" w:cs="Courier New" w:eastAsia="Courier New" w:hAnsi="Courier New"/>
          <w:sz w:val="14"/>
          <w:szCs w:val="14"/>
          <w:color w:val="auto"/>
        </w:rPr>
        <w:t>Sale proceeds</w:t>
        <w:tab/>
        <w:t>Cap rate (1)</w:t>
        <w:tab/>
        <w:t>Anchor tenant</w:t>
      </w:r>
    </w:p>
    <w:p>
      <w:pPr>
        <w:spacing w:after="0" w:line="7"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20"/>
                <w:szCs w:val="20"/>
                <w:color w:val="auto"/>
              </w:rPr>
            </w:pPr>
            <w:r>
              <w:rPr>
                <w:rFonts w:ascii="Courier New" w:cs="Courier New" w:eastAsia="Courier New" w:hAnsi="Courier New"/>
                <w:sz w:val="14"/>
                <w:szCs w:val="14"/>
                <w:color w:val="auto"/>
              </w:rPr>
              <w:t>April 11, 2002</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252</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- 264 Greenwich Ave</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Greenwich, CT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24,000</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$ 16,100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7.30%</w:t>
            </w:r>
          </w:p>
        </w:tc>
        <w:tc>
          <w:tcPr>
            <w:tcW w:w="2840" w:type="dxa"/>
            <w:vAlign w:val="bottom"/>
          </w:tcPr>
          <w:p>
            <w:pPr>
              <w:ind w:left="160"/>
              <w:spacing w:after="0"/>
              <w:rPr>
                <w:sz w:val="20"/>
                <w:szCs w:val="20"/>
                <w:color w:val="auto"/>
              </w:rPr>
            </w:pPr>
            <w:r>
              <w:rPr>
                <w:rFonts w:ascii="Courier New" w:cs="Courier New" w:eastAsia="Courier New" w:hAnsi="Courier New"/>
                <w:sz w:val="14"/>
                <w:szCs w:val="14"/>
                <w:color w:val="auto"/>
              </w:rPr>
              <w:t>Banana Republic, Gap Kids</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April 30, 2002</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138</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Central Ave</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Westfield, NJ</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11,000</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4,100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8.10%</w:t>
            </w:r>
          </w:p>
        </w:tc>
        <w:tc>
          <w:tcPr>
            <w:tcW w:w="2840" w:type="dxa"/>
            <w:vAlign w:val="bottom"/>
          </w:tcPr>
          <w:p>
            <w:pPr>
              <w:ind w:left="160"/>
              <w:spacing w:after="0"/>
              <w:rPr>
                <w:sz w:val="20"/>
                <w:szCs w:val="20"/>
                <w:color w:val="auto"/>
              </w:rPr>
            </w:pPr>
            <w:r>
              <w:rPr>
                <w:rFonts w:ascii="Courier New" w:cs="Courier New" w:eastAsia="Courier New" w:hAnsi="Courier New"/>
                <w:sz w:val="14"/>
                <w:szCs w:val="14"/>
                <w:color w:val="auto"/>
              </w:rPr>
              <w:t>Legg Mason, Toys R Us</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April 30, 2002</w:t>
            </w:r>
          </w:p>
        </w:tc>
        <w:tc>
          <w:tcPr>
            <w:tcW w:w="2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Ships Building</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Westport, CT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16,000</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7,300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7.60%</w:t>
            </w:r>
          </w:p>
        </w:tc>
        <w:tc>
          <w:tcPr>
            <w:tcW w:w="2840" w:type="dxa"/>
            <w:vAlign w:val="bottom"/>
          </w:tcPr>
          <w:p>
            <w:pPr>
              <w:ind w:left="160"/>
              <w:spacing w:after="0"/>
              <w:rPr>
                <w:sz w:val="20"/>
                <w:szCs w:val="20"/>
                <w:color w:val="auto"/>
              </w:rPr>
            </w:pPr>
            <w:r>
              <w:rPr>
                <w:rFonts w:ascii="Courier New" w:cs="Courier New" w:eastAsia="Courier New" w:hAnsi="Courier New"/>
                <w:sz w:val="14"/>
                <w:szCs w:val="14"/>
                <w:color w:val="auto"/>
              </w:rPr>
              <w:t>Eddie Bauer</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April 30, 2002</w:t>
            </w:r>
          </w:p>
        </w:tc>
        <w:tc>
          <w:tcPr>
            <w:tcW w:w="2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27 Main Street</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Westport, CT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7,300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7.30%</w:t>
            </w:r>
          </w:p>
        </w:tc>
        <w:tc>
          <w:tcPr>
            <w:tcW w:w="2840" w:type="dxa"/>
            <w:vAlign w:val="bottom"/>
          </w:tcPr>
          <w:p>
            <w:pPr>
              <w:ind w:left="160"/>
              <w:spacing w:after="0"/>
              <w:rPr>
                <w:sz w:val="20"/>
                <w:szCs w:val="20"/>
                <w:color w:val="auto"/>
              </w:rPr>
            </w:pPr>
            <w:r>
              <w:rPr>
                <w:rFonts w:ascii="Courier New" w:cs="Courier New" w:eastAsia="Courier New" w:hAnsi="Courier New"/>
                <w:sz w:val="14"/>
                <w:szCs w:val="14"/>
                <w:color w:val="auto"/>
              </w:rPr>
              <w:t>Pottery Barn</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June 6, 2002</w:t>
            </w:r>
          </w:p>
        </w:tc>
        <w:tc>
          <w:tcPr>
            <w:tcW w:w="2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Uptown Shopping Center</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Portland, OR</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20,400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w:t>
            </w:r>
          </w:p>
        </w:tc>
        <w:tc>
          <w:tcPr>
            <w:tcW w:w="2840" w:type="dxa"/>
            <w:vAlign w:val="bottom"/>
          </w:tcPr>
          <w:p>
            <w:pPr>
              <w:ind w:left="160"/>
              <w:spacing w:after="0"/>
              <w:rPr>
                <w:sz w:val="20"/>
                <w:szCs w:val="20"/>
                <w:color w:val="auto"/>
              </w:rPr>
            </w:pPr>
            <w:r>
              <w:rPr>
                <w:rFonts w:ascii="Courier New" w:cs="Courier New" w:eastAsia="Courier New" w:hAnsi="Courier New"/>
                <w:sz w:val="14"/>
                <w:szCs w:val="14"/>
                <w:color w:val="auto"/>
              </w:rPr>
              <w:t>Zupan's Market, Elephant's Deli</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June 18, 2002</w:t>
            </w:r>
          </w:p>
        </w:tc>
        <w:tc>
          <w:tcPr>
            <w:tcW w:w="2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6410 Hollywood Blvd</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Hollywood, CA</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12,000</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2,100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4.30%</w:t>
            </w:r>
          </w:p>
        </w:tc>
        <w:tc>
          <w:tcPr>
            <w:tcW w:w="2840" w:type="dxa"/>
            <w:vAlign w:val="bottom"/>
          </w:tcPr>
          <w:p>
            <w:pPr>
              <w:ind w:left="160"/>
              <w:spacing w:after="0"/>
              <w:rPr>
                <w:sz w:val="20"/>
                <w:szCs w:val="20"/>
                <w:color w:val="auto"/>
              </w:rPr>
            </w:pPr>
            <w:r>
              <w:rPr>
                <w:rFonts w:ascii="Courier New" w:cs="Courier New" w:eastAsia="Courier New" w:hAnsi="Courier New"/>
                <w:sz w:val="14"/>
                <w:szCs w:val="14"/>
                <w:color w:val="auto"/>
              </w:rPr>
              <w:t>Hollywood Suit Outlet</w:t>
            </w:r>
          </w:p>
        </w:tc>
      </w:tr>
      <w:tr>
        <w:trPr>
          <w:trHeight w:val="166"/>
        </w:trPr>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331"/>
        </w:trPr>
        <w:tc>
          <w:tcPr>
            <w:tcW w:w="1380" w:type="dxa"/>
            <w:vAlign w:val="bottom"/>
          </w:tcPr>
          <w:p>
            <w:pPr>
              <w:spacing w:after="0"/>
              <w:rPr>
                <w:sz w:val="24"/>
                <w:szCs w:val="24"/>
                <w:color w:val="auto"/>
              </w:rPr>
            </w:pPr>
          </w:p>
        </w:tc>
        <w:tc>
          <w:tcPr>
            <w:tcW w:w="2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Total dispositions</w:t>
            </w:r>
          </w:p>
        </w:tc>
        <w:tc>
          <w:tcPr>
            <w:tcW w:w="1420" w:type="dxa"/>
            <w:vAlign w:val="bottom"/>
          </w:tcPr>
          <w:p>
            <w:pPr>
              <w:spacing w:after="0"/>
              <w:rPr>
                <w:sz w:val="24"/>
                <w:szCs w:val="2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173,000</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$ 57,300</w:t>
            </w:r>
          </w:p>
        </w:tc>
        <w:tc>
          <w:tcPr>
            <w:tcW w:w="9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66"/>
        </w:trPr>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8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7" w:lineRule="exact"/>
        <w:rPr>
          <w:sz w:val="20"/>
          <w:szCs w:val="20"/>
          <w:color w:val="auto"/>
        </w:rPr>
      </w:pPr>
    </w:p>
    <w:p>
      <w:pPr>
        <w:ind w:left="360" w:right="4820" w:hanging="352"/>
        <w:spacing w:after="0" w:line="255"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 rate based on twelve month forward net operating income (NOI). Blended cap rate for properties sold is 7.64%.</w:t>
      </w:r>
    </w:p>
    <w:p>
      <w:pPr>
        <w:sectPr>
          <w:pgSz w:w="11900" w:h="16838" w:orient="portrait"/>
          <w:cols w:equalWidth="0" w:num="1">
            <w:col w:w="11540"/>
          </w:cols>
          <w:pgMar w:left="220" w:top="616" w:right="139" w:bottom="1440" w:gutter="0" w:footer="0" w:header="0"/>
        </w:sectPr>
      </w:pPr>
    </w:p>
    <w:bookmarkStart w:id="16" w:name="page17"/>
    <w:bookmarkEnd w:id="16"/>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Status Report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jc w:val="both"/>
        <w:ind w:left="8200"/>
        <w:spacing w:after="0"/>
        <w:tabs>
          <w:tab w:leader="none" w:pos="9720" w:val="left"/>
          <w:tab w:leader="none" w:pos="1050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Ownership</w:t>
      </w:r>
    </w:p>
    <w:p>
      <w:pPr>
        <w:spacing w:after="0" w:line="7" w:lineRule="exact"/>
        <w:rPr>
          <w:sz w:val="20"/>
          <w:szCs w:val="20"/>
          <w:color w:val="auto"/>
        </w:rPr>
      </w:pPr>
    </w:p>
    <w:p>
      <w:pPr>
        <w:jc w:val="right"/>
        <w:ind w:right="80"/>
        <w:spacing w:after="0"/>
        <w:tabs>
          <w:tab w:leader="none" w:pos="7900" w:val="left"/>
          <w:tab w:leader="none" w:pos="3520" w:val="left"/>
          <w:tab w:leader="none" w:pos="2040" w:val="left"/>
          <w:tab w:leader="none" w:pos="920" w:val="left"/>
        </w:tabs>
        <w:rPr>
          <w:sz w:val="20"/>
          <w:szCs w:val="20"/>
          <w:color w:val="auto"/>
        </w:rPr>
      </w:pPr>
      <w:r>
        <w:rPr>
          <w:rFonts w:ascii="Courier New" w:cs="Courier New" w:eastAsia="Courier New" w:hAnsi="Courier New"/>
          <w:sz w:val="14"/>
          <w:szCs w:val="14"/>
          <w:color w:val="auto"/>
        </w:rPr>
        <w:t>Property Name</w:t>
      </w:r>
      <w:r>
        <w:rPr>
          <w:sz w:val="20"/>
          <w:szCs w:val="20"/>
          <w:color w:val="auto"/>
        </w:rPr>
        <w:tab/>
      </w:r>
      <w:r>
        <w:rPr>
          <w:rFonts w:ascii="Courier New" w:cs="Courier New" w:eastAsia="Courier New" w:hAnsi="Courier New"/>
          <w:sz w:val="14"/>
          <w:szCs w:val="14"/>
          <w:color w:val="auto"/>
        </w:rPr>
        <w:t>MSA Description</w:t>
      </w:r>
      <w:r>
        <w:rPr>
          <w:sz w:val="20"/>
          <w:szCs w:val="20"/>
          <w:color w:val="auto"/>
        </w:rPr>
        <w:tab/>
      </w: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Investment</w:t>
      </w:r>
      <w:r>
        <w:rPr>
          <w:sz w:val="20"/>
          <w:szCs w:val="20"/>
          <w:color w:val="auto"/>
        </w:rPr>
        <w:tab/>
      </w:r>
      <w:r>
        <w:rPr>
          <w:rFonts w:ascii="Courier New" w:cs="Courier New" w:eastAsia="Courier New" w:hAnsi="Courier New"/>
          <w:sz w:val="14"/>
          <w:szCs w:val="14"/>
          <w:color w:val="auto"/>
        </w:rPr>
        <w:t>Percentage</w:t>
      </w:r>
    </w:p>
    <w:p>
      <w:pPr>
        <w:spacing w:after="0" w:line="7"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Washington Metropolitan Area</w:t>
            </w:r>
          </w:p>
        </w:tc>
        <w:tc>
          <w:tcPr>
            <w:tcW w:w="3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1993-98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$ 77,414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Congressional Plaza</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1965</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55,202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Courthouse Center</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1997</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4,189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1967</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8,155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Falls Plaza-East</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1972</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3,351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1989</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61,719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Friendship Center</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2001</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33,552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Gaithersburg Square</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1993</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23,524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Idylwood Plaza</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1994</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14,808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Laurel</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1986</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45,459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99.9%</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Leesburg Plaza</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20,339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Loehmann's Plaza</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1983</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25,112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Magruder's Center</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1997</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Mid-Pike Plaza</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1982</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16,846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Old Keene Mill</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1976</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5,043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1993</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24,804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1999</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83,619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Pike 7</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1997</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33,370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1993</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19,109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Rollingwood Apartments</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1971</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6,683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Sam's Park &amp; Shop</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1995</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11,736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Tower</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18,036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Tyson's Station</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1978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3,314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Village of Shirlington</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1995</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31,849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Washington, DC-MD-VA-WV</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1969</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15,830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331"/>
        </w:trPr>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Philadelphia Metropolitan Area</w:t>
            </w:r>
          </w:p>
        </w:tc>
        <w:tc>
          <w:tcPr>
            <w:tcW w:w="3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Philadelphia, PA-NJ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18,619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99.9%</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Philadelphia, PA-NJ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1993</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23,869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Ellisburg Circle</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Philadelphia, PA-NJ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1992</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26,006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Philadelphia, PA-NJ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1980</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11,560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Philadelphia, PA-NJ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1980</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8,642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Langhorne Square</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Philadelphia, PA-NJ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1985</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17,512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Philadelphia, PA-NJ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1980</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23,546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Philadelphia, PA-NJ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1983</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21,413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Willow Grove</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Philadelphia, PA-NJ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1984</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25,817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Philadelphia, PA-NJ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1996</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35,004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331"/>
        </w:trPr>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New York / New Jersey</w:t>
            </w:r>
          </w:p>
        </w:tc>
        <w:tc>
          <w:tcPr>
            <w:tcW w:w="3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Bergen-Passaic, 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4,265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Bergen-Passaic, 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4,868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Middlesex-Somerset-Hunterdon, 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38,766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Middlesex-Somerset-Hunterdon, 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20,975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Middlesex-Somerset-Hunterdon, 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15,847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Monmouth-Ocean, 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1989</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53,715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Greenlawn Plaza</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Nassau-Suffolk, NY</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2000</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10,572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Hauppauge</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Nassau-Suffolk, NY</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26,134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Huntington</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Nassau-Suffolk, NY</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22,499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Forest Hills</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New York, NY</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1997</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23,965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New York, NY</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1997</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64,329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Newark, 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1980</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20,446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Trenton, NJ</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7,586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331"/>
        </w:trPr>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New England</w:t>
            </w:r>
          </w:p>
        </w:tc>
        <w:tc>
          <w:tcPr>
            <w:tcW w:w="3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Coolidge Corner</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Boston-Worcester-Lawrence-Lowell-Brockton, MA</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1995</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4,022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Dedham Plaza</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Boston-Worcester-Lawrence-Lowell-Brockton, MA</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1993</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28,918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Queen Anne Plaza</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Boston-Worcester-Lawrence-Lowell-Brockton, MA</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1994</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14,566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Boston-Worcester-Lawrence-Lowell-Brockton, MA</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1996</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13,069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Bristol Plaza</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Hartford, CT</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1995</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21,755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West Hartford</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Hartford, CT</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1994-1996</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16,127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Greenwich Avenue</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4220" w:type="dxa"/>
            <w:vAlign w:val="bottom"/>
          </w:tcPr>
          <w:p>
            <w:pPr>
              <w:ind w:left="140"/>
              <w:spacing w:after="0"/>
              <w:rPr>
                <w:sz w:val="20"/>
                <w:szCs w:val="20"/>
                <w:color w:val="auto"/>
              </w:rPr>
            </w:pPr>
            <w:r>
              <w:rPr>
                <w:rFonts w:ascii="Courier New" w:cs="Courier New" w:eastAsia="Courier New" w:hAnsi="Courier New"/>
                <w:sz w:val="14"/>
                <w:szCs w:val="14"/>
                <w:color w:val="auto"/>
              </w:rPr>
              <w:t>New Haven-Bridgeport-Stamford-Waterbury</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1994-1996</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19,385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Mortage or</w:t>
      </w:r>
    </w:p>
    <w:p>
      <w:pPr>
        <w:spacing w:after="0" w:line="7" w:lineRule="exact"/>
        <w:rPr>
          <w:sz w:val="20"/>
          <w:szCs w:val="20"/>
          <w:color w:val="auto"/>
        </w:rPr>
      </w:pPr>
    </w:p>
    <w:p>
      <w:pPr>
        <w:ind w:left="5260"/>
        <w:spacing w:after="0"/>
        <w:tabs>
          <w:tab w:leader="none" w:pos="7140" w:val="left"/>
        </w:tabs>
        <w:rPr>
          <w:sz w:val="20"/>
          <w:szCs w:val="20"/>
          <w:color w:val="auto"/>
        </w:rPr>
      </w:pPr>
      <w:r>
        <w:rPr>
          <w:rFonts w:ascii="Courier New" w:cs="Courier New" w:eastAsia="Courier New" w:hAnsi="Courier New"/>
          <w:sz w:val="14"/>
          <w:szCs w:val="14"/>
          <w:color w:val="auto"/>
        </w:rPr>
        <w:t>Capital Lease</w:t>
      </w:r>
      <w:r>
        <w:rPr>
          <w:sz w:val="20"/>
          <w:szCs w:val="20"/>
          <w:color w:val="auto"/>
        </w:rPr>
        <w:tab/>
      </w:r>
      <w:r>
        <w:rPr>
          <w:rFonts w:ascii="Courier New" w:cs="Courier New" w:eastAsia="Courier New" w:hAnsi="Courier New"/>
          <w:sz w:val="14"/>
          <w:szCs w:val="14"/>
          <w:color w:val="auto"/>
        </w:rPr>
        <w:t>Grocery</w:t>
      </w:r>
    </w:p>
    <w:p>
      <w:pPr>
        <w:spacing w:after="0" w:line="7" w:lineRule="exact"/>
        <w:rPr>
          <w:sz w:val="20"/>
          <w:szCs w:val="20"/>
          <w:color w:val="auto"/>
        </w:rPr>
      </w:pPr>
    </w:p>
    <w:p>
      <w:pPr>
        <w:spacing w:after="0"/>
        <w:tabs>
          <w:tab w:leader="none" w:pos="3180" w:val="left"/>
          <w:tab w:leader="none" w:pos="4120" w:val="left"/>
          <w:tab w:leader="none" w:pos="5500" w:val="left"/>
          <w:tab w:leader="none" w:pos="6880" w:val="left"/>
          <w:tab w:leader="none" w:pos="8000" w:val="left"/>
        </w:tabs>
        <w:rPr>
          <w:sz w:val="20"/>
          <w:szCs w:val="20"/>
          <w:color w:val="auto"/>
        </w:rPr>
      </w:pPr>
      <w:r>
        <w:rPr>
          <w:rFonts w:ascii="Courier New" w:cs="Courier New" w:eastAsia="Courier New" w:hAnsi="Courier New"/>
          <w:sz w:val="14"/>
          <w:szCs w:val="14"/>
          <w:color w:val="auto"/>
        </w:rPr>
        <w:t>Property Name</w:t>
      </w:r>
      <w:r>
        <w:rPr>
          <w:sz w:val="20"/>
          <w:szCs w:val="20"/>
          <w:color w:val="auto"/>
        </w:rPr>
        <w:tab/>
      </w:r>
      <w:r>
        <w:rPr>
          <w:rFonts w:ascii="Courier New" w:cs="Courier New" w:eastAsia="Courier New" w:hAnsi="Courier New"/>
          <w:sz w:val="14"/>
          <w:szCs w:val="14"/>
          <w:color w:val="auto"/>
        </w:rPr>
        <w:t>GLA (1)</w:t>
      </w:r>
      <w:r>
        <w:rPr>
          <w:sz w:val="20"/>
          <w:szCs w:val="20"/>
          <w:color w:val="auto"/>
        </w:rPr>
        <w:tab/>
      </w:r>
      <w:r>
        <w:rPr>
          <w:rFonts w:ascii="Courier New" w:cs="Courier New" w:eastAsia="Courier New" w:hAnsi="Courier New"/>
          <w:sz w:val="14"/>
          <w:szCs w:val="14"/>
          <w:color w:val="auto"/>
        </w:rPr>
        <w:t>% Occupied</w:t>
      </w:r>
      <w:r>
        <w:rPr>
          <w:sz w:val="20"/>
          <w:szCs w:val="20"/>
          <w:color w:val="auto"/>
        </w:rPr>
        <w:tab/>
      </w:r>
      <w:r>
        <w:rPr>
          <w:rFonts w:ascii="Courier New" w:cs="Courier New" w:eastAsia="Courier New" w:hAnsi="Courier New"/>
          <w:sz w:val="14"/>
          <w:szCs w:val="14"/>
          <w:color w:val="auto"/>
        </w:rPr>
        <w:t>Obligation</w:t>
      </w:r>
      <w:r>
        <w:rPr>
          <w:sz w:val="20"/>
          <w:szCs w:val="20"/>
          <w:color w:val="auto"/>
        </w:rPr>
        <w:tab/>
      </w:r>
      <w:r>
        <w:rPr>
          <w:rFonts w:ascii="Courier New" w:cs="Courier New" w:eastAsia="Courier New" w:hAnsi="Courier New"/>
          <w:sz w:val="14"/>
          <w:szCs w:val="14"/>
          <w:color w:val="auto"/>
        </w:rPr>
        <w:t>Anchor GLA</w:t>
      </w:r>
      <w:r>
        <w:rPr>
          <w:sz w:val="20"/>
          <w:szCs w:val="20"/>
          <w:color w:val="auto"/>
        </w:rPr>
        <w:tab/>
      </w:r>
      <w:r>
        <w:rPr>
          <w:rFonts w:ascii="Courier New" w:cs="Courier New" w:eastAsia="Courier New" w:hAnsi="Courier New"/>
          <w:sz w:val="14"/>
          <w:szCs w:val="14"/>
          <w:color w:val="auto"/>
        </w:rPr>
        <w:t>Grocery Anchor</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Washington Metropolitan Area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419,000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97.7%</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37,025</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40,000</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Giant Food</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Congressional Plaza</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94.9%</w:t>
            </w:r>
          </w:p>
        </w:tc>
        <w:tc>
          <w:tcPr>
            <w:tcW w:w="146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28,258</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Fresh Fields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Courthouse Center</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71.6%</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46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51,385</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Giant Food</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Falls Plaza-East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247,000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98.4%</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36,025</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ectPr>
          <w:pgSz w:w="11900" w:h="16880" w:orient="portrait"/>
          <w:cols w:equalWidth="0" w:num="1">
            <w:col w:w="11380"/>
          </w:cols>
          <w:pgMar w:left="220" w:top="616" w:right="299" w:bottom="0" w:gutter="0" w:footer="0" w:header="0"/>
        </w:sectPr>
      </w:pPr>
    </w:p>
    <w:bookmarkStart w:id="17" w:name="page18"/>
    <w:bookmarkEnd w:id="17"/>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Friendship Center</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119,000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17,000</w:t>
            </w: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Gaithersburg Square</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205,000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97.5%</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Idylwood Plaza</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73,000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29,556</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Fresh Fields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Laurel</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386,000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97.2%</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39,500</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Giant Food</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Leesburg Plaza</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247,000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9,900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55,330</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Giant Food</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Loehmann's Plaza</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242,000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96.9%</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Magruder's Center</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109,000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30,750</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Magruders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Mid-Pike Plaza</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312,000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98.7%</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10,041</w:t>
            </w: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Old Keene Mill</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92,000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24,060</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Fresh Fields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218,000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32,725</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Safeway</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294,000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96.0%</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44,623</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Harris Teeter</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Pike 7</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164,000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237,000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97.3%</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23,640</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Magruders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Rollingwood Apartments</w:t>
            </w:r>
          </w:p>
        </w:tc>
        <w:tc>
          <w:tcPr>
            <w:tcW w:w="48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98.9%</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Sam's Park &amp; Shop</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50,000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Tower</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109,000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88.1%</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Tyson's Station</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50,000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97.0%</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6,890</w:t>
            </w: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Village of Shirlington</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204,000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94.5%</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84,000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27,600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20,000</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Sutton Place Gourmet</w:t>
            </w:r>
          </w:p>
        </w:tc>
      </w:tr>
      <w:tr>
        <w:trPr>
          <w:trHeight w:val="331"/>
        </w:trPr>
        <w:tc>
          <w:tcPr>
            <w:tcW w:w="2980" w:type="dxa"/>
            <w:vAlign w:val="bottom"/>
          </w:tcPr>
          <w:p>
            <w:pPr>
              <w:ind w:left="100"/>
              <w:spacing w:after="0"/>
              <w:rPr>
                <w:sz w:val="20"/>
                <w:szCs w:val="20"/>
                <w:color w:val="auto"/>
              </w:rPr>
            </w:pPr>
            <w:r>
              <w:rPr>
                <w:rFonts w:ascii="Courier New" w:cs="Courier New" w:eastAsia="Courier New" w:hAnsi="Courier New"/>
                <w:sz w:val="14"/>
                <w:szCs w:val="14"/>
                <w:color w:val="auto"/>
              </w:rPr>
              <w:t>Philadelphia Metropolitan Area</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259,000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94.9%</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23,542</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Acme Markets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281,000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45,000</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Acme Markets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Ellisburg Circle</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258,000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98.7%</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47,600</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Genuardi's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116,000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95.5%</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52,694</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Genuardi's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191,000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41,511</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Genuardi's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Langhorne Square</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216,000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93.1%</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55,000</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Redner's Warehouse Markets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326,000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98.3%</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31,400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38,481</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Acme Markets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292,000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95.9%</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Willow Grove</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215,000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255,000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99.1%</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32,000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98,000</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Genuardi's</w:t>
            </w:r>
          </w:p>
        </w:tc>
      </w:tr>
      <w:tr>
        <w:trPr>
          <w:trHeight w:val="331"/>
        </w:trPr>
        <w:tc>
          <w:tcPr>
            <w:tcW w:w="2980" w:type="dxa"/>
            <w:vAlign w:val="bottom"/>
          </w:tcPr>
          <w:p>
            <w:pPr>
              <w:ind w:left="100"/>
              <w:spacing w:after="0"/>
              <w:rPr>
                <w:sz w:val="20"/>
                <w:szCs w:val="20"/>
                <w:color w:val="auto"/>
              </w:rPr>
            </w:pPr>
            <w:r>
              <w:rPr>
                <w:rFonts w:ascii="Courier New" w:cs="Courier New" w:eastAsia="Courier New" w:hAnsi="Courier New"/>
                <w:sz w:val="14"/>
                <w:szCs w:val="14"/>
                <w:color w:val="auto"/>
              </w:rPr>
              <w:t>New York / New Jersey</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52,000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3,516</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25,025</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Stop &amp; Shop</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80,000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93.1%</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3,269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26,500</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Acme Markets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407,000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96.1%</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26,833</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43,365</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Shop Rite</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318,000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77.4%</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11,170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55,345</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A&amp;P</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216,000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89.0%</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12,940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44,456</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Edwards Super Food</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409,000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33,000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66,110</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A&amp;P</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Greenlawn Plaza</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92,000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81.6%</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45,958</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Waldbaum's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Hauppauge</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131,000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16,700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60,791</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Shop Rite</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Huntington</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279,000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14,355</w:t>
            </w: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Forest Hills</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85,000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408,000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94.4%</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202,000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64,209</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Pathmark</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190,000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4,847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53,220</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Shop Rite</w:t>
            </w:r>
          </w:p>
        </w:tc>
      </w:tr>
      <w:tr>
        <w:trPr>
          <w:trHeight w:val="331"/>
        </w:trPr>
        <w:tc>
          <w:tcPr>
            <w:tcW w:w="2980" w:type="dxa"/>
            <w:vAlign w:val="bottom"/>
          </w:tcPr>
          <w:p>
            <w:pPr>
              <w:ind w:left="100"/>
              <w:spacing w:after="0"/>
              <w:rPr>
                <w:sz w:val="20"/>
                <w:szCs w:val="20"/>
                <w:color w:val="auto"/>
              </w:rPr>
            </w:pPr>
            <w:r>
              <w:rPr>
                <w:rFonts w:ascii="Courier New" w:cs="Courier New" w:eastAsia="Courier New" w:hAnsi="Courier New"/>
                <w:sz w:val="14"/>
                <w:szCs w:val="14"/>
                <w:color w:val="auto"/>
              </w:rPr>
              <w:t>New England</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Coolidge Corner</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13,000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Dedham Plaza</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239,000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97.8%</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Queen Anne Plaza</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149,000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50,284</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Victory Supermarket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171,000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54,530</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Super Stop &amp; Shop</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Bristol Plaza</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296,000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92.4%</w:t>
            </w:r>
          </w:p>
        </w:tc>
        <w:tc>
          <w:tcPr>
            <w:tcW w:w="1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56,634</w:t>
            </w: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Super Stop &amp; Shop</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West Hartford</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125,000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79.1%</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Greenwich Avenue</w:t>
            </w:r>
          </w:p>
        </w:tc>
        <w:tc>
          <w:tcPr>
            <w:tcW w:w="13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57,000</w:t>
            </w:r>
          </w:p>
        </w:tc>
        <w:tc>
          <w:tcPr>
            <w:tcW w:w="1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828"/>
        </w:trPr>
        <w:tc>
          <w:tcPr>
            <w:tcW w:w="2980" w:type="dxa"/>
            <w:vAlign w:val="bottom"/>
          </w:tcPr>
          <w:p>
            <w:pPr>
              <w:spacing w:after="0"/>
              <w:rPr>
                <w:sz w:val="20"/>
                <w:szCs w:val="20"/>
                <w:color w:val="auto"/>
              </w:rPr>
            </w:pPr>
            <w:r>
              <w:rPr>
                <w:rFonts w:ascii="Courier New" w:cs="Courier New" w:eastAsia="Courier New" w:hAnsi="Courier New"/>
                <w:sz w:val="14"/>
                <w:szCs w:val="14"/>
                <w:color w:val="auto"/>
              </w:rPr>
              <w:t>Property Name</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c>
          <w:tcPr>
            <w:tcW w:w="2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Other Principal Tenants</w:t>
            </w: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6"/>
        </w:trPr>
        <w:tc>
          <w:tcPr>
            <w:tcW w:w="1034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331"/>
        </w:trPr>
        <w:tc>
          <w:tcPr>
            <w:tcW w:w="2980" w:type="dxa"/>
            <w:vAlign w:val="bottom"/>
          </w:tcPr>
          <w:p>
            <w:pPr>
              <w:ind w:left="100"/>
              <w:spacing w:after="0"/>
              <w:rPr>
                <w:sz w:val="20"/>
                <w:szCs w:val="20"/>
                <w:color w:val="auto"/>
              </w:rPr>
            </w:pPr>
            <w:r>
              <w:rPr>
                <w:rFonts w:ascii="Courier New" w:cs="Courier New" w:eastAsia="Courier New" w:hAnsi="Courier New"/>
                <w:sz w:val="14"/>
                <w:szCs w:val="14"/>
                <w:color w:val="auto"/>
              </w:rPr>
              <w:t>Washington Metropolitan Area</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c>
          <w:tcPr>
            <w:tcW w:w="3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Barnes &amp; Noble / Landmark Theater</w:t>
            </w: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Congressional Plaza</w:t>
            </w:r>
          </w:p>
        </w:tc>
        <w:tc>
          <w:tcPr>
            <w:tcW w:w="48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Buy Buy</w:t>
            </w:r>
          </w:p>
        </w:tc>
        <w:tc>
          <w:tcPr>
            <w:tcW w:w="2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Baby / Container Store / Tower</w:t>
            </w: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Courthouse Center</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Falls Plaza-East</w:t>
            </w:r>
          </w:p>
        </w:tc>
        <w:tc>
          <w:tcPr>
            <w:tcW w:w="480" w:type="dxa"/>
            <w:vAlign w:val="bottom"/>
          </w:tcPr>
          <w:p>
            <w:pPr>
              <w:spacing w:after="0"/>
              <w:rPr>
                <w:sz w:val="14"/>
                <w:szCs w:val="14"/>
                <w:color w:val="auto"/>
              </w:rPr>
            </w:pPr>
          </w:p>
        </w:tc>
        <w:tc>
          <w:tcPr>
            <w:tcW w:w="2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CVS / Staples</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48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TJ Maxx</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 CompUSA / Ross</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Friendship Center</w:t>
            </w:r>
          </w:p>
        </w:tc>
        <w:tc>
          <w:tcPr>
            <w:tcW w:w="480" w:type="dxa"/>
            <w:vAlign w:val="bottom"/>
          </w:tcPr>
          <w:p>
            <w:pPr>
              <w:spacing w:after="0"/>
              <w:rPr>
                <w:sz w:val="14"/>
                <w:szCs w:val="14"/>
                <w:color w:val="auto"/>
              </w:rPr>
            </w:pPr>
          </w:p>
        </w:tc>
        <w:tc>
          <w:tcPr>
            <w:tcW w:w="452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Borders/Eddie Bauer/Linens 'n Things/Maggiano's</w:t>
            </w: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Gaithersburg Square</w:t>
            </w:r>
          </w:p>
        </w:tc>
        <w:tc>
          <w:tcPr>
            <w:tcW w:w="480" w:type="dxa"/>
            <w:vAlign w:val="bottom"/>
          </w:tcPr>
          <w:p>
            <w:pPr>
              <w:spacing w:after="0"/>
              <w:rPr>
                <w:sz w:val="14"/>
                <w:szCs w:val="14"/>
                <w:color w:val="auto"/>
              </w:rPr>
            </w:pPr>
          </w:p>
        </w:tc>
        <w:tc>
          <w:tcPr>
            <w:tcW w:w="3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Bed, Bath &amp; Beyond / Borders / Ross</w:t>
            </w: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Idylwood Plaza</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Laurel</w:t>
            </w:r>
          </w:p>
        </w:tc>
        <w:tc>
          <w:tcPr>
            <w:tcW w:w="480" w:type="dxa"/>
            <w:vAlign w:val="bottom"/>
          </w:tcPr>
          <w:p>
            <w:pPr>
              <w:spacing w:after="0"/>
              <w:rPr>
                <w:sz w:val="14"/>
                <w:szCs w:val="14"/>
                <w:color w:val="auto"/>
              </w:rPr>
            </w:pPr>
          </w:p>
        </w:tc>
        <w:tc>
          <w:tcPr>
            <w:tcW w:w="2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Marshalls / Toys R Us</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Leesburg Plaza</w:t>
            </w:r>
          </w:p>
        </w:tc>
        <w:tc>
          <w:tcPr>
            <w:tcW w:w="48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Kmart /</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Peebles</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Loehmann's Plaza</w:t>
            </w:r>
          </w:p>
        </w:tc>
        <w:tc>
          <w:tcPr>
            <w:tcW w:w="48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Bally's</w:t>
            </w:r>
          </w:p>
        </w:tc>
        <w:tc>
          <w:tcPr>
            <w:tcW w:w="2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Linens 'n Things / Loehmann's</w:t>
            </w: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Magruder's Center</w:t>
            </w:r>
          </w:p>
        </w:tc>
        <w:tc>
          <w:tcPr>
            <w:tcW w:w="48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Tuesday</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Morning</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Mid-Pike Plaza</w:t>
            </w:r>
          </w:p>
        </w:tc>
        <w:tc>
          <w:tcPr>
            <w:tcW w:w="480" w:type="dxa"/>
            <w:vAlign w:val="bottom"/>
          </w:tcPr>
          <w:p>
            <w:pPr>
              <w:spacing w:after="0"/>
              <w:rPr>
                <w:sz w:val="14"/>
                <w:szCs w:val="14"/>
                <w:color w:val="auto"/>
              </w:rPr>
            </w:pPr>
          </w:p>
        </w:tc>
        <w:tc>
          <w:tcPr>
            <w:tcW w:w="452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Linens 'n Things/Toys R Us/Bally's/AC Moore</w:t>
            </w: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Old Keene Mill</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480" w:type="dxa"/>
            <w:vAlign w:val="bottom"/>
          </w:tcPr>
          <w:p>
            <w:pPr>
              <w:spacing w:after="0"/>
              <w:rPr>
                <w:sz w:val="14"/>
                <w:szCs w:val="14"/>
                <w:color w:val="auto"/>
              </w:rPr>
            </w:pPr>
          </w:p>
        </w:tc>
        <w:tc>
          <w:tcPr>
            <w:tcW w:w="2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Micro Center / Michaels</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48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Bally's</w:t>
            </w:r>
          </w:p>
        </w:tc>
        <w:tc>
          <w:tcPr>
            <w:tcW w:w="36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 Bed, Bath &amp; Beyond / DSW /Cost Plus</w:t>
            </w: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Pike 7</w:t>
            </w:r>
          </w:p>
        </w:tc>
        <w:tc>
          <w:tcPr>
            <w:tcW w:w="48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Staples</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 TJ Maxx / Tower</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48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Circuit</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City / Staples</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Rollingwood Apartments</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Sam's Park &amp; Shop</w:t>
            </w:r>
          </w:p>
        </w:tc>
        <w:tc>
          <w:tcPr>
            <w:tcW w:w="48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Petco</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Tower</w:t>
            </w:r>
          </w:p>
        </w:tc>
        <w:tc>
          <w:tcPr>
            <w:tcW w:w="480" w:type="dxa"/>
            <w:vAlign w:val="bottom"/>
          </w:tcPr>
          <w:p>
            <w:pPr>
              <w:spacing w:after="0"/>
              <w:rPr>
                <w:sz w:val="14"/>
                <w:szCs w:val="14"/>
                <w:color w:val="auto"/>
              </w:rPr>
            </w:pPr>
          </w:p>
        </w:tc>
        <w:tc>
          <w:tcPr>
            <w:tcW w:w="3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Virginia Fine Wine / Talbot</w:t>
            </w: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Tyson's Station</w:t>
            </w:r>
          </w:p>
        </w:tc>
        <w:tc>
          <w:tcPr>
            <w:tcW w:w="480" w:type="dxa"/>
            <w:vAlign w:val="bottom"/>
          </w:tcPr>
          <w:p>
            <w:pPr>
              <w:spacing w:after="0"/>
              <w:rPr>
                <w:sz w:val="14"/>
                <w:szCs w:val="14"/>
                <w:color w:val="auto"/>
              </w:rPr>
            </w:pPr>
          </w:p>
        </w:tc>
        <w:tc>
          <w:tcPr>
            <w:tcW w:w="2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Trader Joes</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Village of Shirlington</w:t>
            </w:r>
          </w:p>
        </w:tc>
        <w:tc>
          <w:tcPr>
            <w:tcW w:w="480" w:type="dxa"/>
            <w:vAlign w:val="bottom"/>
          </w:tcPr>
          <w:p>
            <w:pPr>
              <w:spacing w:after="0"/>
              <w:rPr>
                <w:sz w:val="14"/>
                <w:szCs w:val="14"/>
                <w:color w:val="auto"/>
              </w:rPr>
            </w:pPr>
          </w:p>
        </w:tc>
        <w:tc>
          <w:tcPr>
            <w:tcW w:w="2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Cineplex Odeon</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48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CVS</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331"/>
        </w:trPr>
        <w:tc>
          <w:tcPr>
            <w:tcW w:w="2980" w:type="dxa"/>
            <w:vAlign w:val="bottom"/>
          </w:tcPr>
          <w:p>
            <w:pPr>
              <w:ind w:left="100"/>
              <w:spacing w:after="0"/>
              <w:rPr>
                <w:sz w:val="20"/>
                <w:szCs w:val="20"/>
                <w:color w:val="auto"/>
              </w:rPr>
            </w:pPr>
            <w:r>
              <w:rPr>
                <w:rFonts w:ascii="Courier New" w:cs="Courier New" w:eastAsia="Courier New" w:hAnsi="Courier New"/>
                <w:sz w:val="14"/>
                <w:szCs w:val="14"/>
                <w:color w:val="auto"/>
              </w:rPr>
              <w:t>Philadelphia Metropolitan Area</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480" w:type="dxa"/>
            <w:vAlign w:val="bottom"/>
          </w:tcPr>
          <w:p>
            <w:pPr>
              <w:spacing w:after="0"/>
              <w:rPr>
                <w:sz w:val="14"/>
                <w:szCs w:val="14"/>
                <w:color w:val="auto"/>
              </w:rPr>
            </w:pPr>
          </w:p>
        </w:tc>
        <w:tc>
          <w:tcPr>
            <w:tcW w:w="2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Kohl's / Andorra Theatre</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480" w:type="dxa"/>
            <w:vAlign w:val="bottom"/>
          </w:tcPr>
          <w:p>
            <w:pPr>
              <w:spacing w:after="0"/>
              <w:rPr>
                <w:sz w:val="14"/>
                <w:szCs w:val="14"/>
                <w:color w:val="auto"/>
              </w:rPr>
            </w:pPr>
          </w:p>
        </w:tc>
        <w:tc>
          <w:tcPr>
            <w:tcW w:w="2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Lord &amp; Taylor</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Ellisburg Circle</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c>
          <w:tcPr>
            <w:tcW w:w="2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Bed, Bath &amp; Beyond / Ross</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480" w:type="dxa"/>
            <w:vAlign w:val="bottom"/>
          </w:tcPr>
          <w:p>
            <w:pPr>
              <w:spacing w:after="0"/>
              <w:rPr>
                <w:sz w:val="14"/>
                <w:szCs w:val="14"/>
                <w:color w:val="auto"/>
              </w:rPr>
            </w:pPr>
          </w:p>
        </w:tc>
        <w:tc>
          <w:tcPr>
            <w:tcW w:w="2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OfficeMax</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48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Kmart</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60" w:type="dxa"/>
            <w:vAlign w:val="bottom"/>
          </w:tcPr>
          <w:p>
            <w:pPr>
              <w:spacing w:after="0"/>
              <w:rPr>
                <w:sz w:val="14"/>
                <w:szCs w:val="14"/>
                <w:color w:val="auto"/>
              </w:rPr>
            </w:pPr>
          </w:p>
        </w:tc>
      </w:tr>
    </w:tbl>
    <w:p>
      <w:pPr>
        <w:sectPr>
          <w:pgSz w:w="11900" w:h="16902" w:orient="portrait"/>
          <w:cols w:equalWidth="0" w:num="1">
            <w:col w:w="10340"/>
          </w:cols>
          <w:pgMar w:left="220" w:top="141" w:right="1339"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Langhorne Square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Lawrence Park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Northeast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Willow Grove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Wynnewood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Marshalls / Drug Emporium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 / TJ Maxx / Today's 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Burlington Coat / Marshalls / Tower Records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Barnes &amp; Noble / Marshalls / Toys R 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Bed, Bath &amp; Beyond / Borders / Old Navy</w:t>
      </w:r>
    </w:p>
    <w:p>
      <w:pPr>
        <w:spacing w:after="0" w:line="173" w:lineRule="exact"/>
        <w:rPr>
          <w:sz w:val="20"/>
          <w:szCs w:val="20"/>
          <w:color w:val="auto"/>
        </w:rPr>
      </w:pPr>
    </w:p>
    <w:p>
      <w:pPr>
        <w:sectPr>
          <w:pgSz w:w="11900" w:h="16838" w:orient="portrait"/>
          <w:cols w:equalWidth="0" w:num="2">
            <w:col w:w="3000" w:space="720"/>
            <w:col w:w="6519"/>
          </w:cols>
          <w:pgMar w:left="220" w:top="141" w:right="1440" w:bottom="1440" w:gutter="0" w:footer="0" w:header="0"/>
        </w:sectPr>
      </w:pPr>
    </w:p>
    <w:p>
      <w:pPr>
        <w:ind w:left="100"/>
        <w:spacing w:after="0"/>
        <w:rPr>
          <w:sz w:val="20"/>
          <w:szCs w:val="20"/>
          <w:color w:val="auto"/>
        </w:rPr>
      </w:pPr>
      <w:r>
        <w:rPr>
          <w:rFonts w:ascii="Courier New" w:cs="Courier New" w:eastAsia="Courier New" w:hAnsi="Courier New"/>
          <w:sz w:val="14"/>
          <w:szCs w:val="14"/>
          <w:color w:val="auto"/>
        </w:rPr>
        <w:t>New York / New Jersey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Allwood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Clifton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Blue Star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Brunswick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Rutgers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Brick Plaza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Mandee Shop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Drug Fair / Dollar Express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Kohl's / Michaels / Toys R Us / Marshalls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Just Living Rooms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Kmart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Loews Theatres/Barnes&amp;Noble/Sports Authority</w:t>
      </w:r>
    </w:p>
    <w:p>
      <w:pPr>
        <w:spacing w:after="0" w:line="7" w:lineRule="exact"/>
        <w:rPr>
          <w:sz w:val="20"/>
          <w:szCs w:val="20"/>
          <w:color w:val="auto"/>
        </w:rPr>
      </w:pPr>
    </w:p>
    <w:p>
      <w:pPr>
        <w:sectPr>
          <w:pgSz w:w="11900" w:h="16838" w:orient="portrait"/>
          <w:cols w:equalWidth="0" w:num="2">
            <w:col w:w="3000" w:space="720"/>
            <w:col w:w="651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Greenlawn Plaza</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Hauppauge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Huntington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Forest Hills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Fresh Meadows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Troy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Hamilton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OfficeMax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BuyBuyBaby/Toys R Us/Bed,Bath &amp; Beyond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Midway Theatre / Duane Reade / Gap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City / Kmart / Cineplex Odeon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A.C.Moore / Comp USA / Toys R 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A.C.Moore / Stevens Furniture</w:t>
      </w:r>
    </w:p>
    <w:p>
      <w:pPr>
        <w:spacing w:after="0" w:line="173" w:lineRule="exact"/>
        <w:rPr>
          <w:sz w:val="20"/>
          <w:szCs w:val="20"/>
          <w:color w:val="auto"/>
        </w:rPr>
      </w:pPr>
    </w:p>
    <w:p>
      <w:pPr>
        <w:sectPr>
          <w:pgSz w:w="11900" w:h="16838" w:orient="portrait"/>
          <w:cols w:equalWidth="0" w:num="2">
            <w:col w:w="3000" w:space="720"/>
            <w:col w:w="6519"/>
          </w:cols>
          <w:pgMar w:left="220" w:top="141"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New England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Coolidge Corner</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Dedham Plaza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Queen Anne Plaza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Saugus Plaza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Bristol Plaza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Ames / Pier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TJ Maxx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Kmart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TJ Maxx</w:t>
      </w:r>
    </w:p>
    <w:p>
      <w:pPr>
        <w:spacing w:after="0" w:line="7" w:lineRule="exact"/>
        <w:rPr>
          <w:sz w:val="20"/>
          <w:szCs w:val="20"/>
          <w:color w:val="auto"/>
        </w:rPr>
      </w:pPr>
    </w:p>
    <w:p>
      <w:pPr>
        <w:sectPr>
          <w:pgSz w:w="11900" w:h="16838" w:orient="portrait"/>
          <w:cols w:equalWidth="0" w:num="2">
            <w:col w:w="3000" w:space="720"/>
            <w:col w:w="651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West Hartford</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Greenwich Avenue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Saks Fifth Avenue</w:t>
      </w:r>
    </w:p>
    <w:p>
      <w:pPr>
        <w:sectPr>
          <w:pgSz w:w="11900" w:h="16838" w:orient="portrait"/>
          <w:cols w:equalWidth="0" w:num="2">
            <w:col w:w="3000" w:space="720"/>
            <w:col w:w="6519"/>
          </w:cols>
          <w:pgMar w:left="220" w:top="141" w:right="1440" w:bottom="1440" w:gutter="0" w:footer="0" w:header="0"/>
          <w:type w:val="continuous"/>
        </w:sectPr>
      </w:pPr>
    </w:p>
    <w:bookmarkStart w:id="19" w:name="page20"/>
    <w:bookmarkEnd w:id="19"/>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Status Report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6380"/>
        <w:spacing w:after="0"/>
        <w:tabs>
          <w:tab w:leader="none" w:pos="7660" w:val="left"/>
          <w:tab w:leader="none" w:pos="842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Ownership</w:t>
      </w:r>
    </w:p>
    <w:p>
      <w:pPr>
        <w:spacing w:after="0" w:line="7" w:lineRule="exact"/>
        <w:rPr>
          <w:sz w:val="20"/>
          <w:szCs w:val="20"/>
          <w:color w:val="auto"/>
        </w:rPr>
      </w:pPr>
    </w:p>
    <w:p>
      <w:pPr>
        <w:spacing w:after="0"/>
        <w:tabs>
          <w:tab w:leader="none" w:pos="2400" w:val="left"/>
          <w:tab w:leader="none" w:pos="2920" w:val="left"/>
          <w:tab w:leader="none" w:pos="6020" w:val="left"/>
          <w:tab w:leader="none" w:pos="7220" w:val="left"/>
          <w:tab w:leader="none" w:pos="8340" w:val="left"/>
          <w:tab w:leader="none" w:pos="9720" w:val="left"/>
          <w:tab w:leader="none" w:pos="10500" w:val="left"/>
        </w:tabs>
        <w:rPr>
          <w:sz w:val="20"/>
          <w:szCs w:val="20"/>
          <w:color w:val="auto"/>
        </w:rPr>
      </w:pPr>
      <w:r>
        <w:rPr>
          <w:rFonts w:ascii="Courier New" w:cs="Courier New" w:eastAsia="Courier New" w:hAnsi="Courier New"/>
          <w:sz w:val="14"/>
          <w:szCs w:val="14"/>
          <w:color w:val="auto"/>
        </w:rPr>
        <w:t>Property Name</w:t>
      </w:r>
      <w:r>
        <w:rPr>
          <w:sz w:val="20"/>
          <w:szCs w:val="20"/>
          <w:color w:val="auto"/>
        </w:rPr>
        <w:tab/>
      </w:r>
      <w:r>
        <w:rPr>
          <w:rFonts w:ascii="Courier New" w:cs="Courier New" w:eastAsia="Courier New" w:hAnsi="Courier New"/>
          <w:sz w:val="14"/>
          <w:szCs w:val="14"/>
          <w:color w:val="auto"/>
        </w:rPr>
        <w:t>Type</w:t>
        <w:tab/>
        <w:t>MSA Description</w:t>
      </w:r>
      <w:r>
        <w:rPr>
          <w:sz w:val="20"/>
          <w:szCs w:val="20"/>
          <w:color w:val="auto"/>
        </w:rPr>
        <w:tab/>
      </w: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Investment</w:t>
      </w:r>
      <w:r>
        <w:rPr>
          <w:sz w:val="20"/>
          <w:szCs w:val="20"/>
          <w:color w:val="auto"/>
        </w:rPr>
        <w:tab/>
      </w:r>
      <w:r>
        <w:rPr>
          <w:rFonts w:ascii="Courier New" w:cs="Courier New" w:eastAsia="Courier New" w:hAnsi="Courier New"/>
          <w:sz w:val="14"/>
          <w:szCs w:val="14"/>
          <w:color w:val="auto"/>
        </w:rPr>
        <w:t>Percentage</w:t>
      </w:r>
      <w:r>
        <w:rPr>
          <w:sz w:val="20"/>
          <w:szCs w:val="20"/>
          <w:color w:val="auto"/>
        </w:rPr>
        <w:tab/>
      </w:r>
      <w:r>
        <w:rPr>
          <w:rFonts w:ascii="Courier New" w:cs="Courier New" w:eastAsia="Courier New" w:hAnsi="Courier New"/>
          <w:sz w:val="14"/>
          <w:szCs w:val="14"/>
          <w:color w:val="auto"/>
        </w:rPr>
        <w:t>GLA (1)</w:t>
        <w:tab/>
        <w:t>% Occupied</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California</w:t>
            </w:r>
          </w:p>
        </w:tc>
        <w:tc>
          <w:tcPr>
            <w:tcW w:w="5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Colorado Blvd</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Los Angeles-Long Beach, CA</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1996-1998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14,716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95.9%</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Hermosa Ave</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Los Angeles-Long Beach, CA</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4,326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Hollywood Blvd</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Los Angeles-Long Beach, CA</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25,840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78.0%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Third St Promenade</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Los Angeles-Long Beach, CA</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1996-2000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71,342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95.6%</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Escondido</w:t>
            </w:r>
          </w:p>
        </w:tc>
        <w:tc>
          <w:tcPr>
            <w:tcW w:w="14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San Diego, CA</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24,492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222,000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96.5%</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Fifth Ave</w:t>
            </w:r>
          </w:p>
        </w:tc>
        <w:tc>
          <w:tcPr>
            <w:tcW w:w="14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San Diego, CA</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1996-1997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12,090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150 Post Street</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San Francisco, CA</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27,827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78.5%</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Kings Court</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San Jose, CA</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10,914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98.4%</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Old Town</w:t>
            </w:r>
          </w:p>
        </w:tc>
        <w:tc>
          <w:tcPr>
            <w:tcW w:w="14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San Jose, CA</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32,499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89.0%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Santana Row</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San Jose, CA</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395,736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Chicago</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Crossroads</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Chicago, IL</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21,694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Finley Square</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Chicago, IL</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1995</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26,097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91.2%</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Garden Market</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Chicago, IL</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10,604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94.1%</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North Lake Commons</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Chicago, IL</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12,951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88.3%</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Evanston</w:t>
            </w:r>
          </w:p>
        </w:tc>
        <w:tc>
          <w:tcPr>
            <w:tcW w:w="14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Chicago, IL</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1995</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4,261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331"/>
        </w:trPr>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Governor</w:t>
            </w: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Baltimore, MD</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1985</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17,823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252,000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Perring</w:t>
            </w: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Baltimore, MD</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1985</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23,938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412,000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97.2%</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Charlottesville, VA</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1985</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39,499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484,000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Gratiot Plaza</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Detroit, MI</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1973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16,646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14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Lancaster, PA</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9,746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96.7%</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Winter Park</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Orlando, FL</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6,871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90.3%</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Mill Avenue</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Phoenix-Mesa, AZ</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11,036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14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Raleigh-Durham-Chapel Hill, NC</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13,629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98.6%</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The Shops at Willow Lawn</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SC</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Richmond-Petersburg, VA</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62,209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505,000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82.9%</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Houston St</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San Antonio, TX</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53,140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37.4%</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Tanasbourne</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SR</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Portland, OR</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7,502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9"/>
              </w:rPr>
              <w:t>$ 2,254,540</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14,738,000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95.5%</w:t>
            </w:r>
          </w:p>
        </w:tc>
      </w:tr>
      <w:tr>
        <w:trPr>
          <w:trHeight w:val="331"/>
        </w:trPr>
        <w:tc>
          <w:tcPr>
            <w:tcW w:w="1740" w:type="dxa"/>
            <w:vAlign w:val="bottom"/>
          </w:tcPr>
          <w:p>
            <w:pPr>
              <w:spacing w:after="0"/>
              <w:rPr>
                <w:sz w:val="24"/>
                <w:szCs w:val="24"/>
                <w:color w:val="auto"/>
              </w:rPr>
            </w:pPr>
          </w:p>
        </w:tc>
        <w:tc>
          <w:tcPr>
            <w:tcW w:w="40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Total Grocery Anchored Properties:</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17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SC -</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Shopping Center</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SR -</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Street Retail</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17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Total Square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Feet - Grocery Anchored</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Centers:</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9,421,000</w:t>
            </w: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SC -</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Shopping Center</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8,708,000</w:t>
            </w: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SR -</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Street Retail</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713,000</w:t>
            </w: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828"/>
        </w:trPr>
        <w:tc>
          <w:tcPr>
            <w:tcW w:w="17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Mortage or</w:t>
            </w:r>
          </w:p>
        </w:tc>
        <w:tc>
          <w:tcPr>
            <w:tcW w:w="2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17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Capital Lease</w:t>
            </w: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Grocery</w:t>
            </w: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Property Name</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Obligation</w:t>
            </w:r>
          </w:p>
        </w:tc>
        <w:tc>
          <w:tcPr>
            <w:tcW w:w="33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Anchor GLA   Grocery Anchor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33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Other Principal Tenants</w:t>
            </w:r>
          </w:p>
        </w:tc>
        <w:tc>
          <w:tcPr>
            <w:tcW w:w="68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California</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Colorado Blvd</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Pottery Barn / Banana Republic</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Hermosa Ave</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Hollywood Blvd</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General Cinema / Hollywood Ent. Museum</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Third St Promenade</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J. Crew / Banana Republic / Old Navy</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Escondido</w:t>
            </w:r>
          </w:p>
        </w:tc>
        <w:tc>
          <w:tcPr>
            <w:tcW w:w="1380" w:type="dxa"/>
            <w:vAlign w:val="bottom"/>
          </w:tcPr>
          <w:p>
            <w:pPr>
              <w:spacing w:after="0"/>
              <w:rPr>
                <w:sz w:val="14"/>
                <w:szCs w:val="14"/>
                <w:color w:val="auto"/>
              </w:rPr>
            </w:pP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9,400</w:t>
            </w: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Cost Plus / TJ Maxx / Toys R Us</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Fifth Ave</w:t>
            </w: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Urban Outfitters</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150 Post Street</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Brooks Brothers / Williams Sonoma</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Kings Court</w:t>
            </w:r>
          </w:p>
        </w:tc>
        <w:tc>
          <w:tcPr>
            <w:tcW w:w="15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24,860</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Lunardi's Super Market</w:t>
            </w: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Longs Drug Store</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Old Town</w:t>
            </w: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Borders / Gap Kids / Banana Republic</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Santana Row</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151,325</w:t>
            </w: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Chicago</w:t>
            </w: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Crossroads</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Comp USA / Golfsmith / Guitar Center</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Finley Square</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Bed, Bath &amp; Beyond / Sports Authority</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Garden Market</w:t>
            </w:r>
          </w:p>
        </w:tc>
        <w:tc>
          <w:tcPr>
            <w:tcW w:w="15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62,937</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Dominick's</w:t>
            </w: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Walgreens</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North Lake Commons</w:t>
            </w:r>
          </w:p>
        </w:tc>
        <w:tc>
          <w:tcPr>
            <w:tcW w:w="15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77,303</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Dominick's</w:t>
            </w:r>
          </w:p>
        </w:tc>
        <w:tc>
          <w:tcPr>
            <w:tcW w:w="404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Evanston</w:t>
            </w: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Gap</w:t>
            </w:r>
          </w:p>
        </w:tc>
      </w:tr>
      <w:tr>
        <w:trPr>
          <w:trHeight w:val="331"/>
        </w:trPr>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66"/>
        </w:trPr>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Governor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Bally's / Comp USA / Syms / Office Depot</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Perring</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15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57,706</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Metro Foods</w:t>
            </w: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Home Depot / Burlington Coat Factory</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44,300</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91,032</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Harris Teeter / Kroger</w:t>
            </w: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Bed, Bath &amp; Beyond/Barnes &amp; Noble/Old Navy</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Gratiot Plaza</w:t>
            </w:r>
          </w:p>
        </w:tc>
        <w:tc>
          <w:tcPr>
            <w:tcW w:w="15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68,802</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Farmer Jack's</w:t>
            </w: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Bed, Bath &amp; Beyond / Best Buy</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1380" w:type="dxa"/>
            <w:vAlign w:val="bottom"/>
          </w:tcPr>
          <w:p>
            <w:pPr>
              <w:spacing w:after="0"/>
              <w:rPr>
                <w:sz w:val="14"/>
                <w:szCs w:val="14"/>
                <w:color w:val="auto"/>
              </w:rPr>
            </w:pP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4,907</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39,404</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Giant Food</w:t>
            </w: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A.C.Moore</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Winter Park</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40" w:type="dxa"/>
            <w:vAlign w:val="bottom"/>
          </w:tcPr>
          <w:p>
            <w:pPr>
              <w:spacing w:after="0"/>
              <w:rPr>
                <w:sz w:val="14"/>
                <w:szCs w:val="14"/>
                <w:color w:val="auto"/>
              </w:rPr>
            </w:pPr>
          </w:p>
        </w:tc>
      </w:tr>
    </w:tbl>
    <w:p>
      <w:pPr>
        <w:sectPr>
          <w:pgSz w:w="11900" w:h="16880" w:orient="portrait"/>
          <w:cols w:equalWidth="0" w:num="1">
            <w:col w:w="11540"/>
          </w:cols>
          <w:pgMar w:left="220" w:top="616" w:right="1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Mill Avenue</w:t>
            </w:r>
          </w:p>
        </w:tc>
        <w:tc>
          <w:tcPr>
            <w:tcW w:w="2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80" w:type="dxa"/>
            <w:vAlign w:val="bottom"/>
          </w:tcPr>
          <w:p>
            <w:pPr>
              <w:ind w:left="980"/>
              <w:spacing w:after="0"/>
              <w:rPr>
                <w:sz w:val="20"/>
                <w:szCs w:val="20"/>
                <w:color w:val="auto"/>
              </w:rPr>
            </w:pPr>
            <w:r>
              <w:rPr>
                <w:rFonts w:ascii="Courier New" w:cs="Courier New" w:eastAsia="Courier New" w:hAnsi="Courier New"/>
                <w:sz w:val="14"/>
                <w:szCs w:val="14"/>
                <w:color w:val="auto"/>
              </w:rPr>
              <w:t>Gordon Biersch</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2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22,938</w:t>
            </w:r>
          </w:p>
        </w:tc>
        <w:tc>
          <w:tcPr>
            <w:tcW w:w="1900" w:type="dxa"/>
            <w:vAlign w:val="bottom"/>
          </w:tcPr>
          <w:p>
            <w:pPr>
              <w:ind w:left="140"/>
              <w:spacing w:after="0"/>
              <w:rPr>
                <w:sz w:val="20"/>
                <w:szCs w:val="20"/>
                <w:color w:val="auto"/>
              </w:rPr>
            </w:pPr>
            <w:r>
              <w:rPr>
                <w:rFonts w:ascii="Courier New" w:cs="Courier New" w:eastAsia="Courier New" w:hAnsi="Courier New"/>
                <w:sz w:val="14"/>
                <w:szCs w:val="14"/>
                <w:color w:val="auto"/>
              </w:rPr>
              <w:t>Southern Season</w:t>
            </w:r>
          </w:p>
        </w:tc>
        <w:tc>
          <w:tcPr>
            <w:tcW w:w="4080" w:type="dxa"/>
            <w:vAlign w:val="bottom"/>
          </w:tcPr>
          <w:p>
            <w:pPr>
              <w:jc w:val="right"/>
              <w:ind w:right="3188"/>
              <w:spacing w:after="0"/>
              <w:rPr>
                <w:sz w:val="20"/>
                <w:szCs w:val="20"/>
                <w:color w:val="auto"/>
              </w:rPr>
            </w:pPr>
            <w:r>
              <w:rPr>
                <w:rFonts w:ascii="Courier New" w:cs="Courier New" w:eastAsia="Courier New" w:hAnsi="Courier New"/>
                <w:sz w:val="14"/>
                <w:szCs w:val="14"/>
                <w:color w:val="auto"/>
              </w:rPr>
              <w:t>(12)</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The Shops at Willow Lawn</w:t>
            </w:r>
          </w:p>
        </w:tc>
        <w:tc>
          <w:tcPr>
            <w:tcW w:w="2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44,607</w:t>
            </w:r>
          </w:p>
        </w:tc>
        <w:tc>
          <w:tcPr>
            <w:tcW w:w="1900" w:type="dxa"/>
            <w:vAlign w:val="bottom"/>
          </w:tcPr>
          <w:p>
            <w:pPr>
              <w:ind w:left="140"/>
              <w:spacing w:after="0"/>
              <w:rPr>
                <w:sz w:val="20"/>
                <w:szCs w:val="20"/>
                <w:color w:val="auto"/>
              </w:rPr>
            </w:pPr>
            <w:r>
              <w:rPr>
                <w:rFonts w:ascii="Courier New" w:cs="Courier New" w:eastAsia="Courier New" w:hAnsi="Courier New"/>
                <w:sz w:val="14"/>
                <w:szCs w:val="14"/>
                <w:color w:val="auto"/>
              </w:rPr>
              <w:t>Kroger</w:t>
            </w:r>
          </w:p>
        </w:tc>
        <w:tc>
          <w:tcPr>
            <w:tcW w:w="4080" w:type="dxa"/>
            <w:vAlign w:val="bottom"/>
          </w:tcPr>
          <w:p>
            <w:pPr>
              <w:ind w:left="980"/>
              <w:spacing w:after="0"/>
              <w:rPr>
                <w:sz w:val="20"/>
                <w:szCs w:val="20"/>
                <w:color w:val="auto"/>
              </w:rPr>
            </w:pPr>
            <w:r>
              <w:rPr>
                <w:rFonts w:ascii="Courier New" w:cs="Courier New" w:eastAsia="Courier New" w:hAnsi="Courier New"/>
                <w:sz w:val="14"/>
                <w:szCs w:val="14"/>
                <w:color w:val="auto"/>
              </w:rPr>
              <w:t>Dillard's / Old Navy / Tower Records</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Houston St</w:t>
            </w:r>
          </w:p>
        </w:tc>
        <w:tc>
          <w:tcPr>
            <w:tcW w:w="21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278</w:t>
            </w:r>
          </w:p>
        </w:tc>
        <w:tc>
          <w:tcPr>
            <w:tcW w:w="1900" w:type="dxa"/>
            <w:vAlign w:val="bottom"/>
          </w:tcPr>
          <w:p>
            <w:pPr>
              <w:spacing w:after="0"/>
              <w:rPr>
                <w:sz w:val="14"/>
                <w:szCs w:val="14"/>
                <w:color w:val="auto"/>
              </w:rPr>
            </w:pPr>
          </w:p>
        </w:tc>
        <w:tc>
          <w:tcPr>
            <w:tcW w:w="408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Tanasbourne</w:t>
            </w:r>
          </w:p>
        </w:tc>
        <w:tc>
          <w:tcPr>
            <w:tcW w:w="2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544,721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1,957,671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520" w:right="4640" w:hanging="512"/>
        <w:spacing w:after="0" w:line="250" w:lineRule="auto"/>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new development square footage, redevelopment square footage, and Rollingwood Apartments.</w:t>
      </w:r>
    </w:p>
    <w:p>
      <w:pPr>
        <w:ind w:left="520" w:hanging="512"/>
        <w:spacing w:after="0"/>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Anchor is defined as a tenant with 15,000 sf or more.</w:t>
      </w:r>
    </w:p>
    <w:p>
      <w:pPr>
        <w:spacing w:after="0" w:line="7" w:lineRule="exact"/>
        <w:rPr>
          <w:rFonts w:ascii="Courier New" w:cs="Courier New" w:eastAsia="Courier New" w:hAnsi="Courier New"/>
          <w:sz w:val="14"/>
          <w:szCs w:val="14"/>
          <w:color w:val="auto"/>
        </w:rPr>
      </w:pPr>
    </w:p>
    <w:p>
      <w:pPr>
        <w:ind w:left="520" w:right="4720" w:hanging="512"/>
        <w:spacing w:after="0" w:line="250" w:lineRule="auto"/>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 of property subject to capital lease obligation. Mortgage column shows construction loan on Woodmont East of $24,449 and capital lease obligation of $12,576</w:t>
      </w:r>
    </w:p>
    <w:p>
      <w:pPr>
        <w:spacing w:after="0" w:line="1" w:lineRule="exact"/>
        <w:rPr>
          <w:rFonts w:ascii="Courier New" w:cs="Courier New" w:eastAsia="Courier New" w:hAnsi="Courier New"/>
          <w:sz w:val="14"/>
          <w:szCs w:val="14"/>
          <w:color w:val="auto"/>
        </w:rPr>
      </w:pPr>
    </w:p>
    <w:p>
      <w:pPr>
        <w:ind w:left="520" w:right="5080" w:hanging="512"/>
        <w:spacing w:after="0" w:line="250" w:lineRule="auto"/>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Giant building of 40,000 sf has an approximate completion date of December 2002.</w:t>
      </w:r>
    </w:p>
    <w:p>
      <w:pPr>
        <w:ind w:left="520" w:right="4980" w:hanging="512"/>
        <w:spacing w:after="0" w:line="250" w:lineRule="auto"/>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purchased in "downreit" in exchange for operating partnership units.</w:t>
      </w:r>
    </w:p>
    <w:p>
      <w:pPr>
        <w:ind w:left="520" w:hanging="512"/>
        <w:spacing w:after="0"/>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subject to capital lease obligation.</w:t>
      </w:r>
    </w:p>
    <w:p>
      <w:pPr>
        <w:spacing w:after="0" w:line="7"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Genuardi's space has been delivered, they are not yet open.</w:t>
      </w:r>
    </w:p>
    <w:p>
      <w:pPr>
        <w:spacing w:after="0" w:line="7"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two properties, one at 100% and one at 90%.</w:t>
      </w:r>
    </w:p>
    <w:p>
      <w:pPr>
        <w:spacing w:after="0" w:line="7"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nine properties, seven at 100% and two at 90%.</w:t>
      </w:r>
    </w:p>
    <w:p>
      <w:pPr>
        <w:spacing w:after="0" w:line="7"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four properties, three at 100% and one at 90%.</w:t>
      </w:r>
    </w:p>
    <w:p>
      <w:pPr>
        <w:spacing w:after="0" w:line="7"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two properties, one at 100% and one at 85%.</w:t>
      </w:r>
    </w:p>
    <w:p>
      <w:pPr>
        <w:spacing w:after="0" w:line="7" w:lineRule="exact"/>
        <w:rPr>
          <w:rFonts w:ascii="Courier New" w:cs="Courier New" w:eastAsia="Courier New" w:hAnsi="Courier New"/>
          <w:sz w:val="14"/>
          <w:szCs w:val="14"/>
          <w:color w:val="auto"/>
        </w:rPr>
      </w:pPr>
    </w:p>
    <w:p>
      <w:pPr>
        <w:ind w:left="520" w:right="4720" w:hanging="512"/>
        <w:spacing w:after="0" w:line="255" w:lineRule="auto"/>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second grocery space in the center; Food Lion has vacated, but is paying rent.</w:t>
      </w:r>
    </w:p>
    <w:p>
      <w:pPr>
        <w:sectPr>
          <w:pgSz w:w="11900" w:h="16838" w:orient="portrait"/>
          <w:cols w:equalWidth="0" w:num="1">
            <w:col w:w="11540"/>
          </w:cols>
          <w:pgMar w:left="220" w:top="141" w:right="139"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Shopping Center / Street Retail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Shopping Center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sf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60" w:type="dxa"/>
            <w:vAlign w:val="bottom"/>
            <w:gridSpan w:val="5"/>
          </w:tcPr>
          <w:p>
            <w:pPr>
              <w:jc w:val="right"/>
              <w:ind w:right="868"/>
              <w:spacing w:after="0"/>
              <w:rPr>
                <w:sz w:val="20"/>
                <w:szCs w:val="20"/>
                <w:color w:val="auto"/>
              </w:rPr>
            </w:pPr>
            <w:r>
              <w:rPr>
                <w:rFonts w:ascii="Courier New" w:cs="Courier New" w:eastAsia="Courier New" w:hAnsi="Courier New"/>
                <w:sz w:val="14"/>
                <w:szCs w:val="14"/>
                <w:color w:val="auto"/>
              </w:rPr>
              <w:t>(1) For the year ended December 31,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For the nine</w:t>
            </w:r>
          </w:p>
        </w:tc>
        <w:tc>
          <w:tcPr>
            <w:tcW w:w="23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months ended September 30,</w:t>
            </w:r>
          </w:p>
        </w:tc>
      </w:tr>
      <w:tr>
        <w:trPr>
          <w:trHeight w:val="166"/>
        </w:trPr>
        <w:tc>
          <w:tcPr>
            <w:tcW w:w="2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2002</w:t>
            </w:r>
          </w:p>
        </w:tc>
        <w:tc>
          <w:tcPr>
            <w:tcW w:w="3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2900" w:type="dxa"/>
            <w:vAlign w:val="bottom"/>
          </w:tcPr>
          <w:p>
            <w:pPr>
              <w:spacing w:after="0"/>
              <w:rPr>
                <w:sz w:val="14"/>
                <w:szCs w:val="14"/>
                <w:color w:val="auto"/>
              </w:rPr>
            </w:pPr>
          </w:p>
        </w:tc>
        <w:tc>
          <w:tcPr>
            <w:tcW w:w="7960" w:type="dxa"/>
            <w:vAlign w:val="bottom"/>
            <w:gridSpan w:val="10"/>
          </w:tcPr>
          <w:p>
            <w:pPr>
              <w:ind w:left="300"/>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1,256,778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1,248,770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1,249,269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1,279,000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1,252,227</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223,828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216,006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208,794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165,377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163,665</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Operating Income (2)</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160,710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153,892</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147,819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119,175</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117,432</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Square Feet (3)</w:t>
            </w:r>
          </w:p>
        </w:tc>
        <w:tc>
          <w:tcPr>
            <w:tcW w:w="380" w:type="dxa"/>
            <w:vAlign w:val="bottom"/>
          </w:tcPr>
          <w:p>
            <w:pPr>
              <w:spacing w:after="0"/>
              <w:rPr>
                <w:sz w:val="24"/>
                <w:szCs w:val="2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12,547,000</w:t>
            </w:r>
          </w:p>
        </w:tc>
        <w:tc>
          <w:tcPr>
            <w:tcW w:w="30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12,700,000</w:t>
            </w:r>
          </w:p>
        </w:tc>
        <w:tc>
          <w:tcPr>
            <w:tcW w:w="3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12,860,000</w:t>
            </w:r>
          </w:p>
        </w:tc>
        <w:tc>
          <w:tcPr>
            <w:tcW w:w="126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12,541,000</w:t>
            </w:r>
          </w:p>
        </w:tc>
        <w:tc>
          <w:tcPr>
            <w:tcW w:w="32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12,551,000</w:t>
            </w:r>
          </w:p>
        </w:tc>
      </w:tr>
      <w:tr>
        <w:trPr>
          <w:trHeight w:val="497"/>
        </w:trPr>
        <w:tc>
          <w:tcPr>
            <w:tcW w:w="2900" w:type="dxa"/>
            <w:vAlign w:val="bottom"/>
          </w:tcPr>
          <w:p>
            <w:pPr>
              <w:spacing w:after="0"/>
              <w:rPr>
                <w:sz w:val="20"/>
                <w:szCs w:val="20"/>
                <w:color w:val="auto"/>
              </w:rPr>
            </w:pPr>
            <w:r>
              <w:rPr>
                <w:rFonts w:ascii="Courier New" w:cs="Courier New" w:eastAsia="Courier New" w:hAnsi="Courier New"/>
                <w:sz w:val="14"/>
                <w:szCs w:val="14"/>
                <w:color w:val="auto"/>
              </w:rPr>
              <w:t>Street Retail Summary</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 thousands, except sf data)</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63"/>
        </w:trPr>
        <w:tc>
          <w:tcPr>
            <w:tcW w:w="2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60" w:type="dxa"/>
            <w:vAlign w:val="bottom"/>
            <w:gridSpan w:val="5"/>
          </w:tcPr>
          <w:p>
            <w:pPr>
              <w:jc w:val="right"/>
              <w:ind w:right="868"/>
              <w:spacing w:after="0"/>
              <w:rPr>
                <w:sz w:val="20"/>
                <w:szCs w:val="20"/>
                <w:color w:val="auto"/>
              </w:rPr>
            </w:pPr>
            <w:r>
              <w:rPr>
                <w:rFonts w:ascii="Courier New" w:cs="Courier New" w:eastAsia="Courier New" w:hAnsi="Courier New"/>
                <w:sz w:val="14"/>
                <w:szCs w:val="14"/>
                <w:color w:val="auto"/>
              </w:rPr>
              <w:t>(1) For the year ended December 31,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For the nine</w:t>
            </w:r>
          </w:p>
        </w:tc>
        <w:tc>
          <w:tcPr>
            <w:tcW w:w="23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months ended September 30,</w:t>
            </w:r>
          </w:p>
        </w:tc>
      </w:tr>
      <w:tr>
        <w:trPr>
          <w:trHeight w:val="166"/>
        </w:trPr>
        <w:tc>
          <w:tcPr>
            <w:tcW w:w="2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2002</w:t>
            </w:r>
          </w:p>
        </w:tc>
        <w:tc>
          <w:tcPr>
            <w:tcW w:w="3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2900" w:type="dxa"/>
            <w:vAlign w:val="bottom"/>
          </w:tcPr>
          <w:p>
            <w:pPr>
              <w:spacing w:after="0"/>
              <w:rPr>
                <w:sz w:val="14"/>
                <w:szCs w:val="14"/>
                <w:color w:val="auto"/>
              </w:rPr>
            </w:pPr>
          </w:p>
        </w:tc>
        <w:tc>
          <w:tcPr>
            <w:tcW w:w="7960" w:type="dxa"/>
            <w:vAlign w:val="bottom"/>
            <w:gridSpan w:val="10"/>
          </w:tcPr>
          <w:p>
            <w:pPr>
              <w:ind w:left="300"/>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Real Estate Assets (4)</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847,526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606,143</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472,190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975,540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813,175</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71,282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58,183</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51,414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64,020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52,976</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Operating Income (2) (5)</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43,337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38,455</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34,674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37,856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33,554</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Square Feet (3)</w:t>
            </w:r>
          </w:p>
        </w:tc>
        <w:tc>
          <w:tcPr>
            <w:tcW w:w="380" w:type="dxa"/>
            <w:vAlign w:val="bottom"/>
          </w:tcPr>
          <w:p>
            <w:pPr>
              <w:spacing w:after="0"/>
              <w:rPr>
                <w:sz w:val="24"/>
                <w:szCs w:val="2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2,232,000</w:t>
            </w:r>
          </w:p>
        </w:tc>
        <w:tc>
          <w:tcPr>
            <w:tcW w:w="30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1,876,000</w:t>
            </w:r>
          </w:p>
        </w:tc>
        <w:tc>
          <w:tcPr>
            <w:tcW w:w="3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1,792,000</w:t>
            </w:r>
          </w:p>
        </w:tc>
        <w:tc>
          <w:tcPr>
            <w:tcW w:w="126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2,197,000</w:t>
            </w:r>
          </w:p>
        </w:tc>
        <w:tc>
          <w:tcPr>
            <w:tcW w:w="32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2,345,000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440" w:right="4040" w:hanging="432"/>
        <w:spacing w:after="0" w:line="250"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Revenues and net operating income for the periods ended December 31, 2001, 2000 and 1999 have been restated for 2002 discontinued asset sales.</w:t>
      </w:r>
    </w:p>
    <w:p>
      <w:pPr>
        <w:ind w:left="440" w:hanging="432"/>
        <w:spacing w:after="0"/>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operating income includes all interest income.</w:t>
      </w:r>
    </w:p>
    <w:p>
      <w:pPr>
        <w:spacing w:after="0" w:line="7" w:lineRule="exact"/>
        <w:rPr>
          <w:rFonts w:ascii="Courier New" w:cs="Courier New" w:eastAsia="Courier New" w:hAnsi="Courier New"/>
          <w:sz w:val="14"/>
          <w:szCs w:val="14"/>
          <w:color w:val="auto"/>
        </w:rPr>
      </w:pPr>
    </w:p>
    <w:p>
      <w:pPr>
        <w:ind w:left="440" w:right="4040" w:hanging="432"/>
        <w:spacing w:after="0" w:line="250"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new development square footage, redevelopment square footage, and Rollingwood Apartments.</w:t>
      </w:r>
    </w:p>
    <w:p>
      <w:pPr>
        <w:ind w:left="440" w:right="3960" w:hanging="432"/>
        <w:spacing w:after="0" w:line="250"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Street Retail includes stabilized assets and assets which are in various stages of development and redevelopment. At September 30, 2002, real estate assets includes $396 million related to the Santana Row development.</w:t>
      </w:r>
    </w:p>
    <w:p>
      <w:pPr>
        <w:spacing w:after="0" w:line="1" w:lineRule="exact"/>
        <w:rPr>
          <w:rFonts w:ascii="Courier New" w:cs="Courier New" w:eastAsia="Courier New" w:hAnsi="Courier New"/>
          <w:sz w:val="14"/>
          <w:szCs w:val="14"/>
          <w:color w:val="auto"/>
        </w:rPr>
      </w:pPr>
    </w:p>
    <w:p>
      <w:pPr>
        <w:ind w:left="440" w:right="4220" w:hanging="432"/>
        <w:spacing w:after="0" w:line="255"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operating income is reduced by start-up expenses for Street Retail's development projects.</w:t>
      </w:r>
    </w:p>
    <w:p>
      <w:pPr>
        <w:sectPr>
          <w:pgSz w:w="11900" w:h="16838" w:orient="portrait"/>
          <w:cols w:equalWidth="0" w:num="1">
            <w:col w:w="10860"/>
          </w:cols>
          <w:pgMar w:left="220" w:top="616" w:right="819" w:bottom="1440" w:gutter="0" w:footer="0" w:header="0"/>
        </w:sectPr>
      </w:pPr>
    </w:p>
    <w:bookmarkStart w:id="22" w:name="page23"/>
    <w:bookmarkEnd w:id="22"/>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Leasing Summary - Comparable Basis (cash, non-straight-lined basis)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Lease Summary - Comparable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Number of</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of Total</w:t>
            </w:r>
          </w:p>
        </w:tc>
        <w:tc>
          <w:tcPr>
            <w:tcW w:w="1340" w:type="dxa"/>
            <w:vAlign w:val="bottom"/>
          </w:tcPr>
          <w:p>
            <w:pPr>
              <w:spacing w:after="0"/>
              <w:rPr>
                <w:sz w:val="14"/>
                <w:szCs w:val="14"/>
                <w:color w:val="auto"/>
              </w:rPr>
            </w:pPr>
          </w:p>
        </w:tc>
        <w:tc>
          <w:tcPr>
            <w:tcW w:w="15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New Rent</w:t>
            </w:r>
          </w:p>
        </w:tc>
        <w:tc>
          <w:tcPr>
            <w:tcW w:w="1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Old Rent</w:t>
            </w:r>
          </w:p>
        </w:tc>
        <w:tc>
          <w:tcPr>
            <w:tcW w:w="680" w:type="dxa"/>
            <w:vAlign w:val="bottom"/>
          </w:tcPr>
          <w:p>
            <w:pPr>
              <w:spacing w:after="0"/>
              <w:rPr>
                <w:sz w:val="14"/>
                <w:szCs w:val="14"/>
                <w:color w:val="auto"/>
              </w:rPr>
            </w:pP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Quarter</w:t>
            </w:r>
          </w:p>
        </w:tc>
        <w:tc>
          <w:tcPr>
            <w:tcW w:w="17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Leases Signed</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Leases Signed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GLA Signed</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Per Sq. Ft.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Per Sq. Ft.</w:t>
            </w:r>
          </w:p>
        </w:tc>
        <w:tc>
          <w:tcPr>
            <w:tcW w:w="680" w:type="dxa"/>
            <w:vAlign w:val="bottom"/>
          </w:tcPr>
          <w:p>
            <w:pPr>
              <w:spacing w:after="0"/>
              <w:rPr>
                <w:sz w:val="14"/>
                <w:szCs w:val="14"/>
                <w:color w:val="auto"/>
              </w:rPr>
            </w:pP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331"/>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3rd Quarter 2002</w:t>
            </w:r>
          </w:p>
        </w:tc>
        <w:tc>
          <w:tcPr>
            <w:tcW w:w="42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158,079</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22.23</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16.99</w:t>
            </w:r>
          </w:p>
        </w:tc>
        <w:tc>
          <w:tcPr>
            <w:tcW w:w="680" w:type="dxa"/>
            <w:vAlign w:val="bottom"/>
          </w:tcPr>
          <w:p>
            <w:pPr>
              <w:spacing w:after="0"/>
              <w:rPr>
                <w:sz w:val="24"/>
                <w:szCs w:val="24"/>
                <w:color w:val="auto"/>
              </w:rPr>
            </w:pP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2nd Quarter 2002</w:t>
            </w:r>
          </w:p>
        </w:tc>
        <w:tc>
          <w:tcPr>
            <w:tcW w:w="4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207,888</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18.88</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15.69</w:t>
            </w:r>
          </w:p>
        </w:tc>
        <w:tc>
          <w:tcPr>
            <w:tcW w:w="680" w:type="dxa"/>
            <w:vAlign w:val="bottom"/>
          </w:tcPr>
          <w:p>
            <w:pPr>
              <w:spacing w:after="0"/>
              <w:rPr>
                <w:sz w:val="14"/>
                <w:szCs w:val="14"/>
                <w:color w:val="auto"/>
              </w:rPr>
            </w:pP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1st Quarter 2002</w:t>
            </w:r>
          </w:p>
        </w:tc>
        <w:tc>
          <w:tcPr>
            <w:tcW w:w="4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80,162</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23.18</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21.00</w:t>
            </w:r>
          </w:p>
        </w:tc>
        <w:tc>
          <w:tcPr>
            <w:tcW w:w="680" w:type="dxa"/>
            <w:vAlign w:val="bottom"/>
          </w:tcPr>
          <w:p>
            <w:pPr>
              <w:spacing w:after="0"/>
              <w:rPr>
                <w:sz w:val="14"/>
                <w:szCs w:val="14"/>
                <w:color w:val="auto"/>
              </w:rPr>
            </w:pP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4th Quarter 2001</w:t>
            </w:r>
          </w:p>
        </w:tc>
        <w:tc>
          <w:tcPr>
            <w:tcW w:w="4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92,693</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20.24</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17.87</w:t>
            </w:r>
          </w:p>
        </w:tc>
        <w:tc>
          <w:tcPr>
            <w:tcW w:w="680" w:type="dxa"/>
            <w:vAlign w:val="bottom"/>
          </w:tcPr>
          <w:p>
            <w:pPr>
              <w:spacing w:after="0"/>
              <w:rPr>
                <w:sz w:val="14"/>
                <w:szCs w:val="14"/>
                <w:color w:val="auto"/>
              </w:rPr>
            </w:pPr>
          </w:p>
        </w:tc>
      </w:tr>
      <w:tr>
        <w:trPr>
          <w:trHeight w:val="331"/>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Total - 12 months</w:t>
            </w:r>
          </w:p>
        </w:tc>
        <w:tc>
          <w:tcPr>
            <w:tcW w:w="42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123</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538,822</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20.74</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17.24</w:t>
            </w:r>
          </w:p>
        </w:tc>
        <w:tc>
          <w:tcPr>
            <w:tcW w:w="680" w:type="dxa"/>
            <w:vAlign w:val="bottom"/>
          </w:tcPr>
          <w:p>
            <w:pPr>
              <w:spacing w:after="0"/>
              <w:rPr>
                <w:sz w:val="24"/>
                <w:szCs w:val="24"/>
                <w:color w:val="auto"/>
              </w:rPr>
            </w:pPr>
          </w:p>
        </w:tc>
      </w:tr>
      <w:tr>
        <w:trPr>
          <w:trHeight w:val="166"/>
        </w:trPr>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497"/>
        </w:trPr>
        <w:tc>
          <w:tcPr>
            <w:tcW w:w="2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Annualized</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Increase</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Average</w:t>
            </w:r>
          </w:p>
        </w:tc>
        <w:tc>
          <w:tcPr>
            <w:tcW w:w="420" w:type="dxa"/>
            <w:vAlign w:val="bottom"/>
          </w:tcPr>
          <w:p>
            <w:pPr>
              <w:spacing w:after="0"/>
              <w:rPr>
                <w:sz w:val="14"/>
                <w:szCs w:val="14"/>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Tenant</w:t>
            </w:r>
          </w:p>
        </w:tc>
        <w:tc>
          <w:tcPr>
            <w:tcW w:w="140" w:type="dxa"/>
            <w:vAlign w:val="bottom"/>
          </w:tcPr>
          <w:p>
            <w:pPr>
              <w:spacing w:after="0"/>
              <w:rPr>
                <w:sz w:val="14"/>
                <w:szCs w:val="14"/>
                <w:color w:val="auto"/>
              </w:rPr>
            </w:pP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Quarter</w:t>
            </w:r>
          </w:p>
        </w:tc>
        <w:tc>
          <w:tcPr>
            <w:tcW w:w="1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Increase in Rent</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Over Old Rent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Lease Term</w:t>
            </w:r>
          </w:p>
        </w:tc>
        <w:tc>
          <w:tcPr>
            <w:tcW w:w="15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Improvements</w:t>
            </w:r>
          </w:p>
        </w:tc>
        <w:tc>
          <w:tcPr>
            <w:tcW w:w="1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3rd Quarter 2002</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827,936</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3,038,504</w:t>
            </w:r>
          </w:p>
        </w:tc>
        <w:tc>
          <w:tcPr>
            <w:tcW w:w="140" w:type="dxa"/>
            <w:vAlign w:val="bottom"/>
          </w:tcPr>
          <w:p>
            <w:pPr>
              <w:spacing w:after="0"/>
              <w:rPr>
                <w:sz w:val="24"/>
                <w:szCs w:val="24"/>
                <w:color w:val="auto"/>
              </w:rPr>
            </w:pP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19.22</w:t>
            </w: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2nd Quarter 2002</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664,412</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2,703,314</w:t>
            </w:r>
          </w:p>
        </w:tc>
        <w:tc>
          <w:tcPr>
            <w:tcW w:w="140" w:type="dxa"/>
            <w:vAlign w:val="bottom"/>
          </w:tcPr>
          <w:p>
            <w:pPr>
              <w:spacing w:after="0"/>
              <w:rPr>
                <w:sz w:val="14"/>
                <w:szCs w:val="14"/>
                <w:color w:val="auto"/>
              </w:rPr>
            </w:pP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13.00</w:t>
            </w: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1st Quarter 2002</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175,129</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858,373</w:t>
            </w:r>
          </w:p>
        </w:tc>
        <w:tc>
          <w:tcPr>
            <w:tcW w:w="140" w:type="dxa"/>
            <w:vAlign w:val="bottom"/>
          </w:tcPr>
          <w:p>
            <w:pPr>
              <w:spacing w:after="0"/>
              <w:rPr>
                <w:sz w:val="14"/>
                <w:szCs w:val="14"/>
                <w:color w:val="auto"/>
              </w:rPr>
            </w:pP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10.71</w:t>
            </w: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4th Quarter 2001</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219,954</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1,462,000</w:t>
            </w:r>
          </w:p>
        </w:tc>
        <w:tc>
          <w:tcPr>
            <w:tcW w:w="140" w:type="dxa"/>
            <w:vAlign w:val="bottom"/>
          </w:tcPr>
          <w:p>
            <w:pPr>
              <w:spacing w:after="0"/>
              <w:rPr>
                <w:sz w:val="14"/>
                <w:szCs w:val="14"/>
                <w:color w:val="auto"/>
              </w:rPr>
            </w:pP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15.77</w:t>
            </w:r>
          </w:p>
        </w:tc>
      </w:tr>
      <w:tr>
        <w:trPr>
          <w:trHeight w:val="331"/>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Total - 12 months</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1,887,431</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8,062,191</w:t>
            </w:r>
          </w:p>
        </w:tc>
        <w:tc>
          <w:tcPr>
            <w:tcW w:w="140" w:type="dxa"/>
            <w:vAlign w:val="bottom"/>
          </w:tcPr>
          <w:p>
            <w:pPr>
              <w:spacing w:after="0"/>
              <w:rPr>
                <w:sz w:val="24"/>
                <w:szCs w:val="24"/>
                <w:color w:val="auto"/>
              </w:rPr>
            </w:pP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14.96</w:t>
            </w:r>
          </w:p>
        </w:tc>
      </w:tr>
      <w:tr>
        <w:trPr>
          <w:trHeight w:val="166"/>
        </w:trPr>
        <w:tc>
          <w:tcPr>
            <w:tcW w:w="2940" w:type="dxa"/>
            <w:vAlign w:val="bottom"/>
          </w:tcPr>
          <w:p>
            <w:pPr>
              <w:spacing w:after="0"/>
              <w:rPr>
                <w:sz w:val="14"/>
                <w:szCs w:val="14"/>
                <w:color w:val="auto"/>
              </w:rPr>
            </w:pP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2940" w:type="dxa"/>
            <w:vAlign w:val="bottom"/>
          </w:tcPr>
          <w:p>
            <w:pPr>
              <w:spacing w:after="0"/>
              <w:rPr>
                <w:sz w:val="20"/>
                <w:szCs w:val="20"/>
                <w:color w:val="auto"/>
              </w:rPr>
            </w:pPr>
            <w:r>
              <w:rPr>
                <w:rFonts w:ascii="Courier New" w:cs="Courier New" w:eastAsia="Courier New" w:hAnsi="Courier New"/>
                <w:sz w:val="14"/>
                <w:szCs w:val="14"/>
                <w:color w:val="auto"/>
              </w:rPr>
              <w:t>Renewal Lease Summary - Comparable</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63"/>
        </w:trPr>
        <w:tc>
          <w:tcPr>
            <w:tcW w:w="2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Number of</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of Total</w:t>
            </w:r>
          </w:p>
        </w:tc>
        <w:tc>
          <w:tcPr>
            <w:tcW w:w="1340" w:type="dxa"/>
            <w:vAlign w:val="bottom"/>
          </w:tcPr>
          <w:p>
            <w:pPr>
              <w:spacing w:after="0"/>
              <w:rPr>
                <w:sz w:val="24"/>
                <w:szCs w:val="24"/>
                <w:color w:val="auto"/>
              </w:rPr>
            </w:pPr>
          </w:p>
        </w:tc>
        <w:tc>
          <w:tcPr>
            <w:tcW w:w="15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New Rent</w:t>
            </w:r>
          </w:p>
        </w:tc>
        <w:tc>
          <w:tcPr>
            <w:tcW w:w="140" w:type="dxa"/>
            <w:vAlign w:val="bottom"/>
          </w:tcPr>
          <w:p>
            <w:pPr>
              <w:spacing w:after="0"/>
              <w:rPr>
                <w:sz w:val="24"/>
                <w:szCs w:val="2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Old Rent</w:t>
            </w:r>
          </w:p>
        </w:tc>
        <w:tc>
          <w:tcPr>
            <w:tcW w:w="680" w:type="dxa"/>
            <w:vAlign w:val="bottom"/>
          </w:tcPr>
          <w:p>
            <w:pPr>
              <w:spacing w:after="0"/>
              <w:rPr>
                <w:sz w:val="24"/>
                <w:szCs w:val="24"/>
                <w:color w:val="auto"/>
              </w:rPr>
            </w:pP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Quarter</w:t>
            </w:r>
          </w:p>
        </w:tc>
        <w:tc>
          <w:tcPr>
            <w:tcW w:w="17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w w:val="99"/>
              </w:rPr>
              <w:t>Renewals Signed</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Leases Signed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GLA Signed</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Per Sq. Ft.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Per Sq. Ft.</w:t>
            </w:r>
          </w:p>
        </w:tc>
        <w:tc>
          <w:tcPr>
            <w:tcW w:w="680" w:type="dxa"/>
            <w:vAlign w:val="bottom"/>
          </w:tcPr>
          <w:p>
            <w:pPr>
              <w:spacing w:after="0"/>
              <w:rPr>
                <w:sz w:val="14"/>
                <w:szCs w:val="14"/>
                <w:color w:val="auto"/>
              </w:rPr>
            </w:pP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w w:val="99"/>
              </w:rPr>
              <w:t>---------------</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331"/>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3rd Quarter 2002</w:t>
            </w:r>
          </w:p>
        </w:tc>
        <w:tc>
          <w:tcPr>
            <w:tcW w:w="42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219,027</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16.76</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15.16</w:t>
            </w:r>
          </w:p>
        </w:tc>
        <w:tc>
          <w:tcPr>
            <w:tcW w:w="680" w:type="dxa"/>
            <w:vAlign w:val="bottom"/>
          </w:tcPr>
          <w:p>
            <w:pPr>
              <w:spacing w:after="0"/>
              <w:rPr>
                <w:sz w:val="24"/>
                <w:szCs w:val="24"/>
                <w:color w:val="auto"/>
              </w:rPr>
            </w:pP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2nd Quarter 2002</w:t>
            </w:r>
          </w:p>
        </w:tc>
        <w:tc>
          <w:tcPr>
            <w:tcW w:w="4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207,779</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18.16</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17.34</w:t>
            </w:r>
          </w:p>
        </w:tc>
        <w:tc>
          <w:tcPr>
            <w:tcW w:w="680" w:type="dxa"/>
            <w:vAlign w:val="bottom"/>
          </w:tcPr>
          <w:p>
            <w:pPr>
              <w:spacing w:after="0"/>
              <w:rPr>
                <w:sz w:val="14"/>
                <w:szCs w:val="14"/>
                <w:color w:val="auto"/>
              </w:rPr>
            </w:pP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1st Quarter 2002</w:t>
            </w:r>
          </w:p>
        </w:tc>
        <w:tc>
          <w:tcPr>
            <w:tcW w:w="4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146,518</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23.43</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22.25</w:t>
            </w:r>
          </w:p>
        </w:tc>
        <w:tc>
          <w:tcPr>
            <w:tcW w:w="680" w:type="dxa"/>
            <w:vAlign w:val="bottom"/>
          </w:tcPr>
          <w:p>
            <w:pPr>
              <w:spacing w:after="0"/>
              <w:rPr>
                <w:sz w:val="14"/>
                <w:szCs w:val="14"/>
                <w:color w:val="auto"/>
              </w:rPr>
            </w:pP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4th Quarter 2001</w:t>
            </w:r>
          </w:p>
        </w:tc>
        <w:tc>
          <w:tcPr>
            <w:tcW w:w="4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160,473</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23.64</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20.80</w:t>
            </w:r>
          </w:p>
        </w:tc>
        <w:tc>
          <w:tcPr>
            <w:tcW w:w="680" w:type="dxa"/>
            <w:vAlign w:val="bottom"/>
          </w:tcPr>
          <w:p>
            <w:pPr>
              <w:spacing w:after="0"/>
              <w:rPr>
                <w:sz w:val="14"/>
                <w:szCs w:val="14"/>
                <w:color w:val="auto"/>
              </w:rPr>
            </w:pPr>
          </w:p>
        </w:tc>
      </w:tr>
      <w:tr>
        <w:trPr>
          <w:trHeight w:val="331"/>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Total - 12 months</w:t>
            </w:r>
          </w:p>
        </w:tc>
        <w:tc>
          <w:tcPr>
            <w:tcW w:w="42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217</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733,797</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19.99</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18.43</w:t>
            </w:r>
          </w:p>
        </w:tc>
        <w:tc>
          <w:tcPr>
            <w:tcW w:w="680" w:type="dxa"/>
            <w:vAlign w:val="bottom"/>
          </w:tcPr>
          <w:p>
            <w:pPr>
              <w:spacing w:after="0"/>
              <w:rPr>
                <w:sz w:val="24"/>
                <w:szCs w:val="24"/>
                <w:color w:val="auto"/>
              </w:rPr>
            </w:pPr>
          </w:p>
        </w:tc>
      </w:tr>
      <w:tr>
        <w:trPr>
          <w:trHeight w:val="166"/>
        </w:trPr>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497"/>
        </w:trPr>
        <w:tc>
          <w:tcPr>
            <w:tcW w:w="2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Annualized</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Increase</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Average</w:t>
            </w:r>
          </w:p>
        </w:tc>
        <w:tc>
          <w:tcPr>
            <w:tcW w:w="420" w:type="dxa"/>
            <w:vAlign w:val="bottom"/>
          </w:tcPr>
          <w:p>
            <w:pPr>
              <w:spacing w:after="0"/>
              <w:rPr>
                <w:sz w:val="14"/>
                <w:szCs w:val="14"/>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Tenant</w:t>
            </w:r>
          </w:p>
        </w:tc>
        <w:tc>
          <w:tcPr>
            <w:tcW w:w="140" w:type="dxa"/>
            <w:vAlign w:val="bottom"/>
          </w:tcPr>
          <w:p>
            <w:pPr>
              <w:spacing w:after="0"/>
              <w:rPr>
                <w:sz w:val="14"/>
                <w:szCs w:val="14"/>
                <w:color w:val="auto"/>
              </w:rPr>
            </w:pP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Quarter</w:t>
            </w:r>
          </w:p>
        </w:tc>
        <w:tc>
          <w:tcPr>
            <w:tcW w:w="1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Increase in Rent</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Over Old Rent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Lease Term</w:t>
            </w:r>
          </w:p>
        </w:tc>
        <w:tc>
          <w:tcPr>
            <w:tcW w:w="15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Improvements</w:t>
            </w:r>
          </w:p>
        </w:tc>
        <w:tc>
          <w:tcPr>
            <w:tcW w:w="140" w:type="dxa"/>
            <w:vAlign w:val="bottom"/>
          </w:tcPr>
          <w:p>
            <w:pPr>
              <w:spacing w:after="0"/>
              <w:rPr>
                <w:sz w:val="14"/>
                <w:szCs w:val="14"/>
                <w:color w:val="auto"/>
              </w:rPr>
            </w:pP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3rd Quarter 2002</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350,554</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75,680</w:t>
            </w:r>
          </w:p>
        </w:tc>
        <w:tc>
          <w:tcPr>
            <w:tcW w:w="140" w:type="dxa"/>
            <w:vAlign w:val="bottom"/>
          </w:tcPr>
          <w:p>
            <w:pPr>
              <w:spacing w:after="0"/>
              <w:rPr>
                <w:sz w:val="24"/>
                <w:szCs w:val="24"/>
                <w:color w:val="auto"/>
              </w:rPr>
            </w:pP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0.35</w:t>
            </w: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2nd Quarter 2002</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170,240</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150,620</w:t>
            </w:r>
          </w:p>
        </w:tc>
        <w:tc>
          <w:tcPr>
            <w:tcW w:w="140" w:type="dxa"/>
            <w:vAlign w:val="bottom"/>
          </w:tcPr>
          <w:p>
            <w:pPr>
              <w:spacing w:after="0"/>
              <w:rPr>
                <w:sz w:val="14"/>
                <w:szCs w:val="14"/>
                <w:color w:val="auto"/>
              </w:rPr>
            </w:pP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0.72</w:t>
            </w: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1st Quarter 2002</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172,531</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144,008</w:t>
            </w:r>
          </w:p>
        </w:tc>
        <w:tc>
          <w:tcPr>
            <w:tcW w:w="140" w:type="dxa"/>
            <w:vAlign w:val="bottom"/>
          </w:tcPr>
          <w:p>
            <w:pPr>
              <w:spacing w:after="0"/>
              <w:rPr>
                <w:sz w:val="14"/>
                <w:szCs w:val="14"/>
                <w:color w:val="auto"/>
              </w:rPr>
            </w:pP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0.98</w:t>
            </w: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4th Quarter 2001</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454,752</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1,024,000</w:t>
            </w:r>
          </w:p>
        </w:tc>
        <w:tc>
          <w:tcPr>
            <w:tcW w:w="140" w:type="dxa"/>
            <w:vAlign w:val="bottom"/>
          </w:tcPr>
          <w:p>
            <w:pPr>
              <w:spacing w:after="0"/>
              <w:rPr>
                <w:sz w:val="14"/>
                <w:szCs w:val="14"/>
                <w:color w:val="auto"/>
              </w:rPr>
            </w:pP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6.38</w:t>
            </w:r>
          </w:p>
        </w:tc>
      </w:tr>
      <w:tr>
        <w:trPr>
          <w:trHeight w:val="331"/>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Total - 12 months</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1,148,077</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1,394,308</w:t>
            </w:r>
          </w:p>
        </w:tc>
        <w:tc>
          <w:tcPr>
            <w:tcW w:w="140" w:type="dxa"/>
            <w:vAlign w:val="bottom"/>
          </w:tcPr>
          <w:p>
            <w:pPr>
              <w:spacing w:after="0"/>
              <w:rPr>
                <w:sz w:val="24"/>
                <w:szCs w:val="24"/>
                <w:color w:val="auto"/>
              </w:rPr>
            </w:pP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w:t>
            </w:r>
          </w:p>
        </w:tc>
      </w:tr>
      <w:tr>
        <w:trPr>
          <w:trHeight w:val="166"/>
        </w:trPr>
        <w:tc>
          <w:tcPr>
            <w:tcW w:w="2940" w:type="dxa"/>
            <w:vAlign w:val="bottom"/>
          </w:tcPr>
          <w:p>
            <w:pPr>
              <w:spacing w:after="0"/>
              <w:rPr>
                <w:sz w:val="14"/>
                <w:szCs w:val="14"/>
                <w:color w:val="auto"/>
              </w:rPr>
            </w:pP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 Lease Summary - Comparable</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63"/>
        </w:trPr>
        <w:tc>
          <w:tcPr>
            <w:tcW w:w="2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Number of</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of Total</w:t>
            </w:r>
          </w:p>
        </w:tc>
        <w:tc>
          <w:tcPr>
            <w:tcW w:w="1340" w:type="dxa"/>
            <w:vAlign w:val="bottom"/>
          </w:tcPr>
          <w:p>
            <w:pPr>
              <w:spacing w:after="0"/>
              <w:rPr>
                <w:sz w:val="24"/>
                <w:szCs w:val="24"/>
                <w:color w:val="auto"/>
              </w:rPr>
            </w:pPr>
          </w:p>
        </w:tc>
        <w:tc>
          <w:tcPr>
            <w:tcW w:w="15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New Rent</w:t>
            </w:r>
          </w:p>
        </w:tc>
        <w:tc>
          <w:tcPr>
            <w:tcW w:w="140" w:type="dxa"/>
            <w:vAlign w:val="bottom"/>
          </w:tcPr>
          <w:p>
            <w:pPr>
              <w:spacing w:after="0"/>
              <w:rPr>
                <w:sz w:val="24"/>
                <w:szCs w:val="2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Old Rent</w:t>
            </w:r>
          </w:p>
        </w:tc>
        <w:tc>
          <w:tcPr>
            <w:tcW w:w="680" w:type="dxa"/>
            <w:vAlign w:val="bottom"/>
          </w:tcPr>
          <w:p>
            <w:pPr>
              <w:spacing w:after="0"/>
              <w:rPr>
                <w:sz w:val="24"/>
                <w:szCs w:val="24"/>
                <w:color w:val="auto"/>
              </w:rPr>
            </w:pP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Quarter</w:t>
            </w:r>
          </w:p>
        </w:tc>
        <w:tc>
          <w:tcPr>
            <w:tcW w:w="17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w w:val="99"/>
              </w:rPr>
              <w:t>Renewals Signed</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Leases Signed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GLA Signed</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Per Sq. Ft.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Per Sq. Ft.</w:t>
            </w:r>
          </w:p>
        </w:tc>
        <w:tc>
          <w:tcPr>
            <w:tcW w:w="680" w:type="dxa"/>
            <w:vAlign w:val="bottom"/>
          </w:tcPr>
          <w:p>
            <w:pPr>
              <w:spacing w:after="0"/>
              <w:rPr>
                <w:sz w:val="14"/>
                <w:szCs w:val="14"/>
                <w:color w:val="auto"/>
              </w:rPr>
            </w:pP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w w:val="99"/>
              </w:rPr>
              <w:t>---------------</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331"/>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3rd Quarter 2002</w:t>
            </w:r>
          </w:p>
        </w:tc>
        <w:tc>
          <w:tcPr>
            <w:tcW w:w="42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92</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377,106</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19.05</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15.93</w:t>
            </w:r>
          </w:p>
        </w:tc>
        <w:tc>
          <w:tcPr>
            <w:tcW w:w="680" w:type="dxa"/>
            <w:vAlign w:val="bottom"/>
          </w:tcPr>
          <w:p>
            <w:pPr>
              <w:spacing w:after="0"/>
              <w:rPr>
                <w:sz w:val="24"/>
                <w:szCs w:val="24"/>
                <w:color w:val="auto"/>
              </w:rPr>
            </w:pP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2nd Quarter 2002</w:t>
            </w:r>
          </w:p>
        </w:tc>
        <w:tc>
          <w:tcPr>
            <w:tcW w:w="4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415,667</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18.52</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16.51</w:t>
            </w:r>
          </w:p>
        </w:tc>
        <w:tc>
          <w:tcPr>
            <w:tcW w:w="680" w:type="dxa"/>
            <w:vAlign w:val="bottom"/>
          </w:tcPr>
          <w:p>
            <w:pPr>
              <w:spacing w:after="0"/>
              <w:rPr>
                <w:sz w:val="14"/>
                <w:szCs w:val="14"/>
                <w:color w:val="auto"/>
              </w:rPr>
            </w:pP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1st Quarter 2002</w:t>
            </w:r>
          </w:p>
        </w:tc>
        <w:tc>
          <w:tcPr>
            <w:tcW w:w="4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92</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226,680</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23.34</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21.81</w:t>
            </w:r>
          </w:p>
        </w:tc>
        <w:tc>
          <w:tcPr>
            <w:tcW w:w="680" w:type="dxa"/>
            <w:vAlign w:val="bottom"/>
          </w:tcPr>
          <w:p>
            <w:pPr>
              <w:spacing w:after="0"/>
              <w:rPr>
                <w:sz w:val="14"/>
                <w:szCs w:val="14"/>
                <w:color w:val="auto"/>
              </w:rPr>
            </w:pP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4th Quarter 2001</w:t>
            </w:r>
          </w:p>
        </w:tc>
        <w:tc>
          <w:tcPr>
            <w:tcW w:w="4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253,166</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22.40</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19.73</w:t>
            </w:r>
          </w:p>
        </w:tc>
        <w:tc>
          <w:tcPr>
            <w:tcW w:w="680" w:type="dxa"/>
            <w:vAlign w:val="bottom"/>
          </w:tcPr>
          <w:p>
            <w:pPr>
              <w:spacing w:after="0"/>
              <w:rPr>
                <w:sz w:val="14"/>
                <w:szCs w:val="14"/>
                <w:color w:val="auto"/>
              </w:rPr>
            </w:pPr>
          </w:p>
        </w:tc>
      </w:tr>
      <w:tr>
        <w:trPr>
          <w:trHeight w:val="331"/>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Total - 12 months</w:t>
            </w:r>
          </w:p>
        </w:tc>
        <w:tc>
          <w:tcPr>
            <w:tcW w:w="42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340</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1,272,619</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20.31</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17.92</w:t>
            </w:r>
          </w:p>
        </w:tc>
        <w:tc>
          <w:tcPr>
            <w:tcW w:w="680" w:type="dxa"/>
            <w:vAlign w:val="bottom"/>
          </w:tcPr>
          <w:p>
            <w:pPr>
              <w:spacing w:after="0"/>
              <w:rPr>
                <w:sz w:val="24"/>
                <w:szCs w:val="24"/>
                <w:color w:val="auto"/>
              </w:rPr>
            </w:pPr>
          </w:p>
        </w:tc>
      </w:tr>
      <w:tr>
        <w:trPr>
          <w:trHeight w:val="166"/>
        </w:trPr>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497"/>
        </w:trPr>
        <w:tc>
          <w:tcPr>
            <w:tcW w:w="2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Annualized</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Increase</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Average</w:t>
            </w:r>
          </w:p>
        </w:tc>
        <w:tc>
          <w:tcPr>
            <w:tcW w:w="4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Tenant</w:t>
            </w:r>
          </w:p>
        </w:tc>
        <w:tc>
          <w:tcPr>
            <w:tcW w:w="140" w:type="dxa"/>
            <w:vAlign w:val="bottom"/>
          </w:tcPr>
          <w:p>
            <w:pPr>
              <w:spacing w:after="0"/>
              <w:rPr>
                <w:sz w:val="14"/>
                <w:szCs w:val="14"/>
                <w:color w:val="auto"/>
              </w:rPr>
            </w:pP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Quarter</w:t>
            </w:r>
          </w:p>
        </w:tc>
        <w:tc>
          <w:tcPr>
            <w:tcW w:w="1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Increase in Rent</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Over Old Rent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Lease Term</w:t>
            </w:r>
          </w:p>
        </w:tc>
        <w:tc>
          <w:tcPr>
            <w:tcW w:w="4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Improvements</w:t>
            </w:r>
          </w:p>
        </w:tc>
        <w:tc>
          <w:tcPr>
            <w:tcW w:w="140" w:type="dxa"/>
            <w:vAlign w:val="bottom"/>
          </w:tcPr>
          <w:p>
            <w:pPr>
              <w:spacing w:after="0"/>
              <w:rPr>
                <w:sz w:val="14"/>
                <w:szCs w:val="14"/>
                <w:color w:val="auto"/>
              </w:rPr>
            </w:pP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3rd Quarter 2002</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1,178,490</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3,114,184</w:t>
            </w:r>
          </w:p>
        </w:tc>
        <w:tc>
          <w:tcPr>
            <w:tcW w:w="140" w:type="dxa"/>
            <w:vAlign w:val="bottom"/>
          </w:tcPr>
          <w:p>
            <w:pPr>
              <w:spacing w:after="0"/>
              <w:rPr>
                <w:sz w:val="24"/>
                <w:szCs w:val="24"/>
                <w:color w:val="auto"/>
              </w:rPr>
            </w:pP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8.26</w:t>
            </w: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2nd Quarter 2002</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834,651</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2,853,934</w:t>
            </w:r>
          </w:p>
        </w:tc>
        <w:tc>
          <w:tcPr>
            <w:tcW w:w="140" w:type="dxa"/>
            <w:vAlign w:val="bottom"/>
          </w:tcPr>
          <w:p>
            <w:pPr>
              <w:spacing w:after="0"/>
              <w:rPr>
                <w:sz w:val="14"/>
                <w:szCs w:val="14"/>
                <w:color w:val="auto"/>
              </w:rPr>
            </w:pP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6.87</w:t>
            </w: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1st Quarter 2002</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347,660</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1,002,381</w:t>
            </w:r>
          </w:p>
        </w:tc>
        <w:tc>
          <w:tcPr>
            <w:tcW w:w="140" w:type="dxa"/>
            <w:vAlign w:val="bottom"/>
          </w:tcPr>
          <w:p>
            <w:pPr>
              <w:spacing w:after="0"/>
              <w:rPr>
                <w:sz w:val="14"/>
                <w:szCs w:val="14"/>
                <w:color w:val="auto"/>
              </w:rPr>
            </w:pP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4.42</w:t>
            </w:r>
          </w:p>
        </w:tc>
      </w:tr>
      <w:tr>
        <w:trPr>
          <w:trHeight w:val="166"/>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4th Quarter 2001</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674,706</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2,486,000</w:t>
            </w:r>
          </w:p>
        </w:tc>
        <w:tc>
          <w:tcPr>
            <w:tcW w:w="140" w:type="dxa"/>
            <w:vAlign w:val="bottom"/>
          </w:tcPr>
          <w:p>
            <w:pPr>
              <w:spacing w:after="0"/>
              <w:rPr>
                <w:sz w:val="14"/>
                <w:szCs w:val="14"/>
                <w:color w:val="auto"/>
              </w:rPr>
            </w:pP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9.82</w:t>
            </w:r>
          </w:p>
        </w:tc>
      </w:tr>
      <w:tr>
        <w:trPr>
          <w:trHeight w:val="331"/>
        </w:trPr>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Total - 12 months</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3,035,508</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9,456,499</w:t>
            </w:r>
          </w:p>
        </w:tc>
        <w:tc>
          <w:tcPr>
            <w:tcW w:w="140" w:type="dxa"/>
            <w:vAlign w:val="bottom"/>
          </w:tcPr>
          <w:p>
            <w:pPr>
              <w:spacing w:after="0"/>
              <w:rPr>
                <w:sz w:val="24"/>
                <w:szCs w:val="24"/>
                <w:color w:val="auto"/>
              </w:rPr>
            </w:pP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7.43</w:t>
            </w:r>
          </w:p>
        </w:tc>
      </w:tr>
      <w:tr>
        <w:trPr>
          <w:trHeight w:val="166"/>
        </w:trPr>
        <w:tc>
          <w:tcPr>
            <w:tcW w:w="2940" w:type="dxa"/>
            <w:vAlign w:val="bottom"/>
          </w:tcPr>
          <w:p>
            <w:pPr>
              <w:spacing w:after="0"/>
              <w:rPr>
                <w:sz w:val="14"/>
                <w:szCs w:val="14"/>
                <w:color w:val="auto"/>
              </w:rPr>
            </w:pP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80" w:orient="portrait"/>
          <w:cols w:equalWidth="0" w:num="1">
            <w:col w:w="10940"/>
          </w:cols>
          <w:pgMar w:left="220" w:top="616" w:right="739"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360" w:right="3679" w:hanging="352"/>
        <w:spacing w:after="0" w:line="250" w:lineRule="auto"/>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Renewal leases include expiring leases renewed with the same tenant. All other leases are categorized as new.</w:t>
      </w:r>
    </w:p>
    <w:p>
      <w:pPr>
        <w:ind w:left="360" w:right="3679" w:hanging="352"/>
        <w:spacing w:after="0" w:line="250" w:lineRule="auto"/>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Comparable leases represent only those leases signed on spaces for which there was a former tenant.</w:t>
      </w:r>
    </w:p>
    <w:p>
      <w:pPr>
        <w:ind w:left="360" w:hanging="352"/>
        <w:spacing w:after="0"/>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office or residential leases.</w:t>
      </w:r>
    </w:p>
    <w:p>
      <w:pPr>
        <w:sectPr>
          <w:pgSz w:w="11900" w:h="16838" w:orient="portrait"/>
          <w:cols w:equalWidth="0" w:num="1">
            <w:col w:w="10239"/>
          </w:cols>
          <w:pgMar w:left="220" w:top="638"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Leasing Summary - Non-Comparable Basis (cash, non-straight-lined basis)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8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New Lease Summary -</w:t>
            </w:r>
          </w:p>
        </w:tc>
        <w:tc>
          <w:tcPr>
            <w:tcW w:w="19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Non-Comparable</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63"/>
        </w:trPr>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Weighted</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Number of</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of Total</w:t>
            </w: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New Rent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Average</w:t>
            </w:r>
          </w:p>
        </w:tc>
        <w:tc>
          <w:tcPr>
            <w:tcW w:w="44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Leases Signed</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Leases Signed</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GLA Signed</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Per Sq. Ft.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Lease Term</w:t>
            </w:r>
          </w:p>
        </w:tc>
        <w:tc>
          <w:tcPr>
            <w:tcW w:w="1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Improvements</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3rd Quarter</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96,327</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31.55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653,631</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6.79</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2nd Quarter</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27,236</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48.03</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1st Quarter</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28,819</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54.38</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4th Quarter</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64,468</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49.26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56,260</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0.87</w:t>
            </w:r>
          </w:p>
        </w:tc>
      </w:tr>
      <w:tr>
        <w:trPr>
          <w:trHeight w:val="331"/>
        </w:trPr>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Total - 12 months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216,850</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41.92</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709,891</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3.27</w:t>
            </w:r>
          </w:p>
        </w:tc>
      </w:tr>
      <w:tr>
        <w:trPr>
          <w:trHeight w:val="166"/>
        </w:trPr>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gridSpan w:val="3"/>
          </w:tcPr>
          <w:p>
            <w:pPr>
              <w:spacing w:after="0"/>
              <w:rPr>
                <w:sz w:val="20"/>
                <w:szCs w:val="20"/>
                <w:color w:val="auto"/>
              </w:rPr>
            </w:pPr>
            <w:r>
              <w:rPr>
                <w:rFonts w:ascii="Courier New" w:cs="Courier New" w:eastAsia="Courier New" w:hAnsi="Courier New"/>
                <w:sz w:val="14"/>
                <w:szCs w:val="14"/>
                <w:color w:val="auto"/>
              </w:rPr>
              <w:t>Renewal Lease Summary - Non-Comparable</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97"/>
        </w:trPr>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Weighted</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Number of</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of Total</w:t>
            </w: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New Rent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Average</w:t>
            </w:r>
          </w:p>
        </w:tc>
        <w:tc>
          <w:tcPr>
            <w:tcW w:w="44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Renewals Signed</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Leases Signed</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GLA Signed</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Per Sq. Ft.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Lease Term</w:t>
            </w:r>
          </w:p>
        </w:tc>
        <w:tc>
          <w:tcPr>
            <w:tcW w:w="1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Improvements</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3rd Quarter</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8,669</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2nd Quarter</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1st Quarter</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2,660</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23.00</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84,259</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31.68</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4th Quarter</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3,252</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22.19</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355</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0.11</w:t>
            </w:r>
          </w:p>
        </w:tc>
      </w:tr>
      <w:tr>
        <w:trPr>
          <w:trHeight w:val="331"/>
        </w:trPr>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Total - 12 months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14,581</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13.1</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84,614</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5.80</w:t>
            </w:r>
          </w:p>
        </w:tc>
      </w:tr>
      <w:tr>
        <w:trPr>
          <w:trHeight w:val="166"/>
        </w:trPr>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Total Lease Summary</w:t>
            </w:r>
          </w:p>
        </w:tc>
        <w:tc>
          <w:tcPr>
            <w:tcW w:w="19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 Non-Comparable</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97"/>
        </w:trPr>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Weighted</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Number of</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of Total</w:t>
            </w: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New Rent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Average</w:t>
            </w:r>
          </w:p>
        </w:tc>
        <w:tc>
          <w:tcPr>
            <w:tcW w:w="44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Renewals Signed</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Leases Signed</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GLA Signed</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Per Sq. Ft.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Lease Term</w:t>
            </w:r>
          </w:p>
        </w:tc>
        <w:tc>
          <w:tcPr>
            <w:tcW w:w="1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Improvements</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3rd Quarter</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104,996</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28.94</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653,631</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6.23</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2nd Quarter</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27,236</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48.03</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1st Quarter</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31,479</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51.73</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84,259</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2.68</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4th Quarter</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67,720</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47.96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10.9</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56,615</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0.84</w:t>
            </w:r>
          </w:p>
        </w:tc>
      </w:tr>
      <w:tr>
        <w:trPr>
          <w:trHeight w:val="331"/>
        </w:trPr>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Total - 12 months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231,431</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39.85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794,505</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3.43</w:t>
            </w:r>
          </w:p>
        </w:tc>
      </w:tr>
      <w:tr>
        <w:trPr>
          <w:trHeight w:val="166"/>
        </w:trPr>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440" w:right="4660" w:hanging="432"/>
        <w:spacing w:after="0" w:line="250" w:lineRule="auto"/>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Renewal leases include expiring leases renewed with the same tenant. All other leases are categorized as new.</w:t>
      </w:r>
    </w:p>
    <w:p>
      <w:pPr>
        <w:ind w:left="440" w:right="4840" w:hanging="432"/>
        <w:spacing w:after="0" w:line="250" w:lineRule="auto"/>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Non-comparable leases represent only those leases signed on spaces for which there was no former tenant.</w:t>
      </w:r>
    </w:p>
    <w:p>
      <w:pPr>
        <w:ind w:left="440" w:hanging="432"/>
        <w:spacing w:after="0"/>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office or residential leases.</w:t>
      </w:r>
    </w:p>
    <w:p>
      <w:pPr>
        <w:sectPr>
          <w:pgSz w:w="11900" w:h="16838" w:orient="portrait"/>
          <w:cols w:equalWidth="0" w:num="1">
            <w:col w:w="11300"/>
          </w:cols>
          <w:pgMar w:left="220" w:top="616" w:right="379"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Occupancy Summary - Overall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Overall Operating Occupancy</w:t>
            </w:r>
          </w:p>
        </w:tc>
        <w:tc>
          <w:tcPr>
            <w:tcW w:w="2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(Quarter to Quarter Analysis)</w:t>
            </w:r>
          </w:p>
        </w:tc>
        <w:tc>
          <w:tcPr>
            <w:tcW w:w="31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At September 30, 2002</w:t>
            </w:r>
          </w:p>
        </w:tc>
        <w:tc>
          <w:tcPr>
            <w:tcW w:w="1180" w:type="dxa"/>
            <w:vAlign w:val="bottom"/>
          </w:tcPr>
          <w:p>
            <w:pPr>
              <w:spacing w:after="0"/>
              <w:rPr>
                <w:sz w:val="14"/>
                <w:szCs w:val="14"/>
                <w:color w:val="auto"/>
              </w:rPr>
            </w:pPr>
          </w:p>
        </w:tc>
        <w:tc>
          <w:tcPr>
            <w:tcW w:w="360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At September 30, 2001</w:t>
            </w:r>
          </w:p>
        </w:tc>
      </w:tr>
      <w:tr>
        <w:trPr>
          <w:trHeight w:val="166"/>
        </w:trPr>
        <w:tc>
          <w:tcPr>
            <w:tcW w:w="366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1"/>
              </w:rPr>
              <w:t>---------------------------------------------</w:t>
            </w:r>
          </w:p>
        </w:tc>
        <w:tc>
          <w:tcPr>
            <w:tcW w:w="1180" w:type="dxa"/>
            <w:vAlign w:val="bottom"/>
          </w:tcPr>
          <w:p>
            <w:pPr>
              <w:spacing w:after="0"/>
              <w:rPr>
                <w:sz w:val="14"/>
                <w:szCs w:val="14"/>
                <w:color w:val="auto"/>
              </w:rPr>
            </w:pPr>
          </w:p>
        </w:tc>
        <w:tc>
          <w:tcPr>
            <w:tcW w:w="36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Type</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Leased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Size</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Leased</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14,738,000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14,081,000</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95.5%</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14,587,000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13,970,000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95.8%</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279</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98.9%</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Overall Operating Occupancy</w:t>
            </w: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 12 Months)</w:t>
            </w:r>
          </w:p>
        </w:tc>
        <w:tc>
          <w:tcPr>
            <w:tcW w:w="3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At September 30, 2002</w:t>
            </w:r>
          </w:p>
        </w:tc>
        <w:tc>
          <w:tcPr>
            <w:tcW w:w="940" w:type="dxa"/>
            <w:vAlign w:val="bottom"/>
          </w:tcPr>
          <w:p>
            <w:pPr>
              <w:spacing w:after="0"/>
              <w:rPr>
                <w:sz w:val="14"/>
                <w:szCs w:val="14"/>
                <w:color w:val="auto"/>
              </w:rPr>
            </w:pPr>
          </w:p>
        </w:tc>
        <w:tc>
          <w:tcPr>
            <w:tcW w:w="2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At June 30, 2002</w:t>
            </w:r>
          </w:p>
        </w:tc>
        <w:tc>
          <w:tcPr>
            <w:tcW w:w="60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5"/>
              </w:rPr>
              <w:t>---------------------------------------------</w:t>
            </w:r>
          </w:p>
        </w:tc>
        <w:tc>
          <w:tcPr>
            <w:tcW w:w="940" w:type="dxa"/>
            <w:vAlign w:val="bottom"/>
          </w:tcPr>
          <w:p>
            <w:pPr>
              <w:spacing w:after="0"/>
              <w:rPr>
                <w:sz w:val="14"/>
                <w:szCs w:val="14"/>
                <w:color w:val="auto"/>
              </w:rPr>
            </w:pPr>
          </w:p>
        </w:tc>
        <w:tc>
          <w:tcPr>
            <w:tcW w:w="35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14,738,000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14,081,000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95.5%</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14,687,000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14,093,000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95.9%</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98.9%</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99.3%</w:t>
            </w:r>
          </w:p>
        </w:tc>
      </w:tr>
      <w:tr>
        <w:trPr>
          <w:trHeight w:val="497"/>
        </w:trPr>
        <w:tc>
          <w:tcPr>
            <w:tcW w:w="3660" w:type="dxa"/>
            <w:vAlign w:val="bottom"/>
          </w:tcPr>
          <w:p>
            <w:pPr>
              <w:spacing w:after="0"/>
              <w:rPr>
                <w:sz w:val="24"/>
                <w:szCs w:val="24"/>
                <w:color w:val="auto"/>
              </w:rPr>
            </w:pPr>
          </w:p>
        </w:tc>
        <w:tc>
          <w:tcPr>
            <w:tcW w:w="32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At March 31, 2002</w:t>
            </w:r>
          </w:p>
        </w:tc>
        <w:tc>
          <w:tcPr>
            <w:tcW w:w="940" w:type="dxa"/>
            <w:vAlign w:val="bottom"/>
          </w:tcPr>
          <w:p>
            <w:pPr>
              <w:spacing w:after="0"/>
              <w:rPr>
                <w:sz w:val="24"/>
                <w:szCs w:val="24"/>
                <w:color w:val="auto"/>
              </w:rPr>
            </w:pPr>
          </w:p>
        </w:tc>
        <w:tc>
          <w:tcPr>
            <w:tcW w:w="2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At December 31, 2001</w:t>
            </w:r>
          </w:p>
        </w:tc>
        <w:tc>
          <w:tcPr>
            <w:tcW w:w="600" w:type="dxa"/>
            <w:vAlign w:val="bottom"/>
          </w:tcPr>
          <w:p>
            <w:pPr>
              <w:spacing w:after="0"/>
              <w:rPr>
                <w:sz w:val="24"/>
                <w:szCs w:val="24"/>
                <w:color w:val="auto"/>
              </w:rPr>
            </w:pPr>
          </w:p>
        </w:tc>
      </w:tr>
      <w:tr>
        <w:trPr>
          <w:trHeight w:val="166"/>
        </w:trPr>
        <w:tc>
          <w:tcPr>
            <w:tcW w:w="3660" w:type="dxa"/>
            <w:vAlign w:val="bottom"/>
          </w:tcPr>
          <w:p>
            <w:pPr>
              <w:spacing w:after="0"/>
              <w:rPr>
                <w:sz w:val="14"/>
                <w:szCs w:val="14"/>
                <w:color w:val="auto"/>
              </w:rPr>
            </w:pP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5"/>
              </w:rPr>
              <w:t>---------------------------------------------</w:t>
            </w:r>
          </w:p>
        </w:tc>
        <w:tc>
          <w:tcPr>
            <w:tcW w:w="940" w:type="dxa"/>
            <w:vAlign w:val="bottom"/>
          </w:tcPr>
          <w:p>
            <w:pPr>
              <w:spacing w:after="0"/>
              <w:rPr>
                <w:sz w:val="14"/>
                <w:szCs w:val="14"/>
                <w:color w:val="auto"/>
              </w:rPr>
            </w:pPr>
          </w:p>
        </w:tc>
        <w:tc>
          <w:tcPr>
            <w:tcW w:w="35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14,863,000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14,201,000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95.5%</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14,761,000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14,116,000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95.6%</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97.2%</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98.6%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360" w:right="4980" w:hanging="352"/>
        <w:spacing w:after="0" w:line="250"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Overall occupancy is occupancy for the entire portfolio and includes all operating properties owned in the reporting period.</w:t>
      </w:r>
    </w:p>
    <w:p>
      <w:pPr>
        <w:ind w:left="360" w:hanging="352"/>
        <w:spacing w:after="0"/>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new development square footage and redevelopment square footage.</w:t>
      </w:r>
    </w:p>
    <w:p>
      <w:pPr>
        <w:sectPr>
          <w:pgSz w:w="11900" w:h="16838" w:orient="portrait"/>
          <w:cols w:equalWidth="0" w:num="1">
            <w:col w:w="11540"/>
          </w:cols>
          <w:pgMar w:left="220" w:top="616" w:right="139"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Occupancy Summary - Same Center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Same Center</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c>
          <w:tcPr>
            <w:tcW w:w="2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(Quarter to</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Quarter Comparison)</w:t>
            </w:r>
          </w:p>
        </w:tc>
        <w:tc>
          <w:tcPr>
            <w:tcW w:w="31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At September 30, 2002</w:t>
            </w:r>
          </w:p>
        </w:tc>
        <w:tc>
          <w:tcPr>
            <w:tcW w:w="1180" w:type="dxa"/>
            <w:vAlign w:val="bottom"/>
          </w:tcPr>
          <w:p>
            <w:pPr>
              <w:spacing w:after="0"/>
              <w:rPr>
                <w:sz w:val="14"/>
                <w:szCs w:val="14"/>
                <w:color w:val="auto"/>
              </w:rPr>
            </w:pPr>
          </w:p>
        </w:tc>
        <w:tc>
          <w:tcPr>
            <w:tcW w:w="360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At September 30, 2001</w:t>
            </w:r>
          </w:p>
        </w:tc>
      </w:tr>
      <w:tr>
        <w:trPr>
          <w:trHeight w:val="166"/>
        </w:trPr>
        <w:tc>
          <w:tcPr>
            <w:tcW w:w="10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1"/>
              </w:rPr>
              <w:t>---------------------------------------------</w:t>
            </w:r>
          </w:p>
        </w:tc>
        <w:tc>
          <w:tcPr>
            <w:tcW w:w="1180" w:type="dxa"/>
            <w:vAlign w:val="bottom"/>
          </w:tcPr>
          <w:p>
            <w:pPr>
              <w:spacing w:after="0"/>
              <w:rPr>
                <w:sz w:val="14"/>
                <w:szCs w:val="14"/>
                <w:color w:val="auto"/>
              </w:rPr>
            </w:pPr>
          </w:p>
        </w:tc>
        <w:tc>
          <w:tcPr>
            <w:tcW w:w="36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Type</w:t>
            </w:r>
          </w:p>
        </w:tc>
        <w:tc>
          <w:tcPr>
            <w:tcW w:w="2660" w:type="dxa"/>
            <w:vAlign w:val="bottom"/>
          </w:tcPr>
          <w:p>
            <w:pPr>
              <w:spacing w:after="0"/>
              <w:rPr>
                <w:sz w:val="24"/>
                <w:szCs w:val="24"/>
                <w:color w:val="auto"/>
              </w:rPr>
            </w:pP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Leased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Size</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Leased</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60" w:type="dxa"/>
            <w:vAlign w:val="bottom"/>
          </w:tcPr>
          <w:p>
            <w:pPr>
              <w:spacing w:after="0"/>
              <w:rPr>
                <w:sz w:val="14"/>
                <w:szCs w:val="14"/>
                <w:color w:val="auto"/>
              </w:rPr>
            </w:pP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14,368,000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13,756,000</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95.7%</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14,374,000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13,758,000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95.7%</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Apartments (# of units)</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279</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98.9%</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Same Center</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(Rolling 12</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3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At September 30, 2002</w:t>
            </w:r>
          </w:p>
        </w:tc>
        <w:tc>
          <w:tcPr>
            <w:tcW w:w="940" w:type="dxa"/>
            <w:vAlign w:val="bottom"/>
          </w:tcPr>
          <w:p>
            <w:pPr>
              <w:spacing w:after="0"/>
              <w:rPr>
                <w:sz w:val="14"/>
                <w:szCs w:val="14"/>
                <w:color w:val="auto"/>
              </w:rPr>
            </w:pPr>
          </w:p>
        </w:tc>
        <w:tc>
          <w:tcPr>
            <w:tcW w:w="2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At June 30, 2002</w:t>
            </w:r>
          </w:p>
        </w:tc>
        <w:tc>
          <w:tcPr>
            <w:tcW w:w="60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5"/>
              </w:rPr>
              <w:t>---------------------------------------------</w:t>
            </w:r>
          </w:p>
        </w:tc>
        <w:tc>
          <w:tcPr>
            <w:tcW w:w="940" w:type="dxa"/>
            <w:vAlign w:val="bottom"/>
          </w:tcPr>
          <w:p>
            <w:pPr>
              <w:spacing w:after="0"/>
              <w:rPr>
                <w:sz w:val="14"/>
                <w:szCs w:val="14"/>
                <w:color w:val="auto"/>
              </w:rPr>
            </w:pPr>
          </w:p>
        </w:tc>
        <w:tc>
          <w:tcPr>
            <w:tcW w:w="35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14,368,000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13,756,000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95.7%</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14,251,000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13,670,000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95.9%</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Apartments (# of units)</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98.9%</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99.3%</w:t>
            </w:r>
          </w:p>
        </w:tc>
      </w:tr>
      <w:tr>
        <w:trPr>
          <w:trHeight w:val="497"/>
        </w:trPr>
        <w:tc>
          <w:tcPr>
            <w:tcW w:w="1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At March 31, 2002</w:t>
            </w:r>
          </w:p>
        </w:tc>
        <w:tc>
          <w:tcPr>
            <w:tcW w:w="940" w:type="dxa"/>
            <w:vAlign w:val="bottom"/>
          </w:tcPr>
          <w:p>
            <w:pPr>
              <w:spacing w:after="0"/>
              <w:rPr>
                <w:sz w:val="24"/>
                <w:szCs w:val="24"/>
                <w:color w:val="auto"/>
              </w:rPr>
            </w:pPr>
          </w:p>
        </w:tc>
        <w:tc>
          <w:tcPr>
            <w:tcW w:w="2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At December 31, 2001</w:t>
            </w:r>
          </w:p>
        </w:tc>
        <w:tc>
          <w:tcPr>
            <w:tcW w:w="600" w:type="dxa"/>
            <w:vAlign w:val="bottom"/>
          </w:tcPr>
          <w:p>
            <w:pPr>
              <w:spacing w:after="0"/>
              <w:rPr>
                <w:sz w:val="24"/>
                <w:szCs w:val="24"/>
                <w:color w:val="auto"/>
              </w:rPr>
            </w:pPr>
          </w:p>
        </w:tc>
      </w:tr>
      <w:tr>
        <w:trPr>
          <w:trHeight w:val="166"/>
        </w:trPr>
        <w:tc>
          <w:tcPr>
            <w:tcW w:w="10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5"/>
              </w:rPr>
              <w:t>---------------------------------------------</w:t>
            </w:r>
          </w:p>
        </w:tc>
        <w:tc>
          <w:tcPr>
            <w:tcW w:w="940" w:type="dxa"/>
            <w:vAlign w:val="bottom"/>
          </w:tcPr>
          <w:p>
            <w:pPr>
              <w:spacing w:after="0"/>
              <w:rPr>
                <w:sz w:val="14"/>
                <w:szCs w:val="14"/>
                <w:color w:val="auto"/>
              </w:rPr>
            </w:pPr>
          </w:p>
        </w:tc>
        <w:tc>
          <w:tcPr>
            <w:tcW w:w="35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14,402,000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13,759,000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95.5%</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13,871,000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13,240,000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95.4%</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Apartments (# of units)</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97.2%</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98.6%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360" w:right="5160" w:hanging="352"/>
        <w:spacing w:after="0" w:line="250" w:lineRule="auto"/>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Same center occupancy is occupancy for only those properties owned and operating in the reporting periods being compared.</w:t>
      </w:r>
    </w:p>
    <w:p>
      <w:pPr>
        <w:ind w:left="360" w:right="4820" w:hanging="352"/>
        <w:spacing w:after="0" w:line="255" w:lineRule="auto"/>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centers purchased or sold as well as properties under development and redevelopment.</w:t>
      </w:r>
    </w:p>
    <w:p>
      <w:pPr>
        <w:sectPr>
          <w:pgSz w:w="11900" w:h="16838" w:orient="portrait"/>
          <w:cols w:equalWidth="0" w:num="1">
            <w:col w:w="11540"/>
          </w:cols>
          <w:pgMar w:left="220" w:top="616" w:right="139"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Top Twenty-five Tenants - Prospective (October 2002 through September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jc w:val="right"/>
        <w:ind w:right="260"/>
        <w:spacing w:after="0"/>
        <w:tabs>
          <w:tab w:leader="none" w:pos="1000" w:val="left"/>
        </w:tabs>
        <w:rPr>
          <w:sz w:val="20"/>
          <w:szCs w:val="20"/>
          <w:color w:val="auto"/>
        </w:rPr>
      </w:pPr>
      <w:r>
        <w:rPr>
          <w:rFonts w:ascii="Courier New" w:cs="Courier New" w:eastAsia="Courier New" w:hAnsi="Courier New"/>
          <w:sz w:val="14"/>
          <w:szCs w:val="14"/>
          <w:color w:val="auto"/>
        </w:rPr>
        <w:t>Percentage of</w:t>
      </w:r>
      <w:r>
        <w:rPr>
          <w:sz w:val="20"/>
          <w:szCs w:val="20"/>
          <w:color w:val="auto"/>
        </w:rPr>
        <w:tab/>
      </w:r>
      <w:r>
        <w:rPr>
          <w:rFonts w:ascii="Courier New" w:cs="Courier New" w:eastAsia="Courier New" w:hAnsi="Courier New"/>
          <w:sz w:val="14"/>
          <w:szCs w:val="14"/>
          <w:color w:val="auto"/>
        </w:rPr>
        <w:t>Number of</w:t>
      </w:r>
    </w:p>
    <w:p>
      <w:pPr>
        <w:spacing w:after="0" w:line="7" w:lineRule="exact"/>
        <w:rPr>
          <w:sz w:val="20"/>
          <w:szCs w:val="20"/>
          <w:color w:val="auto"/>
        </w:rPr>
      </w:pPr>
    </w:p>
    <w:p>
      <w:pPr>
        <w:jc w:val="both"/>
        <w:ind w:left="4400"/>
        <w:spacing w:after="0"/>
        <w:tabs>
          <w:tab w:leader="none" w:pos="5580" w:val="left"/>
          <w:tab w:leader="none" w:pos="8860" w:val="left"/>
          <w:tab w:leader="none" w:pos="10660" w:val="left"/>
        </w:tabs>
        <w:rPr>
          <w:sz w:val="20"/>
          <w:szCs w:val="20"/>
          <w:color w:val="auto"/>
        </w:rPr>
      </w:pPr>
      <w:r>
        <w:rPr>
          <w:rFonts w:ascii="Courier New" w:cs="Courier New" w:eastAsia="Courier New" w:hAnsi="Courier New"/>
          <w:sz w:val="14"/>
          <w:szCs w:val="14"/>
          <w:color w:val="auto"/>
        </w:rPr>
        <w:t>Annualized</w:t>
      </w:r>
      <w:r>
        <w:rPr>
          <w:sz w:val="20"/>
          <w:szCs w:val="20"/>
          <w:color w:val="auto"/>
        </w:rPr>
        <w:tab/>
      </w:r>
      <w:r>
        <w:rPr>
          <w:rFonts w:ascii="Courier New" w:cs="Courier New" w:eastAsia="Courier New" w:hAnsi="Courier New"/>
          <w:sz w:val="14"/>
          <w:szCs w:val="14"/>
          <w:color w:val="auto"/>
        </w:rPr>
        <w:t>Total Annualized</w:t>
      </w:r>
      <w:r>
        <w:rPr>
          <w:sz w:val="20"/>
          <w:szCs w:val="20"/>
          <w:color w:val="auto"/>
        </w:rPr>
        <w:tab/>
      </w:r>
      <w:r>
        <w:rPr>
          <w:rFonts w:ascii="Courier New" w:cs="Courier New" w:eastAsia="Courier New" w:hAnsi="Courier New"/>
          <w:sz w:val="14"/>
          <w:szCs w:val="14"/>
          <w:color w:val="auto"/>
        </w:rPr>
        <w:t>Percentage of</w:t>
      </w:r>
      <w:r>
        <w:rPr>
          <w:sz w:val="20"/>
          <w:szCs w:val="20"/>
          <w:color w:val="auto"/>
        </w:rPr>
        <w:tab/>
      </w:r>
      <w:r>
        <w:rPr>
          <w:rFonts w:ascii="Courier New" w:cs="Courier New" w:eastAsia="Courier New" w:hAnsi="Courier New"/>
          <w:sz w:val="14"/>
          <w:szCs w:val="14"/>
          <w:color w:val="auto"/>
        </w:rPr>
        <w:t>Stores</w:t>
      </w:r>
    </w:p>
    <w:p>
      <w:pPr>
        <w:spacing w:after="0" w:line="7" w:lineRule="exact"/>
        <w:rPr>
          <w:sz w:val="20"/>
          <w:szCs w:val="20"/>
          <w:color w:val="auto"/>
        </w:rPr>
      </w:pPr>
    </w:p>
    <w:p>
      <w:pPr>
        <w:jc w:val="both"/>
        <w:ind w:left="260"/>
        <w:spacing w:after="0"/>
        <w:tabs>
          <w:tab w:leader="none" w:pos="840" w:val="left"/>
          <w:tab w:leader="none" w:pos="4460" w:val="left"/>
          <w:tab w:leader="none" w:pos="6200" w:val="left"/>
          <w:tab w:leader="none" w:pos="7480" w:val="left"/>
          <w:tab w:leader="none" w:pos="9200" w:val="left"/>
          <w:tab w:leader="none" w:pos="10660" w:val="left"/>
        </w:tabs>
        <w:rPr>
          <w:sz w:val="20"/>
          <w:szCs w:val="20"/>
          <w:color w:val="auto"/>
        </w:rPr>
      </w:pPr>
      <w:r>
        <w:rPr>
          <w:rFonts w:ascii="Courier New" w:cs="Courier New" w:eastAsia="Courier New" w:hAnsi="Courier New"/>
          <w:sz w:val="14"/>
          <w:szCs w:val="14"/>
          <w:color w:val="auto"/>
        </w:rPr>
        <w:t>Rank</w:t>
        <w:tab/>
        <w:t>Tenant Name</w:t>
      </w:r>
      <w:r>
        <w:rPr>
          <w:sz w:val="20"/>
          <w:szCs w:val="20"/>
          <w:color w:val="auto"/>
        </w:rPr>
        <w:tab/>
      </w:r>
      <w:r>
        <w:rPr>
          <w:rFonts w:ascii="Courier New" w:cs="Courier New" w:eastAsia="Courier New" w:hAnsi="Courier New"/>
          <w:sz w:val="14"/>
          <w:szCs w:val="14"/>
          <w:color w:val="auto"/>
        </w:rPr>
        <w:t>Base Rent</w:t>
      </w:r>
      <w:r>
        <w:rPr>
          <w:sz w:val="20"/>
          <w:szCs w:val="20"/>
          <w:color w:val="auto"/>
        </w:rPr>
        <w:tab/>
      </w:r>
      <w:r>
        <w:rPr>
          <w:rFonts w:ascii="Courier New" w:cs="Courier New" w:eastAsia="Courier New" w:hAnsi="Courier New"/>
          <w:sz w:val="14"/>
          <w:szCs w:val="14"/>
          <w:color w:val="auto"/>
        </w:rPr>
        <w:t>Base Rent</w:t>
      </w:r>
      <w:r>
        <w:rPr>
          <w:sz w:val="20"/>
          <w:szCs w:val="20"/>
          <w:color w:val="auto"/>
        </w:rPr>
        <w:tab/>
      </w:r>
      <w:r>
        <w:rPr>
          <w:rFonts w:ascii="Courier New" w:cs="Courier New" w:eastAsia="Courier New" w:hAnsi="Courier New"/>
          <w:sz w:val="14"/>
          <w:szCs w:val="14"/>
          <w:color w:val="auto"/>
        </w:rPr>
        <w:t>Tenant GLA</w:t>
      </w:r>
      <w:r>
        <w:rPr>
          <w:sz w:val="20"/>
          <w:szCs w:val="20"/>
          <w:color w:val="auto"/>
        </w:rPr>
        <w:tab/>
      </w:r>
      <w:r>
        <w:rPr>
          <w:rFonts w:ascii="Courier New" w:cs="Courier New" w:eastAsia="Courier New" w:hAnsi="Courier New"/>
          <w:sz w:val="14"/>
          <w:szCs w:val="14"/>
          <w:color w:val="auto"/>
        </w:rPr>
        <w:t>Total GLA</w:t>
      </w:r>
      <w:r>
        <w:rPr>
          <w:sz w:val="20"/>
          <w:szCs w:val="20"/>
          <w:color w:val="auto"/>
        </w:rPr>
        <w:tab/>
      </w:r>
      <w:r>
        <w:rPr>
          <w:rFonts w:ascii="Courier New" w:cs="Courier New" w:eastAsia="Courier New" w:hAnsi="Courier New"/>
          <w:sz w:val="14"/>
          <w:szCs w:val="14"/>
          <w:color w:val="auto"/>
        </w:rPr>
        <w:t>Leased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The Gap, Inc.</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5,946,374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210,000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Safeway, Inc.</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5,403,440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407,000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Bed, Bath &amp; Beyond, Inc.</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4,942,026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353,000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Ahold USA, Inc.</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4,857,288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429,000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Barnes &amp; Noble, Inc.</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3,635,217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164,000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CVS Corporation</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3,201,752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143,000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The TJX Companies</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3,110,467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333,000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Toys R Us, Inc.</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3,002,571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326,000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MTS, Inc.</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2,421,264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106,000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10</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Great Atlantic &amp; Pacific Tea Co.</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2,380,178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236,000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11</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Kmart Corporation</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2,310,612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509,000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12</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OPNET Technologies</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2,267,475</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60,000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13</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Dress Barn, Inc.</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2,064,149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101,000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14</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Dollar Tree Stores, Inc.</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2,000,372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166,000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15</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Borders Group, Inc.</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1,976,910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102,000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16</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Wakefern Food Corporation</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1,850,786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157,000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17</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Michaels Stores, Inc.</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1,721,236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138,000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18</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Bally's Health &amp; Fitness</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1,704,328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139,000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19</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CompUSA, Inc.</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1,657,573</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108,000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20</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Linens' n Things</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1,635,566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103,000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21</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Saks &amp; Company</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1,635,300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36,000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0.24%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22</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Ross Stores, Inc.</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1,631,560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85,000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23</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Whole Foods Market, Inc.</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1,622,444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82,000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24</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Home Depot, Inc.</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1,487,180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128,000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25</w:t>
            </w: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Viacom International, Inc.</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1,453,717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61,000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0" w:type="dxa"/>
            <w:vAlign w:val="bottom"/>
          </w:tcPr>
          <w:p>
            <w:pPr>
              <w:spacing w:after="0"/>
              <w:rPr>
                <w:sz w:val="24"/>
                <w:szCs w:val="24"/>
                <w:color w:val="auto"/>
              </w:rPr>
            </w:pP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Totals - Top 25 Tenants</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$ 65,919,785</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4,682,000</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31.77%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r>
      <w:tr>
        <w:trPr>
          <w:trHeight w:val="166"/>
        </w:trPr>
        <w:tc>
          <w:tcPr>
            <w:tcW w:w="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0" w:type="dxa"/>
            <w:vAlign w:val="bottom"/>
          </w:tcPr>
          <w:p>
            <w:pPr>
              <w:spacing w:after="0"/>
              <w:rPr>
                <w:sz w:val="24"/>
                <w:szCs w:val="24"/>
                <w:color w:val="auto"/>
              </w:rPr>
            </w:pP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Total Annualized Base Rent:</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$234,280,935</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31"/>
        </w:trPr>
        <w:tc>
          <w:tcPr>
            <w:tcW w:w="300" w:type="dxa"/>
            <w:vAlign w:val="bottom"/>
          </w:tcPr>
          <w:p>
            <w:pPr>
              <w:spacing w:after="0"/>
              <w:rPr>
                <w:sz w:val="24"/>
                <w:szCs w:val="24"/>
                <w:color w:val="auto"/>
              </w:rPr>
            </w:pPr>
          </w:p>
        </w:tc>
        <w:tc>
          <w:tcPr>
            <w:tcW w:w="3180" w:type="dxa"/>
            <w:vAlign w:val="bottom"/>
          </w:tcPr>
          <w:p>
            <w:pPr>
              <w:ind w:left="120"/>
              <w:spacing w:after="0"/>
              <w:rPr>
                <w:sz w:val="20"/>
                <w:szCs w:val="20"/>
                <w:color w:val="auto"/>
              </w:rPr>
            </w:pPr>
            <w:r>
              <w:rPr>
                <w:rFonts w:ascii="Courier New" w:cs="Courier New" w:eastAsia="Courier New" w:hAnsi="Courier New"/>
                <w:sz w:val="14"/>
                <w:szCs w:val="14"/>
                <w:color w:val="auto"/>
              </w:rPr>
              <w:t>Total Portfolio Square Footage:</w:t>
            </w: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14,738,000</w:t>
            </w:r>
          </w:p>
        </w:tc>
        <w:tc>
          <w:tcPr>
            <w:tcW w:w="2080" w:type="dxa"/>
            <w:vAlign w:val="bottom"/>
          </w:tcPr>
          <w:p>
            <w:pPr>
              <w:jc w:val="right"/>
              <w:ind w:right="1708"/>
              <w:spacing w:after="0"/>
              <w:rPr>
                <w:sz w:val="20"/>
                <w:szCs w:val="20"/>
                <w:color w:val="auto"/>
              </w:rPr>
            </w:pPr>
            <w:r>
              <w:rPr>
                <w:rFonts w:ascii="Courier New" w:cs="Courier New" w:eastAsia="Courier New" w:hAnsi="Courier New"/>
                <w:sz w:val="14"/>
                <w:szCs w:val="14"/>
                <w:color w:val="auto"/>
              </w:rPr>
              <w:t>(1)</w:t>
            </w:r>
          </w:p>
        </w:tc>
        <w:tc>
          <w:tcPr>
            <w:tcW w:w="720" w:type="dxa"/>
            <w:vAlign w:val="bottom"/>
          </w:tcPr>
          <w:p>
            <w:pPr>
              <w:spacing w:after="0"/>
              <w:rPr>
                <w:sz w:val="24"/>
                <w:szCs w:val="2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7" w:lineRule="exact"/>
        <w:rPr>
          <w:sz w:val="20"/>
          <w:szCs w:val="20"/>
          <w:color w:val="auto"/>
        </w:rPr>
      </w:pPr>
    </w:p>
    <w:p>
      <w:pPr>
        <w:ind w:left="860" w:right="4560" w:hanging="421"/>
        <w:spacing w:after="0" w:line="255" w:lineRule="auto"/>
        <w:tabs>
          <w:tab w:leader="none" w:pos="8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new development square footage, redevelopment square footage, and Rollingwood Apartments.</w:t>
      </w:r>
    </w:p>
    <w:p>
      <w:pPr>
        <w:sectPr>
          <w:pgSz w:w="11900" w:h="16838" w:orient="portrait"/>
          <w:cols w:equalWidth="0" w:num="1">
            <w:col w:w="11460"/>
          </w:cols>
          <w:pgMar w:left="220" w:top="616" w:right="219" w:bottom="1440" w:gutter="0" w:footer="0" w:header="0"/>
        </w:sectPr>
      </w:pPr>
    </w:p>
    <w:bookmarkStart w:id="28" w:name="page29"/>
    <w:bookmarkEnd w:id="28"/>
    <w:p>
      <w:pPr>
        <w:ind w:left="2760"/>
        <w:spacing w:after="0"/>
        <w:rPr>
          <w:sz w:val="20"/>
          <w:szCs w:val="20"/>
          <w:color w:val="auto"/>
        </w:rPr>
      </w:pPr>
      <w:r>
        <w:rPr>
          <w:rFonts w:ascii="Courier New" w:cs="Courier New" w:eastAsia="Courier New" w:hAnsi="Courier New"/>
          <w:sz w:val="14"/>
          <w:szCs w:val="14"/>
          <w:color w:val="auto"/>
        </w:rPr>
        <w:t>Glossary of Terms</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Leases signed - prior rent: Total cash (not straight lined) rent paid by the previous tenant; includes minimum and percentage rent.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current rent: Total cash (not straight lined) rent paid by the current (new) tenant; includes minimum rent only.</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Net Operating Income: Gross revenues, including mortgage interest income, less rental expenses and real estate taxes.</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operating properties owned in reporting period.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properties owned and operating in the periods being compared. Excludes centers purchased or sold as well as properties under redevelopment and 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lowerLetter"/>
      <w:start w:val="3"/>
    </w:lvl>
  </w:abstractNum>
  <w:abstractNum w:abstractNumId="1">
    <w:nsid w:val="7FDCC233"/>
    <w:multiLevelType w:val="hybridMultilevel"/>
    <w:lvl w:ilvl="0">
      <w:lvlJc w:val="left"/>
      <w:lvlText w:val="%1."/>
      <w:numFmt w:val="decimal"/>
      <w:start w:val="2"/>
    </w:lvl>
  </w:abstractNum>
  <w:abstractNum w:abstractNumId="2">
    <w:nsid w:val="1BEFD79F"/>
    <w:multiLevelType w:val="hybridMultilevel"/>
    <w:lvl w:ilvl="0">
      <w:lvlJc w:val="left"/>
      <w:lvlText w:val="%1."/>
      <w:numFmt w:val="decimal"/>
      <w:start w:val="3"/>
    </w:lvl>
  </w:abstractNum>
  <w:abstractNum w:abstractNumId="3">
    <w:nsid w:val="41A7C4C9"/>
    <w:multiLevelType w:val="hybridMultilevel"/>
    <w:lvl w:ilvl="0">
      <w:lvlJc w:val="left"/>
      <w:lvlText w:val="%1."/>
      <w:numFmt w:val="decimal"/>
      <w:start w:val="8"/>
    </w:lvl>
  </w:abstractNum>
  <w:abstractNum w:abstractNumId="4">
    <w:nsid w:val="6B68079A"/>
    <w:multiLevelType w:val="hybridMultilevel"/>
    <w:lvl w:ilvl="0">
      <w:lvlJc w:val="left"/>
      <w:lvlText w:val="%1."/>
      <w:numFmt w:val="decimal"/>
      <w:start w:val="9"/>
    </w:lvl>
  </w:abstractNum>
  <w:abstractNum w:abstractNumId="5">
    <w:nsid w:val="4E6AFB66"/>
    <w:multiLevelType w:val="hybridMultilevel"/>
    <w:lvl w:ilvl="0">
      <w:lvlJc w:val="left"/>
      <w:lvlText w:val="(%1)"/>
      <w:numFmt w:val="decimal"/>
      <w:start w:val="2"/>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3"/>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3"/>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2019-12-13T00:50:04Z</dcterms:created>
  <dcterms:modified xsi:type="dcterms:W3CDTF">2019-12-13T00:50:04Z</dcterms:modified>
</cp:coreProperties>
</file>