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November 4, 2009, Federal Realty Investment Trust issued supplemental data pertaining to its operations, as well as a press release, to report its financial results for the quarter ended September 30, 2009. The supplemental data and press release are furnished as Exhibit 99.1 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2009 (including press release dated November 4,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6732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2009</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72"/>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216"/>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94"/>
              </w:rPr>
              <w:t>SUPPLEMENTAL INFORMATION</w:t>
            </w:r>
          </w:p>
        </w:tc>
        <w:tc>
          <w:tcPr>
            <w:tcW w:w="2440" w:type="dxa"/>
            <w:vAlign w:val="bottom"/>
          </w:tcPr>
          <w:p>
            <w:pPr>
              <w:spacing w:after="0"/>
              <w:rPr>
                <w:sz w:val="18"/>
                <w:szCs w:val="18"/>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September 30, 2009</w:t>
            </w:r>
          </w:p>
        </w:tc>
        <w:tc>
          <w:tcPr>
            <w:tcW w:w="2440" w:type="dxa"/>
            <w:vAlign w:val="bottom"/>
          </w:tcPr>
          <w:p>
            <w:pPr>
              <w:spacing w:after="0"/>
              <w:rPr>
                <w:sz w:val="19"/>
                <w:szCs w:val="19"/>
                <w:color w:val="auto"/>
              </w:rPr>
            </w:pPr>
          </w:p>
        </w:tc>
      </w:tr>
      <w:tr>
        <w:trPr>
          <w:trHeight w:val="378"/>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419"/>
        </w:trPr>
        <w:tc>
          <w:tcPr>
            <w:tcW w:w="8980" w:type="dxa"/>
            <w:vAlign w:val="bottom"/>
          </w:tcPr>
          <w:p>
            <w:pPr>
              <w:spacing w:after="0"/>
              <w:rPr>
                <w:sz w:val="20"/>
                <w:szCs w:val="20"/>
                <w:color w:val="auto"/>
              </w:rPr>
            </w:pPr>
            <w:r>
              <w:rPr>
                <w:rFonts w:ascii="Arial" w:cs="Arial" w:eastAsia="Arial" w:hAnsi="Arial"/>
                <w:sz w:val="18"/>
                <w:szCs w:val="18"/>
                <w:color w:val="auto"/>
              </w:rPr>
              <w:t>1.   Third Quarter 2009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Income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Market Data</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980" w:type="dxa"/>
            <w:vAlign w:val="bottom"/>
          </w:tcPr>
          <w:p>
            <w:pPr>
              <w:ind w:left="120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Capital Lease Obligations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10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10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10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10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10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10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0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Summarized Income Statements and Balance Sheets</w:t>
            </w:r>
          </w:p>
        </w:tc>
        <w:tc>
          <w:tcPr>
            <w:tcW w:w="3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10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amended on June 25, 2009,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26, 2009 and amended on June 25, 2009.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32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400" w:type="dxa"/>
            <w:vAlign w:val="bottom"/>
          </w:tcPr>
          <w:p>
            <w:pPr>
              <w:spacing w:after="0"/>
              <w:rPr>
                <w:sz w:val="19"/>
                <w:szCs w:val="19"/>
                <w:color w:val="auto"/>
              </w:rPr>
            </w:pPr>
          </w:p>
        </w:tc>
      </w:tr>
      <w:tr>
        <w:trPr>
          <w:trHeight w:val="380"/>
        </w:trPr>
        <w:tc>
          <w:tcPr>
            <w:tcW w:w="862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240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6560" w:type="dxa"/>
            <w:vAlign w:val="bottom"/>
          </w:tcPr>
          <w:p>
            <w:pPr>
              <w:spacing w:after="0"/>
              <w:rPr>
                <w:sz w:val="19"/>
                <w:szCs w:val="19"/>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Janelle Stevenson</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400" w:type="dxa"/>
            <w:vAlign w:val="bottom"/>
          </w:tcPr>
          <w:p>
            <w:pPr>
              <w:ind w:left="16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65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301/998-8185</w:t>
            </w: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2400" w:type="dxa"/>
            <w:vAlign w:val="bottom"/>
          </w:tcPr>
          <w:p>
            <w:pPr>
              <w:ind w:left="160"/>
              <w:spacing w:after="0"/>
              <w:rPr>
                <w:sz w:val="20"/>
                <w:szCs w:val="20"/>
                <w:color w:val="auto"/>
              </w:rPr>
            </w:pPr>
            <w:r>
              <w:rPr>
                <w:rFonts w:ascii="Arial" w:cs="Arial" w:eastAsia="Arial" w:hAnsi="Arial"/>
                <w:sz w:val="18"/>
                <w:szCs w:val="18"/>
                <w:i w:val="1"/>
                <w:iCs w:val="1"/>
                <w:color w:val="auto"/>
                <w:w w:val="86"/>
              </w:rPr>
              <w:t>jmstevenson@federalrealty.com</w:t>
            </w:r>
          </w:p>
        </w:tc>
      </w:tr>
      <w:tr>
        <w:trPr>
          <w:trHeight w:val="37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w w:val="98"/>
              </w:rPr>
              <w:t>FEDERAL REALTY INVESTMENT TRUST ANNOUNCES THIRD QUARTER 2009 OPERATING RESULTS</w:t>
            </w:r>
          </w:p>
        </w:tc>
        <w:tc>
          <w:tcPr>
            <w:tcW w:w="2400" w:type="dxa"/>
            <w:vAlign w:val="bottom"/>
          </w:tcPr>
          <w:p>
            <w:pPr>
              <w:spacing w:after="0"/>
              <w:rPr>
                <w:sz w:val="24"/>
                <w:szCs w:val="24"/>
                <w:color w:val="auto"/>
              </w:rPr>
            </w:pPr>
          </w:p>
        </w:tc>
      </w:tr>
    </w:tbl>
    <w:p>
      <w:pPr>
        <w:spacing w:after="0" w:line="156"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ROCKVILLE, Md. (November 4, 2009) – Federal Realty Investment Trust (NYSE:FRT) today reported operating results for its third quarter ended September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For third quarter 2009 Federal Realty reported funds from operations available for common shareholders (FFO) of $55.6 million, or $0.92 per diluted share, compared to FFO of $58.1 million or $0.98 per diluted share for the third quarter 2008. For the quarter ending September 30, 2009, net income available for common shareholders was $27.3 million, or earnings per diluted share of $0.45, versus $37.0 million and $0.63, respectively, for third quarter 2008.</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nine months ended September 30, 2009, Federal Realty reported FFO of $151.0 million, or $2.53 per diluted share, and net income available for common shareholders of $65.9 million, or earnings per diluted share of $1.10. Excluding the litigation provision related to a previously disclosed lawsuit involving a property adjacent to Santana Row, year-to-date FFO was $172.0 million, or $2.88 per diluted share, and net income available for common shareholders was $87.0 million, or $1.46 per diluted share. For the nine months ended September 30, 2008, the Trust reported FFO of $169.8 million, or $2.87 per diluted share, and net income available for common shareholders of $95.7 million or $1.62 per diluted share.</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attributable to the Trust is attached to this press release.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In third quarter 2009, same-center property operating income increased 2.6% over third quarter 2008. When redevelopment and expansion properties are excluded from same-center results, property operating income for third quarter 2009 increased 1.8% compared to third quarter 2008.</w:t>
      </w:r>
    </w:p>
    <w:p>
      <w:pPr>
        <w:spacing w:after="0" w:line="8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overall portfolio was 94.2% leased as of September 30, 2009, compared to 94.0% on June 30, 2009 and 95.5% on September 30, 2008. Federal Realty’s same-center portfolio was 94.4% leased on September 30, 2009, compared to 94.2% on June 30, 2009 and 95.8% on September 30, 2008.</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third quarter of 2009, Federal Realty signed 94 leases for 357,000 square feet of retail space. On a comparable space basis (i.e., spaces for which there was a former tenant), the Trust leased 335,000 square feet at an average cash-basis contractual rent increase per square foot (i.e., excluding the impact of straight-line rents) of 9%. The average contractual rent on this comparable space for the first year of the new leases is $29.38 per square foot, compared to the average contractual rent of $27.00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17% for third quarter 2009. As of September 30, 2009, Federal Realty’s average contractual, cash basis minimum rent for retail and commercial space in its portfolio was $22.01 per square foot.</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2009 results and outlook for 2010 reflect consistent performance during this challenging economic environment,” said Don Wood, president and chief executive officer of Federal Realty Investment Trust. “This level of stability is a testament to the quality of our assets, our locations, and our focused operating strategy.”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$0.66 per share on its common shares, resulting in an indicated annual rate of $2.64 per share. The regular common dividend will be payable in cash on January 15, 2010 to common shareholders of record on January 4,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Federal Realty increased its guidance, excluding the provision for litigation, for 2009 FFO per diluted share to a range of $3.75 to $3.77 and 2009 earnings per diluted share guidance of $1.87 to $1.89. The Trust also established guidance for 2010 FFO per diluted share at a range of $3.80 to $3.88 and 2010 earnings per diluted share guidance of $1.92 to $2.00.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9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October 19, 2009 - Completed the land exchange between Swedish home furnishings retailer IKEA and Federal Realty at Assembly Square in Somerville, Mass. As a result of the exchange, Federal Realty now owns an additional 16.6 acres of riverfront property for the proposed development of Assembly Square, while IKEA owns an 11.9 acre inland site approved for a 340,000-square-foot store.</w:t>
      </w:r>
    </w:p>
    <w:p>
      <w:pPr>
        <w:spacing w:after="0" w:line="25"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October 1, 2009 – Announced that Don Briggs, senior vice president, development, would become head of the Trust’s Boston office effective October 5. Mr. Briggs has led Federal Realty’s development efforts with respect to Assembly Square, in Somerville, Mass. since the Trust acquired the property in 2005 and will continue to be responsible for all aspects of the development of Assembly Square. In addition, Mr. Briggs will take on operational responsibilities for Federal Realty’s 2 million square foot portfolio in New England.</w:t>
      </w:r>
    </w:p>
    <w:p>
      <w:pPr>
        <w:spacing w:after="0" w:line="31"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17, 2009 – Announced the closing of $265 million of capital raising activities, comprised of $150 million of 5.95% five-year senior unsecured notes and $115 million of common shares of beneficial interest, including the underwriters’ over-allotment option. Federal Realty intends to utilize the proceeds to pursue acquisition opportunities, fund its redevelopment pipeline, pay down its $372 million term loan, and/or for general corporate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2009 earnings conference call, which is scheduled for November 5, 2009, at 11 a.m. Eastern Standard Time. To participate, please call (866) 761-0748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December 3, 2009, by dialing (888) 286-8010 and using the passcode 40216191.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assets. Federal Realty’s portfolio (excluding joint venture properties) contains approximately 18.2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94.2% leased to national, regional, and local retailers as of September 30, 2009, with no single tenant accounting for more than approximately 2.6% of annualized base rent. Federal Realty has paid quarterly dividends to its shareholders continuously since its founding in 1962, and has increased its dividend rate for 42 consecutive years, the longest record in the REIT industry. Federal Realty is an S&amp;P MidCap 400 company and its shares are traded on the NYSE under the symbol FRT. For more information, please visit www.federalrealty.com.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amended on June 25, 2009, and include the following:</w:t>
      </w:r>
    </w:p>
    <w:p>
      <w:pPr>
        <w:spacing w:after="0" w:line="62" w:lineRule="exact"/>
        <w:rPr>
          <w:sz w:val="20"/>
          <w:szCs w:val="20"/>
          <w:color w:val="auto"/>
        </w:rPr>
      </w:pPr>
    </w:p>
    <w:p>
      <w:pPr>
        <w:ind w:left="900" w:right="5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26, 2009 and amended on June 25, 2009.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thousands,</w:t>
            </w:r>
          </w:p>
        </w:tc>
        <w:tc>
          <w:tcPr>
            <w:tcW w:w="3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78"/>
              </w:rPr>
              <w:t>except</w:t>
            </w:r>
          </w:p>
        </w:tc>
        <w:tc>
          <w:tcPr>
            <w:tcW w:w="94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7"/>
              </w:rPr>
              <w:t>per share data)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126,169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w w:val="86"/>
              </w:rPr>
              <w:t>126,594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379,465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4,005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130,992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131,707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392,406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386,661</w:t>
            </w: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27,547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78,144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14,485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14,692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21,087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245,174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223,381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55,446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147,232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163,280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(30,209)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(25,337)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(79,622)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Early extinguishment of senior notes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28,839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30,631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68,990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90,956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38,417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27,297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36,966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65,928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95,656</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60,016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58,720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59,264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58,921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20" w:type="dxa"/>
            <w:vAlign w:val="bottom"/>
            <w:vMerge w:val="restart"/>
          </w:tcPr>
          <w:p>
            <w:pPr>
              <w:jc w:val="right"/>
              <w:ind w:right="179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53"/>
              <w:spacing w:after="0" w:line="129"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3,643,592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3,567,035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3,727,764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3,673,685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w w:val="95"/>
              </w:rPr>
              <w:t>(913,939)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4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2,813,825</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408,428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3,480,285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3,092,776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Mortgages payable and capital lease obligations</w:t>
            </w:r>
          </w:p>
        </w:tc>
        <w:tc>
          <w:tcPr>
            <w:tcW w:w="4420" w:type="dxa"/>
            <w:vAlign w:val="bottom"/>
            <w:gridSpan w:val="2"/>
          </w:tcPr>
          <w:p>
            <w:pPr>
              <w:ind w:left="4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604,613</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1,053,816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4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2,266,020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1,945,822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1,172,423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1,182,420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1,114,602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4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1,214,265</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3,480,285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300" w:type="dxa"/>
            <w:vAlign w:val="bottom"/>
            <w:vMerge w:val="restart"/>
          </w:tcPr>
          <w:p>
            <w:pPr>
              <w:jc w:val="right"/>
              <w:ind w:right="3392"/>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60" w:type="dxa"/>
            <w:vAlign w:val="bottom"/>
            <w:gridSpan w:val="7"/>
          </w:tcPr>
          <w:p>
            <w:pPr>
              <w:jc w:val="right"/>
              <w:ind w:right="272"/>
              <w:spacing w:after="0"/>
              <w:rPr>
                <w:sz w:val="20"/>
                <w:szCs w:val="20"/>
                <w:color w:val="auto"/>
              </w:rPr>
            </w:pPr>
            <w:r>
              <w:rPr>
                <w:rFonts w:ascii="Arial" w:cs="Arial" w:eastAsia="Arial" w:hAnsi="Arial"/>
                <w:sz w:val="14"/>
                <w:szCs w:val="14"/>
                <w:b w:val="1"/>
                <w:bCs w:val="1"/>
                <w:color w:val="auto"/>
                <w:w w:val="88"/>
              </w:rPr>
              <w:t>Three months ended September 30,</w:t>
            </w:r>
          </w:p>
        </w:tc>
        <w:tc>
          <w:tcPr>
            <w:tcW w:w="120" w:type="dxa"/>
            <w:vAlign w:val="bottom"/>
          </w:tcPr>
          <w:p>
            <w:pPr>
              <w:spacing w:after="0"/>
              <w:rPr>
                <w:sz w:val="14"/>
                <w:szCs w:val="14"/>
                <w:color w:val="auto"/>
              </w:rPr>
            </w:pPr>
          </w:p>
        </w:tc>
        <w:tc>
          <w:tcPr>
            <w:tcW w:w="23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9"/>
              </w:rPr>
              <w:t>per share data)</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1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27,433</w:t>
            </w: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37,102</w:t>
            </w: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66,334</w:t>
            </w: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77,681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Depreciation of joint venture real estate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151,141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Income attributable to unvested shares</w:t>
            </w: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FFO (2)</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150,970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4"/>
          </w:tcPr>
          <w:p>
            <w:pPr>
              <w:ind w:left="420"/>
              <w:spacing w:after="0"/>
              <w:rPr>
                <w:sz w:val="20"/>
                <w:szCs w:val="20"/>
                <w:color w:val="auto"/>
              </w:rPr>
            </w:pPr>
            <w:r>
              <w:rPr>
                <w:rFonts w:ascii="Arial" w:cs="Arial" w:eastAsia="Arial" w:hAnsi="Arial"/>
                <w:sz w:val="18"/>
                <w:szCs w:val="18"/>
                <w:color w:val="auto"/>
              </w:rPr>
              <w:t>Litigation provision, net of allocation to unvested shares (2)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FFO excluding litigation provision (2)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171,988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169,811</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20" w:type="dxa"/>
            <w:vAlign w:val="bottom"/>
            <w:gridSpan w:val="5"/>
          </w:tcPr>
          <w:p>
            <w:pPr>
              <w:spacing w:after="0"/>
              <w:rPr>
                <w:sz w:val="20"/>
                <w:szCs w:val="20"/>
                <w:color w:val="auto"/>
              </w:rPr>
            </w:pPr>
            <w:r>
              <w:rPr>
                <w:rFonts w:ascii="Arial" w:cs="Arial" w:eastAsia="Arial" w:hAnsi="Arial"/>
                <w:sz w:val="18"/>
                <w:szCs w:val="18"/>
                <w:color w:val="auto"/>
              </w:rPr>
              <w:t>FFO per diluted share (3)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0.92</w:t>
            </w:r>
          </w:p>
        </w:tc>
        <w:tc>
          <w:tcPr>
            <w:tcW w:w="300" w:type="dxa"/>
            <w:vAlign w:val="bottom"/>
          </w:tcPr>
          <w:p>
            <w:pPr>
              <w:spacing w:after="0"/>
              <w:rPr>
                <w:sz w:val="24"/>
                <w:szCs w:val="24"/>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Litigation provision per diluted share (2)</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5"/>
          </w:tcPr>
          <w:p>
            <w:pPr>
              <w:spacing w:after="0"/>
              <w:rPr>
                <w:sz w:val="20"/>
                <w:szCs w:val="20"/>
                <w:color w:val="auto"/>
              </w:rPr>
            </w:pPr>
            <w:r>
              <w:rPr>
                <w:rFonts w:ascii="Arial" w:cs="Arial" w:eastAsia="Arial" w:hAnsi="Arial"/>
                <w:sz w:val="18"/>
                <w:szCs w:val="18"/>
                <w:color w:val="auto"/>
              </w:rPr>
              <w:t>FFO per diluted share excluding litigation provision (2)(3)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0.92</w:t>
            </w:r>
          </w:p>
        </w:tc>
        <w:tc>
          <w:tcPr>
            <w:tcW w:w="300" w:type="dxa"/>
            <w:vAlign w:val="bottom"/>
          </w:tcPr>
          <w:p>
            <w:pPr>
              <w:spacing w:after="0"/>
              <w:rPr>
                <w:sz w:val="19"/>
                <w:szCs w:val="19"/>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59,251</w:t>
            </w:r>
          </w:p>
        </w:tc>
        <w:tc>
          <w:tcPr>
            <w:tcW w:w="0" w:type="dxa"/>
            <w:vAlign w:val="bottom"/>
          </w:tcPr>
          <w:p>
            <w:pPr>
              <w:spacing w:after="0"/>
              <w:rPr>
                <w:sz w:val="1"/>
                <w:szCs w:val="1"/>
                <w:color w:val="auto"/>
              </w:rPr>
            </w:pPr>
          </w:p>
        </w:tc>
      </w:tr>
      <w:tr>
        <w:trPr>
          <w:trHeight w:val="20"/>
        </w:trPr>
        <w:tc>
          <w:tcPr>
            <w:tcW w:w="6520" w:type="dxa"/>
            <w:vAlign w:val="bottom"/>
            <w:gridSpan w:val="5"/>
            <w:vMerge w:val="restart"/>
          </w:tcPr>
          <w:p>
            <w:pPr>
              <w:spacing w:after="0"/>
              <w:rPr>
                <w:sz w:val="20"/>
                <w:szCs w:val="20"/>
                <w:color w:val="auto"/>
              </w:rPr>
            </w:pPr>
            <w:r>
              <w:rPr>
                <w:rFonts w:ascii="Arial" w:cs="Arial" w:eastAsia="Arial" w:hAnsi="Arial"/>
                <w:sz w:val="18"/>
                <w:szCs w:val="18"/>
                <w:color w:val="auto"/>
              </w:rPr>
              <w:t>Summary of Capital Expenditures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ind w:left="860"/>
              <w:spacing w:after="0"/>
              <w:rPr>
                <w:sz w:val="20"/>
                <w:szCs w:val="20"/>
                <w:color w:val="auto"/>
              </w:rPr>
            </w:pPr>
            <w:r>
              <w:rPr>
                <w:rFonts w:ascii="Arial" w:cs="Arial" w:eastAsia="Arial" w:hAnsi="Arial"/>
                <w:sz w:val="18"/>
                <w:szCs w:val="18"/>
                <w:color w:val="auto"/>
              </w:rPr>
              <w:t>Redevelopment and expansions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14,724</w:t>
            </w:r>
          </w:p>
        </w:tc>
        <w:tc>
          <w:tcPr>
            <w:tcW w:w="30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25,670</w:t>
            </w:r>
          </w:p>
        </w:tc>
        <w:tc>
          <w:tcPr>
            <w:tcW w:w="28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54,689</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Tenant improvements and incentives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5"/>
          </w:tcPr>
          <w:p>
            <w:pPr>
              <w:spacing w:after="0"/>
              <w:rPr>
                <w:sz w:val="20"/>
                <w:szCs w:val="20"/>
                <w:color w:val="auto"/>
              </w:rPr>
            </w:pPr>
            <w:r>
              <w:rPr>
                <w:rFonts w:ascii="Arial" w:cs="Arial" w:eastAsia="Arial" w:hAnsi="Arial"/>
                <w:sz w:val="18"/>
                <w:szCs w:val="18"/>
                <w:color w:val="auto"/>
              </w:rPr>
              <w:t>Total non-maintenance capital expenditures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18,126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91,053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5"/>
          </w:tcPr>
          <w:p>
            <w:pPr>
              <w:spacing w:after="0"/>
              <w:rPr>
                <w:sz w:val="20"/>
                <w:szCs w:val="20"/>
                <w:color w:val="auto"/>
              </w:rPr>
            </w:pPr>
            <w:r>
              <w:rPr>
                <w:rFonts w:ascii="Arial" w:cs="Arial" w:eastAsia="Arial" w:hAnsi="Arial"/>
                <w:sz w:val="18"/>
                <w:szCs w:val="18"/>
                <w:color w:val="auto"/>
              </w:rPr>
              <w:t>Total capital expenditures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22,432</w:t>
            </w:r>
          </w:p>
        </w:tc>
        <w:tc>
          <w:tcPr>
            <w:tcW w:w="300" w:type="dxa"/>
            <w:vAlign w:val="bottom"/>
          </w:tcPr>
          <w:p>
            <w:pPr>
              <w:spacing w:after="0"/>
              <w:rPr>
                <w:sz w:val="19"/>
                <w:szCs w:val="19"/>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34,868</w:t>
            </w:r>
          </w:p>
        </w:tc>
        <w:tc>
          <w:tcPr>
            <w:tcW w:w="28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70,659</w:t>
            </w:r>
          </w:p>
        </w:tc>
        <w:tc>
          <w:tcPr>
            <w:tcW w:w="3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Dividends and Payout Ratios</w:t>
            </w:r>
          </w:p>
        </w:tc>
        <w:tc>
          <w:tcPr>
            <w:tcW w:w="44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652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40,374</w:t>
            </w:r>
          </w:p>
        </w:tc>
        <w:tc>
          <w:tcPr>
            <w:tcW w:w="300" w:type="dxa"/>
            <w:vAlign w:val="bottom"/>
          </w:tcPr>
          <w:p>
            <w:pPr>
              <w:spacing w:after="0"/>
              <w:rPr>
                <w:sz w:val="24"/>
                <w:szCs w:val="24"/>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38,322</w:t>
            </w:r>
          </w:p>
        </w:tc>
        <w:tc>
          <w:tcPr>
            <w:tcW w:w="28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117,222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110,104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Dividend payout ratio as a percentage of FFO excluding litigation provision (3)</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2009, FFO includes a $0.3 million and a $21.1 million, respectively, charge for litigation regarding a parcel of land located adjacent to Santana Row as well as other costs related to the litigation and appeal process. FFO excluding litigation provision excludes this charge.</w:t>
      </w:r>
    </w:p>
    <w:p>
      <w:pPr>
        <w:spacing w:after="0" w:line="1" w:lineRule="exact"/>
        <w:rPr>
          <w:rFonts w:ascii="Arial" w:cs="Arial" w:eastAsia="Arial" w:hAnsi="Arial"/>
          <w:sz w:val="18"/>
          <w:szCs w:val="18"/>
          <w:color w:val="auto"/>
        </w:rPr>
      </w:pPr>
    </w:p>
    <w:p>
      <w:pPr>
        <w:ind w:left="460" w:right="220" w:hanging="452"/>
        <w:spacing w:after="0" w:line="32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January 1, 2009, we adopted a new accounting standard which requires us to calculate FFO per diluted share for all periods presented using the two-class method. The implementation resulted in no change to FFO per share for the three and nine months ended September 30, 2008.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48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61,176</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58,974</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61.37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3,754,371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5,048,174</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3,764,371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5,058,174</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7"/>
              </w:rPr>
              <w:t>2,042,217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1,754,521</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5,806,588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6,812,695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$85.60</w:t>
            </w:r>
          </w:p>
        </w:tc>
        <w:tc>
          <w:tcPr>
            <w:tcW w:w="120" w:type="dxa"/>
            <w:vAlign w:val="bottom"/>
          </w:tcPr>
          <w:p>
            <w:pPr>
              <w:spacing w:after="0"/>
              <w:rPr>
                <w:sz w:val="24"/>
                <w:szCs w:val="24"/>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do not include 371,260 and 376,260 Operating Partnership Units outstanding at September 30, 2009 and 2008,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jc w:val="both"/>
        <w:ind w:left="460" w:right="32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the $24.4 million which is the Trust’s 30% share of the total mortgages payable of $81.2 million and $81.4 million at September 30, 2009 and 2008, respectively, of the partnership with a discretionary fund created and advised by ING Clarion Partners.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68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68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w w:val="71"/>
              </w:rPr>
              <w:t>thousands)</w:t>
            </w:r>
          </w:p>
        </w:tc>
        <w:tc>
          <w:tcPr>
            <w:tcW w:w="320" w:type="dxa"/>
            <w:vAlign w:val="bottom"/>
          </w:tcPr>
          <w:p>
            <w:pPr>
              <w:spacing w:after="0"/>
              <w:rPr>
                <w:sz w:val="12"/>
                <w:szCs w:val="12"/>
                <w:color w:val="auto"/>
              </w:rPr>
            </w:pPr>
          </w:p>
        </w:tc>
        <w:tc>
          <w:tcPr>
            <w:tcW w:w="68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3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93,312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92,306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$280,084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$272,834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24,304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74,277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30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3,811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5,375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126,169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126,594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379,465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371,304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$1.3 million and $1.4 million for the three months ended September 30, 2009 and 2008, respectively, and $3.9 million and $4.2 million for the nine months ended September 30, 2009 and 2008, respectively, to recognize minimum rents on a straight-line basis. In addition, minimum rents include $0.4 million and $0.6 million for the three months ended September 30, 2009 and 2008, respectively, and $1.1 million and $1.9 million for the nine months ended September 30, 2009 and 2008, respectively, to recognize income from the amortization of in-place leases.</w:t>
      </w:r>
    </w:p>
    <w:p>
      <w:pPr>
        <w:spacing w:after="0" w:line="2" w:lineRule="exact"/>
        <w:rPr>
          <w:rFonts w:ascii="Arial" w:cs="Arial" w:eastAsia="Arial" w:hAnsi="Arial"/>
          <w:sz w:val="16"/>
          <w:szCs w:val="16"/>
          <w:color w:val="auto"/>
        </w:rPr>
      </w:pPr>
    </w:p>
    <w:p>
      <w:pPr>
        <w:ind w:left="460" w:right="320" w:hanging="452"/>
        <w:spacing w:after="0" w:line="3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Residential minimum rents consist of the rental amounts for residential units at Rollingwood Apartments, the Crest at Congressional Plaza Apartments, Santana Row, and Arlington East (Bethesda Row). The first rental units at Arlington East were delivered and became rent paying in May 2008.</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Stated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6"/>
              </w:rPr>
              <w:t>Weighted average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2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Balance as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Maturity date</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2009</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30, 2009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6"/>
              </w:rPr>
              <w:t>September 30, 2009 (i)</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06/01/11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Tysons Station</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09/01/11</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07/01/12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Bethesda Row</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01/01/13</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02/01/13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White Marsh Plaza (b)</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04/01/13</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08/11/13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Idylwood Plaza</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06/05/14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06/05/14</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Loehmann’s Plaza</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06/05/14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06/05/14</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Melville Mall (c)</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09/01/14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01/01/15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Barracks Road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11/01/15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7.950%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11/01/15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Lawrence Park</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11/01/15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7.950%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11/01/15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Wynnewood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11/01/15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7.950%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11/01/15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Rollingwood Apartments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05/01/19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01/31/21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Mount Vernon (d)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04/15/28</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01/15/31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5.360%</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gridSpan w:val="5"/>
          </w:tcPr>
          <w:p>
            <w:pPr>
              <w:ind w:left="42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542,446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gridSpan w:val="5"/>
          </w:tcPr>
          <w:p>
            <w:pPr>
              <w:ind w:left="420"/>
              <w:spacing w:after="0"/>
              <w:rPr>
                <w:sz w:val="20"/>
                <w:szCs w:val="20"/>
                <w:color w:val="auto"/>
              </w:rPr>
            </w:pPr>
            <w:r>
              <w:rPr>
                <w:rFonts w:ascii="Arial" w:cs="Arial" w:eastAsia="Arial" w:hAnsi="Arial"/>
                <w:sz w:val="18"/>
                <w:szCs w:val="18"/>
                <w:color w:val="auto"/>
              </w:rPr>
              <w:t>Total mortgage loans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542,026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6.98%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04/01/12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Perring Plaza renovation</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01/31/13</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Revolving credit facility (e)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07/27/10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LIBOR + 0.425%</w:t>
            </w:r>
          </w:p>
        </w:tc>
        <w:tc>
          <w:tcPr>
            <w:tcW w:w="12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Term loan (f)</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07/27/11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LIBOR + 3.000%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Escondido (Municipal bonds) (g)</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10/01/16</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0.461%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notes payable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5.37%</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183"/>
        </w:trPr>
        <w:tc>
          <w:tcPr>
            <w:tcW w:w="4380" w:type="dxa"/>
            <w:vAlign w:val="bottom"/>
            <w:gridSpan w:val="7"/>
          </w:tcPr>
          <w:p>
            <w:pPr>
              <w:spacing w:after="0" w:line="182" w:lineRule="exact"/>
              <w:rPr>
                <w:sz w:val="20"/>
                <w:szCs w:val="20"/>
                <w:color w:val="auto"/>
              </w:rPr>
            </w:pPr>
            <w:r>
              <w:rPr>
                <w:rFonts w:ascii="Arial" w:cs="Arial" w:eastAsia="Arial" w:hAnsi="Arial"/>
                <w:sz w:val="18"/>
                <w:szCs w:val="18"/>
                <w:color w:val="auto"/>
              </w:rPr>
              <w:t>Senior notes and debentures</w:t>
            </w: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8.75% notes (h)</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12/01/09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123,589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02/15/11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6.00% notes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07/15/12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12/01/13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5.95% notes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08/15/14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06/01/16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6.20% notes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01/15/17</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08/15/26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6.82% medium term notes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08/01/27</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6.820%</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1,052,789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6"/>
          </w:tcPr>
          <w:p>
            <w:pPr>
              <w:ind w:left="420"/>
              <w:spacing w:after="0"/>
              <w:rPr>
                <w:sz w:val="20"/>
                <w:szCs w:val="20"/>
                <w:color w:val="auto"/>
              </w:rPr>
            </w:pPr>
            <w:r>
              <w:rPr>
                <w:rFonts w:ascii="Arial" w:cs="Arial" w:eastAsia="Arial" w:hAnsi="Arial"/>
                <w:sz w:val="18"/>
                <w:szCs w:val="18"/>
                <w:color w:val="auto"/>
              </w:rPr>
              <w:t>Net unamortized premium</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senior notes and debentures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1,053,816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6.29%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80" w:type="dxa"/>
            <w:vAlign w:val="bottom"/>
            <w:gridSpan w:val="7"/>
          </w:tcPr>
          <w:p>
            <w:pPr>
              <w:spacing w:after="0" w:line="182" w:lineRule="exact"/>
              <w:rPr>
                <w:sz w:val="20"/>
                <w:szCs w:val="20"/>
                <w:color w:val="auto"/>
              </w:rPr>
            </w:pPr>
            <w:r>
              <w:rPr>
                <w:rFonts w:ascii="Arial" w:cs="Arial" w:eastAsia="Arial" w:hAnsi="Arial"/>
                <w:sz w:val="18"/>
                <w:szCs w:val="18"/>
                <w:color w:val="auto"/>
              </w:rPr>
              <w:t>Capital lease obligations</w:t>
            </w: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Various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Various through 2106</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Various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7"/>
          </w:tcPr>
          <w:p>
            <w:pPr>
              <w:spacing w:after="0"/>
              <w:rPr>
                <w:sz w:val="20"/>
                <w:szCs w:val="20"/>
                <w:color w:val="auto"/>
              </w:rPr>
            </w:pPr>
            <w:r>
              <w:rPr>
                <w:rFonts w:ascii="Arial" w:cs="Arial" w:eastAsia="Arial" w:hAnsi="Arial"/>
                <w:sz w:val="18"/>
                <w:szCs w:val="18"/>
                <w:color w:val="auto"/>
              </w:rPr>
              <w:t>Total debt and capital lease obligations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2,042,217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1,660,817</w:t>
            </w:r>
          </w:p>
        </w:tc>
        <w:tc>
          <w:tcPr>
            <w:tcW w:w="86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6.54%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Total variable rate debt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381,400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4"/>
          </w:tcPr>
          <w:p>
            <w:pPr>
              <w:jc w:val="right"/>
              <w:ind w:right="11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5.36%</w:t>
            </w:r>
          </w:p>
        </w:tc>
        <w:tc>
          <w:tcPr>
            <w:tcW w:w="320" w:type="dxa"/>
            <w:vAlign w:val="bottom"/>
          </w:tcPr>
          <w:p>
            <w:pPr>
              <w:ind w:left="10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TOTAL DEBT AND CAPITAL LEASES OBLIGATIONS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2,042,217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86"/>
              </w:rPr>
              <w:t>100%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w:t>
            </w:r>
          </w:p>
        </w:tc>
        <w:tc>
          <w:tcPr>
            <w:tcW w:w="180" w:type="dxa"/>
            <w:vAlign w:val="bottom"/>
          </w:tcPr>
          <w:p>
            <w:pPr>
              <w:spacing w:after="0"/>
              <w:rPr>
                <w:sz w:val="24"/>
                <w:szCs w:val="2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Nine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80" w:type="dxa"/>
            <w:vAlign w:val="bottom"/>
          </w:tcPr>
          <w:p>
            <w:pPr>
              <w:spacing w:after="0"/>
              <w:rPr>
                <w:sz w:val="12"/>
                <w:szCs w:val="12"/>
                <w:color w:val="auto"/>
              </w:rPr>
            </w:pPr>
          </w:p>
        </w:tc>
        <w:tc>
          <w:tcPr>
            <w:tcW w:w="12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64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w w:val="88"/>
              </w:rPr>
              <w:t>Operational Statistics</w:t>
            </w:r>
          </w:p>
        </w:tc>
        <w:tc>
          <w:tcPr>
            <w:tcW w:w="24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20" w:type="dxa"/>
            <w:vAlign w:val="bottom"/>
            <w:gridSpan w:val="5"/>
          </w:tcPr>
          <w:p>
            <w:pPr>
              <w:spacing w:after="0"/>
              <w:rPr>
                <w:sz w:val="20"/>
                <w:szCs w:val="20"/>
                <w:color w:val="auto"/>
              </w:rPr>
            </w:pPr>
            <w:r>
              <w:rPr>
                <w:rFonts w:ascii="Arial" w:cs="Arial" w:eastAsia="Arial" w:hAnsi="Arial"/>
                <w:sz w:val="18"/>
                <w:szCs w:val="18"/>
                <w:color w:val="auto"/>
              </w:rPr>
              <w:t>Excluding litigation provision: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80" w:type="dxa"/>
            <w:vAlign w:val="bottom"/>
            <w:gridSpan w:val="9"/>
            <w:shd w:val="clear" w:color="auto" w:fill="CCEEFF"/>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(k) (l)</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6"/>
              </w:rPr>
              <w:t>2.67x</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3.39x</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2.94x</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3.13x</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80" w:type="dxa"/>
            <w:vAlign w:val="bottom"/>
            <w:gridSpan w:val="9"/>
          </w:tcPr>
          <w:p>
            <w:pPr>
              <w:ind w:left="440"/>
              <w:spacing w:after="0"/>
              <w:rPr>
                <w:sz w:val="20"/>
                <w:szCs w:val="20"/>
                <w:color w:val="auto"/>
              </w:rPr>
            </w:pPr>
            <w:r>
              <w:rPr>
                <w:rFonts w:ascii="Arial" w:cs="Arial" w:eastAsia="Arial" w:hAnsi="Arial"/>
                <w:sz w:val="18"/>
                <w:szCs w:val="18"/>
                <w:color w:val="auto"/>
                <w:w w:val="93"/>
              </w:rPr>
              <w:t>Ratio of adjusted EBITDA to combined fixed charges and preferred share dividends (k) (l)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4"/>
          </w:tcPr>
          <w:p>
            <w:pPr>
              <w:jc w:val="center"/>
              <w:ind w:right="140"/>
              <w:spacing w:after="0"/>
              <w:rPr>
                <w:sz w:val="20"/>
                <w:szCs w:val="20"/>
                <w:color w:val="auto"/>
              </w:rPr>
            </w:pPr>
            <w:r>
              <w:rPr>
                <w:rFonts w:ascii="Arial" w:cs="Arial" w:eastAsia="Arial" w:hAnsi="Arial"/>
                <w:sz w:val="18"/>
                <w:szCs w:val="18"/>
                <w:color w:val="auto"/>
                <w:w w:val="86"/>
              </w:rPr>
              <w:t>2.67x</w:t>
            </w:r>
          </w:p>
        </w:tc>
        <w:tc>
          <w:tcPr>
            <w:tcW w:w="6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90"/>
              </w:rPr>
              <w:t>3.11x</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6"/>
              </w:rPr>
              <w:t>2.92x</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86"/>
              </w:rPr>
              <w:t>3.03x</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Including litigation provision: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16" w:name="page17"/>
    <w:bookmarkEnd w:id="1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400" w:type="dxa"/>
            <w:vAlign w:val="bottom"/>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(k)</w:t>
            </w:r>
          </w:p>
        </w:tc>
        <w:tc>
          <w:tcPr>
            <w:tcW w:w="1320" w:type="dxa"/>
            <w:vAlign w:val="bottom"/>
          </w:tcPr>
          <w:p>
            <w:pPr>
              <w:ind w:left="800"/>
              <w:spacing w:after="0"/>
              <w:rPr>
                <w:sz w:val="20"/>
                <w:szCs w:val="20"/>
                <w:color w:val="auto"/>
              </w:rPr>
            </w:pPr>
            <w:r>
              <w:rPr>
                <w:rFonts w:ascii="Arial" w:cs="Arial" w:eastAsia="Arial" w:hAnsi="Arial"/>
                <w:sz w:val="18"/>
                <w:szCs w:val="18"/>
                <w:color w:val="auto"/>
              </w:rPr>
              <w:t>2.66x</w:t>
            </w:r>
          </w:p>
        </w:tc>
        <w:tc>
          <w:tcPr>
            <w:tcW w:w="640" w:type="dxa"/>
            <w:vAlign w:val="bottom"/>
          </w:tcPr>
          <w:p>
            <w:pPr>
              <w:ind w:left="120"/>
              <w:spacing w:after="0"/>
              <w:rPr>
                <w:sz w:val="20"/>
                <w:szCs w:val="20"/>
                <w:color w:val="auto"/>
              </w:rPr>
            </w:pPr>
            <w:r>
              <w:rPr>
                <w:rFonts w:ascii="Arial" w:cs="Arial" w:eastAsia="Arial" w:hAnsi="Arial"/>
                <w:sz w:val="18"/>
                <w:szCs w:val="18"/>
                <w:color w:val="auto"/>
              </w:rPr>
              <w:t>3.39x</w:t>
            </w:r>
          </w:p>
        </w:tc>
        <w:tc>
          <w:tcPr>
            <w:tcW w:w="620" w:type="dxa"/>
            <w:vAlign w:val="bottom"/>
          </w:tcPr>
          <w:p>
            <w:pPr>
              <w:ind w:left="120"/>
              <w:spacing w:after="0"/>
              <w:rPr>
                <w:sz w:val="20"/>
                <w:szCs w:val="20"/>
                <w:color w:val="auto"/>
              </w:rPr>
            </w:pPr>
            <w:r>
              <w:rPr>
                <w:rFonts w:ascii="Arial" w:cs="Arial" w:eastAsia="Arial" w:hAnsi="Arial"/>
                <w:sz w:val="18"/>
                <w:szCs w:val="18"/>
                <w:color w:val="auto"/>
              </w:rPr>
              <w:t>2.69x</w:t>
            </w:r>
          </w:p>
        </w:tc>
        <w:tc>
          <w:tcPr>
            <w:tcW w:w="520" w:type="dxa"/>
            <w:vAlign w:val="bottom"/>
          </w:tcPr>
          <w:p>
            <w:pPr>
              <w:ind w:left="120"/>
              <w:spacing w:after="0"/>
              <w:rPr>
                <w:sz w:val="20"/>
                <w:szCs w:val="20"/>
                <w:color w:val="auto"/>
              </w:rPr>
            </w:pPr>
            <w:r>
              <w:rPr>
                <w:rFonts w:ascii="Arial" w:cs="Arial" w:eastAsia="Arial" w:hAnsi="Arial"/>
                <w:sz w:val="18"/>
                <w:szCs w:val="18"/>
                <w:color w:val="auto"/>
                <w:w w:val="86"/>
              </w:rPr>
              <w:t>3.13x</w:t>
            </w:r>
          </w:p>
        </w:tc>
      </w:tr>
      <w:tr>
        <w:trPr>
          <w:trHeight w:val="218"/>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(k)</w:t>
            </w:r>
          </w:p>
        </w:tc>
        <w:tc>
          <w:tcPr>
            <w:tcW w:w="1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2.66x</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3.11x</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2.68x</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3.03x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$81.2 million debt of the partnership with a discretionary fund created and advised by ING Clarion Partners.</w:t>
      </w:r>
    </w:p>
    <w:p>
      <w:pPr>
        <w:ind w:left="460" w:right="2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5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the three and nine months ended September 30, 2009 was $0 and $172.5 million, respectively. The weighted average effective interest rate on borrowings under our revolving credit facility, before amortization of debt fees, was 1.37% for the nine months ended September 30, 2009, respectively. This credit facility matures on July 27, 2010, subject to a one-year extension at our option.</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$372 million term loan bears interest at LIBOR, subject to a 1.5% floor, plus 300 basis points. The weighted average effective interest rate, before amortization of debt fees, was 4.63% for the period from the inception of the loan of May 4, 2009 through September 30, 2009. On October 27, 2009, we repaid $100 million of our existing $372 million term loan. Due to this repayment, approximately $1.4 million of unamortized debt fees were expensed in October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various dates from January 12, 2009 to April 1, 2009, we purchased and retired $11.1 million of our 8.75% notes. On June 4, 2009, we purchased and retired $40.3 million of our 8.75% notes as a part of a cash tender offer whereby we repaid the note at a 2% premium to par value. These notes were repaid with funds borrowed on our $300 million revolving credit facility and our $372 million term loan.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effective interest rate includes the amortization of any deferred financing fees, discounts and premiums, if applicable.</w:t>
      </w:r>
    </w:p>
    <w:p>
      <w:pPr>
        <w:spacing w:after="0" w:line="3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$0.1 million in quarterly financing fees on our revolving credit facility which had a $0 balance on September 30, 2009.</w:t>
      </w:r>
    </w:p>
    <w:p>
      <w:pPr>
        <w:jc w:val="both"/>
        <w:ind w:left="460" w:right="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or premium and expense and the portion of rent expense representing an interest factor. EBITDA includes a $1.3 million gain on sale for the nine months ended September 30, 2009. Fixed charges include a $1.0 million net loss on early extinguishment of senior notes for the nine months ended September 30, 2009, primarily related to the cash tender offer for our 8.75% senior notes. Adjusted EBITDA is reconciled to net income attributable to the Trust in the Glossary of Terms.</w:t>
      </w:r>
    </w:p>
    <w:p>
      <w:pPr>
        <w:spacing w:after="0" w:line="2" w:lineRule="exact"/>
        <w:rPr>
          <w:rFonts w:ascii="Arial" w:cs="Arial" w:eastAsia="Arial" w:hAnsi="Arial"/>
          <w:sz w:val="16"/>
          <w:szCs w:val="16"/>
          <w:color w:val="auto"/>
        </w:rPr>
      </w:pPr>
    </w:p>
    <w:p>
      <w:pPr>
        <w:ind w:left="460" w:right="30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to exclude a $0.3 million and $21.1 million litigation provision charge for the three and nine months ended September 30, 2009, respectively, related to litigation regarding a parcel of land located adjacent to Santana Row as well as other costs related to the litigation and the appeal process.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31"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following table reflects contractual debt maturities as of September 30, 2009. The pro-forma total debt maturity columns reflect the October 27, 2009 repayment of $100 million of our existing $372 million term loan that has an original maturity date of July 27, 2011 and the repayment of the $123.6 million of 8.75% notes that are due on December 1, 2009. Both repayments will use proceeds we received from the issuance of 2.0 million common shares and the $685 million of debt financings in 2009, $408 million of which was held as cash on our balance sheet as of September 30,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As of September 30, 2009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1"/>
              </w:rPr>
              <w:t>Scheduled</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Maturities</w:t>
            </w:r>
          </w:p>
        </w:tc>
        <w:tc>
          <w:tcPr>
            <w:tcW w:w="8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Maturities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123,589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2010</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 (1)</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484,252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2012</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181,916</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194,607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196,893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2014</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297,864</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308,089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198,391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2016</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134,400</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137,302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2018</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93,038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4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131,267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1,910,343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2,041,610(2)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1,686,754</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1,818,021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3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September 30, 2009, there was $0 drawn under this credit facility.</w:t>
      </w:r>
    </w:p>
    <w:p>
      <w:pPr>
        <w:ind w:left="460" w:right="5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September 30,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 w:name="page19"/>
    <w:bookmarkEnd w:id="18"/>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Projected</w:t>
            </w:r>
          </w:p>
        </w:tc>
        <w:tc>
          <w:tcPr>
            <w:tcW w:w="2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Projected</w:t>
            </w:r>
          </w:p>
        </w:tc>
        <w:tc>
          <w:tcPr>
            <w:tcW w:w="18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Opportunity</w:t>
            </w:r>
          </w:p>
        </w:tc>
        <w:tc>
          <w:tcPr>
            <w:tcW w:w="14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Cost (1)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3"/>
              </w:rPr>
              <w:t>Projects Anticipated to Stabilize in 2009 (3)</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Hollywood Galaxy Building</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Hollywood, CA</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Re-tenanting three level entertainment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center and converting project into urban</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neighborhood community center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Houston Street</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 Antonio, TX</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Construction of a new building with</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ground level leased to Walgreen’s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pharmacy and office above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Village of Shirlington - Phase III &amp; IV</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Arlington, VA</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w w:val="98"/>
              </w:rPr>
              <w:t>Ground lease to hotel operator and ground</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floor retail as part of office building</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development (by others)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
        </w:trPr>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Subtotal: Projects Anticipated to Stabilize in 2009 (3) (4)</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Projects Anticipated to Stabilize in 2010</w:t>
            </w: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60" w:type="dxa"/>
            <w:vAlign w:val="bottom"/>
          </w:tcPr>
          <w:p>
            <w:pPr>
              <w:ind w:left="220"/>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Santana Row</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 Jose, CA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5-story building with 15,000 square feet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 ground level retail and 65,000 square</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feet of office space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Bethesda Row (Hampden Lane)</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Bethesda, MD</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Construction of new three level building</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leased to fitness center and 2 additional</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ground level retail spaces.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Barracks Road</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Charlottesville, VA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Expansion of Bed, Bath and Beyond and</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8"/>
              </w:rPr>
              <w:t>creation of 2 additional small shop spaces,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utilizing vacant anchor space.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Lancaster</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Lancaster, PA</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Renovation and expansion of existing</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grocer, new bank pad, and façade</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renovation</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Langhorne</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Levittown, PA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Pad site addition leased to T-Mobile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Crossroads</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Highland Park, IL</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Bank pad addition</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Subtotal: Projects Anticipated to Stabilize in 2010 (3) (4)</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4"/>
              </w:rPr>
              <w:t>Total: Projects Anticipated to Stabilize in 2009 and 2010 (3) (4) (5)</w:t>
            </w: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6"/>
            <w:vMerge w:val="continue"/>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Potential future redevelopment pipeline includes (6):</w:t>
            </w:r>
          </w:p>
        </w:tc>
        <w:tc>
          <w:tcPr>
            <w:tcW w:w="14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1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Opportunity</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Assembly Square</w:t>
            </w:r>
          </w:p>
        </w:tc>
        <w:tc>
          <w:tcPr>
            <w:tcW w:w="18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Somerville, MA</w:t>
            </w:r>
          </w:p>
        </w:tc>
        <w:tc>
          <w:tcPr>
            <w:tcW w:w="364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Potential substantial transit oriented</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mixed-use development</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Assembly Square Mall</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Somerville, MA</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Pad site addition</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 Cynwyd</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Bala Cynwyd, PA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Potential redevelopment of nine acres of</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land for a transit oriented mixed-use</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project or retail center</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Brick Plaza</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Brick, NJ</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w w:val="99"/>
              </w:rPr>
              <w:t>Redevelopment and expansion of existing</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pad site, plus additional pad site</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Chelsea Commons</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Chelsea, MA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Redevelopment of vacant building in</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preparation for lease with Planet Fitness</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Crossroads</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Highland Park, IL</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Backfill vacant anchor space and 3 small</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shop spaces with LA Fitness</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Plaza</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Rockville, MD</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Pad building opportunities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8"/>
                <w:szCs w:val="18"/>
                <w:color w:val="auto"/>
              </w:rPr>
              <w:t>Flourtown</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Flourtown, PA</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Anchor re-tenanting, small shop</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renovation, and site improvements</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Hollywood Peterson Building</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Hollywood, CA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Co-terminus leases create potential for</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property redevelopment and expansion</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Huntington</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Huntington, NY</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Pad site additions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Linden Square</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Wellesley, MA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Additional phases of infill redevelopment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Lawrenceville, NJ</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Construction of new outparcel</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Mid-Pike Plaza</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Rockville, MD</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Co-terminus leases create potential for</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retail redevelopment or transit oriented</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mixed-use development</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Santana Row</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San Jose, CA</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Future phases of mixed-use development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Town Center of New Britain</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New Britain, PA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Renovation and expansion of existing</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grocer</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Troy</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Parsippany, NJ</w:t>
            </w:r>
          </w:p>
        </w:tc>
        <w:tc>
          <w:tcPr>
            <w:tcW w:w="3640" w:type="dxa"/>
            <w:vAlign w:val="bottom"/>
            <w:gridSpan w:val="3"/>
          </w:tcPr>
          <w:p>
            <w:pPr>
              <w:ind w:left="280"/>
              <w:spacing w:after="0"/>
              <w:rPr>
                <w:sz w:val="20"/>
                <w:szCs w:val="20"/>
                <w:color w:val="auto"/>
              </w:rPr>
            </w:pPr>
            <w:r>
              <w:rPr>
                <w:rFonts w:ascii="Arial" w:cs="Arial" w:eastAsia="Arial" w:hAnsi="Arial"/>
                <w:sz w:val="18"/>
                <w:szCs w:val="18"/>
                <w:color w:val="auto"/>
              </w:rPr>
              <w:t>Pad site addition</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Westgate</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 Jose, CA</w:t>
            </w: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Convert 30,000 square feet of basement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space to leasable area</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jc w:val="both"/>
        <w:ind w:left="460" w:right="200" w:hanging="452"/>
        <w:spacing w:after="0" w:line="370"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w:t>
      </w:r>
    </w:p>
    <w:p>
      <w:pPr>
        <w:sectPr>
          <w:pgSz w:w="11900" w:h="16948" w:orient="portrait"/>
          <w:cols w:equalWidth="0" w:num="1">
            <w:col w:w="11420"/>
          </w:cols>
          <w:pgMar w:left="240" w:top="274" w:right="239" w:bottom="0" w:gutter="0" w:footer="0" w:header="0"/>
        </w:sectPr>
      </w:pPr>
    </w:p>
    <w:bookmarkStart w:id="19" w:name="page20"/>
    <w:bookmarkEnd w:id="19"/>
    <w:p>
      <w:pPr>
        <w:ind w:left="452"/>
        <w:spacing w:after="0"/>
        <w:rPr>
          <w:sz w:val="20"/>
          <w:szCs w:val="20"/>
          <w:color w:val="auto"/>
        </w:rPr>
      </w:pPr>
      <w:r>
        <w:rPr>
          <w:rFonts w:ascii="Arial" w:cs="Arial" w:eastAsia="Arial" w:hAnsi="Arial"/>
          <w:sz w:val="18"/>
          <w:szCs w:val="18"/>
          <w:color w:val="auto"/>
        </w:rPr>
        <w:t>The projected ROI and Projected Cost are management’s best estimate based on current information and may change over time.</w:t>
      </w:r>
    </w:p>
    <w:p>
      <w:pPr>
        <w:spacing w:after="0" w:line="15" w:lineRule="exact"/>
        <w:rPr>
          <w:sz w:val="20"/>
          <w:szCs w:val="20"/>
          <w:color w:val="auto"/>
        </w:rPr>
      </w:pPr>
    </w:p>
    <w:p>
      <w:pPr>
        <w:ind w:left="452" w:right="160" w:hanging="452"/>
        <w:spacing w:after="0" w:line="281"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$55 million of development capital at Linden Square, anticipated at acquisition of this in-process development.</w:t>
      </w:r>
    </w:p>
    <w:p>
      <w:pPr>
        <w:spacing w:after="0" w:line="9" w:lineRule="exact"/>
        <w:rPr>
          <w:rFonts w:ascii="Arial" w:cs="Arial" w:eastAsia="Arial" w:hAnsi="Arial"/>
          <w:sz w:val="18"/>
          <w:szCs w:val="18"/>
          <w:color w:val="auto"/>
        </w:rPr>
      </w:pPr>
    </w:p>
    <w:p>
      <w:pPr>
        <w:ind w:left="452" w:hanging="452"/>
        <w:spacing w:after="0" w:line="261"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pacing w:after="0" w:line="12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92"/>
          </w:cols>
          <w:pgMar w:left="248" w:top="131" w:right="359" w:bottom="1440" w:gutter="0" w:footer="0" w:header="0"/>
        </w:sectPr>
      </w:pPr>
    </w:p>
    <w:bookmarkStart w:id="20" w:name="page21"/>
    <w:bookmarkEnd w:id="20"/>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Mortgage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and/or</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Grocery</w:t>
            </w: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Grocery</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Lease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Anchor</w:t>
            </w: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Acquired</w:t>
            </w:r>
          </w:p>
        </w:tc>
        <w:tc>
          <w:tcPr>
            <w:tcW w:w="1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at Cost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Obligation (1)</w:t>
            </w:r>
          </w:p>
        </w:tc>
        <w:tc>
          <w:tcPr>
            <w:tcW w:w="4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GLA (2)</w:t>
            </w:r>
          </w:p>
        </w:tc>
        <w:tc>
          <w:tcPr>
            <w:tcW w:w="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GLA (3)</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w w:val="94"/>
              </w:rPr>
              <w:t>Anchor (3)</w:t>
            </w:r>
          </w:p>
        </w:tc>
        <w:tc>
          <w:tcPr>
            <w:tcW w:w="100" w:type="dxa"/>
            <w:vAlign w:val="bottom"/>
          </w:tcPr>
          <w:p>
            <w:pPr>
              <w:spacing w:after="0"/>
              <w:rPr>
                <w:sz w:val="15"/>
                <w:szCs w:val="15"/>
                <w:color w:val="auto"/>
              </w:rPr>
            </w:pPr>
          </w:p>
        </w:tc>
        <w:tc>
          <w:tcPr>
            <w:tcW w:w="1640" w:type="dxa"/>
            <w:vAlign w:val="bottom"/>
          </w:tcPr>
          <w:p>
            <w:pPr>
              <w:ind w:left="120"/>
              <w:spacing w:after="0"/>
              <w:rPr>
                <w:sz w:val="20"/>
                <w:szCs w:val="20"/>
                <w:color w:val="auto"/>
              </w:rPr>
            </w:pPr>
            <w:r>
              <w:rPr>
                <w:rFonts w:ascii="Arial" w:cs="Arial" w:eastAsia="Arial" w:hAnsi="Arial"/>
                <w:sz w:val="14"/>
                <w:szCs w:val="14"/>
                <w:b w:val="1"/>
                <w:bCs w:val="1"/>
                <w:color w:val="auto"/>
                <w:w w:val="94"/>
              </w:rPr>
              <w:t>Other Principal 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Washington Metropolitan Area</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Bethesda Row</w:t>
            </w:r>
          </w:p>
        </w:tc>
        <w:tc>
          <w:tcPr>
            <w:tcW w:w="640" w:type="dxa"/>
            <w:vAlign w:val="bottom"/>
          </w:tcPr>
          <w:p>
            <w:pPr>
              <w:jc w:val="right"/>
              <w:spacing w:after="0" w:line="131" w:lineRule="exact"/>
              <w:rPr>
                <w:sz w:val="20"/>
                <w:szCs w:val="20"/>
                <w:color w:val="auto"/>
              </w:rPr>
            </w:pPr>
            <w:r>
              <w:rPr>
                <w:rFonts w:ascii="Arial" w:cs="Arial" w:eastAsia="Arial" w:hAnsi="Arial"/>
                <w:sz w:val="14"/>
                <w:szCs w:val="14"/>
                <w:color w:val="auto"/>
              </w:rPr>
              <w:t>(4)</w:t>
            </w:r>
          </w:p>
        </w:tc>
        <w:tc>
          <w:tcPr>
            <w:tcW w:w="14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89"/>
              </w:rPr>
              <w:t>Washington, DC-MD-VA</w:t>
            </w:r>
          </w:p>
        </w:tc>
        <w:tc>
          <w:tcPr>
            <w:tcW w:w="110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w w:val="96"/>
              </w:rPr>
              <w:t>1993-2006/2008</w:t>
            </w: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189,118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25,364</w:t>
            </w: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519,000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96%</w:t>
            </w:r>
          </w:p>
        </w:tc>
        <w:tc>
          <w:tcPr>
            <w:tcW w:w="58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40,000</w:t>
            </w:r>
          </w:p>
        </w:tc>
        <w:tc>
          <w:tcPr>
            <w:tcW w:w="740" w:type="dxa"/>
            <w:vAlign w:val="bottom"/>
          </w:tcPr>
          <w:p>
            <w:pPr>
              <w:spacing w:after="0" w:line="131"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1"/>
                <w:szCs w:val="11"/>
                <w:color w:val="auto"/>
              </w:rPr>
            </w:pPr>
          </w:p>
        </w:tc>
        <w:tc>
          <w:tcPr>
            <w:tcW w:w="1640" w:type="dxa"/>
            <w:vAlign w:val="bottom"/>
          </w:tcPr>
          <w:p>
            <w:pPr>
              <w:spacing w:after="0" w:line="131" w:lineRule="exact"/>
              <w:rPr>
                <w:sz w:val="20"/>
                <w:szCs w:val="20"/>
                <w:color w:val="auto"/>
              </w:rPr>
            </w:pPr>
            <w:r>
              <w:rPr>
                <w:rFonts w:ascii="Arial" w:cs="Arial" w:eastAsia="Arial" w:hAnsi="Arial"/>
                <w:sz w:val="14"/>
                <w:szCs w:val="14"/>
                <w:color w:val="auto"/>
                <w:w w:val="94"/>
              </w:rPr>
              <w:t>Barnes &amp; Noble / Landmark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Theater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Congressional Plaza</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w:t>
            </w: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70,579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332,000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28,000</w:t>
            </w:r>
          </w:p>
        </w:tc>
        <w:tc>
          <w:tcPr>
            <w:tcW w:w="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Whole Foods</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Buy Buy Baby / Container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Courthouse Center</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4,233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1967-1972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Federal Plaza</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62,167</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32,683</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248,000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96%</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TJ Maxx / Micro Center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33,426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118,000</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Borders / 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Gaithersburg Square</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24,088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5"/>
              </w:rPr>
              <w:t>Bed, Bath &amp; Beyond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15,705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16,852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Whole Foods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Laurel</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47,785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61,000</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Leesburg Plaza</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w:t>
            </w: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34,484</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29,322</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236,000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Petsmart / Pier One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Loehmann’s Plaza</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32,634</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37,917</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268,000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94%</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58,000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Bally Total Fitness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Loehmann’s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1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1982/2007</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45,014</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309,000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85%</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Toys R Us / Bally 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Fitness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w w:val="97"/>
              </w:rPr>
              <w:t>Mount Vernon/South Valley/7770</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(6)</w:t>
            </w: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2003-2006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77,393</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11,385</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62,000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Shoppers</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Arial" w:cs="Arial" w:eastAsia="Arial" w:hAnsi="Arial"/>
                <w:sz w:val="14"/>
                <w:szCs w:val="14"/>
                <w:color w:val="auto"/>
              </w:rPr>
              <w:t>Richmond Hwy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Food</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3"/>
              </w:rPr>
              <w:t>Michaels / Home Depot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Maxx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Whole Foods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Pan Am</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28,283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63,000</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Safeway</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87,928</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54,431</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296,000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45,000</w:t>
            </w:r>
          </w:p>
        </w:tc>
        <w:tc>
          <w:tcPr>
            <w:tcW w:w="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Harris Teeter</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Bally Total Fitness / Bed,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Bath &amp; Beyond / DSW / Cost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Plus World 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Pike 7</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34,863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21,370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Rockville Town Square</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2006-2007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37,028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7,629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23,956</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Sam’s Park &amp; Shop</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12,088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20,050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112,000</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Tyson’s Station</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3,670</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5,942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Village at Shirlington</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w:t>
            </w: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51,642</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6,283</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248,000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28,000</w:t>
            </w:r>
          </w:p>
        </w:tc>
        <w:tc>
          <w:tcPr>
            <w:tcW w:w="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Harris Teeter</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AMC Loews / Carlyle Grand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Wildwood</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17,596</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25,436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Balducci’s</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560" w:type="dxa"/>
            <w:vAlign w:val="bottom"/>
            <w:gridSpan w:val="5"/>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976,539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5,195,000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Borders>
              <w:bottom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w w:val="87"/>
              </w:rPr>
              <w:t>Philadelphia Metropolitan Area</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23,291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267,000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93%</w:t>
            </w:r>
          </w:p>
        </w:tc>
        <w:tc>
          <w:tcPr>
            <w:tcW w:w="5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24,000</w:t>
            </w:r>
          </w:p>
        </w:tc>
        <w:tc>
          <w:tcPr>
            <w:tcW w:w="7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Acme</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8"/>
              </w:rPr>
              <w:t>Kohl’s / Staples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Bala Cynwyd</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34,368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282,000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45,000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Acme</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w w:val="95"/>
              </w:rPr>
              <w:t>Lord &amp; Taylor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line="159"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27,707</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Feasterville</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11,883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111,000</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53,000</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15,490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Langhorne Square</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19,041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216,000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Redner’s</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Warehouse</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line="159" w:lineRule="exact"/>
              <w:rPr>
                <w:sz w:val="20"/>
                <w:szCs w:val="20"/>
                <w:color w:val="auto"/>
              </w:rPr>
            </w:pPr>
            <w:r>
              <w:rPr>
                <w:rFonts w:ascii="Arial" w:cs="Arial" w:eastAsia="Arial" w:hAnsi="Arial"/>
                <w:sz w:val="14"/>
                <w:szCs w:val="14"/>
                <w:color w:val="auto"/>
              </w:rPr>
              <w:t>Mkts.</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29,723</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28,938</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353,000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53,000</w:t>
            </w:r>
          </w:p>
        </w:tc>
        <w:tc>
          <w:tcPr>
            <w:tcW w:w="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Acme</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CHI / TJ Maxx / HomeGoods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Northeast</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23,002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6"/>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14,361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Willow Grove</w:t>
            </w:r>
          </w:p>
        </w:tc>
        <w:tc>
          <w:tcPr>
            <w:tcW w:w="6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216,000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5"/>
              </w:rPr>
              <w:t>Barnes &amp; Noble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36,547</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29,491</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255,000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98,000</w:t>
            </w:r>
          </w:p>
        </w:tc>
        <w:tc>
          <w:tcPr>
            <w:tcW w:w="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Borders / Old Navy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6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Total Philadelphia Metropolitan Area</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262,743</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9"/>
              </w:rPr>
              <w:t>2,570,000</w:t>
            </w:r>
          </w:p>
        </w:tc>
        <w:tc>
          <w:tcPr>
            <w:tcW w:w="40" w:type="dxa"/>
            <w:vAlign w:val="bottom"/>
          </w:tcPr>
          <w:p>
            <w:pPr>
              <w:spacing w:after="0"/>
              <w:rPr>
                <w:sz w:val="13"/>
                <w:szCs w:val="13"/>
                <w:color w:val="auto"/>
              </w:rPr>
            </w:pPr>
          </w:p>
        </w:tc>
        <w:tc>
          <w:tcPr>
            <w:tcW w:w="6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40" w:type="dxa"/>
            <w:vAlign w:val="bottom"/>
            <w:tcBorders>
              <w:bottom w:val="single" w:sz="8" w:color="CCEEFF"/>
              <w:right w:val="single" w:sz="8" w:color="CCEEFF"/>
            </w:tcBorders>
            <w:gridSpan w:val="3"/>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Colorado Blvd</w:t>
            </w:r>
          </w:p>
        </w:tc>
        <w:tc>
          <w:tcPr>
            <w:tcW w:w="640" w:type="dxa"/>
            <w:vAlign w:val="bottom"/>
          </w:tcPr>
          <w:p>
            <w:pPr>
              <w:spacing w:after="0"/>
              <w:rPr>
                <w:sz w:val="11"/>
                <w:szCs w:val="11"/>
                <w:color w:val="auto"/>
              </w:rPr>
            </w:pPr>
          </w:p>
        </w:tc>
        <w:tc>
          <w:tcPr>
            <w:tcW w:w="146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Los Angeles-Long</w:t>
            </w:r>
          </w:p>
        </w:tc>
        <w:tc>
          <w:tcPr>
            <w:tcW w:w="10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1996-1998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16,583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69,000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1"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Beach, CA</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San Ramon, CA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2005-2007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65,062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20,918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Save Mart</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Escondido</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(7)</w:t>
            </w: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San Diego,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28,592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222,000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w w:val="92"/>
              </w:rPr>
              <w:t>Cost Plus World Market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Maxx / 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San Diego, CA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12,969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Hermosa Ave</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Los Angeles-Long</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5,423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72%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Beach, CA</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Los Angeles-Long</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37,701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153,000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84%</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DSW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Beach, CA</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Kings Court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(6)</w:t>
            </w: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11,594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79,000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25,000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Lunardi’s</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Super</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line="159" w:lineRule="exact"/>
              <w:rPr>
                <w:sz w:val="20"/>
                <w:szCs w:val="20"/>
                <w:color w:val="auto"/>
              </w:rPr>
            </w:pPr>
            <w:r>
              <w:rPr>
                <w:rFonts w:ascii="Arial" w:cs="Arial" w:eastAsia="Arial" w:hAnsi="Arial"/>
                <w:sz w:val="14"/>
                <w:szCs w:val="14"/>
                <w:color w:val="auto"/>
              </w:rPr>
              <w:t>Market</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34,056</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96,000</w:t>
            </w: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Borders / Gap Kids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Santana Row</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533,772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Crate &amp; Barrel /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5"/>
              </w:rPr>
              <w:t>Store / Best Buy / Borders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Third St Promenade</w:t>
            </w:r>
          </w:p>
        </w:tc>
        <w:tc>
          <w:tcPr>
            <w:tcW w:w="6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Los Angeles-Long</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1996-2000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78,225</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211,000</w:t>
            </w:r>
          </w:p>
        </w:tc>
        <w:tc>
          <w:tcPr>
            <w:tcW w:w="6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J. Crew / Banana Republic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Beach, CA</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Navy / Abercrombie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Westgate</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116,410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38,000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Safeway</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98"/>
              </w:rPr>
              <w:t>Factory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150 Post Street</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San Francisco, CA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37,562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California</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977,949</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9"/>
              </w:rPr>
              <w:t>2,457,000</w:t>
            </w:r>
          </w:p>
        </w:tc>
        <w:tc>
          <w:tcPr>
            <w:tcW w:w="40" w:type="dxa"/>
            <w:vAlign w:val="bottom"/>
          </w:tcPr>
          <w:p>
            <w:pPr>
              <w:spacing w:after="0"/>
              <w:rPr>
                <w:sz w:val="13"/>
                <w:szCs w:val="13"/>
                <w:color w:val="auto"/>
              </w:rPr>
            </w:pPr>
          </w:p>
        </w:tc>
        <w:tc>
          <w:tcPr>
            <w:tcW w:w="6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500" w:type="dxa"/>
            <w:vAlign w:val="bottom"/>
            <w:tcBorders>
              <w:bottom w:val="single" w:sz="8" w:color="CCEEFF"/>
              <w:right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Brick Plaza</w:t>
            </w:r>
          </w:p>
        </w:tc>
        <w:tc>
          <w:tcPr>
            <w:tcW w:w="640" w:type="dxa"/>
            <w:vAlign w:val="bottom"/>
          </w:tcPr>
          <w:p>
            <w:pPr>
              <w:spacing w:after="0"/>
              <w:rPr>
                <w:sz w:val="11"/>
                <w:szCs w:val="11"/>
                <w:color w:val="auto"/>
              </w:rPr>
            </w:pPr>
          </w:p>
        </w:tc>
        <w:tc>
          <w:tcPr>
            <w:tcW w:w="14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9"/>
              </w:rPr>
              <w:t>Monmouth-Ocean, NJ</w:t>
            </w:r>
          </w:p>
        </w:tc>
        <w:tc>
          <w:tcPr>
            <w:tcW w:w="10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56,962</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30,202</w:t>
            </w: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409,000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66,000</w:t>
            </w:r>
          </w:p>
        </w:tc>
        <w:tc>
          <w:tcPr>
            <w:tcW w:w="740" w:type="dxa"/>
            <w:vAlign w:val="bottom"/>
          </w:tcPr>
          <w:p>
            <w:pPr>
              <w:spacing w:after="0" w:line="131" w:lineRule="exact"/>
              <w:rPr>
                <w:sz w:val="20"/>
                <w:szCs w:val="20"/>
                <w:color w:val="auto"/>
              </w:rPr>
            </w:pPr>
            <w:r>
              <w:rPr>
                <w:rFonts w:ascii="Arial" w:cs="Arial" w:eastAsia="Arial" w:hAnsi="Arial"/>
                <w:sz w:val="14"/>
                <w:szCs w:val="14"/>
                <w:color w:val="auto"/>
              </w:rPr>
              <w:t>A&amp;P</w:t>
            </w:r>
          </w:p>
        </w:tc>
        <w:tc>
          <w:tcPr>
            <w:tcW w:w="100" w:type="dxa"/>
            <w:vAlign w:val="bottom"/>
          </w:tcPr>
          <w:p>
            <w:pPr>
              <w:spacing w:after="0"/>
              <w:rPr>
                <w:sz w:val="11"/>
                <w:szCs w:val="11"/>
                <w:color w:val="auto"/>
              </w:rPr>
            </w:pPr>
          </w:p>
        </w:tc>
        <w:tc>
          <w:tcPr>
            <w:tcW w:w="1640" w:type="dxa"/>
            <w:vAlign w:val="bottom"/>
          </w:tcPr>
          <w:p>
            <w:pPr>
              <w:spacing w:after="0" w:line="131" w:lineRule="exact"/>
              <w:rPr>
                <w:sz w:val="20"/>
                <w:szCs w:val="20"/>
                <w:color w:val="auto"/>
              </w:rPr>
            </w:pPr>
            <w:r>
              <w:rPr>
                <w:rFonts w:ascii="Arial" w:cs="Arial" w:eastAsia="Arial" w:hAnsi="Arial"/>
                <w:sz w:val="14"/>
                <w:szCs w:val="14"/>
                <w:color w:val="auto"/>
              </w:rPr>
              <w:t>AMC Loews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Noble / 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Forest Hills</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New York, NY</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8,098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Fresh Meadows</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New York, NY</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69,185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403,000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15,000</w:t>
            </w:r>
          </w:p>
        </w:tc>
        <w:tc>
          <w:tcPr>
            <w:tcW w:w="740" w:type="dxa"/>
            <w:vAlign w:val="bottom"/>
          </w:tcPr>
          <w:p>
            <w:pPr>
              <w:spacing w:after="0" w:line="138" w:lineRule="exact"/>
              <w:rPr>
                <w:sz w:val="20"/>
                <w:szCs w:val="20"/>
                <w:color w:val="auto"/>
              </w:rPr>
            </w:pPr>
            <w:r>
              <w:rPr>
                <w:rFonts w:ascii="Arial" w:cs="Arial" w:eastAsia="Arial" w:hAnsi="Arial"/>
                <w:sz w:val="14"/>
                <w:szCs w:val="14"/>
                <w:color w:val="auto"/>
              </w:rPr>
              <w:t>Island of</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line="159" w:lineRule="exact"/>
              <w:rPr>
                <w:sz w:val="20"/>
                <w:szCs w:val="20"/>
                <w:color w:val="auto"/>
              </w:rPr>
            </w:pPr>
            <w:r>
              <w:rPr>
                <w:rFonts w:ascii="Arial" w:cs="Arial" w:eastAsia="Arial" w:hAnsi="Arial"/>
                <w:sz w:val="14"/>
                <w:szCs w:val="14"/>
                <w:color w:val="auto"/>
              </w:rPr>
              <w:t>Gold</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Hauppauge</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Nassau-Suffolk, NY</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27,923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15,391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 Rite</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Huntington</w:t>
            </w:r>
          </w:p>
        </w:tc>
        <w:tc>
          <w:tcPr>
            <w:tcW w:w="640" w:type="dxa"/>
            <w:vAlign w:val="bottom"/>
          </w:tcPr>
          <w:p>
            <w:pPr>
              <w:spacing w:after="0"/>
              <w:rPr>
                <w:sz w:val="11"/>
                <w:szCs w:val="11"/>
                <w:color w:val="auto"/>
              </w:rPr>
            </w:pPr>
          </w:p>
        </w:tc>
        <w:tc>
          <w:tcPr>
            <w:tcW w:w="14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Nassau-Suffolk, NY</w:t>
            </w:r>
          </w:p>
        </w:tc>
        <w:tc>
          <w:tcPr>
            <w:tcW w:w="11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1988/2007</w:t>
            </w: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38,668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292,000</w:t>
            </w:r>
          </w:p>
        </w:tc>
        <w:tc>
          <w:tcPr>
            <w:tcW w:w="40" w:type="dxa"/>
            <w:vAlign w:val="bottom"/>
          </w:tcPr>
          <w:p>
            <w:pPr>
              <w:spacing w:after="0"/>
              <w:rPr>
                <w:sz w:val="11"/>
                <w:szCs w:val="11"/>
                <w:color w:val="auto"/>
              </w:rPr>
            </w:pPr>
          </w:p>
        </w:tc>
        <w:tc>
          <w:tcPr>
            <w:tcW w:w="6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w w:val="93"/>
              </w:rPr>
              <w:t>Buy Buy Baby / Toys R Us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88"/>
              </w:rPr>
              <w:t>Bed, Bath &amp; Beyond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Melville Mall</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Nassau-Suffolk, NY</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68,643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23,954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54,000</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Waldbaum’s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Kohl’s / Marshalls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gridSpan w:val="5"/>
          </w:tcPr>
          <w:p>
            <w:pPr>
              <w:spacing w:after="0"/>
              <w:rPr>
                <w:sz w:val="20"/>
                <w:szCs w:val="20"/>
                <w:color w:val="auto"/>
              </w:rPr>
            </w:pPr>
            <w:r>
              <w:rPr>
                <w:rFonts w:ascii="Arial" w:cs="Arial" w:eastAsia="Arial" w:hAnsi="Arial"/>
                <w:sz w:val="14"/>
                <w:szCs w:val="14"/>
                <w:color w:val="auto"/>
              </w:rPr>
              <w:t>Mercer Mall</w:t>
            </w: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460" w:type="dxa"/>
            <w:vAlign w:val="bottom"/>
            <w:gridSpan w:val="2"/>
          </w:tcPr>
          <w:p>
            <w:pPr>
              <w:ind w:left="80"/>
              <w:spacing w:after="0"/>
              <w:rPr>
                <w:sz w:val="20"/>
                <w:szCs w:val="20"/>
                <w:color w:val="auto"/>
              </w:rPr>
            </w:pPr>
            <w:r>
              <w:rPr>
                <w:rFonts w:ascii="Arial" w:cs="Arial" w:eastAsia="Arial" w:hAnsi="Arial"/>
                <w:sz w:val="14"/>
                <w:szCs w:val="14"/>
                <w:color w:val="auto"/>
              </w:rPr>
              <w:t>Trenton, NJ</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103,990</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50,366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501,000</w:t>
            </w:r>
          </w:p>
        </w:tc>
        <w:tc>
          <w:tcPr>
            <w:tcW w:w="4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93%</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75,000</w:t>
            </w:r>
          </w:p>
        </w:tc>
        <w:tc>
          <w:tcPr>
            <w:tcW w:w="740" w:type="dxa"/>
            <w:vAlign w:val="bottom"/>
          </w:tcPr>
          <w:p>
            <w:pPr>
              <w:spacing w:after="0"/>
              <w:rPr>
                <w:sz w:val="20"/>
                <w:szCs w:val="20"/>
                <w:color w:val="auto"/>
              </w:rPr>
            </w:pPr>
            <w:r>
              <w:rPr>
                <w:rFonts w:ascii="Arial" w:cs="Arial" w:eastAsia="Arial" w:hAnsi="Arial"/>
                <w:sz w:val="14"/>
                <w:szCs w:val="14"/>
                <w:color w:val="auto"/>
              </w:rPr>
              <w:t>Shop Rite</w:t>
            </w:r>
          </w:p>
        </w:tc>
        <w:tc>
          <w:tcPr>
            <w:tcW w:w="10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Arial" w:cs="Arial" w:eastAsia="Arial" w:hAnsi="Arial"/>
                <w:sz w:val="14"/>
                <w:szCs w:val="14"/>
                <w:color w:val="auto"/>
                <w:w w:val="90"/>
              </w:rPr>
              <w:t>Bed, Bath &amp; Beyond / DSW /</w:t>
            </w:r>
          </w:p>
        </w:tc>
        <w:tc>
          <w:tcPr>
            <w:tcW w:w="0" w:type="dxa"/>
            <w:vAlign w:val="bottom"/>
          </w:tcPr>
          <w:p>
            <w:pPr>
              <w:spacing w:after="0"/>
              <w:rPr>
                <w:sz w:val="1"/>
                <w:szCs w:val="1"/>
                <w:color w:val="auto"/>
              </w:rPr>
            </w:pPr>
          </w:p>
        </w:tc>
      </w:tr>
    </w:tbl>
    <w:p>
      <w:pPr>
        <w:sectPr>
          <w:pgSz w:w="11900" w:h="16867" w:orient="portrait"/>
          <w:cols w:equalWidth="0" w:num="1">
            <w:col w:w="11420"/>
          </w:cols>
          <w:pgMar w:left="240" w:top="274"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Arial" w:cs="Arial" w:eastAsia="Arial" w:hAnsi="Arial"/>
                <w:sz w:val="14"/>
                <w:szCs w:val="14"/>
                <w:color w:val="auto"/>
              </w:rPr>
              <w:t>TJ Maxx / Raymour &amp;</w:t>
            </w:r>
          </w:p>
        </w:tc>
        <w:tc>
          <w:tcPr>
            <w:tcW w:w="0" w:type="dxa"/>
            <w:vAlign w:val="bottom"/>
          </w:tcPr>
          <w:p>
            <w:pPr>
              <w:spacing w:after="0"/>
              <w:rPr>
                <w:sz w:val="1"/>
                <w:szCs w:val="1"/>
                <w:color w:val="auto"/>
              </w:rPr>
            </w:pPr>
          </w:p>
        </w:tc>
      </w:tr>
      <w:tr>
        <w:trPr>
          <w:trHeight w:val="159"/>
        </w:trPr>
        <w:tc>
          <w:tcPr>
            <w:tcW w:w="15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0" w:type="dxa"/>
            <w:vAlign w:val="bottom"/>
          </w:tcPr>
          <w:p>
            <w:pPr>
              <w:ind w:left="160"/>
              <w:spacing w:after="0" w:line="159" w:lineRule="exact"/>
              <w:rPr>
                <w:sz w:val="20"/>
                <w:szCs w:val="20"/>
                <w:color w:val="auto"/>
              </w:rPr>
            </w:pPr>
            <w:r>
              <w:rPr>
                <w:rFonts w:ascii="Arial" w:cs="Arial" w:eastAsia="Arial" w:hAnsi="Arial"/>
                <w:sz w:val="14"/>
                <w:szCs w:val="14"/>
                <w:color w:val="auto"/>
              </w:rPr>
              <w:t>Flanigan</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314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Newark, NJ</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1980</w:t>
            </w:r>
          </w:p>
        </w:tc>
        <w:tc>
          <w:tcPr>
            <w:tcW w:w="1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25,169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1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64,000  Pathmark</w:t>
            </w:r>
          </w:p>
        </w:tc>
        <w:tc>
          <w:tcPr>
            <w:tcW w:w="1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140" w:type="dxa"/>
            <w:vAlign w:val="bottom"/>
            <w:vMerge w:val="restart"/>
          </w:tcPr>
          <w:p>
            <w:pPr>
              <w:ind w:left="1260"/>
              <w:spacing w:after="0"/>
              <w:rPr>
                <w:sz w:val="20"/>
                <w:szCs w:val="20"/>
                <w:color w:val="auto"/>
              </w:rPr>
            </w:pPr>
            <w:r>
              <w:rPr>
                <w:rFonts w:ascii="Arial" w:cs="Arial" w:eastAsia="Arial" w:hAnsi="Arial"/>
                <w:sz w:val="14"/>
                <w:szCs w:val="14"/>
                <w:b w:val="1"/>
                <w:bCs w:val="1"/>
                <w:color w:val="auto"/>
                <w:w w:val="97"/>
              </w:rPr>
              <w:t>Total New York / New Jersey</w:t>
            </w: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color w:val="auto"/>
              </w:rPr>
              <w:t>398,638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2,239,000</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97%</w:t>
            </w: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Mortgage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and/or</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Grocery</w:t>
            </w:r>
          </w:p>
        </w:tc>
        <w:tc>
          <w:tcPr>
            <w:tcW w:w="100" w:type="dxa"/>
            <w:vAlign w:val="bottom"/>
          </w:tcPr>
          <w:p>
            <w:pPr>
              <w:spacing w:after="0"/>
              <w:rPr>
                <w:sz w:val="12"/>
                <w:szCs w:val="12"/>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Grocery</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1"/>
                <w:szCs w:val="11"/>
                <w:color w:val="auto"/>
              </w:rPr>
            </w:pP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Estate</w:t>
            </w:r>
          </w:p>
        </w:tc>
        <w:tc>
          <w:tcPr>
            <w:tcW w:w="88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88"/>
              </w:rPr>
              <w:t>Capital Lease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jc w:val="right"/>
              <w:ind w:right="52"/>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Anchor</w:t>
            </w: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6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500" w:type="dxa"/>
            <w:vAlign w:val="bottom"/>
          </w:tcPr>
          <w:p>
            <w:pPr>
              <w:spacing w:after="0"/>
              <w:rPr>
                <w:sz w:val="15"/>
                <w:szCs w:val="15"/>
                <w:color w:val="auto"/>
              </w:rPr>
            </w:pPr>
          </w:p>
        </w:tc>
        <w:tc>
          <w:tcPr>
            <w:tcW w:w="1660" w:type="dxa"/>
            <w:vAlign w:val="bottom"/>
          </w:tcPr>
          <w:p>
            <w:pPr>
              <w:ind w:left="34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at Cost</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Obligation (1)</w:t>
            </w: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GLA (2)</w:t>
            </w:r>
          </w:p>
        </w:tc>
        <w:tc>
          <w:tcPr>
            <w:tcW w:w="10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(3)</w:t>
            </w:r>
          </w:p>
        </w:tc>
        <w:tc>
          <w:tcPr>
            <w:tcW w:w="10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Anchor (3)</w:t>
            </w:r>
          </w:p>
        </w:tc>
        <w:tc>
          <w:tcPr>
            <w:tcW w:w="100" w:type="dxa"/>
            <w:vAlign w:val="bottom"/>
          </w:tcPr>
          <w:p>
            <w:pPr>
              <w:spacing w:after="0"/>
              <w:rPr>
                <w:sz w:val="15"/>
                <w:szCs w:val="15"/>
                <w:color w:val="auto"/>
              </w:rPr>
            </w:pPr>
          </w:p>
        </w:tc>
        <w:tc>
          <w:tcPr>
            <w:tcW w:w="1640" w:type="dxa"/>
            <w:vAlign w:val="bottom"/>
          </w:tcPr>
          <w:p>
            <w:pPr>
              <w:ind w:left="120"/>
              <w:spacing w:after="0"/>
              <w:rPr>
                <w:sz w:val="20"/>
                <w:szCs w:val="20"/>
                <w:color w:val="auto"/>
              </w:rPr>
            </w:pPr>
            <w:r>
              <w:rPr>
                <w:rFonts w:ascii="Arial" w:cs="Arial" w:eastAsia="Arial" w:hAnsi="Arial"/>
                <w:sz w:val="14"/>
                <w:szCs w:val="14"/>
                <w:b w:val="1"/>
                <w:bCs w:val="1"/>
                <w:color w:val="auto"/>
                <w:w w:val="94"/>
              </w:rPr>
              <w:t>Other Principal 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6"/>
          </w:tcPr>
          <w:p>
            <w:pPr>
              <w:spacing w:after="0" w:line="131" w:lineRule="exact"/>
              <w:rPr>
                <w:sz w:val="20"/>
                <w:szCs w:val="20"/>
                <w:color w:val="auto"/>
              </w:rPr>
            </w:pPr>
            <w:r>
              <w:rPr>
                <w:rFonts w:ascii="Arial" w:cs="Arial" w:eastAsia="Arial" w:hAnsi="Arial"/>
                <w:sz w:val="14"/>
                <w:szCs w:val="14"/>
                <w:color w:val="auto"/>
              </w:rPr>
              <w:t>Assembly Square</w:t>
            </w:r>
          </w:p>
        </w:tc>
        <w:tc>
          <w:tcPr>
            <w:tcW w:w="500" w:type="dxa"/>
            <w:vAlign w:val="bottom"/>
          </w:tcPr>
          <w:p>
            <w:pPr>
              <w:spacing w:after="0"/>
              <w:rPr>
                <w:sz w:val="11"/>
                <w:szCs w:val="11"/>
                <w:color w:val="auto"/>
              </w:rPr>
            </w:pPr>
          </w:p>
        </w:tc>
        <w:tc>
          <w:tcPr>
            <w:tcW w:w="1660" w:type="dxa"/>
            <w:vAlign w:val="bottom"/>
          </w:tcPr>
          <w:p>
            <w:pPr>
              <w:spacing w:after="0" w:line="131"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2005-2008</w:t>
            </w:r>
          </w:p>
        </w:tc>
        <w:tc>
          <w:tcPr>
            <w:tcW w:w="100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153,628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332,000</w:t>
            </w:r>
          </w:p>
        </w:tc>
        <w:tc>
          <w:tcPr>
            <w:tcW w:w="78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1" w:lineRule="exact"/>
              <w:rPr>
                <w:sz w:val="20"/>
                <w:szCs w:val="20"/>
                <w:color w:val="auto"/>
              </w:rPr>
            </w:pPr>
            <w:r>
              <w:rPr>
                <w:rFonts w:ascii="Arial" w:cs="Arial" w:eastAsia="Arial" w:hAnsi="Arial"/>
                <w:sz w:val="14"/>
                <w:szCs w:val="14"/>
                <w:color w:val="auto"/>
              </w:rPr>
              <w:t>AC Moore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MA-NH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Beyond / Christmas Tree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Shops / Kmart / Staples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w w:val="98"/>
              </w:rPr>
              <w:t>Sports 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2006-2008</w:t>
            </w:r>
          </w:p>
        </w:tc>
        <w:tc>
          <w:tcPr>
            <w:tcW w:w="10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29,146</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7,989</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222,000</w:t>
            </w:r>
          </w:p>
        </w:tc>
        <w:tc>
          <w:tcPr>
            <w:tcW w:w="7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Sav-A-Lot</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tcPr>
          <w:p>
            <w:pPr>
              <w:spacing w:after="0" w:line="138" w:lineRule="exact"/>
              <w:rPr>
                <w:sz w:val="20"/>
                <w:szCs w:val="20"/>
                <w:color w:val="auto"/>
              </w:rPr>
            </w:pPr>
            <w:r>
              <w:rPr>
                <w:rFonts w:ascii="Arial" w:cs="Arial" w:eastAsia="Arial" w:hAnsi="Arial"/>
                <w:sz w:val="14"/>
                <w:szCs w:val="14"/>
                <w:color w:val="auto"/>
              </w:rPr>
              <w:t>Dedham Plaza</w:t>
            </w:r>
          </w:p>
        </w:tc>
        <w:tc>
          <w:tcPr>
            <w:tcW w:w="50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10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31,842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242,000</w:t>
            </w:r>
          </w:p>
        </w:tc>
        <w:tc>
          <w:tcPr>
            <w:tcW w:w="7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80,000</w:t>
            </w:r>
          </w:p>
        </w:tc>
        <w:tc>
          <w:tcPr>
            <w:tcW w:w="100" w:type="dxa"/>
            <w:vAlign w:val="bottom"/>
          </w:tcPr>
          <w:p>
            <w:pPr>
              <w:spacing w:after="0"/>
              <w:rPr>
                <w:sz w:val="11"/>
                <w:szCs w:val="11"/>
                <w:color w:val="auto"/>
              </w:rPr>
            </w:pPr>
          </w:p>
        </w:tc>
        <w:tc>
          <w:tcPr>
            <w:tcW w:w="880" w:type="dxa"/>
            <w:vAlign w:val="bottom"/>
          </w:tcPr>
          <w:p>
            <w:pPr>
              <w:spacing w:after="0" w:line="138" w:lineRule="exact"/>
              <w:rPr>
                <w:sz w:val="20"/>
                <w:szCs w:val="20"/>
                <w:color w:val="auto"/>
              </w:rPr>
            </w:pPr>
            <w:r>
              <w:rPr>
                <w:rFonts w:ascii="Arial" w:cs="Arial" w:eastAsia="Arial" w:hAnsi="Arial"/>
                <w:sz w:val="14"/>
                <w:szCs w:val="14"/>
                <w:color w:val="auto"/>
              </w:rPr>
              <w:t>Star Market</w:t>
            </w: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2006-2007</w:t>
            </w:r>
          </w:p>
        </w:tc>
        <w:tc>
          <w:tcPr>
            <w:tcW w:w="10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142,254</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217,000</w:t>
            </w:r>
          </w:p>
        </w:tc>
        <w:tc>
          <w:tcPr>
            <w:tcW w:w="7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84%</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Roche Brothers</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CVS / Fitness Club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MA-NH</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Supermarkets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Women / Wellesley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Volkswagen, Buick</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tcPr>
          <w:p>
            <w:pPr>
              <w:spacing w:after="0" w:line="138" w:lineRule="exact"/>
              <w:rPr>
                <w:sz w:val="20"/>
                <w:szCs w:val="20"/>
                <w:color w:val="auto"/>
              </w:rPr>
            </w:pPr>
            <w:r>
              <w:rPr>
                <w:rFonts w:ascii="Arial" w:cs="Arial" w:eastAsia="Arial" w:hAnsi="Arial"/>
                <w:sz w:val="14"/>
                <w:szCs w:val="14"/>
                <w:color w:val="auto"/>
              </w:rPr>
              <w:t>North Dartmouth</w:t>
            </w:r>
          </w:p>
        </w:tc>
        <w:tc>
          <w:tcPr>
            <w:tcW w:w="50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2006</w:t>
            </w:r>
          </w:p>
        </w:tc>
        <w:tc>
          <w:tcPr>
            <w:tcW w:w="10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9,368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48,000</w:t>
            </w:r>
          </w:p>
        </w:tc>
        <w:tc>
          <w:tcPr>
            <w:tcW w:w="7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48,000</w:t>
            </w:r>
          </w:p>
        </w:tc>
        <w:tc>
          <w:tcPr>
            <w:tcW w:w="100" w:type="dxa"/>
            <w:vAlign w:val="bottom"/>
          </w:tcPr>
          <w:p>
            <w:pPr>
              <w:spacing w:after="0"/>
              <w:rPr>
                <w:sz w:val="11"/>
                <w:szCs w:val="11"/>
                <w:color w:val="auto"/>
              </w:rPr>
            </w:pPr>
          </w:p>
        </w:tc>
        <w:tc>
          <w:tcPr>
            <w:tcW w:w="880" w:type="dxa"/>
            <w:vAlign w:val="bottom"/>
          </w:tcPr>
          <w:p>
            <w:pPr>
              <w:spacing w:after="0" w:line="138" w:lineRule="exact"/>
              <w:rPr>
                <w:sz w:val="20"/>
                <w:szCs w:val="20"/>
                <w:color w:val="auto"/>
              </w:rPr>
            </w:pPr>
            <w:r>
              <w:rPr>
                <w:rFonts w:ascii="Arial" w:cs="Arial" w:eastAsia="Arial" w:hAnsi="Arial"/>
                <w:sz w:val="14"/>
                <w:szCs w:val="14"/>
                <w:color w:val="auto"/>
              </w:rPr>
              <w:t>Stop &amp; Shop</w:t>
            </w: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Queen Anne Plaza</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1994</w:t>
            </w:r>
          </w:p>
        </w:tc>
        <w:tc>
          <w:tcPr>
            <w:tcW w:w="10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15,659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149,000</w:t>
            </w:r>
          </w:p>
        </w:tc>
        <w:tc>
          <w:tcPr>
            <w:tcW w:w="7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Hannaford</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tcPr>
          <w:p>
            <w:pPr>
              <w:spacing w:after="0" w:line="138" w:lineRule="exact"/>
              <w:rPr>
                <w:sz w:val="20"/>
                <w:szCs w:val="20"/>
                <w:color w:val="auto"/>
              </w:rPr>
            </w:pPr>
            <w:r>
              <w:rPr>
                <w:rFonts w:ascii="Arial" w:cs="Arial" w:eastAsia="Arial" w:hAnsi="Arial"/>
                <w:sz w:val="14"/>
                <w:szCs w:val="14"/>
                <w:color w:val="auto"/>
              </w:rPr>
              <w:t>Saugus Plaza</w:t>
            </w:r>
          </w:p>
        </w:tc>
        <w:tc>
          <w:tcPr>
            <w:tcW w:w="50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w w:val="97"/>
              </w:rPr>
              <w:t>Boston-Cambridge-Quincy,</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w:t>
            </w:r>
          </w:p>
        </w:tc>
        <w:tc>
          <w:tcPr>
            <w:tcW w:w="10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13,701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171,000</w:t>
            </w:r>
          </w:p>
        </w:tc>
        <w:tc>
          <w:tcPr>
            <w:tcW w:w="7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55,000</w:t>
            </w:r>
          </w:p>
        </w:tc>
        <w:tc>
          <w:tcPr>
            <w:tcW w:w="100" w:type="dxa"/>
            <w:vAlign w:val="bottom"/>
          </w:tcPr>
          <w:p>
            <w:pPr>
              <w:spacing w:after="0"/>
              <w:rPr>
                <w:sz w:val="11"/>
                <w:szCs w:val="11"/>
                <w:color w:val="auto"/>
              </w:rPr>
            </w:pPr>
          </w:p>
        </w:tc>
        <w:tc>
          <w:tcPr>
            <w:tcW w:w="880" w:type="dxa"/>
            <w:vAlign w:val="bottom"/>
          </w:tcPr>
          <w:p>
            <w:pPr>
              <w:spacing w:after="0" w:line="138" w:lineRule="exact"/>
              <w:rPr>
                <w:sz w:val="20"/>
                <w:szCs w:val="20"/>
                <w:color w:val="auto"/>
              </w:rPr>
            </w:pPr>
            <w:r>
              <w:rPr>
                <w:rFonts w:ascii="Arial" w:cs="Arial" w:eastAsia="Arial" w:hAnsi="Arial"/>
                <w:sz w:val="14"/>
                <w:szCs w:val="14"/>
                <w:color w:val="auto"/>
              </w:rPr>
              <w:t>Super Stop &amp;</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line="159" w:lineRule="exact"/>
              <w:rPr>
                <w:sz w:val="20"/>
                <w:szCs w:val="20"/>
                <w:color w:val="auto"/>
              </w:rPr>
            </w:pPr>
            <w:r>
              <w:rPr>
                <w:rFonts w:ascii="Arial" w:cs="Arial" w:eastAsia="Arial" w:hAnsi="Arial"/>
                <w:sz w:val="14"/>
                <w:szCs w:val="14"/>
                <w:color w:val="auto"/>
              </w:rPr>
              <w:t>Shop</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New England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395,598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1,381,000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Baltimore</w:t>
            </w:r>
          </w:p>
        </w:tc>
        <w:tc>
          <w:tcPr>
            <w:tcW w:w="12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Governor Plaza</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Baltimore, MD</w:t>
            </w:r>
          </w:p>
        </w:tc>
        <w:tc>
          <w:tcPr>
            <w:tcW w:w="7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1985</w:t>
            </w:r>
          </w:p>
        </w:tc>
        <w:tc>
          <w:tcPr>
            <w:tcW w:w="100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22,059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269,000</w:t>
            </w:r>
          </w:p>
        </w:tc>
        <w:tc>
          <w:tcPr>
            <w:tcW w:w="78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16,500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Aldi</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9"/>
              </w:rPr>
              <w:t>Bally Total Fitness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tcPr>
          <w:p>
            <w:pPr>
              <w:spacing w:after="0" w:line="138" w:lineRule="exact"/>
              <w:rPr>
                <w:sz w:val="20"/>
                <w:szCs w:val="20"/>
                <w:color w:val="auto"/>
              </w:rPr>
            </w:pPr>
            <w:r>
              <w:rPr>
                <w:rFonts w:ascii="Arial" w:cs="Arial" w:eastAsia="Arial" w:hAnsi="Arial"/>
                <w:sz w:val="14"/>
                <w:szCs w:val="14"/>
                <w:color w:val="auto"/>
              </w:rPr>
              <w:t>Perring Plaza</w:t>
            </w:r>
          </w:p>
        </w:tc>
        <w:tc>
          <w:tcPr>
            <w:tcW w:w="50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Baltimore, MD</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10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26,970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401,000</w:t>
            </w:r>
          </w:p>
        </w:tc>
        <w:tc>
          <w:tcPr>
            <w:tcW w:w="7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58,000</w:t>
            </w:r>
          </w:p>
        </w:tc>
        <w:tc>
          <w:tcPr>
            <w:tcW w:w="100" w:type="dxa"/>
            <w:vAlign w:val="bottom"/>
          </w:tcPr>
          <w:p>
            <w:pPr>
              <w:spacing w:after="0"/>
              <w:rPr>
                <w:sz w:val="11"/>
                <w:szCs w:val="11"/>
                <w:color w:val="auto"/>
              </w:rPr>
            </w:pPr>
          </w:p>
        </w:tc>
        <w:tc>
          <w:tcPr>
            <w:tcW w:w="880" w:type="dxa"/>
            <w:vAlign w:val="bottom"/>
          </w:tcPr>
          <w:p>
            <w:pPr>
              <w:spacing w:after="0" w:line="138" w:lineRule="exact"/>
              <w:rPr>
                <w:sz w:val="20"/>
                <w:szCs w:val="20"/>
                <w:color w:val="auto"/>
              </w:rPr>
            </w:pPr>
            <w:r>
              <w:rPr>
                <w:rFonts w:ascii="Arial" w:cs="Arial" w:eastAsia="Arial" w:hAnsi="Arial"/>
                <w:sz w:val="14"/>
                <w:szCs w:val="14"/>
                <w:color w:val="auto"/>
                <w:w w:val="89"/>
              </w:rPr>
              <w:t>Shoppers Food</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Home Depot / Burlington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w w:val="89"/>
              </w:rPr>
              <w:t>Coat 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THE AVENUE at White Marsh</w:t>
            </w:r>
          </w:p>
        </w:tc>
        <w:tc>
          <w:tcPr>
            <w:tcW w:w="5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w:t>
            </w: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10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94,524</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59,214</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298,000</w:t>
            </w:r>
          </w:p>
        </w:tc>
        <w:tc>
          <w:tcPr>
            <w:tcW w:w="7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AMC Loews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3"/>
              </w:rPr>
              <w:t>Barnes &amp; Noble / 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w w:val="90"/>
              </w:rPr>
              <w:t>The Shoppes at Nottingham Square</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27,569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White Marsh Plaza</w:t>
            </w: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24,927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9,926</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rPr>
              <w:t>White Marsh Other</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28,896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Baltimore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224,945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1,149,000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3"/>
              </w:rPr>
              <w:t>Chicago</w:t>
            </w:r>
          </w:p>
        </w:tc>
        <w:tc>
          <w:tcPr>
            <w:tcW w:w="1360" w:type="dxa"/>
            <w:vAlign w:val="bottom"/>
            <w:gridSpan w:val="3"/>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Crossroads</w:t>
            </w: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Chicago, IL</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1993</w:t>
            </w:r>
          </w:p>
        </w:tc>
        <w:tc>
          <w:tcPr>
            <w:tcW w:w="10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23,520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168,000</w:t>
            </w:r>
          </w:p>
        </w:tc>
        <w:tc>
          <w:tcPr>
            <w:tcW w:w="7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tcPr>
          <w:p>
            <w:pPr>
              <w:spacing w:after="0" w:line="138" w:lineRule="exact"/>
              <w:rPr>
                <w:sz w:val="20"/>
                <w:szCs w:val="20"/>
                <w:color w:val="auto"/>
              </w:rPr>
            </w:pPr>
            <w:r>
              <w:rPr>
                <w:rFonts w:ascii="Arial" w:cs="Arial" w:eastAsia="Arial" w:hAnsi="Arial"/>
                <w:sz w:val="14"/>
                <w:szCs w:val="14"/>
                <w:color w:val="auto"/>
              </w:rPr>
              <w:t>Finley Square</w:t>
            </w:r>
          </w:p>
        </w:tc>
        <w:tc>
          <w:tcPr>
            <w:tcW w:w="50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Chicago, IL</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1995</w:t>
            </w:r>
          </w:p>
        </w:tc>
        <w:tc>
          <w:tcPr>
            <w:tcW w:w="10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31,322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315,000</w:t>
            </w:r>
          </w:p>
        </w:tc>
        <w:tc>
          <w:tcPr>
            <w:tcW w:w="7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Bed, Bath &amp; Beyond /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Buy Baby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Garden Market</w:t>
            </w: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11,835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rPr>
              <w:t>North Lake Commons</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13,837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77,000</w:t>
            </w:r>
          </w:p>
        </w:tc>
        <w:tc>
          <w:tcPr>
            <w:tcW w:w="1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Chicago</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80,514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752,000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4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Courtyard Shops</w:t>
            </w: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Miami-Ft Lauderdale</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2008</w:t>
            </w:r>
          </w:p>
        </w:tc>
        <w:tc>
          <w:tcPr>
            <w:tcW w:w="10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38,808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7,572</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130,000</w:t>
            </w:r>
          </w:p>
        </w:tc>
        <w:tc>
          <w:tcPr>
            <w:tcW w:w="7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91%</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Publix</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rPr>
              <w:t>Del Mar Village</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Miami-Ft Lauderdale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53,983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44,000</w:t>
            </w:r>
          </w:p>
        </w:tc>
        <w:tc>
          <w:tcPr>
            <w:tcW w:w="1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Winn Dixie</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South Florida</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92,791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Barracks Road</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Charlottesville, VA</w:t>
            </w:r>
          </w:p>
        </w:tc>
        <w:tc>
          <w:tcPr>
            <w:tcW w:w="7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1985</w:t>
            </w:r>
          </w:p>
        </w:tc>
        <w:tc>
          <w:tcPr>
            <w:tcW w:w="100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45,917</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40,827</w:t>
            </w:r>
          </w:p>
        </w:tc>
        <w:tc>
          <w:tcPr>
            <w:tcW w:w="6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487,000</w:t>
            </w:r>
          </w:p>
        </w:tc>
        <w:tc>
          <w:tcPr>
            <w:tcW w:w="78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99,000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6"/>
              </w:rPr>
              <w:t>Harris Teeter /</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8"/>
              </w:rPr>
              <w:t>Bed, Bath &amp; Beyond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Kroger</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&amp; Noble / 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rPr>
              <w:t>Bristol Plaza</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Hartford, CT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27,336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74,000</w:t>
            </w:r>
          </w:p>
        </w:tc>
        <w:tc>
          <w:tcPr>
            <w:tcW w:w="1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Stop &amp; Shop</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Eastgate</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Raleigh-Durham-Chapel Hill,</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1986</w:t>
            </w:r>
          </w:p>
        </w:tc>
        <w:tc>
          <w:tcPr>
            <w:tcW w:w="10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25,801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153,000</w:t>
            </w:r>
          </w:p>
        </w:tc>
        <w:tc>
          <w:tcPr>
            <w:tcW w:w="7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NC</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tcPr>
          <w:p>
            <w:pPr>
              <w:spacing w:after="0" w:line="138" w:lineRule="exact"/>
              <w:rPr>
                <w:sz w:val="20"/>
                <w:szCs w:val="20"/>
                <w:color w:val="auto"/>
              </w:rPr>
            </w:pPr>
            <w:r>
              <w:rPr>
                <w:rFonts w:ascii="Arial" w:cs="Arial" w:eastAsia="Arial" w:hAnsi="Arial"/>
                <w:sz w:val="14"/>
                <w:szCs w:val="14"/>
                <w:color w:val="auto"/>
              </w:rPr>
              <w:t>Gratiot Plaza</w:t>
            </w:r>
          </w:p>
        </w:tc>
        <w:tc>
          <w:tcPr>
            <w:tcW w:w="500" w:type="dxa"/>
            <w:vAlign w:val="bottom"/>
          </w:tcPr>
          <w:p>
            <w:pPr>
              <w:spacing w:after="0"/>
              <w:rPr>
                <w:sz w:val="11"/>
                <w:szCs w:val="11"/>
                <w:color w:val="auto"/>
              </w:rPr>
            </w:pPr>
          </w:p>
        </w:tc>
        <w:tc>
          <w:tcPr>
            <w:tcW w:w="1660" w:type="dxa"/>
            <w:vAlign w:val="bottom"/>
          </w:tcPr>
          <w:p>
            <w:pPr>
              <w:spacing w:after="0" w:line="138" w:lineRule="exact"/>
              <w:rPr>
                <w:sz w:val="20"/>
                <w:szCs w:val="20"/>
                <w:color w:val="auto"/>
              </w:rPr>
            </w:pPr>
            <w:r>
              <w:rPr>
                <w:rFonts w:ascii="Arial" w:cs="Arial" w:eastAsia="Arial" w:hAnsi="Arial"/>
                <w:sz w:val="14"/>
                <w:szCs w:val="14"/>
                <w:color w:val="auto"/>
              </w:rPr>
              <w:t>Detroit, MI</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1973</w:t>
            </w:r>
          </w:p>
        </w:tc>
        <w:tc>
          <w:tcPr>
            <w:tcW w:w="10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18,674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217,000</w:t>
            </w:r>
          </w:p>
        </w:tc>
        <w:tc>
          <w:tcPr>
            <w:tcW w:w="7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69,000</w:t>
            </w:r>
          </w:p>
        </w:tc>
        <w:tc>
          <w:tcPr>
            <w:tcW w:w="100" w:type="dxa"/>
            <w:vAlign w:val="bottom"/>
          </w:tcPr>
          <w:p>
            <w:pPr>
              <w:spacing w:after="0"/>
              <w:rPr>
                <w:sz w:val="11"/>
                <w:szCs w:val="11"/>
                <w:color w:val="auto"/>
              </w:rPr>
            </w:pPr>
          </w:p>
        </w:tc>
        <w:tc>
          <w:tcPr>
            <w:tcW w:w="880" w:type="dxa"/>
            <w:vAlign w:val="bottom"/>
          </w:tcPr>
          <w:p>
            <w:pPr>
              <w:spacing w:after="0" w:line="138" w:lineRule="exact"/>
              <w:rPr>
                <w:sz w:val="20"/>
                <w:szCs w:val="20"/>
                <w:color w:val="auto"/>
              </w:rPr>
            </w:pPr>
            <w:r>
              <w:rPr>
                <w:rFonts w:ascii="Arial" w:cs="Arial" w:eastAsia="Arial" w:hAnsi="Arial"/>
                <w:sz w:val="14"/>
                <w:szCs w:val="14"/>
                <w:color w:val="auto"/>
              </w:rPr>
              <w:t>Kroger</w:t>
            </w:r>
          </w:p>
        </w:tc>
        <w:tc>
          <w:tcPr>
            <w:tcW w:w="10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w w:val="97"/>
              </w:rPr>
              <w:t>Bed, Bath &amp; Beyond / Best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Buy /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Greenwich Avenue</w:t>
            </w:r>
          </w:p>
        </w:tc>
        <w:tc>
          <w:tcPr>
            <w:tcW w:w="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New Haven-Bridgeport-</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10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13,942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36,000</w:t>
            </w:r>
          </w:p>
        </w:tc>
        <w:tc>
          <w:tcPr>
            <w:tcW w:w="7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Stamford-Waterbury</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rPr>
              <w:t>Houston St</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San Antonio, TX</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69,661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Lancaster, PA</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10,980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4,907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tcPr>
          <w:p>
            <w:pPr>
              <w:spacing w:after="0" w:line="149" w:lineRule="exact"/>
              <w:rPr>
                <w:sz w:val="20"/>
                <w:szCs w:val="20"/>
                <w:color w:val="auto"/>
              </w:rPr>
            </w:pPr>
            <w:r>
              <w:rPr>
                <w:rFonts w:ascii="Arial" w:cs="Arial" w:eastAsia="Arial" w:hAnsi="Arial"/>
                <w:sz w:val="14"/>
                <w:szCs w:val="14"/>
                <w:color w:val="auto"/>
              </w:rPr>
              <w:t>Shoppers’ World</w:t>
            </w:r>
          </w:p>
        </w:tc>
        <w:tc>
          <w:tcPr>
            <w:tcW w:w="50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Charlottesville, VA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29,625</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5,767</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169,000</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28,000</w:t>
            </w:r>
          </w:p>
        </w:tc>
        <w:tc>
          <w:tcPr>
            <w:tcW w:w="1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Whole Foods</w:t>
            </w:r>
          </w:p>
        </w:tc>
        <w:tc>
          <w:tcPr>
            <w:tcW w:w="10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Shops at Willow Lawn</w:t>
            </w: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Richmond-Petersburg, VA</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76,111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Kroger</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Total Other</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318,047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9"/>
              </w:rPr>
              <w:t>2,113,000</w:t>
            </w:r>
          </w:p>
        </w:tc>
        <w:tc>
          <w:tcPr>
            <w:tcW w:w="7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91%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Total</w:t>
            </w:r>
          </w:p>
        </w:tc>
        <w:tc>
          <w:tcPr>
            <w:tcW w:w="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   3,727,764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605,033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18,164,000</w:t>
            </w: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Straight-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Cash</w:t>
            </w: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Basis %</w:t>
            </w: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Increase</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79"/>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Tennant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11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Comparable</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Rent (4)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Annual</w:t>
            </w: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Over</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Tennant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2"/>
                <w:szCs w:val="12"/>
                <w:color w:val="auto"/>
              </w:rPr>
            </w:pPr>
          </w:p>
        </w:tc>
        <w:tc>
          <w:tcPr>
            <w:tcW w:w="98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Leases</w:t>
            </w:r>
          </w:p>
        </w:tc>
        <w:tc>
          <w:tcPr>
            <w:tcW w:w="240" w:type="dxa"/>
            <w:vAlign w:val="bottom"/>
          </w:tcPr>
          <w:p>
            <w:pPr>
              <w:spacing w:after="0"/>
              <w:rPr>
                <w:sz w:val="12"/>
                <w:szCs w:val="12"/>
                <w:color w:val="auto"/>
              </w:rPr>
            </w:pPr>
          </w:p>
        </w:tc>
        <w:tc>
          <w:tcPr>
            <w:tcW w:w="5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1"/>
              </w:rPr>
              <w:t>GLA</w:t>
            </w:r>
          </w:p>
        </w:tc>
        <w:tc>
          <w:tcPr>
            <w:tcW w:w="18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Rent (3)</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 Sq.</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Over</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Prior</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1"/>
              </w:rPr>
              <w:t>Signed</w:t>
            </w:r>
          </w:p>
        </w:tc>
        <w:tc>
          <w:tcPr>
            <w:tcW w:w="120" w:type="dxa"/>
            <w:vAlign w:val="bottom"/>
          </w:tcPr>
          <w:p>
            <w:pPr>
              <w:spacing w:after="0"/>
              <w:rPr>
                <w:sz w:val="14"/>
                <w:szCs w:val="14"/>
                <w:color w:val="auto"/>
              </w:rPr>
            </w:pPr>
          </w:p>
        </w:tc>
        <w:tc>
          <w:tcPr>
            <w:tcW w:w="9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Signed</w:t>
            </w:r>
          </w:p>
        </w:tc>
        <w:tc>
          <w:tcPr>
            <w:tcW w:w="24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76"/>
              </w:rPr>
              <w:t>Signed</w:t>
            </w:r>
          </w:p>
        </w:tc>
        <w:tc>
          <w:tcPr>
            <w:tcW w:w="18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Per Sq. Ft.</w:t>
            </w:r>
          </w:p>
        </w:tc>
        <w:tc>
          <w:tcPr>
            <w:tcW w:w="1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Ft.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 Rent</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Prior Rent</w:t>
            </w: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Rent</w:t>
            </w:r>
          </w:p>
        </w:tc>
        <w:tc>
          <w:tcPr>
            <w:tcW w:w="18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Term (5)   &amp; Incentives (6)</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334,690</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$27.00</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794,017</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3,416,213</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2nd Quarter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gridSpan w:val="3"/>
          </w:tcPr>
          <w:p>
            <w:pPr>
              <w:ind w:left="220"/>
              <w:spacing w:after="0"/>
              <w:rPr>
                <w:sz w:val="20"/>
                <w:szCs w:val="20"/>
                <w:color w:val="auto"/>
              </w:rPr>
            </w:pPr>
            <w:r>
              <w:rPr>
                <w:rFonts w:ascii="Arial" w:cs="Arial" w:eastAsia="Arial" w:hAnsi="Arial"/>
                <w:sz w:val="18"/>
                <w:szCs w:val="18"/>
                <w:color w:val="auto"/>
              </w:rPr>
              <w:t>2009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315,214</w:t>
            </w:r>
          </w:p>
        </w:tc>
        <w:tc>
          <w:tcPr>
            <w:tcW w:w="80" w:type="dxa"/>
            <w:vAlign w:val="bottom"/>
          </w:tcPr>
          <w:p>
            <w:pPr>
              <w:spacing w:after="0"/>
              <w:rPr>
                <w:sz w:val="19"/>
                <w:szCs w:val="19"/>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26.87</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$23.25</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$1,141,114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1,194,192</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232,105</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31.42</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$26.99</w:t>
            </w:r>
          </w:p>
        </w:tc>
        <w:tc>
          <w:tcPr>
            <w:tcW w:w="1260" w:type="dxa"/>
            <w:vAlign w:val="bottom"/>
            <w:tcBorders>
              <w:left w:val="single" w:sz="8" w:color="CCEEFF"/>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$1,029,234</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2,413,756</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4th Quarter 2008</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329,622</w:t>
            </w:r>
          </w:p>
        </w:tc>
        <w:tc>
          <w:tcPr>
            <w:tcW w:w="80" w:type="dxa"/>
            <w:vAlign w:val="bottom"/>
          </w:tcPr>
          <w:p>
            <w:pPr>
              <w:spacing w:after="0"/>
              <w:rPr>
                <w:sz w:val="19"/>
                <w:szCs w:val="19"/>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21.62</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803,054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1,733,441</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lef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1,211,631</w:t>
            </w:r>
          </w:p>
        </w:tc>
        <w:tc>
          <w:tcPr>
            <w:tcW w:w="80" w:type="dxa"/>
            <w:vAlign w:val="bottom"/>
            <w:tcBorders>
              <w:left w:val="single" w:sz="8" w:color="CCEEFF"/>
            </w:tcBorders>
            <w:shd w:val="clear" w:color="auto" w:fill="CCEEFF"/>
          </w:tcPr>
          <w:p>
            <w:pPr>
              <w:spacing w:after="0"/>
              <w:rPr>
                <w:sz w:val="19"/>
                <w:szCs w:val="19"/>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23.89</w:t>
            </w:r>
          </w:p>
        </w:tc>
        <w:tc>
          <w:tcPr>
            <w:tcW w:w="1260" w:type="dxa"/>
            <w:vAlign w:val="bottom"/>
            <w:tcBorders>
              <w:left w:val="single" w:sz="8" w:color="CCEEFF"/>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3,767,419</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8,757,602</w:t>
            </w:r>
          </w:p>
        </w:tc>
        <w:tc>
          <w:tcPr>
            <w:tcW w:w="2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40" w:type="dxa"/>
            <w:vAlign w:val="bottom"/>
            <w:gridSpan w:val="14"/>
          </w:tcPr>
          <w:p>
            <w:pPr>
              <w:spacing w:after="0"/>
              <w:rPr>
                <w:sz w:val="20"/>
                <w:szCs w:val="20"/>
                <w:color w:val="auto"/>
              </w:rPr>
            </w:pPr>
            <w:r>
              <w:rPr>
                <w:rFonts w:ascii="Arial" w:cs="Arial" w:eastAsia="Arial" w:hAnsi="Arial"/>
                <w:sz w:val="18"/>
                <w:szCs w:val="18"/>
                <w:b w:val="1"/>
                <w:bCs w:val="1"/>
                <w:color w:val="auto"/>
                <w:w w:val="98"/>
              </w:rPr>
              <w:t>New Lease Summary - Comparable (2)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Cash</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Basis %</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Comparable</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Rent (4)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Annual</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Over</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Leases</w:t>
            </w:r>
          </w:p>
        </w:tc>
        <w:tc>
          <w:tcPr>
            <w:tcW w:w="24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GLA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Rent (3)</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Over</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Prior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Signed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Signed</w:t>
            </w: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Signed</w:t>
            </w:r>
          </w:p>
        </w:tc>
        <w:tc>
          <w:tcPr>
            <w:tcW w:w="1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Per Sq. Ft.</w:t>
            </w:r>
          </w:p>
        </w:tc>
        <w:tc>
          <w:tcPr>
            <w:tcW w:w="1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Ft.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 Rent</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Prior Rent</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Rent</w:t>
            </w: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Term (5)   &amp; Incentives (6)</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7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187,140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$22.62</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$ 866,840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3,353,613</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7"/>
              </w:rPr>
              <w:t>2nd Quarter 2009</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26</w:t>
            </w:r>
          </w:p>
        </w:tc>
        <w:tc>
          <w:tcPr>
            <w:tcW w:w="1100" w:type="dxa"/>
            <w:vAlign w:val="bottom"/>
            <w:gridSpan w:val="6"/>
          </w:tcPr>
          <w:p>
            <w:pPr>
              <w:jc w:val="right"/>
              <w:ind w:right="40"/>
              <w:spacing w:after="0"/>
              <w:rPr>
                <w:sz w:val="20"/>
                <w:szCs w:val="20"/>
                <w:color w:val="auto"/>
              </w:rPr>
            </w:pPr>
            <w:r>
              <w:rPr>
                <w:rFonts w:ascii="Arial" w:cs="Arial" w:eastAsia="Arial" w:hAnsi="Arial"/>
                <w:sz w:val="18"/>
                <w:szCs w:val="18"/>
                <w:color w:val="auto"/>
              </w:rPr>
              <w:t>38%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73,693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24.27</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$27.68</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$(251,200)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1,194,192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7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73,535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$32.28</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2,398,456</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4th Quarter 2008</w:t>
            </w:r>
          </w:p>
        </w:tc>
        <w:tc>
          <w:tcPr>
            <w:tcW w:w="240" w:type="dxa"/>
            <w:vAlign w:val="bottom"/>
            <w:gridSpan w:val="2"/>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67,903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28.76</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24.20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$ 309,271</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1,583,441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240" w:type="dxa"/>
            <w:vAlign w:val="bottom"/>
            <w:gridSpan w:val="2"/>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402,271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25.58</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$ 944,541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8,529,702</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20" w:type="dxa"/>
            <w:vAlign w:val="bottom"/>
            <w:gridSpan w:val="17"/>
          </w:tcPr>
          <w:p>
            <w:pPr>
              <w:spacing w:after="0"/>
              <w:rPr>
                <w:sz w:val="20"/>
                <w:szCs w:val="20"/>
                <w:color w:val="auto"/>
              </w:rPr>
            </w:pPr>
            <w:r>
              <w:rPr>
                <w:rFonts w:ascii="Arial" w:cs="Arial" w:eastAsia="Arial" w:hAnsi="Arial"/>
                <w:sz w:val="18"/>
                <w:szCs w:val="18"/>
                <w:b w:val="1"/>
                <w:bCs w:val="1"/>
                <w:color w:val="auto"/>
              </w:rPr>
              <w:t>Renewal Lease Summary - Comparable (2) (7)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Cash</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Prior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Basis %</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98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Comparable</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Rent (4)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Annual</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Over</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6"/>
              </w:rPr>
              <w:t>Leases</w:t>
            </w:r>
          </w:p>
        </w:tc>
        <w:tc>
          <w:tcPr>
            <w:tcW w:w="240" w:type="dxa"/>
            <w:vAlign w:val="bottom"/>
          </w:tcPr>
          <w:p>
            <w:pPr>
              <w:spacing w:after="0"/>
              <w:rPr>
                <w:sz w:val="12"/>
                <w:szCs w:val="12"/>
                <w:color w:val="auto"/>
              </w:rPr>
            </w:pPr>
          </w:p>
        </w:tc>
        <w:tc>
          <w:tcPr>
            <w:tcW w:w="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GLA</w:t>
            </w:r>
          </w:p>
        </w:tc>
        <w:tc>
          <w:tcPr>
            <w:tcW w:w="18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Rent (3)</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 Sq.</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Over</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Prior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1"/>
              </w:rPr>
              <w:t>Signed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Signed</w:t>
            </w:r>
          </w:p>
        </w:tc>
        <w:tc>
          <w:tcPr>
            <w:tcW w:w="24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Signed</w:t>
            </w:r>
          </w:p>
        </w:tc>
        <w:tc>
          <w:tcPr>
            <w:tcW w:w="18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Per Sq. Ft.</w:t>
            </w:r>
          </w:p>
        </w:tc>
        <w:tc>
          <w:tcPr>
            <w:tcW w:w="18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Ft.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 Rent</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Prior Rent</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Rent</w:t>
            </w: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Term (5)   &amp; Incentives (6)</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72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1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147,550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32.08</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$32.57</w:t>
            </w:r>
          </w:p>
        </w:tc>
        <w:tc>
          <w:tcPr>
            <w:tcW w:w="3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(72,823)</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7"/>
              </w:rPr>
              <w:t>2nd Quarter 2009</w:t>
            </w: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43</w:t>
            </w:r>
          </w:p>
        </w:tc>
        <w:tc>
          <w:tcPr>
            <w:tcW w:w="1100" w:type="dxa"/>
            <w:vAlign w:val="bottom"/>
            <w:gridSpan w:val="6"/>
          </w:tcPr>
          <w:p>
            <w:pPr>
              <w:jc w:val="right"/>
              <w:ind w:right="100"/>
              <w:spacing w:after="0"/>
              <w:rPr>
                <w:sz w:val="20"/>
                <w:szCs w:val="20"/>
                <w:color w:val="auto"/>
              </w:rPr>
            </w:pPr>
            <w:r>
              <w:rPr>
                <w:rFonts w:ascii="Arial" w:cs="Arial" w:eastAsia="Arial" w:hAnsi="Arial"/>
                <w:sz w:val="18"/>
                <w:szCs w:val="18"/>
                <w:color w:val="auto"/>
              </w:rPr>
              <w:t>62%</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241,521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27.66</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$21.89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$1,392,314</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72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1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158,570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30.90</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$24.53</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$1,009,604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4th Quarter 2008</w:t>
            </w: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80%</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261,719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19.76</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17.88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493,783</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809,360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26.55</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23.06</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2,822,878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and Non-comparable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2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79"/>
              </w:rPr>
              <w:t>Leases Signed</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Lease Term (5)</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&amp; Incentives (6)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356,624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4,434,756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2nd Quarter 2009</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318,703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27.03</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1,503,836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233,172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2,430,940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4th Quarter 2008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334,127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1,898,706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1,242,626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10,268,238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7"/>
              </w:rPr>
              <w:t>Anchor Tenants (1)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Small Shop Tenants</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 of Small</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Anchor SF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4"/>
                <w:szCs w:val="14"/>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PSF(2)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Expiring SF</w:t>
            </w:r>
          </w:p>
        </w:tc>
        <w:tc>
          <w:tcPr>
            <w:tcW w:w="2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Total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12.26</w:t>
            </w:r>
          </w:p>
        </w:tc>
        <w:tc>
          <w:tcPr>
            <w:tcW w:w="700" w:type="dxa"/>
            <w:vAlign w:val="bottom"/>
          </w:tcPr>
          <w:p>
            <w:pPr>
              <w:jc w:val="right"/>
              <w:spacing w:after="0"/>
              <w:rPr>
                <w:sz w:val="20"/>
                <w:szCs w:val="20"/>
                <w:color w:val="auto"/>
              </w:rPr>
            </w:pPr>
            <w:r>
              <w:rPr>
                <w:rFonts w:ascii="Arial" w:cs="Arial" w:eastAsia="Arial" w:hAnsi="Arial"/>
                <w:sz w:val="18"/>
                <w:szCs w:val="18"/>
                <w:color w:val="auto"/>
              </w:rPr>
              <w:t>745,000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1,075,000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1,138,000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1,132,000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2,110,000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1,003,000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1,398,000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15.86</w:t>
            </w:r>
          </w:p>
        </w:tc>
        <w:tc>
          <w:tcPr>
            <w:tcW w:w="700" w:type="dxa"/>
            <w:vAlign w:val="bottom"/>
          </w:tcPr>
          <w:p>
            <w:pPr>
              <w:jc w:val="right"/>
              <w:spacing w:after="0"/>
              <w:rPr>
                <w:sz w:val="20"/>
                <w:szCs w:val="20"/>
                <w:color w:val="auto"/>
              </w:rPr>
            </w:pPr>
            <w:r>
              <w:rPr>
                <w:rFonts w:ascii="Arial" w:cs="Arial" w:eastAsia="Arial" w:hAnsi="Arial"/>
                <w:sz w:val="18"/>
                <w:szCs w:val="18"/>
                <w:color w:val="auto"/>
              </w:rPr>
              <w:t>807,000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2,205,000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17.42</w:t>
            </w:r>
          </w:p>
        </w:tc>
        <w:tc>
          <w:tcPr>
            <w:tcW w:w="700" w:type="dxa"/>
            <w:vAlign w:val="bottom"/>
          </w:tcPr>
          <w:p>
            <w:pPr>
              <w:jc w:val="right"/>
              <w:spacing w:after="0"/>
              <w:rPr>
                <w:sz w:val="20"/>
                <w:szCs w:val="20"/>
                <w:color w:val="auto"/>
              </w:rPr>
            </w:pPr>
            <w:r>
              <w:rPr>
                <w:rFonts w:ascii="Arial" w:cs="Arial" w:eastAsia="Arial" w:hAnsi="Arial"/>
                <w:sz w:val="18"/>
                <w:szCs w:val="18"/>
                <w:color w:val="auto"/>
              </w:rPr>
              <w:t>478,000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941,000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700" w:type="dxa"/>
            <w:vAlign w:val="bottom"/>
          </w:tcPr>
          <w:p>
            <w:pPr>
              <w:jc w:val="right"/>
              <w:spacing w:after="0"/>
              <w:rPr>
                <w:sz w:val="20"/>
                <w:szCs w:val="20"/>
                <w:color w:val="auto"/>
              </w:rPr>
            </w:pPr>
            <w:r>
              <w:rPr>
                <w:rFonts w:ascii="Arial" w:cs="Arial" w:eastAsia="Arial" w:hAnsi="Arial"/>
                <w:sz w:val="18"/>
                <w:szCs w:val="18"/>
                <w:color w:val="auto"/>
              </w:rPr>
              <w:t>286,000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958,000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2,351,000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2,938,000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6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9,522,000</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7,422,000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16,942,000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060" w:type="dxa"/>
            <w:vAlign w:val="bottom"/>
            <w:gridSpan w:val="5"/>
          </w:tcPr>
          <w:p>
            <w:pPr>
              <w:spacing w:after="0"/>
              <w:rPr>
                <w:sz w:val="20"/>
                <w:szCs w:val="20"/>
                <w:color w:val="auto"/>
              </w:rPr>
            </w:pPr>
            <w:r>
              <w:rPr>
                <w:rFonts w:ascii="Arial" w:cs="Arial" w:eastAsia="Arial" w:hAnsi="Arial"/>
                <w:sz w:val="18"/>
                <w:szCs w:val="18"/>
                <w:b w:val="1"/>
                <w:bCs w:val="1"/>
                <w:color w:val="auto"/>
                <w:w w:val="88"/>
              </w:rPr>
              <w:t>Assumes all lease options are exercised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7"/>
              </w:rPr>
              <w:t>Anchor Tenants (1)</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Small Shop Tenants</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 of Small</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Anchor SF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Expiring SF</w:t>
            </w:r>
          </w:p>
        </w:tc>
        <w:tc>
          <w:tcPr>
            <w:tcW w:w="2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Total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11.22</w:t>
            </w:r>
          </w:p>
        </w:tc>
        <w:tc>
          <w:tcPr>
            <w:tcW w:w="700" w:type="dxa"/>
            <w:vAlign w:val="bottom"/>
          </w:tcPr>
          <w:p>
            <w:pPr>
              <w:jc w:val="right"/>
              <w:spacing w:after="0"/>
              <w:rPr>
                <w:sz w:val="20"/>
                <w:szCs w:val="20"/>
                <w:color w:val="auto"/>
              </w:rPr>
            </w:pPr>
            <w:r>
              <w:rPr>
                <w:rFonts w:ascii="Arial" w:cs="Arial" w:eastAsia="Arial" w:hAnsi="Arial"/>
                <w:sz w:val="18"/>
                <w:szCs w:val="18"/>
                <w:color w:val="auto"/>
              </w:rPr>
              <w:t>489,000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633,000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16.15</w:t>
            </w:r>
          </w:p>
        </w:tc>
        <w:tc>
          <w:tcPr>
            <w:tcW w:w="700" w:type="dxa"/>
            <w:vAlign w:val="bottom"/>
          </w:tcPr>
          <w:p>
            <w:pPr>
              <w:jc w:val="right"/>
              <w:spacing w:after="0"/>
              <w:rPr>
                <w:sz w:val="20"/>
                <w:szCs w:val="20"/>
                <w:color w:val="auto"/>
              </w:rPr>
            </w:pPr>
            <w:r>
              <w:rPr>
                <w:rFonts w:ascii="Arial" w:cs="Arial" w:eastAsia="Arial" w:hAnsi="Arial"/>
                <w:sz w:val="18"/>
                <w:szCs w:val="18"/>
                <w:color w:val="auto"/>
              </w:rPr>
              <w:t>664,000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882,000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700" w:type="dxa"/>
            <w:vAlign w:val="bottom"/>
          </w:tcPr>
          <w:p>
            <w:pPr>
              <w:jc w:val="right"/>
              <w:spacing w:after="0"/>
              <w:rPr>
                <w:sz w:val="20"/>
                <w:szCs w:val="20"/>
                <w:color w:val="auto"/>
              </w:rPr>
            </w:pPr>
            <w:r>
              <w:rPr>
                <w:rFonts w:ascii="Arial" w:cs="Arial" w:eastAsia="Arial" w:hAnsi="Arial"/>
                <w:sz w:val="18"/>
                <w:szCs w:val="18"/>
                <w:color w:val="auto"/>
              </w:rPr>
              <w:t>511,000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735,000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700" w:type="dxa"/>
            <w:vAlign w:val="bottom"/>
          </w:tcPr>
          <w:p>
            <w:pPr>
              <w:jc w:val="right"/>
              <w:spacing w:after="0"/>
              <w:rPr>
                <w:sz w:val="20"/>
                <w:szCs w:val="20"/>
                <w:color w:val="auto"/>
              </w:rPr>
            </w:pPr>
            <w:r>
              <w:rPr>
                <w:rFonts w:ascii="Arial" w:cs="Arial" w:eastAsia="Arial" w:hAnsi="Arial"/>
                <w:sz w:val="18"/>
                <w:szCs w:val="18"/>
                <w:color w:val="auto"/>
              </w:rPr>
              <w:t>446,000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651,000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c>
          <w:tcPr>
            <w:tcW w:w="700" w:type="dxa"/>
            <w:vAlign w:val="bottom"/>
          </w:tcPr>
          <w:p>
            <w:pPr>
              <w:jc w:val="right"/>
              <w:spacing w:after="0"/>
              <w:rPr>
                <w:sz w:val="20"/>
                <w:szCs w:val="20"/>
                <w:color w:val="auto"/>
              </w:rPr>
            </w:pPr>
            <w:r>
              <w:rPr>
                <w:rFonts w:ascii="Arial" w:cs="Arial" w:eastAsia="Arial" w:hAnsi="Arial"/>
                <w:sz w:val="18"/>
                <w:szCs w:val="18"/>
                <w:color w:val="auto"/>
              </w:rPr>
              <w:t>428,000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733,000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7,742,000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2,584,000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10,324,000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6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9,522,000</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7,422,000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16,942,000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September 30,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occupied square footage as of September 30,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9"/>
              </w:rPr>
              <w:t>At September 30, 2009</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9"/>
              </w:rPr>
              <w:t>At September 30, 2008</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18,164,000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17,110,000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18,130,000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17,323,000</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493"/>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200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w w:val="89"/>
              </w:rPr>
              <w:t>At September 30, 2009</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w w:val="89"/>
              </w:rPr>
              <w:t>At September 30, 2008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0" w:type="dxa"/>
            <w:vAlign w:val="bottom"/>
            <w:gridSpan w:val="4"/>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gridSpan w:val="4"/>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0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17,246,000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16,282,000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16,530,000</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92.7%</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portfolio and Same Center statistics at September 30, 2009 and 2008 include Rollingwood, The Crest at Congressional and the residential rental units at Santana Row. Overall portfolio statistics as of September 30, 2009, include the 180 residential units at Arlington East (Bethesda Row) which were first delivered in May 2008 and continued to be delivered through 2008.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 of</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Tenant Name</w:t>
            </w:r>
          </w:p>
        </w:tc>
        <w:tc>
          <w:tcPr>
            <w:tcW w:w="3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43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Rent</w:t>
            </w: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Base Rent</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Tenant GLA</w:t>
            </w: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Bed, Bath &amp; Beyond,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9,751,000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Ahold USA,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8,407,000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2.25%</w:t>
            </w:r>
          </w:p>
        </w:tc>
        <w:tc>
          <w:tcPr>
            <w:tcW w:w="780" w:type="dxa"/>
            <w:vAlign w:val="bottom"/>
          </w:tcPr>
          <w:p>
            <w:pPr>
              <w:jc w:val="right"/>
              <w:spacing w:after="0"/>
              <w:rPr>
                <w:sz w:val="20"/>
                <w:szCs w:val="20"/>
                <w:color w:val="auto"/>
              </w:rPr>
            </w:pPr>
            <w:r>
              <w:rPr>
                <w:rFonts w:ascii="Arial" w:cs="Arial" w:eastAsia="Arial" w:hAnsi="Arial"/>
                <w:sz w:val="18"/>
                <w:szCs w:val="18"/>
                <w:color w:val="auto"/>
              </w:rPr>
              <w:t>571,000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3.14%</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TJX Companies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7,029,000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Safeway,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6,751,000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1.81%</w:t>
            </w:r>
          </w:p>
        </w:tc>
        <w:tc>
          <w:tcPr>
            <w:tcW w:w="780" w:type="dxa"/>
            <w:vAlign w:val="bottom"/>
          </w:tcPr>
          <w:p>
            <w:pPr>
              <w:jc w:val="right"/>
              <w:spacing w:after="0"/>
              <w:rPr>
                <w:sz w:val="20"/>
                <w:szCs w:val="20"/>
                <w:color w:val="auto"/>
              </w:rPr>
            </w:pPr>
            <w:r>
              <w:rPr>
                <w:rFonts w:ascii="Arial" w:cs="Arial" w:eastAsia="Arial" w:hAnsi="Arial"/>
                <w:sz w:val="18"/>
                <w:szCs w:val="18"/>
                <w:color w:val="auto"/>
              </w:rPr>
              <w:t>481,000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Gap,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6,481,000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CVS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6,219,000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1.67%</w:t>
            </w:r>
          </w:p>
        </w:tc>
        <w:tc>
          <w:tcPr>
            <w:tcW w:w="780" w:type="dxa"/>
            <w:vAlign w:val="bottom"/>
          </w:tcPr>
          <w:p>
            <w:pPr>
              <w:jc w:val="right"/>
              <w:spacing w:after="0"/>
              <w:rPr>
                <w:sz w:val="20"/>
                <w:szCs w:val="20"/>
                <w:color w:val="auto"/>
              </w:rPr>
            </w:pPr>
            <w:r>
              <w:rPr>
                <w:rFonts w:ascii="Arial" w:cs="Arial" w:eastAsia="Arial" w:hAnsi="Arial"/>
                <w:sz w:val="18"/>
                <w:szCs w:val="18"/>
                <w:color w:val="auto"/>
              </w:rPr>
              <w:t>205,000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Barnes &amp; Noble,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4,725,000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OPNET Technologies,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3,754,000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780" w:type="dxa"/>
            <w:vAlign w:val="bottom"/>
          </w:tcPr>
          <w:p>
            <w:pPr>
              <w:jc w:val="right"/>
              <w:spacing w:after="0"/>
              <w:rPr>
                <w:sz w:val="20"/>
                <w:szCs w:val="20"/>
                <w:color w:val="auto"/>
              </w:rPr>
            </w:pPr>
            <w:r>
              <w:rPr>
                <w:rFonts w:ascii="Arial" w:cs="Arial" w:eastAsia="Arial" w:hAnsi="Arial"/>
                <w:sz w:val="18"/>
                <w:szCs w:val="18"/>
                <w:color w:val="auto"/>
              </w:rPr>
              <w:t>83,000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0.46%</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Staples,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3,479,000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Best Buy Stores, L.P.</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3,459,000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0.93%</w:t>
            </w:r>
          </w:p>
        </w:tc>
        <w:tc>
          <w:tcPr>
            <w:tcW w:w="780" w:type="dxa"/>
            <w:vAlign w:val="bottom"/>
          </w:tcPr>
          <w:p>
            <w:pPr>
              <w:jc w:val="right"/>
              <w:spacing w:after="0"/>
              <w:rPr>
                <w:sz w:val="20"/>
                <w:szCs w:val="20"/>
                <w:color w:val="auto"/>
              </w:rPr>
            </w:pPr>
            <w:r>
              <w:rPr>
                <w:rFonts w:ascii="Arial" w:cs="Arial" w:eastAsia="Arial" w:hAnsi="Arial"/>
                <w:sz w:val="18"/>
                <w:szCs w:val="18"/>
                <w:color w:val="auto"/>
              </w:rPr>
              <w:t>99,000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0.55%</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DSW,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3,294,000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w w:val="97"/>
              </w:rPr>
              <w:t>Supervalu Inc.(Acme/Sav-A-Lot/Star Mkt/Shoppers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3,227,000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0.87%</w:t>
            </w:r>
          </w:p>
        </w:tc>
        <w:tc>
          <w:tcPr>
            <w:tcW w:w="780" w:type="dxa"/>
            <w:vAlign w:val="bottom"/>
          </w:tcPr>
          <w:p>
            <w:pPr>
              <w:jc w:val="right"/>
              <w:spacing w:after="0"/>
              <w:rPr>
                <w:sz w:val="20"/>
                <w:szCs w:val="20"/>
                <w:color w:val="auto"/>
              </w:rPr>
            </w:pPr>
            <w:r>
              <w:rPr>
                <w:rFonts w:ascii="Arial" w:cs="Arial" w:eastAsia="Arial" w:hAnsi="Arial"/>
                <w:sz w:val="18"/>
                <w:szCs w:val="18"/>
                <w:color w:val="auto"/>
              </w:rPr>
              <w:t>338,000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Food)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Wells Fargo Bank, N.A. (includes Wachovia</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3,091,000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L.A. Fitness International LLC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3,061,000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0.82%</w:t>
            </w:r>
          </w:p>
        </w:tc>
        <w:tc>
          <w:tcPr>
            <w:tcW w:w="780" w:type="dxa"/>
            <w:vAlign w:val="bottom"/>
          </w:tcPr>
          <w:p>
            <w:pPr>
              <w:jc w:val="right"/>
              <w:spacing w:after="0"/>
              <w:rPr>
                <w:sz w:val="20"/>
                <w:szCs w:val="20"/>
                <w:color w:val="auto"/>
              </w:rPr>
            </w:pPr>
            <w:r>
              <w:rPr>
                <w:rFonts w:ascii="Arial" w:cs="Arial" w:eastAsia="Arial" w:hAnsi="Arial"/>
                <w:sz w:val="18"/>
                <w:szCs w:val="18"/>
                <w:color w:val="auto"/>
              </w:rPr>
              <w:t>178,000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Ross Stores,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2,895,000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Home Depot,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2,832,000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0.76%</w:t>
            </w:r>
          </w:p>
        </w:tc>
        <w:tc>
          <w:tcPr>
            <w:tcW w:w="780" w:type="dxa"/>
            <w:vAlign w:val="bottom"/>
          </w:tcPr>
          <w:p>
            <w:pPr>
              <w:jc w:val="right"/>
              <w:spacing w:after="0"/>
              <w:rPr>
                <w:sz w:val="20"/>
                <w:szCs w:val="20"/>
                <w:color w:val="auto"/>
              </w:rPr>
            </w:pPr>
            <w:r>
              <w:rPr>
                <w:rFonts w:ascii="Arial" w:cs="Arial" w:eastAsia="Arial" w:hAnsi="Arial"/>
                <w:sz w:val="18"/>
                <w:szCs w:val="18"/>
                <w:color w:val="auto"/>
              </w:rPr>
              <w:t>335,000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1.84%</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Kohl’s Corporation</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2,793,000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Wakefern Food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2,783,000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136,000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0.75%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Bank of America, N.A.</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2,780,000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Bally Total Fitness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2,608,000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0.70%</w:t>
            </w:r>
          </w:p>
        </w:tc>
        <w:tc>
          <w:tcPr>
            <w:tcW w:w="780" w:type="dxa"/>
            <w:vAlign w:val="bottom"/>
          </w:tcPr>
          <w:p>
            <w:pPr>
              <w:jc w:val="right"/>
              <w:spacing w:after="0"/>
              <w:rPr>
                <w:sz w:val="20"/>
                <w:szCs w:val="20"/>
                <w:color w:val="auto"/>
              </w:rPr>
            </w:pPr>
            <w:r>
              <w:rPr>
                <w:rFonts w:ascii="Arial" w:cs="Arial" w:eastAsia="Arial" w:hAnsi="Arial"/>
                <w:sz w:val="18"/>
                <w:szCs w:val="18"/>
                <w:color w:val="auto"/>
              </w:rPr>
              <w:t>156,000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0.86%</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Great Atlantic &amp; Pacific Tea Co</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2,517,000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Container Store,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2,496,000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0.67%</w:t>
            </w:r>
          </w:p>
        </w:tc>
        <w:tc>
          <w:tcPr>
            <w:tcW w:w="780" w:type="dxa"/>
            <w:vAlign w:val="bottom"/>
          </w:tcPr>
          <w:p>
            <w:pPr>
              <w:jc w:val="right"/>
              <w:spacing w:after="0"/>
              <w:rPr>
                <w:sz w:val="20"/>
                <w:szCs w:val="20"/>
                <w:color w:val="auto"/>
              </w:rPr>
            </w:pPr>
            <w:r>
              <w:rPr>
                <w:rFonts w:ascii="Arial" w:cs="Arial" w:eastAsia="Arial" w:hAnsi="Arial"/>
                <w:sz w:val="18"/>
                <w:szCs w:val="18"/>
                <w:color w:val="auto"/>
              </w:rPr>
              <w:t>52,000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0.29%</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 Moore,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2,483,000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AMC Entertainment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2,378,000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0.64%</w:t>
            </w:r>
          </w:p>
        </w:tc>
        <w:tc>
          <w:tcPr>
            <w:tcW w:w="780" w:type="dxa"/>
            <w:vAlign w:val="bottom"/>
          </w:tcPr>
          <w:p>
            <w:pPr>
              <w:jc w:val="right"/>
              <w:spacing w:after="0"/>
              <w:rPr>
                <w:sz w:val="20"/>
                <w:szCs w:val="20"/>
                <w:color w:val="auto"/>
              </w:rPr>
            </w:pPr>
            <w:r>
              <w:rPr>
                <w:rFonts w:ascii="Arial" w:cs="Arial" w:eastAsia="Arial" w:hAnsi="Arial"/>
                <w:sz w:val="18"/>
                <w:szCs w:val="18"/>
                <w:color w:val="auto"/>
              </w:rPr>
              <w:t>166,000</w:t>
            </w:r>
          </w:p>
        </w:tc>
        <w:tc>
          <w:tcPr>
            <w:tcW w:w="6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0.91%</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Dollar Tree Stores,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2,357,000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Totals - Top 25 Tenants</w:t>
            </w:r>
          </w:p>
        </w:tc>
        <w:tc>
          <w:tcPr>
            <w:tcW w:w="420" w:type="dxa"/>
            <w:vAlign w:val="bottom"/>
            <w:gridSpan w:val="2"/>
          </w:tcPr>
          <w:p>
            <w:pPr>
              <w:ind w:left="340"/>
              <w:spacing w:after="0"/>
              <w:rPr>
                <w:sz w:val="20"/>
                <w:szCs w:val="20"/>
                <w:color w:val="auto"/>
              </w:rPr>
            </w:pPr>
            <w:r>
              <w:rPr>
                <w:rFonts w:ascii="Arial" w:cs="Arial" w:eastAsia="Arial" w:hAnsi="Arial"/>
                <w:sz w:val="15"/>
                <w:szCs w:val="15"/>
                <w:u w:val="single" w:color="auto"/>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101,650,000</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27.27%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5,841,000</w:t>
            </w:r>
          </w:p>
        </w:tc>
        <w:tc>
          <w:tcPr>
            <w:tcW w:w="60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32.16%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372,929,000(2)</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18,164,000(3)</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September 30,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5"/>
              </w:rPr>
              <w:t>2009 Guidance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86"/>
              </w:rPr>
              <w:t>(Dollars in millions except</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per share amounts) (1)</w:t>
            </w: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Funds from Operations available for common shareholders (FFO)</w:t>
            </w:r>
          </w:p>
        </w:tc>
        <w:tc>
          <w:tcPr>
            <w:tcW w:w="4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6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4"/>
          </w:tcPr>
          <w:p>
            <w:pPr>
              <w:spacing w:after="0"/>
              <w:rPr>
                <w:sz w:val="20"/>
                <w:szCs w:val="20"/>
                <w:color w:val="auto"/>
              </w:rPr>
            </w:pPr>
            <w:r>
              <w:rPr>
                <w:rFonts w:ascii="Arial" w:cs="Arial" w:eastAsia="Arial" w:hAnsi="Arial"/>
                <w:sz w:val="18"/>
                <w:szCs w:val="18"/>
                <w:color w:val="auto"/>
              </w:rPr>
              <w:t>Funds from operations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8"/>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1"/>
        </w:trPr>
        <w:tc>
          <w:tcPr>
            <w:tcW w:w="9440" w:type="dxa"/>
            <w:vAlign w:val="bottom"/>
            <w:gridSpan w:val="4"/>
          </w:tcPr>
          <w:p>
            <w:pPr>
              <w:spacing w:after="0"/>
              <w:rPr>
                <w:sz w:val="20"/>
                <w:szCs w:val="20"/>
                <w:color w:val="auto"/>
              </w:rPr>
            </w:pPr>
            <w:r>
              <w:rPr>
                <w:rFonts w:ascii="Arial" w:cs="Arial" w:eastAsia="Arial" w:hAnsi="Arial"/>
                <w:sz w:val="18"/>
                <w:szCs w:val="18"/>
                <w:color w:val="auto"/>
              </w:rPr>
              <w:t>FFO</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gridSpan w:val="4"/>
          </w:tcPr>
          <w:p>
            <w:pPr>
              <w:spacing w:after="0"/>
              <w:rPr>
                <w:sz w:val="20"/>
                <w:szCs w:val="20"/>
                <w:color w:val="auto"/>
              </w:rPr>
            </w:pPr>
            <w:r>
              <w:rPr>
                <w:rFonts w:ascii="Arial" w:cs="Arial" w:eastAsia="Arial" w:hAnsi="Arial"/>
                <w:sz w:val="18"/>
                <w:szCs w:val="18"/>
                <w:color w:val="auto"/>
              </w:rPr>
              <w:t>FFO excluding litigation provision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w:t>
            </w:r>
          </w:p>
        </w:tc>
        <w:tc>
          <w:tcPr>
            <w:tcW w:w="6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FFO per diluted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6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gridSpan w:val="4"/>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0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5"/>
              </w:rPr>
              <w:t>2010 Guidance</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86"/>
              </w:rPr>
              <w:t>(Dollars in millions except</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per share amounts) (1)</w:t>
            </w: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Funds from Operations available for common shareholders (FFO)</w:t>
            </w:r>
          </w:p>
        </w:tc>
        <w:tc>
          <w:tcPr>
            <w:tcW w:w="4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6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4"/>
          </w:tcPr>
          <w:p>
            <w:pPr>
              <w:spacing w:after="0"/>
              <w:rPr>
                <w:sz w:val="20"/>
                <w:szCs w:val="20"/>
                <w:color w:val="auto"/>
              </w:rPr>
            </w:pPr>
            <w:r>
              <w:rPr>
                <w:rFonts w:ascii="Arial" w:cs="Arial" w:eastAsia="Arial" w:hAnsi="Arial"/>
                <w:sz w:val="18"/>
                <w:szCs w:val="18"/>
                <w:color w:val="auto"/>
              </w:rPr>
              <w:t>Funds from operations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8"/>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1"/>
        </w:trPr>
        <w:tc>
          <w:tcPr>
            <w:tcW w:w="9440" w:type="dxa"/>
            <w:vAlign w:val="bottom"/>
            <w:gridSpan w:val="4"/>
          </w:tcPr>
          <w:p>
            <w:pPr>
              <w:spacing w:after="0"/>
              <w:rPr>
                <w:sz w:val="20"/>
                <w:szCs w:val="20"/>
                <w:color w:val="auto"/>
              </w:rPr>
            </w:pPr>
            <w:r>
              <w:rPr>
                <w:rFonts w:ascii="Arial" w:cs="Arial" w:eastAsia="Arial" w:hAnsi="Arial"/>
                <w:sz w:val="18"/>
                <w:szCs w:val="18"/>
                <w:color w:val="auto"/>
              </w:rPr>
              <w:t>FFO</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gridSpan w:val="4"/>
          </w:tcPr>
          <w:p>
            <w:pPr>
              <w:spacing w:after="0"/>
              <w:rPr>
                <w:sz w:val="20"/>
                <w:szCs w:val="20"/>
                <w:color w:val="auto"/>
              </w:rPr>
            </w:pPr>
            <w:r>
              <w:rPr>
                <w:rFonts w:ascii="Arial" w:cs="Arial" w:eastAsia="Arial" w:hAnsi="Arial"/>
                <w:sz w:val="18"/>
                <w:szCs w:val="18"/>
                <w:color w:val="auto"/>
              </w:rPr>
              <w:t>FFO excluding litigation provision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6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r>
        <w:trPr>
          <w:trHeight w:val="216"/>
        </w:trPr>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FFO per diluted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3.79</w:t>
            </w:r>
          </w:p>
        </w:tc>
        <w:tc>
          <w:tcPr>
            <w:tcW w:w="6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9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gridSpan w:val="4"/>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6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represents a charge for litigation regarding a parcel of land located adjacent to Santana Row as well as other costs related to the litigation and appeal process.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$ 4,377</w:t>
            </w:r>
          </w:p>
        </w:tc>
        <w:tc>
          <w:tcPr>
            <w:tcW w:w="3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$ 4,730</w:t>
            </w:r>
          </w:p>
        </w:tc>
        <w:tc>
          <w:tcPr>
            <w:tcW w:w="2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w w:val="83"/>
              </w:rPr>
              <w:t>13,832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5,027</w:t>
            </w:r>
          </w:p>
        </w:tc>
        <w:tc>
          <w:tcPr>
            <w:tcW w:w="3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4,787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w w:val="83"/>
              </w:rPr>
              <w:t>14,523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rPr>
              <w:t>2,646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3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1,278</w:t>
            </w:r>
          </w:p>
        </w:tc>
        <w:tc>
          <w:tcPr>
            <w:tcW w:w="3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rPr>
              <w:t>3,764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8,071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420"/>
              <w:spacing w:after="0"/>
              <w:rPr>
                <w:sz w:val="20"/>
                <w:szCs w:val="20"/>
                <w:color w:val="auto"/>
              </w:rPr>
            </w:pPr>
            <w:r>
              <w:rPr>
                <w:rFonts w:ascii="Arial" w:cs="Arial" w:eastAsia="Arial" w:hAnsi="Arial"/>
                <w:sz w:val="18"/>
                <w:szCs w:val="18"/>
                <w:color w:val="auto"/>
              </w:rPr>
              <w:t>Operating income</w:t>
            </w:r>
          </w:p>
        </w:tc>
        <w:tc>
          <w:tcPr>
            <w:tcW w:w="3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2,426</w:t>
            </w:r>
          </w:p>
        </w:tc>
        <w:tc>
          <w:tcPr>
            <w:tcW w:w="3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2,352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rPr>
              <w:t>6,452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(1,131)</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(3,396)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(3,404)</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3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$ 1,295</w:t>
            </w:r>
          </w:p>
        </w:tc>
        <w:tc>
          <w:tcPr>
            <w:tcW w:w="3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$ 1,218</w:t>
            </w:r>
          </w:p>
        </w:tc>
        <w:tc>
          <w:tcPr>
            <w:tcW w:w="2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rPr>
              <w:t>3,056</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3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740" w:type="dxa"/>
            <w:vAlign w:val="bottom"/>
            <w:gridSpan w:val="3"/>
            <w:vMerge w:val="continue"/>
          </w:tcPr>
          <w:p>
            <w:pPr>
              <w:spacing w:after="0"/>
              <w:rPr>
                <w:sz w:val="24"/>
                <w:szCs w:val="24"/>
                <w:color w:val="auto"/>
              </w:rPr>
            </w:pPr>
          </w:p>
        </w:tc>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8"/>
          </w:tcPr>
          <w:p>
            <w:pPr>
              <w:jc w:val="center"/>
              <w:ind w:right="472"/>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81"/>
              </w:rPr>
              <w:t>(in</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202,764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center"/>
              <w:ind w:right="56"/>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202,519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314"/>
              <w:spacing w:after="0"/>
              <w:rPr>
                <w:sz w:val="20"/>
                <w:szCs w:val="20"/>
                <w:color w:val="auto"/>
              </w:rPr>
            </w:pPr>
            <w:r>
              <w:rPr>
                <w:rFonts w:ascii="Arial" w:cs="Arial" w:eastAsia="Arial" w:hAnsi="Arial"/>
                <w:sz w:val="18"/>
                <w:szCs w:val="18"/>
                <w:color w:val="auto"/>
              </w:rPr>
              <w:t>(18,174)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(14,609)</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184,590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187,910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7,020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194,572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197,580</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81,227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center"/>
              <w:ind w:right="56"/>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87,235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88,728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107,337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108,852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194,572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center"/>
              <w:ind w:right="56"/>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197,580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80" w:type="dxa"/>
            <w:vAlign w:val="bottom"/>
            <w:vMerge w:val="restart"/>
          </w:tcPr>
          <w:p>
            <w:pPr>
              <w:jc w:val="right"/>
              <w:ind w:right="2232"/>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8"/>
              </w:rPr>
              <w:t>Stated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9"/>
              </w:rPr>
              <w:t>Maturity</w:t>
            </w:r>
          </w:p>
        </w:tc>
        <w:tc>
          <w:tcPr>
            <w:tcW w:w="80" w:type="dxa"/>
            <w:vAlign w:val="bottom"/>
          </w:tcPr>
          <w:p>
            <w:pPr>
              <w:spacing w:after="0"/>
              <w:rPr>
                <w:sz w:val="14"/>
                <w:szCs w:val="14"/>
                <w:color w:val="auto"/>
              </w:rPr>
            </w:pPr>
          </w:p>
        </w:tc>
        <w:tc>
          <w:tcPr>
            <w:tcW w:w="20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7"/>
              </w:rPr>
              <w:t>September 30, 2009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Mortgage Loans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Campus Plaza</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12/01/09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4.530%(a)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ind w:left="440"/>
              <w:spacing w:after="0"/>
              <w:rPr>
                <w:sz w:val="20"/>
                <w:szCs w:val="20"/>
                <w:color w:val="auto"/>
              </w:rPr>
            </w:pPr>
            <w:r>
              <w:rPr>
                <w:rFonts w:ascii="Arial" w:cs="Arial" w:eastAsia="Arial" w:hAnsi="Arial"/>
                <w:sz w:val="18"/>
                <w:szCs w:val="18"/>
                <w:color w:val="auto"/>
              </w:rPr>
              <w:t>Pleasant Shops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8"/>
              </w:rPr>
              <w:t>12/01/09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3"/>
          </w:tcPr>
          <w:p>
            <w:pPr>
              <w:ind w:left="740"/>
              <w:spacing w:after="0"/>
              <w:rPr>
                <w:sz w:val="20"/>
                <w:szCs w:val="20"/>
                <w:color w:val="auto"/>
              </w:rPr>
            </w:pPr>
            <w:r>
              <w:rPr>
                <w:rFonts w:ascii="Arial" w:cs="Arial" w:eastAsia="Arial" w:hAnsi="Arial"/>
                <w:sz w:val="18"/>
                <w:szCs w:val="18"/>
                <w:color w:val="auto"/>
              </w:rPr>
              <w:t>4.530%(a)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5.770%(b)</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ind w:left="440"/>
              <w:spacing w:after="0"/>
              <w:rPr>
                <w:sz w:val="20"/>
                <w:szCs w:val="20"/>
                <w:color w:val="auto"/>
              </w:rPr>
            </w:pPr>
            <w:r>
              <w:rPr>
                <w:rFonts w:ascii="Arial" w:cs="Arial" w:eastAsia="Arial" w:hAnsi="Arial"/>
                <w:sz w:val="18"/>
                <w:szCs w:val="18"/>
                <w:color w:val="auto"/>
              </w:rPr>
              <w:t>Atlantic Plaza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8"/>
              </w:rPr>
              <w:t>12/01/14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3"/>
          </w:tcPr>
          <w:p>
            <w:pPr>
              <w:ind w:left="740"/>
              <w:spacing w:after="0"/>
              <w:rPr>
                <w:sz w:val="20"/>
                <w:szCs w:val="20"/>
                <w:color w:val="auto"/>
              </w:rPr>
            </w:pPr>
            <w:r>
              <w:rPr>
                <w:rFonts w:ascii="Arial" w:cs="Arial" w:eastAsia="Arial" w:hAnsi="Arial"/>
                <w:sz w:val="18"/>
                <w:szCs w:val="18"/>
                <w:color w:val="auto"/>
              </w:rPr>
              <w:t>5.120%(a)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07/01/16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5.990%(a)(c)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gridSpan w:val="5"/>
          </w:tcPr>
          <w:p>
            <w:pPr>
              <w:ind w:left="440"/>
              <w:spacing w:after="0"/>
              <w:rPr>
                <w:sz w:val="20"/>
                <w:szCs w:val="20"/>
                <w:color w:val="auto"/>
              </w:rPr>
            </w:pPr>
            <w:r>
              <w:rPr>
                <w:rFonts w:ascii="Arial" w:cs="Arial" w:eastAsia="Arial" w:hAnsi="Arial"/>
                <w:sz w:val="18"/>
                <w:szCs w:val="18"/>
                <w:color w:val="auto"/>
              </w:rPr>
              <w:t>Greenlawn Plaza</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8"/>
              </w:rPr>
              <w:t>07/01/16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3"/>
          </w:tcPr>
          <w:p>
            <w:pPr>
              <w:ind w:left="740"/>
              <w:spacing w:after="0"/>
              <w:rPr>
                <w:sz w:val="20"/>
                <w:szCs w:val="20"/>
                <w:color w:val="auto"/>
              </w:rPr>
            </w:pPr>
            <w:r>
              <w:rPr>
                <w:rFonts w:ascii="Arial" w:cs="Arial" w:eastAsia="Arial" w:hAnsi="Arial"/>
                <w:sz w:val="18"/>
                <w:szCs w:val="18"/>
                <w:color w:val="auto"/>
              </w:rPr>
              <w:t>5.900%(a)</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7"/>
              </w:rPr>
              <w:t>Total Fixed Rate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w w:val="90"/>
              </w:rPr>
              <w:t>Debt Maturities</w:t>
            </w:r>
          </w:p>
        </w:tc>
        <w:tc>
          <w:tcPr>
            <w:tcW w:w="1420" w:type="dxa"/>
            <w:vAlign w:val="bottom"/>
            <w:gridSpan w:val="3"/>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120" w:type="dxa"/>
            <w:vAlign w:val="bottom"/>
            <w:tcBorders>
              <w:bottom w:val="single" w:sz="8" w:color="auto"/>
            </w:tcBorders>
            <w:gridSpan w:val="2"/>
            <w:vMerge w:val="continue"/>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40" w:type="dxa"/>
            <w:vAlign w:val="bottom"/>
            <w:gridSpan w:val="5"/>
          </w:tcPr>
          <w:p>
            <w:pPr>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Percent of</w:t>
            </w:r>
          </w:p>
        </w:tc>
        <w:tc>
          <w:tcPr>
            <w:tcW w:w="11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0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Maturities</w:t>
            </w:r>
          </w:p>
        </w:tc>
        <w:tc>
          <w:tcPr>
            <w:tcW w:w="440" w:type="dxa"/>
            <w:vAlign w:val="bottom"/>
          </w:tcPr>
          <w:p>
            <w:pPr>
              <w:spacing w:after="0"/>
              <w:rPr>
                <w:sz w:val="14"/>
                <w:szCs w:val="14"/>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Debt Maturing</w:t>
            </w: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Debt Maturing</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2009</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$ 23,400</w:t>
            </w:r>
          </w:p>
        </w:tc>
        <w:tc>
          <w:tcPr>
            <w:tcW w:w="5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$23,447</w:t>
            </w: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196</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196</w:t>
            </w:r>
          </w:p>
        </w:tc>
        <w:tc>
          <w:tcPr>
            <w:tcW w:w="4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2011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208</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208</w:t>
            </w: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220</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2013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233</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233</w:t>
            </w: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142</w:t>
            </w:r>
          </w:p>
        </w:tc>
        <w:tc>
          <w:tcPr>
            <w:tcW w:w="600" w:type="dxa"/>
            <w:vAlign w:val="bottom"/>
          </w:tcPr>
          <w:p>
            <w:pPr>
              <w:jc w:val="right"/>
              <w:spacing w:after="0"/>
              <w:rPr>
                <w:sz w:val="20"/>
                <w:szCs w:val="20"/>
                <w:color w:val="auto"/>
              </w:rPr>
            </w:pPr>
            <w:r>
              <w:rPr>
                <w:rFonts w:ascii="Arial" w:cs="Arial" w:eastAsia="Arial" w:hAnsi="Arial"/>
                <w:sz w:val="18"/>
                <w:szCs w:val="18"/>
                <w:color w:val="auto"/>
              </w:rPr>
              <w:t>22,396</w:t>
            </w:r>
          </w:p>
        </w:tc>
        <w:tc>
          <w:tcPr>
            <w:tcW w:w="56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22,538</w:t>
            </w:r>
          </w:p>
        </w:tc>
        <w:tc>
          <w:tcPr>
            <w:tcW w:w="4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27.7%</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2015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2016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34,385</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34,385</w:t>
            </w:r>
          </w:p>
        </w:tc>
        <w:tc>
          <w:tcPr>
            <w:tcW w:w="4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42.3%</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color w:val="auto"/>
                <w:w w:val="89"/>
              </w:rPr>
              <w:t>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$ 80,181</w:t>
            </w:r>
          </w:p>
        </w:tc>
        <w:tc>
          <w:tcPr>
            <w:tcW w:w="5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81,227</w:t>
            </w: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Mortgage or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Grocery</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Real Estate</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Anchor</w:t>
            </w:r>
          </w:p>
        </w:tc>
        <w:tc>
          <w:tcPr>
            <w:tcW w:w="9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Grocery</w:t>
            </w:r>
          </w:p>
        </w:tc>
        <w:tc>
          <w:tcPr>
            <w:tcW w:w="100" w:type="dxa"/>
            <w:vAlign w:val="bottom"/>
          </w:tcPr>
          <w:p>
            <w:pPr>
              <w:spacing w:after="0"/>
              <w:rPr>
                <w:sz w:val="12"/>
                <w:szCs w:val="12"/>
                <w:color w:val="auto"/>
              </w:rPr>
            </w:pPr>
          </w:p>
        </w:tc>
        <w:tc>
          <w:tcPr>
            <w:tcW w:w="11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840" w:type="dxa"/>
            <w:vAlign w:val="bottom"/>
            <w:gridSpan w:val="7"/>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Acquired</w:t>
            </w: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at Cost</w:t>
            </w:r>
          </w:p>
        </w:tc>
        <w:tc>
          <w:tcPr>
            <w:tcW w:w="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Obligation</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Leased</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GLA (1)</w:t>
            </w: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rPr>
              <w:t>Anchor (1)</w:t>
            </w:r>
          </w:p>
        </w:tc>
        <w:tc>
          <w:tcPr>
            <w:tcW w:w="10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Arial" w:cs="Arial" w:eastAsia="Arial" w:hAnsi="Arial"/>
                <w:sz w:val="14"/>
                <w:szCs w:val="14"/>
                <w:b w:val="1"/>
                <w:bCs w:val="1"/>
                <w:color w:val="auto"/>
                <w:w w:val="90"/>
              </w:rPr>
              <w:t>Principal 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Washington Metropolitan Area</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20" w:type="dxa"/>
            <w:vAlign w:val="bottom"/>
            <w:gridSpan w:val="6"/>
          </w:tcPr>
          <w:p>
            <w:pPr>
              <w:spacing w:after="0" w:line="142" w:lineRule="exact"/>
              <w:rPr>
                <w:sz w:val="20"/>
                <w:szCs w:val="20"/>
                <w:color w:val="auto"/>
              </w:rPr>
            </w:pPr>
            <w:r>
              <w:rPr>
                <w:rFonts w:ascii="Arial" w:cs="Arial" w:eastAsia="Arial" w:hAnsi="Arial"/>
                <w:sz w:val="14"/>
                <w:szCs w:val="14"/>
                <w:color w:val="auto"/>
              </w:rPr>
              <w:t>Barcroft Plaza</w:t>
            </w:r>
          </w:p>
        </w:tc>
        <w:tc>
          <w:tcPr>
            <w:tcW w:w="1540" w:type="dxa"/>
            <w:vAlign w:val="bottom"/>
          </w:tcPr>
          <w:p>
            <w:pPr>
              <w:spacing w:after="0" w:line="142" w:lineRule="exact"/>
              <w:rPr>
                <w:sz w:val="20"/>
                <w:szCs w:val="20"/>
                <w:color w:val="auto"/>
              </w:rPr>
            </w:pPr>
            <w:r>
              <w:rPr>
                <w:rFonts w:ascii="Arial" w:cs="Arial" w:eastAsia="Arial" w:hAnsi="Arial"/>
                <w:sz w:val="14"/>
                <w:szCs w:val="14"/>
                <w:color w:val="auto"/>
              </w:rPr>
              <w:t>Washington, DC-MD-VA</w:t>
            </w:r>
          </w:p>
        </w:tc>
        <w:tc>
          <w:tcPr>
            <w:tcW w:w="8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2006-2007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34,059</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20,785</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0"/>
              </w:rPr>
              <w:t>100,000</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90%</w:t>
            </w: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46,000</w:t>
            </w:r>
          </w:p>
        </w:tc>
        <w:tc>
          <w:tcPr>
            <w:tcW w:w="960" w:type="dxa"/>
            <w:vAlign w:val="bottom"/>
          </w:tcPr>
          <w:p>
            <w:pPr>
              <w:spacing w:after="0" w:line="142" w:lineRule="exact"/>
              <w:rPr>
                <w:sz w:val="20"/>
                <w:szCs w:val="20"/>
                <w:color w:val="auto"/>
              </w:rPr>
            </w:pPr>
            <w:r>
              <w:rPr>
                <w:rFonts w:ascii="Arial" w:cs="Arial" w:eastAsia="Arial" w:hAnsi="Arial"/>
                <w:sz w:val="14"/>
                <w:szCs w:val="14"/>
                <w:color w:val="auto"/>
              </w:rPr>
              <w:t>Harris Teeter</w:t>
            </w:r>
          </w:p>
        </w:tc>
        <w:tc>
          <w:tcPr>
            <w:tcW w:w="100" w:type="dxa"/>
            <w:vAlign w:val="bottom"/>
          </w:tcPr>
          <w:p>
            <w:pPr>
              <w:spacing w:after="0"/>
              <w:rPr>
                <w:sz w:val="12"/>
                <w:szCs w:val="12"/>
                <w:color w:val="auto"/>
              </w:rPr>
            </w:pPr>
          </w:p>
        </w:tc>
        <w:tc>
          <w:tcPr>
            <w:tcW w:w="1160" w:type="dxa"/>
            <w:vAlign w:val="bottom"/>
          </w:tcPr>
          <w:p>
            <w:pPr>
              <w:spacing w:after="0" w:line="142" w:lineRule="exact"/>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Free State Shopping Center</w:t>
            </w: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8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65,811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0"/>
              </w:rPr>
              <w:t>279,000</w:t>
            </w:r>
          </w:p>
        </w:tc>
        <w:tc>
          <w:tcPr>
            <w:tcW w:w="7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89%</w:t>
            </w:r>
          </w:p>
        </w:tc>
        <w:tc>
          <w:tcPr>
            <w:tcW w:w="6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73,000</w:t>
            </w: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TJ Maxx /Ross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6"/>
          </w:tcPr>
          <w:p>
            <w:pPr>
              <w:spacing w:after="0" w:line="149" w:lineRule="exact"/>
              <w:rPr>
                <w:sz w:val="20"/>
                <w:szCs w:val="20"/>
                <w:color w:val="auto"/>
              </w:rPr>
            </w:pPr>
            <w:r>
              <w:rPr>
                <w:rFonts w:ascii="Arial" w:cs="Arial" w:eastAsia="Arial" w:hAnsi="Arial"/>
                <w:sz w:val="14"/>
                <w:szCs w:val="14"/>
                <w:color w:val="auto"/>
              </w:rPr>
              <w:t>Plaza del Mercado</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12,942</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96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Washington</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121,053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475,000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4"/>
                <w:szCs w:val="14"/>
                <w:color w:val="auto"/>
              </w:rPr>
              <w:t>90%</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Metropolitan Area</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10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2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Greenlawn Plaza</w:t>
            </w:r>
          </w:p>
        </w:tc>
        <w:tc>
          <w:tcPr>
            <w:tcW w:w="15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Nassau-Suffolk, NY</w:t>
            </w:r>
          </w:p>
        </w:tc>
        <w:tc>
          <w:tcPr>
            <w:tcW w:w="860" w:type="dxa"/>
            <w:vAlign w:val="bottom"/>
            <w:gridSpan w:val="3"/>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4"/>
                <w:szCs w:val="14"/>
                <w:color w:val="auto"/>
              </w:rPr>
              <w:t>19,983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13,600</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w w:val="90"/>
              </w:rPr>
              <w:t>106,000</w:t>
            </w:r>
          </w:p>
        </w:tc>
        <w:tc>
          <w:tcPr>
            <w:tcW w:w="72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99%</w:t>
            </w:r>
          </w:p>
        </w:tc>
        <w:tc>
          <w:tcPr>
            <w:tcW w:w="6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46,000</w:t>
            </w:r>
          </w:p>
        </w:tc>
        <w:tc>
          <w:tcPr>
            <w:tcW w:w="9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Waldbaum’s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Tuesday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Morning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Pr>
          <w:p>
            <w:pPr>
              <w:spacing w:after="0" w:line="143" w:lineRule="exact"/>
              <w:rPr>
                <w:sz w:val="20"/>
                <w:szCs w:val="20"/>
                <w:color w:val="auto"/>
              </w:rPr>
            </w:pPr>
            <w:r>
              <w:rPr>
                <w:rFonts w:ascii="Arial" w:cs="Arial" w:eastAsia="Arial" w:hAnsi="Arial"/>
                <w:sz w:val="14"/>
                <w:szCs w:val="14"/>
                <w:b w:val="1"/>
                <w:bCs w:val="1"/>
                <w:color w:val="auto"/>
              </w:rPr>
              <w:t>Total New York / New</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19,983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w w:val="90"/>
              </w:rPr>
              <w:t>106,000</w:t>
            </w:r>
          </w:p>
        </w:tc>
        <w:tc>
          <w:tcPr>
            <w:tcW w:w="7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99%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b w:val="1"/>
                <w:bCs w:val="1"/>
                <w:color w:val="auto"/>
              </w:rPr>
              <w:t>Jersey</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England</w:t>
            </w:r>
          </w:p>
        </w:tc>
        <w:tc>
          <w:tcPr>
            <w:tcW w:w="1620" w:type="dxa"/>
            <w:vAlign w:val="bottom"/>
            <w:tcBorders>
              <w:bottom w:val="single" w:sz="8" w:color="CCEEFF"/>
            </w:tcBorders>
            <w:gridSpan w:val="3"/>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20" w:type="dxa"/>
            <w:vAlign w:val="bottom"/>
            <w:gridSpan w:val="6"/>
          </w:tcPr>
          <w:p>
            <w:pPr>
              <w:spacing w:after="0" w:line="131" w:lineRule="exact"/>
              <w:rPr>
                <w:sz w:val="20"/>
                <w:szCs w:val="20"/>
                <w:color w:val="auto"/>
              </w:rPr>
            </w:pPr>
            <w:r>
              <w:rPr>
                <w:rFonts w:ascii="Arial" w:cs="Arial" w:eastAsia="Arial" w:hAnsi="Arial"/>
                <w:sz w:val="14"/>
                <w:szCs w:val="14"/>
                <w:color w:val="auto"/>
              </w:rPr>
              <w:t>Atlantic Plaza</w:t>
            </w:r>
          </w:p>
        </w:tc>
        <w:tc>
          <w:tcPr>
            <w:tcW w:w="1540" w:type="dxa"/>
            <w:vAlign w:val="bottom"/>
          </w:tcPr>
          <w:p>
            <w:pPr>
              <w:spacing w:after="0" w:line="131" w:lineRule="exact"/>
              <w:rPr>
                <w:sz w:val="20"/>
                <w:szCs w:val="20"/>
                <w:color w:val="auto"/>
              </w:rPr>
            </w:pPr>
            <w:r>
              <w:rPr>
                <w:rFonts w:ascii="Arial" w:cs="Arial" w:eastAsia="Arial" w:hAnsi="Arial"/>
                <w:sz w:val="14"/>
                <w:szCs w:val="14"/>
                <w:color w:val="auto"/>
              </w:rPr>
              <w:t>Boston-Worcester-</w:t>
            </w:r>
          </w:p>
        </w:tc>
        <w:tc>
          <w:tcPr>
            <w:tcW w:w="86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16,521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4"/>
                <w:szCs w:val="14"/>
                <w:color w:val="auto"/>
              </w:rPr>
              <w:t>10,500</w:t>
            </w:r>
          </w:p>
        </w:tc>
        <w:tc>
          <w:tcPr>
            <w:tcW w:w="120" w:type="dxa"/>
            <w:vAlign w:val="bottom"/>
          </w:tcPr>
          <w:p>
            <w:pPr>
              <w:spacing w:after="0"/>
              <w:rPr>
                <w:sz w:val="11"/>
                <w:szCs w:val="11"/>
                <w:color w:val="auto"/>
              </w:rPr>
            </w:pP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w w:val="90"/>
              </w:rPr>
              <w:t>124,000</w:t>
            </w:r>
          </w:p>
        </w:tc>
        <w:tc>
          <w:tcPr>
            <w:tcW w:w="720" w:type="dxa"/>
            <w:vAlign w:val="bottom"/>
            <w:gridSpan w:val="2"/>
          </w:tcPr>
          <w:p>
            <w:pPr>
              <w:jc w:val="right"/>
              <w:ind w:right="160"/>
              <w:spacing w:after="0" w:line="131" w:lineRule="exact"/>
              <w:rPr>
                <w:sz w:val="20"/>
                <w:szCs w:val="20"/>
                <w:color w:val="auto"/>
              </w:rPr>
            </w:pPr>
            <w:r>
              <w:rPr>
                <w:rFonts w:ascii="Arial" w:cs="Arial" w:eastAsia="Arial" w:hAnsi="Arial"/>
                <w:sz w:val="14"/>
                <w:szCs w:val="14"/>
                <w:color w:val="auto"/>
              </w:rPr>
              <w:t>39%</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line="131"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Lawrence-Lowell-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Brockton, MA</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Campus Plaza</w:t>
            </w: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Boston-Worcester-</w:t>
            </w:r>
          </w:p>
        </w:tc>
        <w:tc>
          <w:tcPr>
            <w:tcW w:w="8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22,196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11,000</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0"/>
              </w:rPr>
              <w:t>116,000</w:t>
            </w:r>
          </w:p>
        </w:tc>
        <w:tc>
          <w:tcPr>
            <w:tcW w:w="7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95%</w:t>
            </w:r>
          </w:p>
        </w:tc>
        <w:tc>
          <w:tcPr>
            <w:tcW w:w="6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46,000</w:t>
            </w: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Roche Brothers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Lawrence-Lowell-</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Brockton, MA</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20" w:type="dxa"/>
            <w:vAlign w:val="bottom"/>
            <w:gridSpan w:val="6"/>
          </w:tcPr>
          <w:p>
            <w:pPr>
              <w:spacing w:after="0" w:line="138" w:lineRule="exact"/>
              <w:rPr>
                <w:sz w:val="20"/>
                <w:szCs w:val="20"/>
                <w:color w:val="auto"/>
              </w:rPr>
            </w:pPr>
            <w:r>
              <w:rPr>
                <w:rFonts w:ascii="Arial" w:cs="Arial" w:eastAsia="Arial" w:hAnsi="Arial"/>
                <w:sz w:val="14"/>
                <w:szCs w:val="14"/>
                <w:color w:val="auto"/>
              </w:rPr>
              <w:t>Pleasant Shops</w:t>
            </w: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Boston-Worcester-</w:t>
            </w:r>
          </w:p>
        </w:tc>
        <w:tc>
          <w:tcPr>
            <w:tcW w:w="8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23,011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12,400</w:t>
            </w:r>
          </w:p>
        </w:tc>
        <w:tc>
          <w:tcPr>
            <w:tcW w:w="12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90"/>
              </w:rPr>
              <w:t>129,000</w:t>
            </w:r>
          </w:p>
        </w:tc>
        <w:tc>
          <w:tcPr>
            <w:tcW w:w="7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95%</w:t>
            </w:r>
          </w:p>
        </w:tc>
        <w:tc>
          <w:tcPr>
            <w:tcW w:w="66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38,000</w:t>
            </w:r>
          </w:p>
        </w:tc>
        <w:tc>
          <w:tcPr>
            <w:tcW w:w="960" w:type="dxa"/>
            <w:vAlign w:val="bottom"/>
          </w:tcPr>
          <w:p>
            <w:pPr>
              <w:spacing w:after="0" w:line="138" w:lineRule="exact"/>
              <w:rPr>
                <w:sz w:val="20"/>
                <w:szCs w:val="20"/>
                <w:color w:val="auto"/>
              </w:rPr>
            </w:pPr>
            <w:r>
              <w:rPr>
                <w:rFonts w:ascii="Arial" w:cs="Arial" w:eastAsia="Arial" w:hAnsi="Arial"/>
                <w:sz w:val="14"/>
                <w:szCs w:val="14"/>
                <w:color w:val="auto"/>
              </w:rPr>
              <w:t>Foodmaster</w:t>
            </w:r>
          </w:p>
        </w:tc>
        <w:tc>
          <w:tcPr>
            <w:tcW w:w="10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Lawrence-Lowell-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Brockton, MA</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New England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369,000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7"/>
            <w:vMerge w:val="restart"/>
          </w:tcPr>
          <w:p>
            <w:pPr>
              <w:spacing w:after="0"/>
              <w:rPr>
                <w:sz w:val="20"/>
                <w:szCs w:val="20"/>
                <w:color w:val="auto"/>
              </w:rPr>
            </w:pPr>
            <w:r>
              <w:rPr>
                <w:rFonts w:ascii="Arial" w:cs="Arial" w:eastAsia="Arial" w:hAnsi="Arial"/>
                <w:sz w:val="14"/>
                <w:szCs w:val="14"/>
                <w:color w:val="auto"/>
              </w:rPr>
              <w:t>Grand Totals</w:t>
            </w: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7"/>
            <w:vMerge w:val="continue"/>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202,764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81,227</w:t>
            </w: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950,000</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86%</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24</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attributable to the Trust plus depreciation and amortization, net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Adjusted EBITDA to net income attributable to the Trust for the three and nine months ended September 30, 2009 and 2008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$27,433</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$37,102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28,410</w:t>
            </w:r>
          </w:p>
        </w:tc>
        <w:tc>
          <w:tcPr>
            <w:tcW w:w="2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28,643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86,635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81,838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74,166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Early extinguishment of senior notes</w:t>
            </w: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(924)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1"/>
        </w:trPr>
        <w:tc>
          <w:tcPr>
            <w:tcW w:w="7820" w:type="dxa"/>
            <w:vAlign w:val="bottom"/>
          </w:tcPr>
          <w:p>
            <w:pPr>
              <w:spacing w:after="0"/>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232,285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85,128</w:t>
            </w:r>
          </w:p>
        </w:tc>
        <w:tc>
          <w:tcPr>
            <w:tcW w:w="2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83,528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230,987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243,962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3"/>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2019-12-10T00:30:44Z</dcterms:created>
  <dcterms:modified xsi:type="dcterms:W3CDTF">2019-12-10T00:30:44Z</dcterms:modified>
</cp:coreProperties>
</file>