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SEPTEMBER 6, 1995</w:t>
      </w:r>
    </w:p>
    <w:p>
      <w:pPr>
        <w:spacing w:after="0" w:line="201" w:lineRule="exact"/>
        <w:rPr>
          <w:sz w:val="24"/>
          <w:szCs w:val="24"/>
          <w:color w:val="auto"/>
        </w:rPr>
      </w:pPr>
    </w:p>
    <w:p>
      <w:pPr>
        <w:ind w:left="5900"/>
        <w:spacing w:after="0"/>
        <w:rPr>
          <w:sz w:val="20"/>
          <w:szCs w:val="20"/>
          <w:color w:val="auto"/>
        </w:rPr>
      </w:pPr>
      <w:r>
        <w:rPr>
          <w:rFonts w:ascii="Courier New" w:cs="Courier New" w:eastAsia="Courier New" w:hAnsi="Courier New"/>
          <w:sz w:val="18"/>
          <w:szCs w:val="18"/>
          <w:color w:val="auto"/>
        </w:rPr>
        <w:t>REGISTRATION NO. 33-</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FORM S-3</w:t>
      </w:r>
    </w:p>
    <w:p>
      <w:pPr>
        <w:ind w:left="29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7" w:lineRule="auto"/>
        <w:rPr>
          <w:sz w:val="20"/>
          <w:szCs w:val="20"/>
          <w:color w:val="auto"/>
        </w:rPr>
      </w:pPr>
      <w:r>
        <w:rPr>
          <w:rFonts w:ascii="Courier New" w:cs="Courier New" w:eastAsia="Courier New" w:hAnsi="Courier New"/>
          <w:sz w:val="18"/>
          <w:szCs w:val="18"/>
          <w:color w:val="auto"/>
        </w:rPr>
        <w:t>UNDER</w:t>
      </w:r>
    </w:p>
    <w:p>
      <w:pPr>
        <w:ind w:left="2740"/>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jc w:val="center"/>
        <w:ind w:right="199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ectPr>
          <w:pgSz w:w="11900" w:h="16892" w:orient="portrait"/>
          <w:cols w:equalWidth="0" w:num="1">
            <w:col w:w="10219"/>
          </w:cols>
          <w:pgMar w:left="240" w:top="649" w:right="1440" w:bottom="0" w:gutter="0" w:footer="0" w:header="0"/>
        </w:sectPr>
      </w:pPr>
    </w:p>
    <w:p>
      <w:pPr>
        <w:spacing w:after="0" w:line="4" w:lineRule="exact"/>
        <w:rPr>
          <w:sz w:val="24"/>
          <w:szCs w:val="24"/>
          <w:color w:val="auto"/>
        </w:rPr>
      </w:pPr>
    </w:p>
    <w:p>
      <w:pPr>
        <w:ind w:left="420" w:right="120" w:firstLine="527"/>
        <w:spacing w:after="0" w:line="268" w:lineRule="auto"/>
        <w:rPr>
          <w:sz w:val="20"/>
          <w:szCs w:val="20"/>
          <w:color w:val="auto"/>
        </w:rPr>
      </w:pPr>
      <w:r>
        <w:rPr>
          <w:rFonts w:ascii="Courier New" w:cs="Courier New" w:eastAsia="Courier New" w:hAnsi="Courier New"/>
          <w:sz w:val="16"/>
          <w:szCs w:val="16"/>
          <w:color w:val="auto"/>
        </w:rPr>
        <w:t>DISTRICT OF COLUMBIA (STATE OR OTHER JURISDICTION OF INCORPORATION OR ORGANIZATION)</w:t>
      </w:r>
    </w:p>
    <w:p>
      <w:pPr>
        <w:spacing w:after="0" w:line="20" w:lineRule="exact"/>
        <w:rPr>
          <w:sz w:val="24"/>
          <w:szCs w:val="24"/>
          <w:color w:val="auto"/>
        </w:rPr>
      </w:pPr>
      <w:r>
        <w:rPr>
          <w:sz w:val="24"/>
          <w:szCs w:val="24"/>
          <w:color w:val="auto"/>
        </w:rPr>
        <w:br w:type="column"/>
      </w:r>
    </w:p>
    <w:p>
      <w:pPr>
        <w:jc w:val="center"/>
        <w:ind w:right="2519"/>
        <w:spacing w:after="0" w:line="238" w:lineRule="auto"/>
        <w:rPr>
          <w:sz w:val="20"/>
          <w:szCs w:val="20"/>
          <w:color w:val="auto"/>
        </w:rPr>
      </w:pPr>
      <w:r>
        <w:rPr>
          <w:rFonts w:ascii="Courier New" w:cs="Courier New" w:eastAsia="Courier New" w:hAnsi="Courier New"/>
          <w:sz w:val="18"/>
          <w:szCs w:val="18"/>
          <w:color w:val="auto"/>
        </w:rPr>
        <w:t>52-0782497</w:t>
      </w:r>
    </w:p>
    <w:p>
      <w:pPr>
        <w:spacing w:after="0" w:line="5"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(I.R.S. EMPLOYER IDENTIFICATION</w:t>
      </w:r>
    </w:p>
    <w:p>
      <w:pPr>
        <w:spacing w:after="0" w:line="1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4"/>
          <w:szCs w:val="24"/>
          <w:color w:val="auto"/>
        </w:rPr>
      </w:pPr>
    </w:p>
    <w:p>
      <w:pPr>
        <w:sectPr>
          <w:pgSz w:w="11900" w:h="16892" w:orient="portrait"/>
          <w:cols w:equalWidth="0" w:num="2">
            <w:col w:w="3820" w:space="720"/>
            <w:col w:w="5679"/>
          </w:cols>
          <w:pgMar w:left="240" w:top="649" w:right="1440" w:bottom="0" w:gutter="0" w:footer="0" w:header="0"/>
          <w:type w:val="continuous"/>
        </w:sectPr>
      </w:pPr>
    </w:p>
    <w:p>
      <w:pPr>
        <w:ind w:left="3280"/>
        <w:spacing w:after="0" w:line="233" w:lineRule="auto"/>
        <w:rPr>
          <w:sz w:val="20"/>
          <w:szCs w:val="20"/>
          <w:color w:val="auto"/>
        </w:rPr>
      </w:pPr>
      <w:r>
        <w:rPr>
          <w:rFonts w:ascii="Courier New" w:cs="Courier New" w:eastAsia="Courier New" w:hAnsi="Courier New"/>
          <w:sz w:val="18"/>
          <w:szCs w:val="18"/>
          <w:color w:val="auto"/>
        </w:rPr>
        <w:t>4800 HAMPDEN LANE</w:t>
      </w:r>
    </w:p>
    <w:p>
      <w:pPr>
        <w:ind w:left="2860"/>
        <w:spacing w:after="0"/>
        <w:rPr>
          <w:sz w:val="20"/>
          <w:szCs w:val="20"/>
          <w:color w:val="auto"/>
        </w:rPr>
      </w:pPr>
      <w:r>
        <w:rPr>
          <w:rFonts w:ascii="Courier New" w:cs="Courier New" w:eastAsia="Courier New" w:hAnsi="Courier New"/>
          <w:sz w:val="18"/>
          <w:szCs w:val="18"/>
          <w:color w:val="auto"/>
        </w:rPr>
        <w:t>BETHESDA, MARYLAND 20814</w:t>
      </w:r>
    </w:p>
    <w:p>
      <w:pPr>
        <w:ind w:left="3380"/>
        <w:spacing w:after="0" w:line="237" w:lineRule="auto"/>
        <w:rPr>
          <w:sz w:val="20"/>
          <w:szCs w:val="20"/>
          <w:color w:val="auto"/>
        </w:rPr>
      </w:pPr>
      <w:r>
        <w:rPr>
          <w:rFonts w:ascii="Courier New" w:cs="Courier New" w:eastAsia="Courier New" w:hAnsi="Courier New"/>
          <w:sz w:val="18"/>
          <w:szCs w:val="18"/>
          <w:color w:val="auto"/>
        </w:rPr>
        <w:t>(301) 652-3360</w:t>
      </w:r>
    </w:p>
    <w:p>
      <w:pPr>
        <w:ind w:left="220"/>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ind w:left="2000"/>
        <w:spacing w:after="0" w:line="237"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2000"/>
        <w:spacing w:after="0" w:line="238" w:lineRule="auto"/>
        <w:rPr>
          <w:sz w:val="20"/>
          <w:szCs w:val="20"/>
          <w:color w:val="auto"/>
        </w:rPr>
      </w:pPr>
      <w:r>
        <w:rPr>
          <w:rFonts w:ascii="Courier New" w:cs="Courier New" w:eastAsia="Courier New" w:hAnsi="Courier New"/>
          <w:sz w:val="18"/>
          <w:szCs w:val="18"/>
          <w:color w:val="auto"/>
        </w:rPr>
        <w:t>STEVEN J. GUTTMAN, PRESIDENT AND TRUSTEE</w:t>
      </w: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3280"/>
        <w:spacing w:after="0" w:line="237" w:lineRule="auto"/>
        <w:rPr>
          <w:sz w:val="20"/>
          <w:szCs w:val="20"/>
          <w:color w:val="auto"/>
        </w:rPr>
      </w:pPr>
      <w:r>
        <w:rPr>
          <w:rFonts w:ascii="Courier New" w:cs="Courier New" w:eastAsia="Courier New" w:hAnsi="Courier New"/>
          <w:sz w:val="18"/>
          <w:szCs w:val="18"/>
          <w:color w:val="auto"/>
        </w:rPr>
        <w:t>4800 HAMPDEN LANE</w:t>
      </w:r>
    </w:p>
    <w:p>
      <w:pPr>
        <w:ind w:left="2860"/>
        <w:spacing w:after="0" w:line="238" w:lineRule="auto"/>
        <w:rPr>
          <w:sz w:val="20"/>
          <w:szCs w:val="20"/>
          <w:color w:val="auto"/>
        </w:rPr>
      </w:pPr>
      <w:r>
        <w:rPr>
          <w:rFonts w:ascii="Courier New" w:cs="Courier New" w:eastAsia="Courier New" w:hAnsi="Courier New"/>
          <w:sz w:val="18"/>
          <w:szCs w:val="18"/>
          <w:color w:val="auto"/>
        </w:rPr>
        <w:t>BETHESDA, MARYLAND 20814</w:t>
      </w:r>
    </w:p>
    <w:p>
      <w:pPr>
        <w:ind w:left="3380"/>
        <w:spacing w:after="0"/>
        <w:rPr>
          <w:sz w:val="20"/>
          <w:szCs w:val="20"/>
          <w:color w:val="auto"/>
        </w:rPr>
      </w:pPr>
      <w:r>
        <w:rPr>
          <w:rFonts w:ascii="Courier New" w:cs="Courier New" w:eastAsia="Courier New" w:hAnsi="Courier New"/>
          <w:sz w:val="18"/>
          <w:szCs w:val="18"/>
          <w:color w:val="auto"/>
        </w:rPr>
        <w:t>(301) 652-3360</w:t>
      </w:r>
    </w:p>
    <w:p>
      <w:pPr>
        <w:spacing w:after="0" w:line="237" w:lineRule="auto"/>
        <w:rPr>
          <w:sz w:val="20"/>
          <w:szCs w:val="20"/>
          <w:color w:val="auto"/>
        </w:rPr>
      </w:pPr>
      <w:r>
        <w:rPr>
          <w:rFonts w:ascii="Courier New" w:cs="Courier New" w:eastAsia="Courier New" w:hAnsi="Courier New"/>
          <w:sz w:val="18"/>
          <w:szCs w:val="18"/>
          <w:color w:val="auto"/>
        </w:rPr>
        <w:t>(NAME, ADDRESS, INCLUDING ZIP CODE, AND TELEPHONE NUMBER, INCLUDING AREA CODE,</w:t>
      </w:r>
    </w:p>
    <w:p>
      <w:pPr>
        <w:ind w:left="3060"/>
        <w:spacing w:after="0"/>
        <w:rPr>
          <w:sz w:val="20"/>
          <w:szCs w:val="20"/>
          <w:color w:val="auto"/>
        </w:rPr>
      </w:pPr>
      <w:r>
        <w:rPr>
          <w:rFonts w:ascii="Courier New" w:cs="Courier New" w:eastAsia="Courier New" w:hAnsi="Courier New"/>
          <w:sz w:val="18"/>
          <w:szCs w:val="18"/>
          <w:color w:val="auto"/>
        </w:rPr>
        <w:t>OF AGENT FOR SERVICE)</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COPIES TO:</w:t>
      </w:r>
    </w:p>
    <w:p>
      <w:pPr>
        <w:ind w:left="2740"/>
        <w:spacing w:after="0" w:line="238" w:lineRule="auto"/>
        <w:rPr>
          <w:sz w:val="20"/>
          <w:szCs w:val="20"/>
          <w:color w:val="auto"/>
        </w:rPr>
      </w:pPr>
      <w:r>
        <w:rPr>
          <w:rFonts w:ascii="Courier New" w:cs="Courier New" w:eastAsia="Courier New" w:hAnsi="Courier New"/>
          <w:sz w:val="18"/>
          <w:szCs w:val="18"/>
          <w:color w:val="auto"/>
        </w:rPr>
        <w:t>THOMAS F. COONEY, III, ESQ.</w:t>
      </w:r>
    </w:p>
    <w:p>
      <w:pPr>
        <w:ind w:left="2740"/>
        <w:spacing w:after="0"/>
        <w:rPr>
          <w:sz w:val="20"/>
          <w:szCs w:val="20"/>
          <w:color w:val="auto"/>
        </w:rPr>
      </w:pPr>
      <w:r>
        <w:rPr>
          <w:rFonts w:ascii="Courier New" w:cs="Courier New" w:eastAsia="Courier New" w:hAnsi="Courier New"/>
          <w:sz w:val="18"/>
          <w:szCs w:val="18"/>
          <w:color w:val="auto"/>
        </w:rPr>
        <w:t>KIRKPATRICK &amp; LOCKHART LLP</w:t>
      </w:r>
    </w:p>
    <w:p>
      <w:pPr>
        <w:ind w:left="3160"/>
        <w:spacing w:after="0" w:line="237" w:lineRule="auto"/>
        <w:rPr>
          <w:sz w:val="20"/>
          <w:szCs w:val="20"/>
          <w:color w:val="auto"/>
        </w:rPr>
      </w:pPr>
      <w:r>
        <w:rPr>
          <w:rFonts w:ascii="Courier New" w:cs="Courier New" w:eastAsia="Courier New" w:hAnsi="Courier New"/>
          <w:sz w:val="18"/>
          <w:szCs w:val="18"/>
          <w:color w:val="auto"/>
        </w:rPr>
        <w:t>1800 M STREET, N.W.</w:t>
      </w:r>
    </w:p>
    <w:p>
      <w:pPr>
        <w:ind w:left="2960"/>
        <w:spacing w:after="0" w:line="238" w:lineRule="auto"/>
        <w:rPr>
          <w:sz w:val="20"/>
          <w:szCs w:val="20"/>
          <w:color w:val="auto"/>
        </w:rPr>
      </w:pPr>
      <w:r>
        <w:rPr>
          <w:rFonts w:ascii="Courier New" w:cs="Courier New" w:eastAsia="Courier New" w:hAnsi="Courier New"/>
          <w:sz w:val="18"/>
          <w:szCs w:val="18"/>
          <w:color w:val="auto"/>
        </w:rPr>
        <w:t>WASHINGTON, D.C. 20036</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following the effective date of the Registration Statement.</w:t>
      </w:r>
    </w:p>
    <w:p>
      <w:pPr>
        <w:spacing w:after="0" w:line="6" w:lineRule="exact"/>
        <w:rPr>
          <w:sz w:val="24"/>
          <w:szCs w:val="24"/>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6" w:lineRule="exact"/>
        <w:rPr>
          <w:sz w:val="24"/>
          <w:szCs w:val="24"/>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PROPOSED</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AMOUNT</w:t>
            </w:r>
          </w:p>
        </w:tc>
        <w:tc>
          <w:tcPr>
            <w:tcW w:w="15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MAXIMUM</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AGGREGATE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TITLE OF EACH</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OF</w:t>
            </w: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TO BE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OFFERING PRICE</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SECURITIES TO BE</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REGISTERED</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REGISTERED</w:t>
            </w:r>
          </w:p>
        </w:tc>
        <w:tc>
          <w:tcPr>
            <w:tcW w:w="1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PER UNIT(1)</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FEE</w:t>
            </w:r>
          </w:p>
        </w:tc>
        <w:tc>
          <w:tcPr>
            <w:tcW w:w="48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3100" w:type="dxa"/>
            <w:vAlign w:val="bottom"/>
          </w:tcPr>
          <w:p>
            <w:pPr>
              <w:spacing w:after="0"/>
              <w:rPr>
                <w:sz w:val="20"/>
                <w:szCs w:val="20"/>
                <w:color w:val="auto"/>
              </w:rPr>
            </w:pPr>
            <w:r>
              <w:rPr>
                <w:rFonts w:ascii="Courier New" w:cs="Courier New" w:eastAsia="Courier New" w:hAnsi="Courier New"/>
                <w:sz w:val="18"/>
                <w:szCs w:val="18"/>
                <w:color w:val="auto"/>
              </w:rPr>
              <w:t>Common Shares, no par or</w:t>
            </w: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stated value...............</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380,000</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$8,360,000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$2,883</w:t>
            </w:r>
          </w:p>
        </w:tc>
      </w:tr>
    </w:tbl>
    <w:p>
      <w:pPr>
        <w:spacing w:after="0" w:line="20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2099" w:hanging="421"/>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Estimated solely for the purpose of calculating the registration fee pursuant to Rule 457(c) of the Securities Act of 1933, as amended, based upon the average of the high and low prices of the common shares reported on the New York Stock Exchange on August 31, 1995.</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2419" w:firstLine="211"/>
        <w:spacing w:after="0" w:line="290"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w:t>
      </w:r>
    </w:p>
    <w:p>
      <w:pPr>
        <w:sectPr>
          <w:pgSz w:w="11900" w:h="16892" w:orient="portrait"/>
          <w:cols w:equalWidth="0" w:num="1">
            <w:col w:w="10219"/>
          </w:cols>
          <w:pgMar w:left="240" w:top="649" w:right="1440" w:bottom="0" w:gutter="0" w:footer="0" w:header="0"/>
          <w:type w:val="continuous"/>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6"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220" w:type="dxa"/>
            <w:vAlign w:val="bottom"/>
            <w:gridSpan w:val="2"/>
          </w:tcPr>
          <w:p>
            <w:pPr>
              <w:spacing w:after="0"/>
              <w:rPr>
                <w:sz w:val="20"/>
                <w:szCs w:val="20"/>
                <w:color w:val="auto"/>
              </w:rPr>
            </w:pPr>
            <w:r>
              <w:rPr>
                <w:rFonts w:ascii="Courier New" w:cs="Courier New" w:eastAsia="Courier New" w:hAnsi="Courier New"/>
                <w:sz w:val="18"/>
                <w:szCs w:val="18"/>
                <w:color w:val="auto"/>
              </w:rPr>
              <w:t>+INFORMATION CONTAINED HEREIN IS SUBJECT TO COMPLETION OR AMENDMENT. A</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+REGISTRATION STATEMENT RELATING TO THESE SECURITIES HAS BEEN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FILED WITH THE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AND EXCHANGE COMMISSION. THESE SECURITIES MAY NOT</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 SOLD NOR MAY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+OFFERS TO BUY BE ACCEPTED PRIOR TO THE TIME THE REGISTRATION</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STATEMENT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+BECOMES EFFECTIVE. THIS PROSPECTUS SHALL NOT CONSTITUTE AN OFFER TO SELL OR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SOLICITATION OF AN OFFER TO BUY NOR SHALL THERE BE ANY SALE OF THESE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+SECURITIES IN ANY STATE IN WHICH SUCH OFFER, SOLICITATION OR</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SALE WOULD BE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+UNLAWFUL PRIOR TO REGISTRATION OR QUALIFICATION UNDER THE SECURITIES LAWS OF</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+ANY SUCH STATE.</w:t>
            </w:r>
          </w:p>
        </w:tc>
        <w:tc>
          <w:tcPr>
            <w:tcW w:w="17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center"/>
        <w:ind w:right="1779"/>
        <w:spacing w:after="0" w:line="290" w:lineRule="auto"/>
        <w:rPr>
          <w:sz w:val="20"/>
          <w:szCs w:val="20"/>
          <w:color w:val="auto"/>
        </w:rPr>
      </w:pPr>
      <w:r>
        <w:rPr>
          <w:rFonts w:ascii="Courier New" w:cs="Courier New" w:eastAsia="Courier New" w:hAnsi="Courier New"/>
          <w:sz w:val="16"/>
          <w:szCs w:val="16"/>
          <w:color w:val="auto"/>
        </w:rPr>
        <w:t>++++++++++++++++++++++++++++++++++++++++++++++++++++++++++++++++++++++++++++++++ SUBJECT TO COMPLETION</w:t>
      </w:r>
    </w:p>
    <w:p>
      <w:pPr>
        <w:spacing w:after="0" w:line="16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PRELIMINARY PROSPECTUS DATED SEPTEMBER 6, 1995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380,000 SHARES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[FEDERAL REALTY INVESTMENT TRUST LOGO APPEARS HERE]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SHARES</w:t>
      </w:r>
    </w:p>
    <w:p>
      <w:pPr>
        <w:spacing w:after="0" w:line="207"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Federal Realty Investment Trust (the "Trust") is an owner, operator and redeveloper of community and neighborhood shopping centers and retail buildings. Founded in 1962, the Trust is a self-administered real estate investment trust that manages, leases and supervises renovation of its properties. At June 30, 1995, the Trust owned 53 community and neighborhood shopping centers, eleven retail buildings and one apartment complex. On September , 1995, the Trust privately placed 380,000 common shares of beneficial interest, no par or stated value (the "Shares"), to the shareholders of a corporation ("Holders") as consideration for the assets of the corporation ("Private Placement"), consisting primarily of a shopping center. The Shares offered hereby, or which may be offered hereby, are offered for the accounts of the Holders, none of which are "affiliates" of the Trust, as that term is defined in Rule 405 of the Securities Act of 1933, as amended. The Holders have advised the Trust that sales of the Shares may be made, from time to time, by or for the account of the Holders, on the New York Stock Exchange (once such Shares have been included for listing thereon), in private transactions, or otherwise, through broker-dealers. These sales will be made either at market prices prevailing at the time of sale or at negotiated prices. Broker-dealers may either act as agent for a Holder or may purchase any of the Shares as principal and thereafter may sell such Shares, from time to time, in transactions on the New York Stock Exchange at market prices prevailing at the time of sale, or at negotiated prices.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ind w:left="220"/>
              <w:spacing w:after="0"/>
              <w:rPr>
                <w:sz w:val="20"/>
                <w:szCs w:val="20"/>
                <w:color w:val="auto"/>
              </w:rPr>
            </w:pPr>
            <w:r>
              <w:rPr>
                <w:rFonts w:ascii="Courier New" w:cs="Courier New" w:eastAsia="Courier New" w:hAnsi="Courier New"/>
                <w:sz w:val="18"/>
                <w:szCs w:val="18"/>
                <w:color w:val="auto"/>
                <w:w w:val="98"/>
              </w:rPr>
              <w:t>Pursuant to an agreement with the</w:t>
            </w:r>
          </w:p>
        </w:tc>
        <w:tc>
          <w:tcPr>
            <w:tcW w:w="43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Trust, all expenses incurred by the Trust</w:t>
            </w:r>
          </w:p>
        </w:tc>
      </w:tr>
      <w:tr>
        <w:trPr>
          <w:trHeight w:val="203"/>
        </w:trPr>
        <w:tc>
          <w:tcPr>
            <w:tcW w:w="6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 connection with this offering are to be borne by the Trust</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except for</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brokers' commissions, if any, taxes</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and other similar selling</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expenses which</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are to be borne by the Holders. The</w:t>
            </w:r>
          </w:p>
        </w:tc>
        <w:tc>
          <w:tcPr>
            <w:tcW w:w="2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Trust's Shares are listed</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on the New York</w:t>
            </w:r>
          </w:p>
        </w:tc>
      </w:tr>
      <w:tr>
        <w:trPr>
          <w:trHeight w:val="203"/>
        </w:trPr>
        <w:tc>
          <w:tcPr>
            <w:tcW w:w="6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Stock Exchange under the Symbol "FRT." The last reported sale</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price for the</w:t>
            </w:r>
          </w:p>
        </w:tc>
      </w:tr>
      <w:tr>
        <w:trPr>
          <w:trHeight w:val="203"/>
        </w:trPr>
        <w:tc>
          <w:tcPr>
            <w:tcW w:w="6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Shares on September   , 1995 was $  .</w:t>
            </w:r>
          </w:p>
        </w:tc>
        <w:tc>
          <w:tcPr>
            <w:tcW w:w="1640" w:type="dxa"/>
            <w:vAlign w:val="bottom"/>
          </w:tcPr>
          <w:p>
            <w:pPr>
              <w:spacing w:after="0"/>
              <w:rPr>
                <w:sz w:val="17"/>
                <w:szCs w:val="17"/>
                <w:color w:val="auto"/>
              </w:rPr>
            </w:pPr>
          </w:p>
        </w:tc>
      </w:tr>
    </w:tbl>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1879"/>
        <w:spacing w:after="0" w:line="268"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w:t>
      </w:r>
    </w:p>
    <w:p>
      <w:pPr>
        <w:ind w:left="540"/>
        <w:spacing w:after="0" w:line="234" w:lineRule="auto"/>
        <w:rPr>
          <w:sz w:val="20"/>
          <w:szCs w:val="20"/>
          <w:color w:val="auto"/>
        </w:rPr>
      </w:pPr>
      <w:r>
        <w:rPr>
          <w:rFonts w:ascii="Courier New" w:cs="Courier New" w:eastAsia="Courier New" w:hAnsi="Courier New"/>
          <w:sz w:val="18"/>
          <w:szCs w:val="18"/>
          <w:color w:val="auto"/>
        </w:rPr>
        <w:t>REPRESENTATION TO THE CONTRARY IS A CRIMINAL OFFENSE.</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2099" w:hanging="210"/>
        <w:spacing w:after="0" w:line="235" w:lineRule="auto"/>
        <w:rPr>
          <w:sz w:val="20"/>
          <w:szCs w:val="20"/>
          <w:color w:val="auto"/>
        </w:rPr>
      </w:pPr>
      <w:r>
        <w:rPr>
          <w:rFonts w:ascii="Courier New" w:cs="Courier New" w:eastAsia="Courier New" w:hAnsi="Courier New"/>
          <w:sz w:val="18"/>
          <w:szCs w:val="18"/>
          <w:color w:val="auto"/>
        </w:rPr>
        <w:t>THE ATTORNEY GENERAL OF THE STATE OF NEW YORK HAS NOT PASSED ON OR ENDORSED THE MERITS OF THIS OFFERING. ANY REPRESENTATION TO THE</w:t>
      </w:r>
    </w:p>
    <w:p>
      <w:pPr>
        <w:jc w:val="center"/>
        <w:ind w:right="1879"/>
        <w:spacing w:after="0"/>
        <w:rPr>
          <w:sz w:val="20"/>
          <w:szCs w:val="20"/>
          <w:color w:val="auto"/>
        </w:rPr>
      </w:pPr>
      <w:r>
        <w:rPr>
          <w:rFonts w:ascii="Courier New" w:cs="Courier New" w:eastAsia="Courier New" w:hAnsi="Courier New"/>
          <w:sz w:val="18"/>
          <w:szCs w:val="18"/>
          <w:color w:val="auto"/>
        </w:rPr>
        <w:t>CONTRARY IS UNLAWFUL.</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580"/>
        <w:spacing w:after="0"/>
        <w:tabs>
          <w:tab w:leader="none" w:pos="6000" w:val="left"/>
        </w:tabs>
        <w:rPr>
          <w:sz w:val="20"/>
          <w:szCs w:val="20"/>
          <w:color w:val="auto"/>
        </w:rPr>
      </w:pPr>
      <w:r>
        <w:rPr>
          <w:rFonts w:ascii="Courier New" w:cs="Courier New" w:eastAsia="Courier New" w:hAnsi="Courier New"/>
          <w:sz w:val="18"/>
          <w:szCs w:val="18"/>
          <w:color w:val="auto"/>
        </w:rPr>
        <w:t>The date of this Prospectus is September</w:t>
      </w:r>
      <w:r>
        <w:rPr>
          <w:sz w:val="20"/>
          <w:szCs w:val="20"/>
          <w:color w:val="auto"/>
        </w:rPr>
        <w:tab/>
      </w:r>
      <w:r>
        <w:rPr>
          <w:rFonts w:ascii="Courier New" w:cs="Courier New" w:eastAsia="Courier New" w:hAnsi="Courier New"/>
          <w:sz w:val="16"/>
          <w:szCs w:val="16"/>
          <w:color w:val="auto"/>
        </w:rPr>
        <w:t>, 1995.</w:t>
      </w:r>
    </w:p>
    <w:p>
      <w:pPr>
        <w:sectPr>
          <w:pgSz w:w="11900" w:h="16838" w:orient="portrait"/>
          <w:cols w:equalWidth="0" w:num="1">
            <w:col w:w="10219"/>
          </w:cols>
          <w:pgMar w:left="240" w:top="723" w:right="1440" w:bottom="1440" w:gutter="0" w:footer="0" w:header="0"/>
        </w:sectPr>
      </w:pPr>
    </w:p>
    <w:bookmarkStart w:id="3" w:name="page4"/>
    <w:bookmarkEnd w:id="3"/>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is subject to the informational requirements of the Securities Exchange Act of 1934, as amended,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Chicago Regional Office, 500 West Madison Street, Suite 1400, Chicago Illinois 60661; and New York Regional Office, 7 World Trade Center, New York, New York 10048. Such reports, proxy statements and other information concerning the Trust can also be inspected at the office of the New York Stock Exchange, 20 Broad Street, New York, New York.</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w w:val="98"/>
              </w:rPr>
              <w:t>The Trust will provide</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without charge to</w:t>
            </w:r>
          </w:p>
        </w:tc>
        <w:tc>
          <w:tcPr>
            <w:tcW w:w="3680" w:type="dxa"/>
            <w:vAlign w:val="bottom"/>
          </w:tcPr>
          <w:p>
            <w:pPr>
              <w:spacing w:after="0"/>
              <w:rPr>
                <w:sz w:val="20"/>
                <w:szCs w:val="20"/>
                <w:color w:val="auto"/>
              </w:rPr>
            </w:pPr>
            <w:r>
              <w:rPr>
                <w:rFonts w:ascii="Courier New" w:cs="Courier New" w:eastAsia="Courier New" w:hAnsi="Courier New"/>
                <w:sz w:val="18"/>
                <w:szCs w:val="18"/>
                <w:color w:val="auto"/>
                <w:w w:val="99"/>
              </w:rPr>
              <w:t>each person to whom a copy of this</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Prospectus is delivered,</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upon their written</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or oral request, a copy of any or</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all of the documents incorporated herein by</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reference (other than exhibits to</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such documents). Written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requests for such</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copies should be addressed to Kathy</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Klein, Director--Corporate Communications,</w:t>
            </w:r>
          </w:p>
        </w:tc>
        <w:tc>
          <w:tcPr>
            <w:tcW w:w="368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Realty Investment Trust,</w:t>
            </w:r>
          </w:p>
        </w:tc>
      </w:tr>
      <w:tr>
        <w:trPr>
          <w:trHeight w:val="203"/>
        </w:trPr>
        <w:tc>
          <w:tcPr>
            <w:tcW w:w="4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4800 Hampden Lane, Bethesda, Maryland 20814</w:t>
            </w:r>
          </w:p>
        </w:tc>
        <w:tc>
          <w:tcPr>
            <w:tcW w:w="3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(telephone 301/652-3360).</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519" w:firstLine="211"/>
        <w:spacing w:after="0" w:line="290"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thereof:</w:t>
      </w:r>
    </w:p>
    <w:p>
      <w:pPr>
        <w:spacing w:after="0" w:line="170" w:lineRule="exact"/>
        <w:rPr>
          <w:sz w:val="20"/>
          <w:szCs w:val="20"/>
          <w:color w:val="auto"/>
        </w:rPr>
      </w:pPr>
    </w:p>
    <w:p>
      <w:pPr>
        <w:ind w:left="220" w:right="2739" w:firstLine="209"/>
        <w:spacing w:after="0" w:line="235" w:lineRule="auto"/>
        <w:tabs>
          <w:tab w:leader="none" w:pos="74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for the fiscal year ended December 31, 1994.</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74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1995 and June 30, 1995.</w:t>
      </w:r>
    </w:p>
    <w:p>
      <w:pPr>
        <w:spacing w:after="0" w:line="208" w:lineRule="exact"/>
        <w:rPr>
          <w:rFonts w:ascii="Courier New" w:cs="Courier New" w:eastAsia="Courier New" w:hAnsi="Courier New"/>
          <w:sz w:val="18"/>
          <w:szCs w:val="18"/>
          <w:color w:val="auto"/>
        </w:rPr>
      </w:pPr>
    </w:p>
    <w:p>
      <w:pPr>
        <w:ind w:left="220" w:right="2319" w:firstLine="209"/>
        <w:spacing w:after="0" w:line="235" w:lineRule="auto"/>
        <w:tabs>
          <w:tab w:leader="none" w:pos="74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Current Reports on Form 8-K filed with the Commission on May 26, 1995 and August 16, 1995.</w:t>
      </w:r>
    </w:p>
    <w:p>
      <w:pPr>
        <w:spacing w:after="0" w:line="208" w:lineRule="exact"/>
        <w:rPr>
          <w:rFonts w:ascii="Courier New" w:cs="Courier New" w:eastAsia="Courier New" w:hAnsi="Courier New"/>
          <w:sz w:val="18"/>
          <w:szCs w:val="18"/>
          <w:color w:val="auto"/>
        </w:rPr>
      </w:pPr>
    </w:p>
    <w:p>
      <w:pPr>
        <w:ind w:left="220" w:right="2099" w:firstLine="209"/>
        <w:spacing w:after="0" w:line="236" w:lineRule="auto"/>
        <w:tabs>
          <w:tab w:leader="none" w:pos="74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the Trust subsequently files pursuant to Sections 13(a), 13(c), 14 or 15(d) of the Securities Exchange Act of 1934, as amended, prior to the termination of this offering.</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that manages, leases and supervises renovation of its properties. At June 30, 1995, the Trust owned 53 community and neighborhood shopping centers, eleven retail buildings, and one apartment complex. At that date, the shopping center portfolio had approximately 11.5 million rentable square feet. At June 30, 1995, the occupancy rate of the core shopping center portfolio (which excluded centers acquired in the previous twelve months and centers under redevelopment) was 94%. Including all shopping centers owned at June 30, 1995, the occupancy rate was also 94%.</w:t>
      </w:r>
    </w:p>
    <w:p>
      <w:pPr>
        <w:spacing w:after="0" w:line="216"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intends to continue its acquisition and redevelopment activities in the second half of 1995. Acquisitions are being considered in the Trust's core major metropolitan markets of New York/New Jersey, Philadelphia and Baltimore/Washington, D.C. as well as the Chicago, Illinois and Boston, Massachusetts markets. In addition, the Trust is seeking to acquire additional retail buildings in densely developed urban and suburban areas and is also pursuing site acquisitions in its core markets to permit the Trust to develop new shopping centers. In August 1995, the Trust purchased a retail building in Westfield, New Jersey for approximately $2.1 million. On August 1, 1995, the Trust sold North City Shopping Center for $1.8 million.</w:t>
      </w: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The Trust will receive no proceeds from the sale, if any, of the Shares by the Holders.</w:t>
      </w:r>
    </w:p>
    <w:p>
      <w:pPr>
        <w:sectPr>
          <w:pgSz w:w="11900" w:h="16838" w:orient="portrait"/>
          <w:cols w:equalWidth="0" w:num="1">
            <w:col w:w="10219"/>
          </w:cols>
          <w:pgMar w:left="240" w:top="717" w:right="1440" w:bottom="0" w:gutter="0" w:footer="0" w:header="0"/>
        </w:sectPr>
      </w:pPr>
    </w:p>
    <w:bookmarkStart w:id="4" w:name="page5"/>
    <w:bookmarkEnd w:id="4"/>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344" w:right="1440" w:bottom="1440" w:gutter="0" w:footer="0" w:header="0"/>
        </w:sectPr>
      </w:pPr>
    </w:p>
    <w:bookmarkStart w:id="5" w:name="page6"/>
    <w:bookmarkEnd w:id="5"/>
    <w:p>
      <w:pPr>
        <w:ind w:left="1900"/>
        <w:spacing w:after="0"/>
        <w:rPr>
          <w:sz w:val="20"/>
          <w:szCs w:val="20"/>
          <w:color w:val="auto"/>
        </w:rPr>
      </w:pPr>
      <w:r>
        <w:rPr>
          <w:rFonts w:ascii="Courier New" w:cs="Courier New" w:eastAsia="Courier New" w:hAnsi="Courier New"/>
          <w:sz w:val="18"/>
          <w:szCs w:val="18"/>
          <w:color w:val="auto"/>
        </w:rPr>
        <w:t>PRICE RANGE OF THE SHARES AND DISTRIBUTIONS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Trust's Shares are listed on the New York Stock Exchange under the symbol FRT. The following table sets forth the high and low sale prices of the Shares for the periods indicated and the distributions made per Share in such periods.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DISTRIBUTIONS</w:t>
            </w:r>
          </w:p>
        </w:tc>
      </w:tr>
      <w:tr>
        <w:trPr>
          <w:trHeight w:val="203"/>
        </w:trPr>
        <w:tc>
          <w:tcPr>
            <w:tcW w:w="116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HIGH</w:t>
            </w:r>
          </w:p>
        </w:tc>
        <w:tc>
          <w:tcPr>
            <w:tcW w:w="480" w:type="dxa"/>
            <w:vAlign w:val="bottom"/>
          </w:tcPr>
          <w:p>
            <w:pPr>
              <w:spacing w:after="0"/>
              <w:rPr>
                <w:sz w:val="17"/>
                <w:szCs w:val="17"/>
                <w:color w:val="auto"/>
              </w:rPr>
            </w:pP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LOW</w:t>
            </w:r>
          </w:p>
        </w:tc>
        <w:tc>
          <w:tcPr>
            <w:tcW w:w="480" w:type="dxa"/>
            <w:vAlign w:val="bottom"/>
          </w:tcPr>
          <w:p>
            <w:pPr>
              <w:spacing w:after="0"/>
              <w:rPr>
                <w:sz w:val="17"/>
                <w:szCs w:val="17"/>
                <w:color w:val="auto"/>
              </w:rPr>
            </w:pP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PAID</w:t>
            </w:r>
          </w:p>
        </w:tc>
      </w:tr>
      <w:tr>
        <w:trPr>
          <w:trHeight w:val="203"/>
        </w:trPr>
        <w:tc>
          <w:tcPr>
            <w:tcW w:w="1160" w:type="dxa"/>
            <w:vAlign w:val="bottom"/>
          </w:tcPr>
          <w:p>
            <w:pPr>
              <w:spacing w:after="0"/>
              <w:rPr>
                <w:sz w:val="17"/>
                <w:szCs w:val="17"/>
                <w:color w:val="auto"/>
              </w:rPr>
            </w:pP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w:t>
            </w:r>
          </w:p>
        </w:tc>
        <w:tc>
          <w:tcPr>
            <w:tcW w:w="480" w:type="dxa"/>
            <w:vAlign w:val="bottom"/>
          </w:tcPr>
          <w:p>
            <w:pPr>
              <w:spacing w:after="0"/>
              <w:rPr>
                <w:sz w:val="17"/>
                <w:szCs w:val="17"/>
                <w:color w:val="auto"/>
              </w:rPr>
            </w:pPr>
          </w:p>
        </w:tc>
        <w:tc>
          <w:tcPr>
            <w:tcW w:w="15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1993</w:t>
            </w: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1st Quarter</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$29</w:t>
            </w:r>
          </w:p>
        </w:tc>
        <w:tc>
          <w:tcPr>
            <w:tcW w:w="480" w:type="dxa"/>
            <w:vAlign w:val="bottom"/>
          </w:tcPr>
          <w:p>
            <w:pPr>
              <w:spacing w:after="0"/>
              <w:rPr>
                <w:sz w:val="17"/>
                <w:szCs w:val="17"/>
                <w:color w:val="auto"/>
              </w:rPr>
            </w:pP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$23 7/8</w:t>
            </w:r>
          </w:p>
        </w:tc>
        <w:tc>
          <w:tcPr>
            <w:tcW w:w="15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2nd Quarter</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28</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3/4</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3rd Quarter</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30</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4th Quarter</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29</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1/8</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1st Quarter</w:t>
            </w:r>
          </w:p>
        </w:tc>
        <w:tc>
          <w:tcPr>
            <w:tcW w:w="2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$29 1/2</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spacing w:after="0"/>
              <w:rPr>
                <w:sz w:val="17"/>
                <w:szCs w:val="17"/>
                <w:color w:val="auto"/>
              </w:rPr>
            </w:pPr>
          </w:p>
        </w:tc>
        <w:tc>
          <w:tcPr>
            <w:tcW w:w="15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2nd Quarter</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25</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3rd Quarter</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26</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480" w:type="dxa"/>
            <w:vAlign w:val="bottom"/>
          </w:tcPr>
          <w:p>
            <w:pPr>
              <w:spacing w:after="0"/>
              <w:rPr>
                <w:sz w:val="17"/>
                <w:szCs w:val="17"/>
                <w:color w:val="auto"/>
              </w:rPr>
            </w:pP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4th Quarter</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23</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5/8</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1st Quarter</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$22</w:t>
            </w:r>
          </w:p>
        </w:tc>
        <w:tc>
          <w:tcPr>
            <w:tcW w:w="480" w:type="dxa"/>
            <w:vAlign w:val="bottom"/>
          </w:tcPr>
          <w:p>
            <w:pPr>
              <w:spacing w:after="0"/>
              <w:rPr>
                <w:sz w:val="17"/>
                <w:szCs w:val="17"/>
                <w:color w:val="auto"/>
              </w:rPr>
            </w:pP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$20 1/4</w:t>
            </w:r>
          </w:p>
        </w:tc>
        <w:tc>
          <w:tcPr>
            <w:tcW w:w="15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2nd Quarter</w:t>
            </w:r>
          </w:p>
        </w:tc>
        <w:tc>
          <w:tcPr>
            <w:tcW w:w="1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22</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3/4</w:t>
            </w: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31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3rd Quarter (through</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September</w:t>
            </w:r>
          </w:p>
        </w:tc>
        <w:tc>
          <w:tcPr>
            <w:tcW w:w="19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.395</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last reported sale price of the Shares on the New York Stock Exchange on September , 1995, was $ per Share. As of December 31, 1994, there were 4,549 registered holders of Shares.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made 131 consecutive quarterly distributions and has increased its distribution rate every year for each of the last 27 years. The current indicated annual distribution rate is $1.58 per Share. The Trust's ability to make distributions depends on a number of factors, including its net cash provided by operating activities, capital commitments and debt repayment schedules.</w:t>
      </w:r>
    </w:p>
    <w:p>
      <w:pPr>
        <w:spacing w:after="0" w:line="210"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For federal income tax purposes, distributions made to shareholders may consist of ordinary income, capital gains distributions, non-taxable return of capital or a combination thereof. Distributions that exceed the Trust's current and accumulated earnings and profits constitute a return of capital and reduce the shareholder's basis in his Shares. To the extent that a distribution exceeds both current and accumulated earnings and profits and the shareholder's basis in his Shares, it will generally be treated as gain from the sale or exchange of that shareholder's Shares. If the Trust designates certain distributions as capital gains distributions in accordance with Section 857(b)(3)(B) and (C) of the Internal Revenue Code of 1986, as amended (the "Code"), such distributions will be taxable as long-term capital gains to the shareholder, regardless of the length of time the shareholder has held his Shares. Under Section 291 of the Code, however, a corporate shareholder may be required to treat up to 20% of a capital gains distribution as ordinary income. Any loss upon the sale or exchange of Shares held for six months or less will be treated as long-term capital loss to the extent of any capital gains distributions received by the shareholder. The Trust annually notifies shareholders as to the taxability of distributions made during the preceding year. Since 1990, cash distributions per Share made to shareholders have been taxable as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1990</w:t>
            </w:r>
          </w:p>
        </w:tc>
        <w:tc>
          <w:tcPr>
            <w:tcW w:w="6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1991</w:t>
            </w:r>
          </w:p>
        </w:tc>
        <w:tc>
          <w:tcPr>
            <w:tcW w:w="7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1992</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1993</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38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w w:val="81"/>
              </w:rPr>
              <w:t>Ordinary income............................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$1.05</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 .83</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 .610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$1.095</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 .815</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81"/>
              </w:rPr>
              <w:t>Capital gains..............................</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.06</w:t>
            </w: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81"/>
              </w:rPr>
              <w:t>Return of capital..........................</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r>
      <w:tr>
        <w:trPr>
          <w:trHeight w:val="203"/>
        </w:trPr>
        <w:tc>
          <w:tcPr>
            <w:tcW w:w="38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w w:val="81"/>
              </w:rPr>
              <w:t>Total Distributions made...................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$1.565</w:t>
            </w:r>
          </w:p>
        </w:tc>
      </w:tr>
      <w:tr>
        <w:trPr>
          <w:trHeight w:val="203"/>
        </w:trPr>
        <w:tc>
          <w:tcPr>
            <w:tcW w:w="38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3800" w:type="dxa"/>
            <w:vAlign w:val="bottom"/>
          </w:tcPr>
          <w:p>
            <w:pPr>
              <w:spacing w:after="0"/>
              <w:rPr>
                <w:sz w:val="24"/>
                <w:szCs w:val="24"/>
                <w:color w:val="auto"/>
              </w:rPr>
            </w:pPr>
          </w:p>
        </w:tc>
        <w:tc>
          <w:tcPr>
            <w:tcW w:w="1420" w:type="dxa"/>
            <w:vAlign w:val="bottom"/>
          </w:tcPr>
          <w:p>
            <w:pPr>
              <w:jc w:val="right"/>
              <w:ind w:right="1232"/>
              <w:spacing w:after="0"/>
              <w:rPr>
                <w:sz w:val="20"/>
                <w:szCs w:val="20"/>
                <w:color w:val="auto"/>
              </w:rPr>
            </w:pPr>
            <w:r>
              <w:rPr>
                <w:rFonts w:ascii="Courier New" w:cs="Courier New" w:eastAsia="Courier New" w:hAnsi="Courier New"/>
                <w:sz w:val="18"/>
                <w:szCs w:val="18"/>
                <w:color w:val="auto"/>
                <w:w w:val="73"/>
              </w:rPr>
              <w:t>3</w:t>
            </w: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717" w:right="1440" w:bottom="0" w:gutter="0" w:footer="0" w:header="0"/>
        </w:sectPr>
      </w:pPr>
    </w:p>
    <w:bookmarkStart w:id="6" w:name="page7"/>
    <w:bookmarkEnd w:id="6"/>
    <w:p>
      <w:pPr>
        <w:ind w:right="2099" w:firstLine="211"/>
        <w:spacing w:after="0" w:line="236" w:lineRule="auto"/>
        <w:rPr>
          <w:sz w:val="20"/>
          <w:szCs w:val="20"/>
          <w:color w:val="auto"/>
        </w:rPr>
      </w:pPr>
      <w:r>
        <w:rPr>
          <w:rFonts w:ascii="Courier New" w:cs="Courier New" w:eastAsia="Courier New" w:hAnsi="Courier New"/>
          <w:sz w:val="18"/>
          <w:szCs w:val="18"/>
          <w:color w:val="auto"/>
        </w:rPr>
        <w:t>The Trust offers a dividend reinvestment plan which allows its shareholders to automatically reinvest distributions, as well as make voluntary cash payments towards the purchase of additional Shares.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DETERMINATION OF OFFERING PRICE</w:t>
      </w:r>
    </w:p>
    <w:p>
      <w:pPr>
        <w:spacing w:after="0" w:line="207"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The Shares offered hereby, or which may be offered hereby, will be offered at prevailing market prices at the time of such sale or at negotiated prices.</w:t>
      </w:r>
    </w:p>
    <w:p>
      <w:pPr>
        <w:spacing w:after="0" w:line="16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Sales of the Shares by the Holders, if any, will be made in open market transactions on the New York Stock Exchange (once the Shares are included for listing thereon), or in private transactions. Broker-dealers may either act as agent for a Holder or may purchase any of the Shares as principal and thereafter may sell such Shares, from time to time, in transactions on the New York Stock Exchange at market prices prevailing at the time of sale, or at negotiated prices.</w:t>
      </w: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SELLING SECURITY 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are the Carpenter Realty Company, Colonial Realty Corp. and Blair Beach, constituting all of the shareholders of Bristol Shopping Plaza, Inc. The Trust privately placed the Shares with the Holders as consideration for the net assets and liabilities of Bristol Shopping Plaza, Inc., valued at approximately $7.7 million and consisting primarily of a 250,000 square foot shopping center in Bristol, Connecticut. None of the Holders has had any material relationship or held any position or office with the Trust or any of its affiliates. At September , 1995, the table below sets forth the ownership by the Holders of Shares of the Trust and the amount of Shares to be offered by each Holder: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SHARES OFFERED</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HOLDER</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SHARES HELD</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HEREBY</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w w:val="98"/>
              </w:rPr>
              <w:t>Carpenter Realty Company.......................</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126,667</w:t>
            </w:r>
          </w:p>
        </w:tc>
        <w:tc>
          <w:tcPr>
            <w:tcW w:w="15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126,667</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Colonial Realty Corp...........................</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126,667</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126,667</w:t>
            </w:r>
          </w:p>
        </w:tc>
      </w:tr>
      <w:tr>
        <w:trPr>
          <w:trHeight w:val="203"/>
        </w:trPr>
        <w:tc>
          <w:tcPr>
            <w:tcW w:w="50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Blair Beach....................................</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126,866</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126,666</w:t>
            </w:r>
          </w:p>
        </w:tc>
      </w:tr>
    </w:tbl>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DESCRIPTION OF SHARES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Shares are issued pursuant to the Third Amended and Restated Declaration of Trust (the "Declaration of Trust"). The Shares (no par or stated value) are equal with respect to distribution and liquidation rights, are not convertible, have no preemptive rights to subscribe for additional Shares, are nonassessable (except as described under "Shareholder Liability" below) and are transferrable in the same manner as shares of a corporation. Each shareholder is entitled to one vote in person or by proxy for each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Shares offered hereby by the Trust will be, when issued, fully paid and nonassessable (except as described under "Shareholder Liability" below). Without shareholder approval, the Trust may issue an unlimited number of securities, warrants, rights, or other options to purchase Shares and other securities convertible into Shares.</w:t>
      </w:r>
    </w:p>
    <w:p>
      <w:pPr>
        <w:spacing w:after="0" w:line="210" w:lineRule="exact"/>
        <w:rPr>
          <w:sz w:val="20"/>
          <w:szCs w:val="20"/>
          <w:color w:val="auto"/>
        </w:rPr>
      </w:pPr>
    </w:p>
    <w:p>
      <w:pPr>
        <w:ind w:right="2739" w:firstLine="211"/>
        <w:spacing w:after="0" w:line="237" w:lineRule="auto"/>
        <w:rPr>
          <w:sz w:val="20"/>
          <w:szCs w:val="20"/>
          <w:color w:val="auto"/>
        </w:rPr>
      </w:pPr>
      <w:r>
        <w:rPr>
          <w:rFonts w:ascii="Courier New" w:cs="Courier New" w:eastAsia="Courier New" w:hAnsi="Courier New"/>
          <w:sz w:val="18"/>
          <w:szCs w:val="18"/>
          <w:color w:val="auto"/>
        </w:rPr>
        <w:t>Several provisions in the Declaration of Trust may have the effect of deterring a take-over of the Trust. These provisions (i) establish the percentage of outstanding Shares required to approve certain matters, including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7" w:name="page8"/>
    <w:bookmarkEnd w:id="7"/>
    <w:p>
      <w:pPr>
        <w:ind w:right="1999"/>
        <w:spacing w:after="0" w:line="238" w:lineRule="auto"/>
        <w:rPr>
          <w:sz w:val="20"/>
          <w:szCs w:val="20"/>
          <w:color w:val="auto"/>
        </w:rPr>
      </w:pPr>
      <w:r>
        <w:rPr>
          <w:rFonts w:ascii="Courier New" w:cs="Courier New" w:eastAsia="Courier New" w:hAnsi="Courier New"/>
          <w:sz w:val="18"/>
          <w:szCs w:val="18"/>
          <w:color w:val="auto"/>
        </w:rPr>
        <w:t>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Shares by a single person to 9.8% of such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Shares for certain defined "business combinations" with shareholders owning more than 9.8% of Shares or their affiliates if the transaction is neither approved by the Board of Trustees nor meets certain price and procedural conditions.</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Shares and to issue additional classes of equity securities in unlimited numbers with such rights, qualifications, limitations or restrictions as are stated in the Board of Trustees' resolution establishing such class of securities.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April 13, 1989, the Trustees adopted a Shareholder Rights Plan (the "Plan"). Under the Plan, one right was issued for each outstanding Share held as of April 24, 1989, and a right will be attached to each Share issued in the future. The rights authorize the holders to purchase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on April 24,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REIT QUALIFICATION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Trust operates in a manner intended to qualify for treatment as a real estate investment trust under Sections 856 to 860 of the Code. In general, a real estate investment trust that distributes to its shareholders at least 95% of its taxable income (other than net capital gain) for a taxable year and that meets certain other conditions will not be taxed on income (including net capital gain) distributed for that year. If the Trust fails to qualify in any taxable year, it will be taxed as a corporation for that year, and distributions to shareholders will not be deductible by the Trust in computing its taxable income. Under certain circumstances, the Trust also will be disqualified from being treated as a real estate investment trust for the ensuing four taxable years. The Trust may, at its election, redeem Shares if the Trustees believe in good faith that the ownership interest of the holder of such Shares might adversely affect the federal income tax status of the Trust or its shareholders. Redemption in such circumstances will be at the fair market value of the Shares as determined in good faith by the Trustees.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Registrar and Transfer Agent for the Shares is American Stock Transfer &amp; Trust Company, New York, New York.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362" w:gutter="0" w:footer="0" w:header="0"/>
        </w:sectPr>
      </w:pPr>
    </w:p>
    <w:bookmarkStart w:id="8" w:name="page9"/>
    <w:bookmarkEnd w:id="8"/>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legality of the Shares offered hereby is being passed upon for the Trust by Kirkpatrick &amp; Lockhart LLP, 1800 M Street, N.W., Washington, D.C. 20036. Certain REIT tax matters relating to the Trust are being passed upon by Goodwin, Procter &amp; Hoar, Exchange Place, Boston, Massachusetts 02109.</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1994 and 1993 and for each of the years in the three year period ended December 31, 1994 incorporated herein by reference have been incorporated herein in reliance on the reports dated February 10, 1995, of Grant Thornton LLP, independent certified public accountants, also incorporated by reference herein, and upon the authority of said firm as experts in accounting and auditing.</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9" w:name="page10"/>
    <w:bookmarkEnd w:id="9"/>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THE TRUST. THIS PROSPECTUS DOES NOT CONSTITUTE AN OFFER TO SELL, OR A SOLICITATION OF AN OFFER TO BUY, THE SHARES IN ANY JURISDICTION WHERE, OR TO ANY PERSON TO WHOM, IT IS UNLAWFUL TO MAKE SUCH OFFER OR SOLICITATION. NEITHER THE DELIVERY OF THIS PROSPECTUS NOR ANY SALE MADE HEREUNDER SHALL, UNDER ANY CIRCUMSTANCES, CREATE AN IMPLICATION THAT THERE HAS NOT BEEN ANY CHANGE IN THE FACTS SET FORTH IN THIS PROSPECTUS OR IN THE AFFAIRS OF THE TRUST SINCE THE DATE HEREOF.</w:t>
      </w:r>
    </w:p>
    <w:p>
      <w:pPr>
        <w:spacing w:after="0" w:line="21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79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Available Information......................................................</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Incorporation of Certain Documents by Reference............................</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Trust..................................................................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Recent Developments........................................................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Use of Proceeds............................................................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Price Range of the Shares and Distributions................................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Determination of Offering Price............................................</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Selling Security Holders...................................................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Description of Shares......................................................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Opinions.............................................................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380,000 SHARES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[FEDERAL REALTY INVESTMENT TRUST LOGO APPEARS HERE]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SHARES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280"/>
        <w:spacing w:after="0"/>
        <w:tabs>
          <w:tab w:leader="none" w:pos="4420" w:val="left"/>
        </w:tabs>
        <w:rPr>
          <w:sz w:val="20"/>
          <w:szCs w:val="20"/>
          <w:color w:val="auto"/>
        </w:rPr>
      </w:pPr>
      <w:r>
        <w:rPr>
          <w:rFonts w:ascii="Courier New" w:cs="Courier New" w:eastAsia="Courier New" w:hAnsi="Courier New"/>
          <w:sz w:val="18"/>
          <w:szCs w:val="18"/>
          <w:color w:val="auto"/>
        </w:rPr>
        <w:t>SEPTEMBER</w:t>
        <w:tab/>
        <w:t>, 1995</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23"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ISSUANCES AND DISTRIBUTION</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estimated expenses in connection with the offering contemplated by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900" w:type="dxa"/>
            <w:vAlign w:val="bottom"/>
            <w:gridSpan w:val="2"/>
          </w:tcPr>
          <w:p>
            <w:pPr>
              <w:spacing w:after="0"/>
              <w:rPr>
                <w:sz w:val="20"/>
                <w:szCs w:val="20"/>
                <w:color w:val="auto"/>
              </w:rPr>
            </w:pPr>
            <w:r>
              <w:rPr>
                <w:rFonts w:ascii="Courier New" w:cs="Courier New" w:eastAsia="Courier New" w:hAnsi="Courier New"/>
                <w:sz w:val="18"/>
                <w:szCs w:val="18"/>
                <w:color w:val="auto"/>
                <w:w w:val="98"/>
              </w:rPr>
              <w:t>SEC Registration Fee.............................................</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$ 2,883</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Stock Exchange Listing Fee..............................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Sky</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Fees and Expenses.......................................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Printing</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 Engraving Costs.....................................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w:t>
            </w:r>
          </w:p>
        </w:tc>
      </w:tr>
      <w:tr>
        <w:trPr>
          <w:trHeight w:val="203"/>
        </w:trPr>
        <w:tc>
          <w:tcPr>
            <w:tcW w:w="6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Accounting Fees and Expenses.....................................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6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Legal Fees and Expenses..........................................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Agent and Registrar's Fees..............................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w:t>
            </w:r>
          </w:p>
        </w:tc>
      </w:tr>
      <w:tr>
        <w:trPr>
          <w:trHeight w:val="203"/>
        </w:trPr>
        <w:tc>
          <w:tcPr>
            <w:tcW w:w="6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Miscellaneous....................................................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1,317</w:t>
            </w:r>
          </w:p>
        </w:tc>
      </w:tr>
      <w:tr>
        <w:trPr>
          <w:trHeight w:val="203"/>
        </w:trPr>
        <w:tc>
          <w:tcPr>
            <w:tcW w:w="9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Total</w:t>
            </w:r>
          </w:p>
        </w:tc>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w:t>
            </w:r>
          </w:p>
        </w:tc>
      </w:tr>
      <w:tr>
        <w:trPr>
          <w:trHeight w:val="203"/>
        </w:trPr>
        <w:tc>
          <w:tcPr>
            <w:tcW w:w="9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Trust's Third Amended and Restated Declaration of Trust provides in substance that Trustees and officers of the Trust shall not be personally liable to the Trust or to any other person involving the Trust's affairs, except for their own bad faith, willful misconduct, gross negligence or reckless disregard of duties, or failure to act in good faith in the reasonable belief that their action was in the best interest of the Trust. The Trust indemnifies and holds harmless each Trustee and officer against all claims, liabilities and expenses in connection with the defense or disposition of any lawsuit threatened or brought by reason of his office, except as to any matter for which he is personally liable as stated above.</w:t>
      </w:r>
    </w:p>
    <w:p>
      <w:pPr>
        <w:spacing w:after="0" w:line="21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pursuant to the Third Amended and Restated Declaration of Trust or otherwise, the Trust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Trust of expenses incurred or paid in the successful defense of any action, suit or proceeding) is asserted in connection with the securities being registered, the Trust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hanging="420"/>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 Amended and Restated Declaration of Trust+</w:t>
      </w:r>
    </w:p>
    <w:p>
      <w:pPr>
        <w:ind w:left="1060" w:hanging="420"/>
        <w:spacing w:after="0" w:line="238"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legality</w:t>
      </w:r>
    </w:p>
    <w:p>
      <w:pPr>
        <w:ind w:left="1060" w:hanging="420"/>
        <w:spacing w:after="0" w:line="238" w:lineRule="auto"/>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tax matters</w:t>
      </w:r>
    </w:p>
    <w:p>
      <w:pPr>
        <w:ind w:left="1060" w:hanging="525"/>
        <w:spacing w:after="0"/>
        <w:tabs>
          <w:tab w:leader="none" w:pos="106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Acknowledgement of Independent Accountants (included on II-3)</w:t>
      </w:r>
    </w:p>
    <w:p>
      <w:pPr>
        <w:ind w:left="1060" w:hanging="525"/>
        <w:spacing w:after="0" w:line="238" w:lineRule="auto"/>
        <w:tabs>
          <w:tab w:leader="none" w:pos="106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Independent Accountants (included on II-3)</w:t>
      </w:r>
    </w:p>
    <w:p>
      <w:pPr>
        <w:ind w:left="1060" w:hanging="525"/>
        <w:spacing w:after="0" w:line="238" w:lineRule="auto"/>
        <w:tabs>
          <w:tab w:leader="none" w:pos="106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of Counsel (included in opinions)</w:t>
      </w:r>
    </w:p>
    <w:p>
      <w:pPr>
        <w:ind w:left="1060" w:hanging="525"/>
        <w:spacing w:after="0" w:line="238" w:lineRule="auto"/>
        <w:tabs>
          <w:tab w:leader="none" w:pos="1060" w:val="left"/>
        </w:tabs>
        <w:numPr>
          <w:ilvl w:val="2"/>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signature page)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420" w:right="2099" w:hanging="201"/>
        <w:spacing w:after="0" w:line="235" w:lineRule="auto"/>
        <w:tabs>
          <w:tab w:leader="none" w:pos="4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Registration Statement No. 33-30912, dated September 12, 1989.</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ITEM 17. UNDERTAKINGS</w:t>
      </w:r>
    </w:p>
    <w:p>
      <w:pPr>
        <w:spacing w:after="0" w:line="207" w:lineRule="exact"/>
        <w:rPr>
          <w:sz w:val="20"/>
          <w:szCs w:val="20"/>
          <w:color w:val="auto"/>
        </w:rPr>
      </w:pPr>
    </w:p>
    <w:p>
      <w:pPr>
        <w:ind w:right="1999" w:firstLine="219"/>
        <w:spacing w:after="0" w:line="237" w:lineRule="auto"/>
        <w:tabs>
          <w:tab w:leader="none" w:pos="6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11"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203"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w:t>
      </w:r>
    </w:p>
    <w:p>
      <w:pPr>
        <w:spacing w:after="0" w:line="4"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17" w:right="1440" w:bottom="1440" w:gutter="0" w:footer="0" w:header="0"/>
        </w:sectPr>
      </w:pPr>
    </w:p>
    <w:bookmarkStart w:id="12" w:name="page13"/>
    <w:bookmarkEnd w:id="12"/>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We have issued our reports dated February 10, 1995, accompanying the consolidated financial statements of Federal Realty Investment Trust appearing in the 1994 Annual Report of the Trust to its shareholders and accompanying the schedules included in the Annual Report on Form 10-K for the year ended December 31, 1994 which are incorporated by reference in this Registration Statement. We consent to the incorporation by reference in this Registration Statement and the related Prospectus of the aforementioned reports and to the use of our name as it appears under the caption "Experts."</w:t>
      </w:r>
    </w:p>
    <w:p>
      <w:pPr>
        <w:spacing w:after="0" w:line="18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38" w:lineRule="auto"/>
        <w:rPr>
          <w:sz w:val="20"/>
          <w:szCs w:val="20"/>
          <w:color w:val="auto"/>
        </w:rPr>
      </w:pPr>
      <w:r>
        <w:rPr>
          <w:rFonts w:ascii="Courier New" w:cs="Courier New" w:eastAsia="Courier New" w:hAnsi="Courier New"/>
          <w:sz w:val="18"/>
          <w:szCs w:val="18"/>
          <w:color w:val="auto"/>
        </w:rPr>
        <w:t>September 6, 1995</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ACKNOWLEDGEMENT OF INDEPENDENT ACCOUNTANTS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hereby acknowledge our awareness of the use of our reports included in the Trust's Quarterly Reports on Form 10-Q incorporated by reference in the Prospectus constituting part of this Registration Statement. Such reports, pursuant to Rule 436(c) under the Securities Act of 1933, are not considered a part of a registration statement prepared or certified by an accountant or reports prepared or certified by an accountant within the meaning of Section 7 and 11 of the Act.</w:t>
      </w: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38" w:lineRule="auto"/>
        <w:rPr>
          <w:sz w:val="20"/>
          <w:szCs w:val="20"/>
          <w:color w:val="auto"/>
        </w:rPr>
      </w:pPr>
      <w:r>
        <w:rPr>
          <w:rFonts w:ascii="Courier New" w:cs="Courier New" w:eastAsia="Courier New" w:hAnsi="Courier New"/>
          <w:sz w:val="18"/>
          <w:szCs w:val="18"/>
          <w:color w:val="auto"/>
        </w:rPr>
        <w:t>September 6, 1995</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CONSENTS OF COUNSEL</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consent of Kirkpatrick &amp; Lockhart LLP is contained in its opinion filed as Exhibit 5 to this Registration Statement.</w:t>
      </w:r>
    </w:p>
    <w:p>
      <w:pPr>
        <w:spacing w:after="0" w:line="208"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consent of Goodwin, Procter &amp; Hoar is contained in its opinion filed as Exhibit 8 to this Registration Statement.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17" w:right="1440" w:bottom="1440" w:gutter="0" w:footer="0" w:header="0"/>
        </w:sectPr>
      </w:pPr>
    </w:p>
    <w:bookmarkStart w:id="13" w:name="page14"/>
    <w:bookmarkEnd w:id="13"/>
    <w:p>
      <w:pPr>
        <w:jc w:val="center"/>
        <w:ind w:right="19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211"/>
        <w:spacing w:after="0" w:line="273"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STATE OF MARYLAND ON THIS 6TH DAY OF SEPTEMBER 1995.</w:t>
      </w:r>
    </w:p>
    <w:p>
      <w:pPr>
        <w:spacing w:after="0" w:line="17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4440"/>
        <w:spacing w:after="0"/>
        <w:tabs>
          <w:tab w:leader="none" w:pos="5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Steven J. Guttman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STEVEN J. GUTTMAN, PRESIDENT</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constitutes and appoints Steven J. Guttman, his true and lawful attorney-in-fact and agent, for him, with full power of substitution and resubstitution, for him and in his name, place and stand,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interests and purposes as he might or could do in person, hereby ratifying and confirming all that said attorney-in-fact and agent or his substitute or substitutes may lawfully do or cause to be done by virtue hereof.</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FORM S-3 REGISTRATION STATEMENT HAS BEEN SIGNED BELOW BY THE FOLLOWING PERSONS IN THE CAPACITIES AND ON THE DATE INDICATED.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3">
            <w:col w:w="4240" w:space="720"/>
            <w:col w:w="1600" w:space="720"/>
            <w:col w:w="2939"/>
          </w:cols>
          <w:pgMar w:left="240" w:top="717" w:right="1440" w:bottom="1440" w:gutter="0" w:footer="0" w:header="0"/>
          <w:type w:val="continuous"/>
        </w:sectPr>
      </w:pPr>
    </w:p>
    <w:p>
      <w:pPr>
        <w:spacing w:after="0" w:line="22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Steven J. Guttman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STEVEN J. GUTTMAN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 and</w:t>
      </w:r>
    </w:p>
    <w:p>
      <w:pPr>
        <w:ind w:left="320"/>
        <w:spacing w:after="0" w:line="238" w:lineRule="auto"/>
        <w:rPr>
          <w:sz w:val="20"/>
          <w:szCs w:val="20"/>
          <w:color w:val="auto"/>
        </w:rPr>
      </w:pPr>
      <w:r>
        <w:rPr>
          <w:rFonts w:ascii="Courier New" w:cs="Courier New" w:eastAsia="Courier New" w:hAnsi="Courier New"/>
          <w:sz w:val="18"/>
          <w:szCs w:val="18"/>
          <w:color w:val="auto"/>
        </w:rPr>
        <w:t>Trustee (Chief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Executive Officer)</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6,</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1995</w:t>
      </w:r>
    </w:p>
    <w:p>
      <w:pPr>
        <w:spacing w:after="0" w:line="402" w:lineRule="exact"/>
        <w:rPr>
          <w:sz w:val="20"/>
          <w:szCs w:val="20"/>
          <w:color w:val="auto"/>
        </w:rPr>
      </w:pPr>
    </w:p>
    <w:p>
      <w:pPr>
        <w:sectPr>
          <w:pgSz w:w="11900" w:h="16838" w:orient="portrait"/>
          <w:cols w:equalWidth="0" w:num="3">
            <w:col w:w="4120" w:space="0"/>
            <w:col w:w="2020" w:space="720"/>
            <w:col w:w="3359"/>
          </w:cols>
          <w:pgMar w:left="240" w:top="717" w:right="1440" w:bottom="1440" w:gutter="0" w:footer="0" w:header="0"/>
          <w:type w:val="continuous"/>
        </w:sectPr>
      </w:pP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Mary Jane Morrow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MARY JANE MORROW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Senior Vice</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President Finance &amp;</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Treasurer (Chief</w:t>
      </w:r>
    </w:p>
    <w:p>
      <w:pPr>
        <w:ind w:left="10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September 6,</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1995</w:t>
      </w:r>
    </w:p>
    <w:p>
      <w:pPr>
        <w:spacing w:after="0" w:line="604" w:lineRule="exact"/>
        <w:rPr>
          <w:sz w:val="20"/>
          <w:szCs w:val="20"/>
          <w:color w:val="auto"/>
        </w:rPr>
      </w:pPr>
    </w:p>
    <w:p>
      <w:pPr>
        <w:sectPr>
          <w:pgSz w:w="11900" w:h="16838" w:orient="portrait"/>
          <w:cols w:equalWidth="0" w:num="3">
            <w:col w:w="4120" w:space="0"/>
            <w:col w:w="2320" w:space="420"/>
            <w:col w:w="3359"/>
          </w:cols>
          <w:pgMar w:left="240" w:top="717" w:right="1440" w:bottom="1440" w:gutter="0" w:footer="0" w:header="0"/>
          <w:type w:val="continuous"/>
        </w:sectPr>
      </w:pPr>
    </w:p>
    <w:p>
      <w:pPr>
        <w:spacing w:after="0" w:line="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 Cecily A. Ward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CECILY A. 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Controller (Chief</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September 6,</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1995</w:t>
      </w:r>
    </w:p>
    <w:p>
      <w:pPr>
        <w:spacing w:after="0" w:line="402" w:lineRule="exact"/>
        <w:rPr>
          <w:sz w:val="20"/>
          <w:szCs w:val="20"/>
          <w:color w:val="auto"/>
        </w:rPr>
      </w:pPr>
    </w:p>
    <w:p>
      <w:pPr>
        <w:sectPr>
          <w:pgSz w:w="11900" w:h="16838" w:orient="portrait"/>
          <w:cols w:equalWidth="0" w:num="3">
            <w:col w:w="4120" w:space="0"/>
            <w:col w:w="2320" w:space="420"/>
            <w:col w:w="3359"/>
          </w:cols>
          <w:pgMar w:left="240" w:top="717" w:right="1440" w:bottom="1440" w:gutter="0" w:footer="0" w:header="0"/>
          <w:type w:val="continuous"/>
        </w:sectPr>
      </w:pP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717"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416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8"/>
              </w:rPr>
              <w:t>SIGNATURES</w:t>
            </w:r>
          </w:p>
        </w:tc>
        <w:tc>
          <w:tcPr>
            <w:tcW w:w="2060" w:type="dxa"/>
            <w:vAlign w:val="bottom"/>
          </w:tcPr>
          <w:p>
            <w:pPr>
              <w:ind w:left="900"/>
              <w:spacing w:after="0"/>
              <w:rPr>
                <w:sz w:val="20"/>
                <w:szCs w:val="20"/>
                <w:color w:val="auto"/>
              </w:rPr>
            </w:pPr>
            <w:r>
              <w:rPr>
                <w:rFonts w:ascii="Courier New" w:cs="Courier New" w:eastAsia="Courier New" w:hAnsi="Courier New"/>
                <w:sz w:val="18"/>
                <w:szCs w:val="18"/>
                <w:color w:val="auto"/>
              </w:rPr>
              <w:t>TITLE</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DATE</w:t>
            </w:r>
          </w:p>
        </w:tc>
      </w:tr>
      <w:tr>
        <w:trPr>
          <w:trHeight w:val="608"/>
        </w:trPr>
        <w:tc>
          <w:tcPr>
            <w:tcW w:w="416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7"/>
              </w:rPr>
              <w:t>/s/ Dennis L. Berman</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September 6,</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1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DENNIS L. BERMAN</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4160" w:type="dxa"/>
            <w:vAlign w:val="bottom"/>
          </w:tcPr>
          <w:p>
            <w:pPr>
              <w:spacing w:after="0"/>
              <w:rPr>
                <w:sz w:val="24"/>
                <w:szCs w:val="24"/>
                <w:color w:val="auto"/>
              </w:rPr>
            </w:pP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September 6,</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1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KRISTIN GAMBLE</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416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6"/>
              </w:rPr>
              <w:t>/s/ Samuel J. Gorlitz</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September 6,</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16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8"/>
              </w:rPr>
              <w:t>SAMUEL J. GORLITZ</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416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8"/>
              </w:rPr>
              <w:t>/s/ Morton Lerner</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September 6,</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16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6"/>
              </w:rPr>
              <w:t>MORTON LERNER</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416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7"/>
              </w:rPr>
              <w:t>/s/ Walter F. Loeb</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September 6,</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1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WALTER F. LOEB</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416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7"/>
              </w:rPr>
              <w:t>/s/ George Perry</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September 6,</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16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GEORGE PERRY</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4160" w:type="dxa"/>
            <w:vAlign w:val="bottom"/>
          </w:tcPr>
          <w:p>
            <w:pPr>
              <w:jc w:val="center"/>
              <w:ind w:right="252"/>
              <w:spacing w:after="0"/>
              <w:rPr>
                <w:sz w:val="20"/>
                <w:szCs w:val="20"/>
                <w:color w:val="auto"/>
              </w:rPr>
            </w:pPr>
            <w:r>
              <w:rPr>
                <w:rFonts w:ascii="Courier New" w:cs="Courier New" w:eastAsia="Courier New" w:hAnsi="Courier New"/>
                <w:sz w:val="18"/>
                <w:szCs w:val="18"/>
                <w:color w:val="auto"/>
                <w:w w:val="97"/>
              </w:rPr>
              <w:t>/s/ Donald H. Misner</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September 6,</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16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DONALD H. MISNER</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405"/>
        </w:trPr>
        <w:tc>
          <w:tcPr>
            <w:tcW w:w="416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7"/>
              </w:rPr>
              <w:t>/s/ A. Cornet De Ways Ruart</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Trustee</w:t>
            </w:r>
          </w:p>
        </w:tc>
        <w:tc>
          <w:tcPr>
            <w:tcW w:w="19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September 6,</w:t>
            </w:r>
          </w:p>
        </w:tc>
      </w:tr>
      <w:tr>
        <w:trPr>
          <w:trHeight w:val="203"/>
        </w:trPr>
        <w:tc>
          <w:tcPr>
            <w:tcW w:w="4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2060" w:type="dxa"/>
            <w:vAlign w:val="bottom"/>
          </w:tcPr>
          <w:p>
            <w:pPr>
              <w:spacing w:after="0"/>
              <w:rPr>
                <w:sz w:val="17"/>
                <w:szCs w:val="17"/>
                <w:color w:val="auto"/>
              </w:rPr>
            </w:pPr>
          </w:p>
        </w:tc>
        <w:tc>
          <w:tcPr>
            <w:tcW w:w="1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16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A. CORNET DE WAYS RUART</w:t>
            </w: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17" w:right="1440" w:bottom="1440" w:gutter="0" w:footer="0" w:header="0"/>
        </w:sectPr>
      </w:pPr>
    </w:p>
    <w:bookmarkStart w:id="15" w:name="page16"/>
    <w:bookmarkEnd w:id="15"/>
    <w:tbl>
      <w:tblPr>
        <w:tblLayout w:type="fixed"/>
        <w:tblInd w:w="112" w:type="dxa"/>
        <w:tblCellMar>
          <w:top w:w="0" w:type="dxa"/>
          <w:left w:w="0" w:type="dxa"/>
          <w:bottom w:w="0" w:type="dxa"/>
          <w:right w:w="0" w:type="dxa"/>
        </w:tblCellMar>
      </w:tblPr>
      <w:tr>
        <w:trPr>
          <w:trHeight w:val="204"/>
        </w:trPr>
        <w:tc>
          <w:tcPr>
            <w:tcW w:w="1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100" w:type="dxa"/>
            <w:vAlign w:val="bottom"/>
          </w:tcPr>
          <w:p>
            <w:pPr>
              <w:ind w:left="260"/>
              <w:spacing w:after="0"/>
              <w:rPr>
                <w:sz w:val="20"/>
                <w:szCs w:val="20"/>
                <w:color w:val="auto"/>
              </w:rPr>
            </w:pPr>
            <w:r>
              <w:rPr>
                <w:rFonts w:ascii="Courier New" w:cs="Courier New" w:eastAsia="Courier New" w:hAnsi="Courier New"/>
                <w:sz w:val="18"/>
                <w:szCs w:val="18"/>
                <w:color w:val="auto"/>
              </w:rPr>
              <w:t>EXHIBIT INDEX</w:t>
            </w:r>
          </w:p>
        </w:tc>
        <w:tc>
          <w:tcPr>
            <w:tcW w:w="1020" w:type="dxa"/>
            <w:vAlign w:val="bottom"/>
          </w:tcPr>
          <w:p>
            <w:pPr>
              <w:spacing w:after="0"/>
              <w:rPr>
                <w:sz w:val="17"/>
                <w:szCs w:val="17"/>
                <w:color w:val="auto"/>
              </w:rPr>
            </w:pPr>
          </w:p>
        </w:tc>
      </w:tr>
      <w:tr>
        <w:trPr>
          <w:trHeight w:val="810"/>
        </w:trPr>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5"/>
              </w:rPr>
              <w:t>EXHIBIT NO.</w:t>
            </w:r>
          </w:p>
        </w:tc>
        <w:tc>
          <w:tcPr>
            <w:tcW w:w="1900" w:type="dxa"/>
            <w:vAlign w:val="bottom"/>
          </w:tcPr>
          <w:p>
            <w:pPr>
              <w:spacing w:after="0"/>
              <w:rPr>
                <w:sz w:val="24"/>
                <w:szCs w:val="24"/>
                <w:color w:val="auto"/>
              </w:rPr>
            </w:pPr>
          </w:p>
        </w:tc>
        <w:tc>
          <w:tcPr>
            <w:tcW w:w="4100" w:type="dxa"/>
            <w:vAlign w:val="bottom"/>
          </w:tcPr>
          <w:p>
            <w:pPr>
              <w:ind w:left="900"/>
              <w:spacing w:after="0"/>
              <w:rPr>
                <w:sz w:val="20"/>
                <w:szCs w:val="20"/>
                <w:color w:val="auto"/>
              </w:rPr>
            </w:pPr>
            <w:r>
              <w:rPr>
                <w:rFonts w:ascii="Courier New" w:cs="Courier New" w:eastAsia="Courier New" w:hAnsi="Courier New"/>
                <w:sz w:val="18"/>
                <w:szCs w:val="18"/>
                <w:color w:val="auto"/>
              </w:rPr>
              <w:t>ITEM</w:t>
            </w:r>
          </w:p>
        </w:tc>
        <w:tc>
          <w:tcPr>
            <w:tcW w:w="1020" w:type="dxa"/>
            <w:vAlign w:val="bottom"/>
          </w:tcPr>
          <w:p>
            <w:pPr>
              <w:ind w:left="160"/>
              <w:spacing w:after="0"/>
              <w:rPr>
                <w:sz w:val="20"/>
                <w:szCs w:val="20"/>
                <w:color w:val="auto"/>
              </w:rPr>
            </w:pPr>
            <w:r>
              <w:rPr>
                <w:rFonts w:ascii="Courier New" w:cs="Courier New" w:eastAsia="Courier New" w:hAnsi="Courier New"/>
                <w:sz w:val="18"/>
                <w:szCs w:val="18"/>
                <w:color w:val="auto"/>
                <w:w w:val="97"/>
              </w:rPr>
              <w:t>PAGE NO.</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900" w:type="dxa"/>
            <w:vAlign w:val="bottom"/>
          </w:tcPr>
          <w:p>
            <w:pPr>
              <w:spacing w:after="0"/>
              <w:rPr>
                <w:sz w:val="17"/>
                <w:szCs w:val="17"/>
                <w:color w:val="auto"/>
              </w:rPr>
            </w:pPr>
          </w:p>
        </w:tc>
        <w:tc>
          <w:tcPr>
            <w:tcW w:w="41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2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Third Amended and</w:t>
            </w:r>
          </w:p>
        </w:tc>
        <w:tc>
          <w:tcPr>
            <w:tcW w:w="4100" w:type="dxa"/>
            <w:vAlign w:val="bottom"/>
          </w:tcPr>
          <w:p>
            <w:pPr>
              <w:ind w:left="60"/>
              <w:spacing w:after="0"/>
              <w:rPr>
                <w:sz w:val="20"/>
                <w:szCs w:val="20"/>
                <w:color w:val="auto"/>
              </w:rPr>
            </w:pPr>
            <w:r>
              <w:rPr>
                <w:rFonts w:ascii="Courier New" w:cs="Courier New" w:eastAsia="Courier New" w:hAnsi="Courier New"/>
                <w:sz w:val="18"/>
                <w:szCs w:val="18"/>
                <w:color w:val="auto"/>
              </w:rPr>
              <w:t>Restated Declaration of Trust........</w:t>
            </w:r>
          </w:p>
        </w:tc>
        <w:tc>
          <w:tcPr>
            <w:tcW w:w="10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203"/>
        </w:trPr>
        <w:tc>
          <w:tcPr>
            <w:tcW w:w="12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(5)</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Opinion regarding</w:t>
            </w:r>
          </w:p>
        </w:tc>
        <w:tc>
          <w:tcPr>
            <w:tcW w:w="4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legality.............................</w:t>
            </w:r>
          </w:p>
        </w:tc>
        <w:tc>
          <w:tcPr>
            <w:tcW w:w="1020" w:type="dxa"/>
            <w:vAlign w:val="bottom"/>
          </w:tcPr>
          <w:p>
            <w:pPr>
              <w:spacing w:after="0"/>
              <w:rPr>
                <w:sz w:val="17"/>
                <w:szCs w:val="17"/>
                <w:color w:val="auto"/>
              </w:rPr>
            </w:pPr>
          </w:p>
        </w:tc>
      </w:tr>
    </w:tbl>
    <w:p>
      <w:pPr>
        <w:ind w:left="1372" w:hanging="1056"/>
        <w:spacing w:after="0" w:line="238" w:lineRule="auto"/>
        <w:tabs>
          <w:tab w:leader="none" w:pos="137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regarding tax matters..........................</w:t>
      </w:r>
    </w:p>
    <w:p>
      <w:pPr>
        <w:ind w:left="137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Acknowledgement of Independent Accountants (included on</w:t>
      </w:r>
    </w:p>
    <w:p>
      <w:pPr>
        <w:ind w:left="212"/>
        <w:spacing w:after="0"/>
        <w:tabs>
          <w:tab w:leader="none" w:pos="1352"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II-3)..................................................</w:t>
      </w:r>
    </w:p>
    <w:p>
      <w:pPr>
        <w:ind w:left="212"/>
        <w:spacing w:after="0" w:line="237" w:lineRule="auto"/>
        <w:tabs>
          <w:tab w:leader="none" w:pos="1352"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Consent of Independent Accountants (included on II-3)..</w:t>
      </w:r>
    </w:p>
    <w:p>
      <w:pPr>
        <w:ind w:left="1372" w:hanging="1161"/>
        <w:spacing w:after="0" w:line="238" w:lineRule="auto"/>
        <w:tabs>
          <w:tab w:leader="none" w:pos="137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Consents of Counsel (included in opinions).............</w:t>
      </w:r>
    </w:p>
    <w:p>
      <w:pPr>
        <w:ind w:left="1372" w:hanging="1161"/>
        <w:spacing w:after="0" w:line="238" w:lineRule="auto"/>
        <w:tabs>
          <w:tab w:leader="none" w:pos="137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(included on signature page).........</w:t>
      </w:r>
    </w:p>
    <w:p>
      <w:pPr>
        <w:spacing w:after="0" w:line="20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12" w:right="2199" w:hanging="312"/>
        <w:spacing w:after="0" w:line="235" w:lineRule="auto"/>
        <w:tabs>
          <w:tab w:leader="none" w:pos="31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from Registration Statement No. 33-30912, dated September 12, 1989.</w:t>
      </w:r>
    </w:p>
    <w:p>
      <w:pPr>
        <w:sectPr>
          <w:pgSz w:w="11900" w:h="16838" w:orient="portrait"/>
          <w:cols w:equalWidth="0" w:num="1">
            <w:col w:w="10211"/>
          </w:cols>
          <w:pgMar w:left="248" w:top="717" w:right="1440" w:bottom="1440" w:gutter="0" w:footer="0" w:header="0"/>
        </w:sectPr>
      </w:pPr>
    </w:p>
    <w:bookmarkStart w:id="16" w:name="page17"/>
    <w:bookmarkEnd w:id="16"/>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[LETTERHEAD OF KIRKPATRICK &amp; LOCKHART APPEARS HERE]</w:t>
      </w:r>
    </w:p>
    <w:p>
      <w:pPr>
        <w:spacing w:after="0" w:line="201"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September 6,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4800 Hampden Lane, Suite 500</w:t>
      </w:r>
    </w:p>
    <w:p>
      <w:pPr>
        <w:spacing w:after="0"/>
        <w:rPr>
          <w:sz w:val="20"/>
          <w:szCs w:val="20"/>
          <w:color w:val="auto"/>
        </w:rPr>
      </w:pPr>
      <w:r>
        <w:rPr>
          <w:rFonts w:ascii="Courier New" w:cs="Courier New" w:eastAsia="Courier New" w:hAnsi="Courier New"/>
          <w:sz w:val="18"/>
          <w:szCs w:val="18"/>
          <w:color w:val="auto"/>
        </w:rPr>
        <w:t>Bethesda, Maryland 20814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You have requested our opinion as counsel to Federal Realty Investment Trust, a business trust organized under the laws of the District of Columbia with its headquarters located in Bethesda, Maryland ("Trust"), in connection with the Trust's registration of resales of common shares of beneficial interest of the Trust, no par or stated value ("Shares"), by certain selling shareholders, as described in the registration statement on Form S-3 ("Registration Statement").</w:t>
      </w:r>
    </w:p>
    <w:p>
      <w:pPr>
        <w:spacing w:after="0" w:line="211"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We have participated in the preparation of the Registration Statement and the prospectus included therein ("Prospectus") relating to the Trust's registration of the resales of the Shares, and in connection therewith, have examined and relied upon the originals or copies of such records, agreements, documents and other instruments, including the Third Amended and Restated Declaration of Trust of the Trust ("Declaration of Trust"), the Bylaws of the Trust, the minutes of the meetings of the Trustees to date relating to the authorization and issuance of the Shares and have made such inquiries of such officers and representatives as we have deemed relevant and necessary as the basis for the opinion hereinafter set forth. In such examination, we have assumed, without independent verification, the genuineness of all signatures (whether original or photostatic), the legal capacity of natural persons, the authenticity of all documents submitted to us as originals, and the conformity to authentic original documents of all documents submitted to us as certified or photostatic copies. We have assumed, without independent verification, the accuracy of the relevant facts stated therein.</w:t>
      </w:r>
    </w:p>
    <w:p>
      <w:pPr>
        <w:spacing w:after="0" w:line="208"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As to any other facts material to the opinion expressed herein that were not independently established or verified, we have relied upon statements and representations of officers and employees of the Trust.</w:t>
      </w:r>
    </w:p>
    <w:p>
      <w:pPr>
        <w:spacing w:after="0" w:line="209"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Based upon the foregoing and subject to the qualifications set forth below, we are of the opinion that, on the basis of such examination, the Trust has been duly organized and is validly existing under the laws of the District of Columbia as a voluntary business association of the type commonly known as a business trust and that the Trust has authority to issue an unlimited number of Shares, each without par value. It also is our opinion that the</w:t>
      </w:r>
    </w:p>
    <w:p>
      <w:pPr>
        <w:sectPr>
          <w:pgSz w:w="11900" w:h="16838" w:orient="portrait"/>
          <w:cols w:equalWidth="0" w:num="1">
            <w:col w:w="10219"/>
          </w:cols>
          <w:pgMar w:left="240" w:top="541" w:right="1440" w:bottom="1440" w:gutter="0" w:footer="0" w:header="0"/>
        </w:sectPr>
      </w:pPr>
    </w:p>
    <w:bookmarkStart w:id="17" w:name="page18"/>
    <w:bookmarkEnd w:id="17"/>
    <w:p>
      <w:pPr>
        <w:spacing w:after="0" w:line="272" w:lineRule="auto"/>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September 6, 1995</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Shares referred to in the Registration Statement, when issued and sold as contemplated in the Registration Statement, will be legally issued, fully paid and non-assessable and, except as hereinafter set forth, no personal liability will attach to the ownership of such Shares.</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The Declaration of Trust provides that the holders of the Shares shall not be subject to any liability for the acts or obligations of the Trust and that the funds and property of the Trust shall be solely liable for such acts or obligations. The Declaration of Trust requires that, as far as practicable, each written instrument creating an obligation of the Trust shall contain a provision to such effect. We are of the opinion that no personal liability will attach to the holders of the Shares in most jurisdictions for claims under any written instrument containing such a provision, where adequate notice is given of such provision. However, with respect to tort claims and contract claims where shareholder liability is not so negated, claims for taxes and certain statutory liabilities, a shareholder may, in some jurisdictions, be held liable to the extent that claims are not satisfied by the Trust out of its assets or insurance.</w:t>
      </w:r>
    </w:p>
    <w:p>
      <w:pPr>
        <w:spacing w:after="0" w:line="207" w:lineRule="exact"/>
        <w:rPr>
          <w:sz w:val="20"/>
          <w:szCs w:val="20"/>
          <w:color w:val="auto"/>
        </w:rPr>
      </w:pPr>
    </w:p>
    <w:p>
      <w:pPr>
        <w:jc w:val="both"/>
        <w:ind w:right="2199" w:firstLine="843"/>
        <w:spacing w:after="0" w:line="236"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and we consent to the reference to our firm under the caption "Legal Opinions" in the Prospectus.</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foregoing opinion is being furnished to, and is solely for the benefit of, the addressee named above and except with our prior consent, is not to be used, circulated, quoted, published or otherwise referred to or disseminated for any other purpose or relied upon by any person or entity other than said addressee.</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KIRKPATRICK &amp; LOCKHART LLP</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Thomas F. Cooney, III</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480"/>
        <w:spacing w:after="0"/>
        <w:rPr>
          <w:sz w:val="20"/>
          <w:szCs w:val="20"/>
          <w:color w:val="auto"/>
        </w:rPr>
      </w:pPr>
      <w:r>
        <w:rPr>
          <w:rFonts w:ascii="Courier New" w:cs="Courier New" w:eastAsia="Courier New" w:hAnsi="Courier New"/>
          <w:sz w:val="18"/>
          <w:szCs w:val="18"/>
          <w:color w:val="auto"/>
        </w:rPr>
        <w:t>Thomas F. Cooney, III</w:t>
      </w:r>
    </w:p>
    <w:p>
      <w:pPr>
        <w:sectPr>
          <w:pgSz w:w="11900" w:h="16838" w:orient="portrait"/>
          <w:cols w:equalWidth="0" w:num="1">
            <w:col w:w="10219"/>
          </w:cols>
          <w:pgMar w:left="240" w:top="717" w:right="1440" w:bottom="1440" w:gutter="0" w:footer="0" w:header="0"/>
        </w:sectPr>
      </w:pPr>
    </w:p>
    <w:bookmarkStart w:id="19" w:name="page20"/>
    <w:bookmarkEnd w:id="19"/>
    <w:p>
      <w:pPr>
        <w:jc w:val="right"/>
        <w:ind w:right="1779"/>
        <w:spacing w:after="0"/>
        <w:rPr>
          <w:sz w:val="20"/>
          <w:szCs w:val="20"/>
          <w:color w:val="auto"/>
        </w:rPr>
      </w:pPr>
      <w:r>
        <w:rPr>
          <w:rFonts w:ascii="Courier New" w:cs="Courier New" w:eastAsia="Courier New" w:hAnsi="Courier New"/>
          <w:sz w:val="18"/>
          <w:szCs w:val="18"/>
          <w:color w:val="auto"/>
        </w:rPr>
        <w:t>EXHIBIT 8</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[LETTERHEAD OF GOODWIN, PROCTER &amp; HOAR APPEARS HERE]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6,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4800 Hampden Lane</w:t>
      </w:r>
    </w:p>
    <w:p>
      <w:pPr>
        <w:spacing w:after="0"/>
        <w:rPr>
          <w:sz w:val="20"/>
          <w:szCs w:val="20"/>
          <w:color w:val="auto"/>
        </w:rPr>
      </w:pPr>
      <w:r>
        <w:rPr>
          <w:rFonts w:ascii="Courier New" w:cs="Courier New" w:eastAsia="Courier New" w:hAnsi="Courier New"/>
          <w:sz w:val="18"/>
          <w:szCs w:val="18"/>
          <w:color w:val="auto"/>
        </w:rPr>
        <w:t>Suite 500</w:t>
      </w:r>
    </w:p>
    <w:p>
      <w:pPr>
        <w:spacing w:after="0" w:line="237" w:lineRule="auto"/>
        <w:rPr>
          <w:sz w:val="20"/>
          <w:szCs w:val="20"/>
          <w:color w:val="auto"/>
        </w:rPr>
      </w:pPr>
      <w:r>
        <w:rPr>
          <w:rFonts w:ascii="Courier New" w:cs="Courier New" w:eastAsia="Courier New" w:hAnsi="Courier New"/>
          <w:sz w:val="18"/>
          <w:szCs w:val="18"/>
          <w:color w:val="auto"/>
        </w:rPr>
        <w:t>Bethesda, MD 20814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Re: Federal Tax Matters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opinion is delivered to you in our capacity as special tax counsel to Federal Realty Investment Trust (the "Trust") for your use in connection with the Registration Statement on Form S-3 filed with the Securities and Exchange Commission on September 6, 1995 (the "Registration Statement"). This opinion relates to the Trust's qualification for federal income tax purposes as a real estate investment trust ("REIT") under the Internal Revenue Code of 1986, as amended (the "Code").</w:t>
      </w:r>
    </w:p>
    <w:p>
      <w:pPr>
        <w:spacing w:after="0" w:line="211" w:lineRule="exact"/>
        <w:rPr>
          <w:sz w:val="20"/>
          <w:szCs w:val="20"/>
          <w:color w:val="auto"/>
        </w:rPr>
      </w:pPr>
    </w:p>
    <w:p>
      <w:pPr>
        <w:ind w:right="1879" w:firstLine="843"/>
        <w:spacing w:after="0" w:line="268" w:lineRule="auto"/>
        <w:rPr>
          <w:sz w:val="20"/>
          <w:szCs w:val="20"/>
          <w:color w:val="auto"/>
        </w:rPr>
      </w:pPr>
      <w:r>
        <w:rPr>
          <w:rFonts w:ascii="Courier New" w:cs="Courier New" w:eastAsia="Courier New" w:hAnsi="Courier New"/>
          <w:sz w:val="16"/>
          <w:szCs w:val="16"/>
          <w:color w:val="auto"/>
        </w:rPr>
        <w:t>In rendering this opinion, we have reviewed and relied upon copies of the Trust's federal income tax return on Form 1120-REIT dated June 28, 1988 for the taxable year of the Trust ended December 31, 1987; on Form 1120-REIT dated September 7, 1989 for the taxable year of the Trust ended December 31, 1988; on Form 1120-REIT dated September 14, 1990 for the taxable year of the Trust ended December 31, 1989; on Form 1120-REIT dated September 12, 1991 for the taxable year of the Trust ended December 31, 1990; on Form 1120-REIT dated September 8, 1992 for the taxable year of the Trust ended December 31, 1991; on Form</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1120-REIT dated September 13, 1993 for the taxable year of the Trust ended December 31, 1992, and on Form 1120-REIT dated September 9, 1994 for the taxable year of the Trust ended December 31, 1993. We assume that each of the foregoing returns was timely filed following timely filing of application for automatic extension in each year.</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We have reviewed and relied upon the description of the Trust, its investments and its operations contained or incorporated by reference in the Registration Statement and have had discussions with management of the Trust concerning the investments and operations of the Trust. We have also reviewed certain documents of the Trust relating to the ownership and operation of selected real estate properties, leasehold interests, and other investments owned by the Trust, including management agreements relating to such properties and leasehold interests and forms of leases relating to the Trust's properties and leasehold interests, and we</w:t>
      </w:r>
    </w:p>
    <w:p>
      <w:pPr>
        <w:sectPr>
          <w:pgSz w:w="11900" w:h="16838" w:orient="portrait"/>
          <w:cols w:equalWidth="0" w:num="1">
            <w:col w:w="10219"/>
          </w:cols>
          <w:pgMar w:left="240" w:top="339" w:right="1440" w:bottom="1440" w:gutter="0" w:footer="0" w:header="0"/>
        </w:sectPr>
      </w:pPr>
    </w:p>
    <w:bookmarkStart w:id="20" w:name="page21"/>
    <w:bookmarkEnd w:id="20"/>
    <w:p>
      <w:pPr>
        <w:ind w:left="1380"/>
        <w:spacing w:after="0"/>
        <w:rPr>
          <w:sz w:val="20"/>
          <w:szCs w:val="20"/>
          <w:color w:val="auto"/>
        </w:rPr>
      </w:pPr>
      <w:r>
        <w:rPr>
          <w:rFonts w:ascii="Courier New" w:cs="Courier New" w:eastAsia="Courier New" w:hAnsi="Courier New"/>
          <w:sz w:val="18"/>
          <w:szCs w:val="18"/>
          <w:color w:val="auto"/>
        </w:rPr>
        <w:t>[LETTERHEAD OF GOODWIN, PROCTER &amp; HOAR APPEARS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September 6, 1995</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rely upon representations made to us that such documents, forms of leases and management agreements are representative of those existing and in effect for the other properties and investments of the Trust.</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Representations we have received from management of the Trust and from Kirkpatrick &amp; Lockhart, corporate counsel to the Trust, have also focused upon the number and holdings of shareholders of the Trust; the past and present distribution policy of the Trust; various record keeping requirements; and other matters which we deem relevant and upon which we rely for purposes of rendering this opinion, including without limitation the Trust's quarterly REIT compliance workpapers for each quarter of the Trust commencing January 1, 1987 and ending June 30, 1995 as prepared by Grant Thornton, independent auditors for the Trust. Except as specifically noted herein, we have not made an independent investigation of any of the facts set forth in such representations or workpapers.</w:t>
      </w:r>
    </w:p>
    <w:p>
      <w:pPr>
        <w:spacing w:after="0" w:line="21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Our activities described in the immediately preceding two paragraphs relate to the periods covered by the aforementioned tax returns and to the present investments and operations of the Trust. With respect to the qualification of the Trust as a REIT for taxable years prior to 1987 we have relied exclusively and without any investigation on our part on the opinions of Kirkpatrick &amp; Lockhart dated April 30, 1987 and of Content, Tatusko, Patterson &amp; Weinberger dated March 18, 1985 adopted by Green Stewart &amp; Farber, P.C. as to the qualification of the Trust as a REIT for the taxable years ended December 31, 1982 through December 31, 1986.</w:t>
      </w:r>
    </w:p>
    <w:p>
      <w:pPr>
        <w:spacing w:after="0" w:line="21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Based upon the foregoing, we are of the opinion that the Trust has qualified as a REIT for the taxable years ended December 31, 1985 through December 31, 1994; that the form of organization of the Trust and its current operations, assets and contemplated income are such that the Trust is in a position under present law to so qualify for the taxable year ending December 31, 1995; and that the Trust should so qualify for the taxable year ending December 31, 1995 and thereafter provided that the Trust continues to meet the asset composition, source of income, shareholder diversification, distributions, record-keeping and other requirements of the Code necessary for the Trust to qualify as a REIT.</w:t>
      </w:r>
    </w:p>
    <w:p>
      <w:pPr>
        <w:spacing w:after="0" w:line="21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We wish to point out that our opinion is not binding on the Internal Revenue Service and, without limiting our opinion, we note that there can be no assurance that all of the requirements for qualification as a REIT for any particular taxable year have in fact been met until the return for such taxable year has been reviewed by the Internal Revenue Service or the period for such review has expired.</w:t>
      </w:r>
    </w:p>
    <w:p>
      <w:pPr>
        <w:sectPr>
          <w:pgSz w:w="11900" w:h="16838" w:orient="portrait"/>
          <w:cols w:equalWidth="0" w:num="1">
            <w:col w:w="10219"/>
          </w:cols>
          <w:pgMar w:left="240" w:top="717" w:right="1440" w:bottom="1440" w:gutter="0" w:footer="0" w:header="0"/>
        </w:sectPr>
      </w:pPr>
    </w:p>
    <w:bookmarkStart w:id="21" w:name="page22"/>
    <w:bookmarkEnd w:id="21"/>
    <w:p>
      <w:pPr>
        <w:ind w:left="1380"/>
        <w:spacing w:after="0"/>
        <w:rPr>
          <w:sz w:val="20"/>
          <w:szCs w:val="20"/>
          <w:color w:val="auto"/>
        </w:rPr>
      </w:pPr>
      <w:r>
        <w:rPr>
          <w:rFonts w:ascii="Courier New" w:cs="Courier New" w:eastAsia="Courier New" w:hAnsi="Courier New"/>
          <w:sz w:val="18"/>
          <w:szCs w:val="18"/>
          <w:color w:val="auto"/>
        </w:rPr>
        <w:t>[LETTERHEAD OF GOODWIN, PROCTER &amp; HOAR APPEARS HERE]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September 6, 1995</w:t>
      </w:r>
    </w:p>
    <w:p>
      <w:pPr>
        <w:spacing w:after="0"/>
        <w:rPr>
          <w:sz w:val="20"/>
          <w:szCs w:val="20"/>
          <w:color w:val="auto"/>
        </w:rPr>
      </w:pPr>
      <w:r>
        <w:rPr>
          <w:rFonts w:ascii="Courier New" w:cs="Courier New" w:eastAsia="Courier New" w:hAnsi="Courier New"/>
          <w:sz w:val="18"/>
          <w:szCs w:val="18"/>
          <w:color w:val="auto"/>
        </w:rPr>
        <w:t>Page 3</w:t>
      </w:r>
    </w:p>
    <w:p>
      <w:pPr>
        <w:spacing w:after="0" w:line="206"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We concur with the accuracy of the legal statements in the Registration Statement set forth under the caption "Description of Common Shares -- REIT Qualification."</w:t>
      </w:r>
    </w:p>
    <w:p>
      <w:pPr>
        <w:spacing w:after="0" w:line="209" w:lineRule="exact"/>
        <w:rPr>
          <w:sz w:val="20"/>
          <w:szCs w:val="20"/>
          <w:color w:val="auto"/>
        </w:rPr>
      </w:pPr>
    </w:p>
    <w:p>
      <w:pPr>
        <w:jc w:val="both"/>
        <w:ind w:right="1779" w:firstLine="843"/>
        <w:spacing w:after="0" w:line="236" w:lineRule="auto"/>
        <w:rPr>
          <w:sz w:val="20"/>
          <w:szCs w:val="20"/>
          <w:color w:val="auto"/>
        </w:rPr>
      </w:pPr>
      <w:r>
        <w:rPr>
          <w:rFonts w:ascii="Courier New" w:cs="Courier New" w:eastAsia="Courier New" w:hAnsi="Courier New"/>
          <w:sz w:val="18"/>
          <w:szCs w:val="18"/>
          <w:color w:val="auto"/>
        </w:rPr>
        <w:t>We consent to this opinion being filed as an exhibit to the Registration Statement and to the reference to our firm under the caption "Legal Opinions" in the Registration Statement.</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Goodwin, Procter &amp; Hoar</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GOODWIN, PROCTER &amp; HOAR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decimal"/>
      <w:start w:val="3"/>
    </w:lvl>
  </w:abstractNum>
  <w:abstractNum w:abstractNumId="9">
    <w:nsid w:val="DED7263"/>
    <w:multiLevelType w:val="hybridMultilevel"/>
    <w:lvl w:ilvl="0">
      <w:lvlJc w:val="left"/>
      <w:lvlText w:val="(%1)"/>
      <w:numFmt w:val="decimal"/>
      <w:start w:val="5"/>
    </w:lvl>
  </w:abstractNum>
  <w:abstractNum w:abstractNumId="10">
    <w:nsid w:val="7FDCC233"/>
    <w:multiLevelType w:val="hybridMultilevel"/>
    <w:lvl w:ilvl="0">
      <w:lvlJc w:val="left"/>
      <w:lvlText w:val="(%1)"/>
      <w:numFmt w:val="decimal"/>
      <w:start w:val="8"/>
    </w:lvl>
  </w:abstractNum>
  <w:abstractNum w:abstractNumId="11">
    <w:nsid w:val="1BEFD79F"/>
    <w:multiLevelType w:val="hybridMultilevel"/>
    <w:lvl w:ilvl="0">
      <w:lvlJc w:val="left"/>
      <w:lvlText w:val="-"/>
      <w:numFmt w:val="bullet"/>
      <w:start w:val="1"/>
    </w:lvl>
    <w:lvl w:ilvl="1">
      <w:lvlJc w:val="left"/>
      <w:lvlText w:val="+"/>
      <w:numFmt w:val="bullet"/>
      <w:start w:val="1"/>
    </w:lvl>
    <w:lvl w:ilvl="2">
      <w:lvlJc w:val="left"/>
      <w:lvlText w:val="(%3)"/>
      <w:numFmt w:val="decimal"/>
      <w:start w:val="15"/>
    </w:lvl>
  </w:abstractNum>
  <w:abstractNum w:abstractNumId="12">
    <w:nsid w:val="41A7C4C9"/>
    <w:multiLevelType w:val="hybridMultilevel"/>
    <w:lvl w:ilvl="0">
      <w:lvlJc w:val="left"/>
      <w:lvlText w:val="-"/>
      <w:numFmt w:val="bullet"/>
      <w:start w:val="1"/>
    </w:lvl>
    <w:lvl w:ilvl="1">
      <w:lvlJc w:val="left"/>
      <w:lvlText w:val="+"/>
      <w:numFmt w:val="bullet"/>
      <w:start w:val="1"/>
    </w:lvl>
    <w:lvl w:ilvl="2">
      <w:lvlJc w:val="left"/>
      <w:lvlText w:val="(%3)"/>
      <w:numFmt w:val="decimal"/>
      <w:start w:val="23"/>
    </w:lvl>
  </w:abstractNum>
  <w:abstractNum w:abstractNumId="13">
    <w:nsid w:val="6B68079A"/>
    <w:multiLevelType w:val="hybridMultilevel"/>
    <w:lvl w:ilvl="0">
      <w:lvlJc w:val="left"/>
      <w:lvlText w:val="-"/>
      <w:numFmt w:val="bullet"/>
      <w:start w:val="1"/>
    </w:lvl>
    <w:lvl w:ilvl="1">
      <w:lvlJc w:val="left"/>
      <w:lvlText w:val="+"/>
      <w:numFmt w:val="bullet"/>
      <w:start w:val="1"/>
    </w:lvl>
    <w:lvl w:ilvl="2">
      <w:lvlJc w:val="left"/>
      <w:lvlText w:val="(%3)"/>
      <w:numFmt w:val="decimal"/>
      <w:start w:val="23"/>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8"/>
    </w:lvl>
  </w:abstractNum>
  <w:abstractNum w:abstractNumId="16">
    <w:nsid w:val="519B500D"/>
    <w:multiLevelType w:val="hybridMultilevel"/>
    <w:lvl w:ilvl="0">
      <w:lvlJc w:val="left"/>
      <w:lvlText w:val="-"/>
      <w:numFmt w:val="bullet"/>
      <w:start w:val="1"/>
    </w:lvl>
    <w:lvl w:ilvl="1">
      <w:lvlJc w:val="left"/>
      <w:lvlText w:val="(%2)"/>
      <w:numFmt w:val="decimal"/>
      <w:start w:val="23"/>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2019-12-12T06:19:07Z</dcterms:created>
  <dcterms:modified xsi:type="dcterms:W3CDTF">2019-12-12T06:19:07Z</dcterms:modified>
</cp:coreProperties>
</file>