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May 7, 2018</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52-0782497</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620" w:firstLine="456"/>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2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0" w:gutter="0" w:footer="0" w:header="0"/>
        </w:sectPr>
      </w:pPr>
    </w:p>
    <w:bookmarkStart w:id="1" w:name="page2"/>
    <w:bookmarkEnd w:id="1"/>
    <w:p>
      <w:pPr>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to be Registered (1)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6"/>
              </w:rPr>
              <w:t>Per Unit</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Shares, $0.01 par value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Shares, $0.01 par value</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(2)</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(2)</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(2)</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Depositary Shares (3)</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Offered securities registered hereunder may be sold separately, together or as units with other offered securities registered hereunder.</w:t>
      </w:r>
    </w:p>
    <w:p>
      <w:pPr>
        <w:spacing w:after="0" w:line="22"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aggregate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under the Securities Act, the registrant is deferring payment of the entire registration fee.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and will be evidenced by a depositary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172085</wp:posOffset>
            </wp:positionV>
            <wp:extent cx="2246630" cy="909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5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665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6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For the Three Months</w:t>
            </w:r>
          </w:p>
        </w:tc>
        <w:tc>
          <w:tcPr>
            <w:tcW w:w="280" w:type="dxa"/>
            <w:vAlign w:val="bottom"/>
          </w:tcPr>
          <w:p>
            <w:pPr>
              <w:spacing w:after="0"/>
              <w:rPr>
                <w:sz w:val="14"/>
                <w:szCs w:val="14"/>
                <w:color w:val="auto"/>
              </w:rPr>
            </w:pPr>
          </w:p>
        </w:tc>
        <w:tc>
          <w:tcPr>
            <w:tcW w:w="232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w w:val="94"/>
              </w:rPr>
              <w:t>For the Years Ended December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232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6"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provisions or upon the happening of a specified event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0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700" w:hanging="23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jc w:val="center"/>
        <w:ind w:left="5620" w:right="240" w:hanging="5156"/>
        <w:spacing w:after="0" w:line="44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 and the order or decree remains unstayed and in effect for 90 days. 10</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8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6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purpose, cumulative preferential dividends payable in cash at a rate of 5.000% of the liquidation price of $25,000, which is equivalent to $1,250 per annum.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C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$25,000 per share, plus all accrued and unpaid dividends, before any distribution shall be made with respect to the common shares.</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C preferred shares generally have no voting rights. However, if and whenever dividends payable on the Series C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Stock Exchange Listing. </w:t>
      </w:r>
      <w:r>
        <w:rPr>
          <w:rFonts w:ascii="Arial" w:cs="Arial" w:eastAsia="Arial" w:hAnsi="Arial"/>
          <w:sz w:val="17"/>
          <w:szCs w:val="17"/>
          <w:color w:val="auto"/>
        </w:rPr>
        <w:t>The Series C depositary shares are traded on the New York Stock Exchange under the trading symbol “FRTPRC.”</w:t>
      </w:r>
    </w:p>
    <w:p>
      <w:pPr>
        <w:spacing w:after="0" w:line="23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may issue receipts for depositary shares, each of which will represent a fractional interest of a share of a particular series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ind w:right="4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31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900" w:right="34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60" w:hanging="446"/>
        <w:spacing w:after="0" w:line="271"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84" w:lineRule="exact"/>
        <w:rPr>
          <w:rFonts w:ascii="Arial" w:cs="Arial" w:eastAsia="Arial" w:hAnsi="Arial"/>
          <w:sz w:val="17"/>
          <w:szCs w:val="17"/>
          <w:color w:val="auto"/>
        </w:rPr>
      </w:pPr>
    </w:p>
    <w:p>
      <w:pPr>
        <w:ind w:left="900" w:right="100" w:hanging="446"/>
        <w:spacing w:after="0" w:line="279"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hanging="446"/>
        <w:spacing w:after="0" w:line="253"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0"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3"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60" w:hanging="446"/>
        <w:spacing w:after="0" w:line="308"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20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22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9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2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60" w:hanging="547"/>
        <w:spacing w:after="0" w:line="259" w:lineRule="auto"/>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92" w:lineRule="exact"/>
        <w:rPr>
          <w:rFonts w:ascii="Arial" w:cs="Arial" w:eastAsia="Arial" w:hAnsi="Arial"/>
          <w:sz w:val="18"/>
          <w:szCs w:val="18"/>
          <w:color w:val="auto"/>
        </w:rPr>
      </w:pPr>
    </w:p>
    <w:p>
      <w:pPr>
        <w:jc w:val="both"/>
        <w:ind w:left="1460" w:right="100" w:hanging="547"/>
        <w:spacing w:after="0" w:line="264" w:lineRule="auto"/>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200" w:hanging="547"/>
        <w:spacing w:after="0" w:line="277" w:lineRule="auto"/>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87"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4"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6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w:t>
      </w:r>
    </w:p>
    <w:p>
      <w:pPr>
        <w:ind w:right="20"/>
        <w:spacing w:after="0" w:line="277" w:lineRule="auto"/>
        <w:rPr>
          <w:sz w:val="20"/>
          <w:szCs w:val="20"/>
          <w:color w:val="auto"/>
        </w:rPr>
      </w:pPr>
      <w:r>
        <w:rPr>
          <w:rFonts w:ascii="Arial" w:cs="Arial" w:eastAsia="Arial" w:hAnsi="Arial"/>
          <w:sz w:val="17"/>
          <w:szCs w:val="17"/>
          <w:color w:val="auto"/>
        </w:rPr>
        <w:t>$10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7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portion of their “net investment income,” which may include all or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5"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1"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Conversion of Preferred Shares to Common Shares. </w:t>
      </w:r>
      <w:r>
        <w:rPr>
          <w:rFonts w:ascii="Arial" w:cs="Arial" w:eastAsia="Arial" w:hAnsi="Arial"/>
          <w:sz w:val="16"/>
          <w:szCs w:val="16"/>
          <w:color w:val="auto"/>
        </w:rPr>
        <w:t>The conversion of preferred shares into our common shares may be a taxable exchange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Non-U.S. shareholders should consult with their tax advisors regarding the federal income tax consequences of any transaction by which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 exchanges our common shares received on a conversion of preferred shares for cash or other property.</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77"/>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7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7"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2017, filed with the SEC on February 13,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Definitive Proxy Statement for our 2018 Annual Meeting of Shareholders, filed with the SEC on March 23,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2018, filed with the SEC on May 2,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May 4, 2018;</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Description of our Series C preferred shares contained in the Registration Statement on Form 8-A, filed with the SEC on September 29, 2017.</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Printing and Mailing Costs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Miscellaneous</w:t>
            </w: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7"/>
        </w:trPr>
        <w:tc>
          <w:tcPr>
            <w:tcW w:w="4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4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accordance with Rules 456(b) and 457(r), we are deferring payment of the registration fee for the securities offered by this prospectus.</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amounts of such fees and expenses are based on the securities offered and the number of issuances and accordingly are presently unknown.</w:t>
      </w:r>
    </w:p>
    <w:p>
      <w:pPr>
        <w:spacing w:after="0" w:line="3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6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9" w:lineRule="exact"/>
        <w:rPr>
          <w:sz w:val="20"/>
          <w:szCs w:val="20"/>
          <w:color w:val="auto"/>
        </w:rPr>
      </w:pPr>
    </w:p>
    <w:p>
      <w:pPr>
        <w:ind w:right="680" w:firstLine="456"/>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340" w:type="dxa"/>
            <w:vAlign w:val="bottom"/>
            <w:gridSpan w:val="22"/>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34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gridSpan w:val="2"/>
          </w:tcPr>
          <w:p>
            <w:pPr>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Underwriting Agreement for Debt Securities*</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Underwriting Agreement for Equity Securities*</w:t>
            </w:r>
          </w:p>
        </w:tc>
        <w:tc>
          <w:tcPr>
            <w:tcW w:w="0" w:type="dxa"/>
            <w:vAlign w:val="bottom"/>
          </w:tcPr>
          <w:p>
            <w:pPr>
              <w:spacing w:after="0"/>
              <w:rPr>
                <w:sz w:val="1"/>
                <w:szCs w:val="1"/>
                <w:color w:val="auto"/>
              </w:rPr>
            </w:pPr>
          </w:p>
        </w:tc>
      </w:tr>
      <w:tr>
        <w:trPr>
          <w:trHeight w:val="284"/>
        </w:trPr>
        <w:tc>
          <w:tcPr>
            <w:tcW w:w="520" w:type="dxa"/>
            <w:vAlign w:val="bottom"/>
            <w:gridSpan w:val="2"/>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Declaration of Trust of Federal Realty Investment Trust dated May 5, 1999 as amended by the Articles of Amendment of Declaration of Trust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6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of Federal Realty Investment Trust dated May 6, 2004, as corrected by the Certificate of Correction of Articles of Amendment of Declaration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of Trust of Federal Realty Investment Trust dated June 17, 2004, as amended by the Articles of Amendment of Declaration of Trust of Federal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Realty Investment Trust dated May 6, 2009 (previously filed as Exhibit 3.1 to the Trust’s Registration Statement on Form S-3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No. 333-160009) and incorporated herein by reference)</w:t>
              </w:r>
            </w:hyperlink>
          </w:p>
        </w:tc>
        <w:tc>
          <w:tcPr>
            <w:tcW w:w="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3"/>
              </w:rPr>
            </w:pPr>
            <w:hyperlink r:id="rId84">
              <w:r>
                <w:rPr>
                  <w:rFonts w:ascii="Arial" w:cs="Arial" w:eastAsia="Arial" w:hAnsi="Arial"/>
                  <w:sz w:val="18"/>
                  <w:szCs w:val="18"/>
                  <w:color w:val="0000EE"/>
                  <w:w w:val="93"/>
                </w:rPr>
                <w:t>Amended and Restated Bylaws of Federal Realty Investment Trust dated February 12, 2003, as amended October 29, 2003, May 5, 2004,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4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February 17, 2006, May 6, 2009, and November 2, 2016 (previously filed as Exhibit 3.2 to the Trust’s Annual Report on Form 10-K for the</w:t>
              </w:r>
            </w:hyperlink>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year ended December 31, 2016 (File No. 1-07533) and incorporated herein by reference)</w:t>
              </w:r>
            </w:hyperlink>
          </w:p>
        </w:tc>
        <w:tc>
          <w:tcPr>
            <w:tcW w:w="38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Specimen Common Share certificate (previously filed as Exhibit 4(i) to the Trust’s Annual Report on Form 10-K for the year ended</w:t>
              </w:r>
            </w:hyperlink>
          </w:p>
        </w:tc>
        <w:tc>
          <w:tcPr>
            <w:tcW w:w="8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December 31, 1999 (File No. 1-07533)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40" w:type="dxa"/>
            <w:vAlign w:val="bottom"/>
            <w:gridSpan w:val="4"/>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4"/>
              </w:rPr>
            </w:pPr>
            <w:hyperlink r:id="rId86">
              <w:r>
                <w:rPr>
                  <w:rFonts w:ascii="Arial" w:cs="Arial" w:eastAsia="Arial" w:hAnsi="Arial"/>
                  <w:sz w:val="18"/>
                  <w:szCs w:val="18"/>
                  <w:color w:val="0000EE"/>
                  <w:w w:val="94"/>
                </w:rPr>
                <w:t>Articles Supplementary relating to the 5.417% Series 1 Cumulative Convertible Preferred Shares of Beneficial Interest (previously filed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2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Exhibit 4.1 to the Trust’s Current Report on Form 8-K filed on March 13, 2007, (File No. 1-07533) and incorporated herein by reference)</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520" w:type="dxa"/>
            <w:vAlign w:val="bottom"/>
            <w:gridSpan w:val="2"/>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988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w w:val="91"/>
              </w:rPr>
              <w:t>Indenture dated December 1, 1993 related to the Trust’s 7.48% Debentures due August 15, 2026; and 6.82% Medium Term Notes due</w:t>
            </w:r>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S-3 (File No. 33-63687), filed on December 13, 1993 and incorporated herein by reference)</w:t>
            </w:r>
          </w:p>
        </w:tc>
        <w:tc>
          <w:tcPr>
            <w:tcW w:w="0" w:type="dxa"/>
            <w:vAlign w:val="bottom"/>
          </w:tcPr>
          <w:p>
            <w:pPr>
              <w:spacing w:after="0"/>
              <w:rPr>
                <w:sz w:val="1"/>
                <w:szCs w:val="1"/>
                <w:color w:val="auto"/>
              </w:rPr>
            </w:pPr>
          </w:p>
        </w:tc>
      </w:tr>
      <w:tr>
        <w:trPr>
          <w:trHeight w:val="284"/>
        </w:trPr>
        <w:tc>
          <w:tcPr>
            <w:tcW w:w="520" w:type="dxa"/>
            <w:vAlign w:val="bottom"/>
            <w:gridSpan w:val="2"/>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000" w:type="dxa"/>
            <w:vAlign w:val="bottom"/>
            <w:tcBorders>
              <w:bottom w:val="single" w:sz="8" w:color="0000EE"/>
            </w:tcBorders>
            <w:gridSpan w:val="17"/>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Indenture dated as of September 1, 1998 related to the Company’s 5.90% Notes due 2020, 3.00% Notes due 2022, 2.75% Notes due 2023,</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3.</w:t>
              </w:r>
              <w:r>
                <w:rPr>
                  <w:rFonts w:ascii="Arial" w:cs="Arial" w:eastAsia="Arial" w:hAnsi="Arial"/>
                  <w:sz w:val="18"/>
                  <w:szCs w:val="18"/>
                  <w:u w:val="single" w:color="auto"/>
                  <w:color w:val="0000EE"/>
                  <w:w w:val="89"/>
                </w:rPr>
                <w:t>95%</w:t>
              </w:r>
              <w:r>
                <w:rPr>
                  <w:rFonts w:ascii="Arial" w:cs="Arial" w:eastAsia="Arial" w:hAnsi="Arial"/>
                  <w:sz w:val="18"/>
                  <w:szCs w:val="18"/>
                  <w:color w:val="0000EE"/>
                  <w:w w:val="89"/>
                </w:rPr>
                <w:t xml:space="preserve"> Notes due 2024, 4.50% Notes due 2044, 2.55% Notes due 2021, 3.625% Notes due 2046, and 3.25% Notes due 2027, filed with the</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Commission on September 17, 1998 as Exhibit 4(a) to the Company’s Registration Statement on Form S 3 (File No. 333-63619)</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60" w:type="dxa"/>
            <w:vAlign w:val="bottom"/>
            <w:gridSpan w:val="6"/>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060" w:type="dxa"/>
            <w:vAlign w:val="bottom"/>
            <w:tcBorders>
              <w:bottom w:val="single" w:sz="8" w:color="0000EE"/>
            </w:tcBorders>
            <w:gridSpan w:val="20"/>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Articles Supplementary relating to the 5.000% Series C Cumulative Redeemable Preferred Shares of Beneficial Interest (previously filed as</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Exhibit 3.2 to the Trust’s Registration Statement on Form 8-A (File No. 1-07533), filed on September 29, 2017 and incorporated herein by</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Deposit Agreement, dated as of September 29, 2017, by and among Federal Realty Investment Trust, American Stock Transfer and Trust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Company, LLC, as Depository, and all holders from time to time of Receipt (previously filed as Exhibit 4.1 to the Trust’s Registration</w:t>
              </w:r>
            </w:hyperlink>
          </w:p>
        </w:tc>
        <w:tc>
          <w:tcPr>
            <w:tcW w:w="260" w:type="dxa"/>
            <w:vAlign w:val="bottom"/>
            <w:tcBorders>
              <w:top w:val="single" w:sz="8" w:color="0000EE"/>
            </w:tcBorders>
            <w:gridSpan w:val="3"/>
          </w:tcPr>
          <w:p>
            <w:pPr>
              <w:spacing w:after="0"/>
              <w:rPr>
                <w:sz w:val="17"/>
                <w:szCs w:val="17"/>
                <w:color w:val="auto"/>
              </w:rPr>
            </w:pPr>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Statement on Form 8-A (File No. 1-07533), filed on September 29, 2017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980" w:type="dxa"/>
            <w:vAlign w:val="bottom"/>
            <w:gridSpan w:val="7"/>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Specimen certificate relating to the 5.000% Series C Cumulative Redeemable Preferred Shares of Beneficial Interest (previously filed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760" w:type="dxa"/>
            <w:vAlign w:val="bottom"/>
            <w:gridSpan w:val="8"/>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Exhibit 4.3 to the Trust’s Registration Statement on Form 8-A (File No. 1-07533), filed on September 29, 2017 and incorporated herein by</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c>
          <w:tcPr>
            <w:tcW w:w="15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gridSpan w:val="2"/>
          </w:tcPr>
          <w:p>
            <w:pPr>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Subordinated Indenture*</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Certificate for Preferred Shares*</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Deposit Agreement and Depositary Receipt*</w:t>
            </w:r>
          </w:p>
        </w:tc>
        <w:tc>
          <w:tcPr>
            <w:tcW w:w="0" w:type="dxa"/>
            <w:vAlign w:val="bottom"/>
          </w:tcPr>
          <w:p>
            <w:pPr>
              <w:spacing w:after="0"/>
              <w:rPr>
                <w:sz w:val="1"/>
                <w:szCs w:val="1"/>
                <w:color w:val="auto"/>
              </w:rPr>
            </w:pPr>
          </w:p>
        </w:tc>
      </w:tr>
      <w:tr>
        <w:trPr>
          <w:trHeight w:val="284"/>
        </w:trPr>
        <w:tc>
          <w:tcPr>
            <w:tcW w:w="520" w:type="dxa"/>
            <w:vAlign w:val="bottom"/>
            <w:gridSpan w:val="2"/>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87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Opinion of Pillsbury Winthrop Shaw Pittman LLP regarding the legality of the securities being registered (filed herewith)</w:t>
            </w:r>
          </w:p>
        </w:tc>
        <w:tc>
          <w:tcPr>
            <w:tcW w:w="1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340" w:type="dxa"/>
            <w:vAlign w:val="bottom"/>
            <w:gridSpan w:val="22"/>
          </w:tcPr>
          <w:p>
            <w:pPr>
              <w:ind w:left="52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Opinion of Pillsbury Winthrop Shaw Pittman LLP regarding certain federal income tax matters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0000EE"/>
        </w:rPr>
        <w:t>Statement of Computation of Ratios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Grant Thornton LLP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xml:space="preserve">Consent of Pillsbury Winthrop Shaw Pittman LLP (included in </w:t>
      </w:r>
      <w:r>
        <w:rPr>
          <w:rFonts w:ascii="Arial" w:cs="Arial" w:eastAsia="Arial" w:hAnsi="Arial"/>
          <w:sz w:val="16"/>
          <w:szCs w:val="16"/>
          <w:u w:val="single" w:color="auto"/>
          <w:color w:val="0000EE"/>
        </w:rPr>
        <w:t>Exhibits 5.1</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8.1</w:t>
      </w:r>
      <w:r>
        <w:rPr>
          <w:rFonts w:ascii="Arial" w:cs="Arial" w:eastAsia="Arial" w:hAnsi="Arial"/>
          <w:sz w:val="16"/>
          <w:szCs w:val="16"/>
          <w:color w:val="auto"/>
        </w:rPr>
        <w:t>).</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u w:val="single" w:color="auto"/>
          <w:color w:val="0000EE"/>
        </w:rPr>
        <w:t>Statement of Eligibility of Trustee on Form T-1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incorporated by reference in connection with the offering of the offered securities.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920" w:firstLine="421"/>
        <w:spacing w:after="0" w:line="255" w:lineRule="auto"/>
        <w:tabs>
          <w:tab w:leader="none" w:pos="1605"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60" w:firstLine="421"/>
        <w:spacing w:after="0" w:line="277" w:lineRule="auto"/>
        <w:tabs>
          <w:tab w:leader="none" w:pos="1655" w:val="left"/>
        </w:tabs>
        <w:numPr>
          <w:ilvl w:val="2"/>
          <w:numId w:val="8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left="460" w:right="40" w:firstLine="443"/>
        <w:spacing w:after="0" w:line="264"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555"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60" w:firstLine="421"/>
        <w:spacing w:after="0" w:line="274" w:lineRule="auto"/>
        <w:tabs>
          <w:tab w:leader="none" w:pos="1605" w:val="left"/>
        </w:tabs>
        <w:numPr>
          <w:ilvl w:val="1"/>
          <w:numId w:val="8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20" w:right="60"/>
        <w:spacing w:after="0" w:line="287" w:lineRule="auto"/>
        <w:rPr>
          <w:rFonts w:ascii="Arial" w:cs="Arial" w:eastAsia="Arial" w:hAnsi="Arial"/>
          <w:sz w:val="17"/>
          <w:szCs w:val="17"/>
          <w:color w:val="auto"/>
        </w:rPr>
      </w:pPr>
      <w:r>
        <w:rPr>
          <w:rFonts w:ascii="Arial" w:cs="Arial" w:eastAsia="Arial" w:hAnsi="Arial"/>
          <w:sz w:val="16"/>
          <w:szCs w:val="16"/>
          <w:color w:val="auto"/>
        </w:rPr>
        <w:t xml:space="preserve">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8" w:lineRule="exact"/>
        <w:rPr>
          <w:rFonts w:ascii="Arial" w:cs="Arial" w:eastAsia="Arial" w:hAnsi="Arial"/>
          <w:sz w:val="17"/>
          <w:szCs w:val="17"/>
          <w:color w:val="auto"/>
        </w:rPr>
      </w:pPr>
    </w:p>
    <w:p>
      <w:pPr>
        <w:ind w:left="460" w:right="340" w:firstLine="443"/>
        <w:spacing w:after="0" w:line="277" w:lineRule="auto"/>
        <w:tabs>
          <w:tab w:leader="none" w:pos="115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1560" w:hanging="219"/>
        <w:spacing w:after="0"/>
        <w:tabs>
          <w:tab w:leader="none" w:pos="15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920" w:right="200" w:firstLine="421"/>
        <w:spacing w:after="0" w:line="277" w:lineRule="auto"/>
        <w:tabs>
          <w:tab w:leader="none" w:pos="1605"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920" w:firstLine="421"/>
        <w:spacing w:after="0" w:line="277" w:lineRule="auto"/>
        <w:tabs>
          <w:tab w:leader="none" w:pos="1655"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right="80" w:firstLine="464"/>
        <w:spacing w:after="0" w:line="279" w:lineRule="auto"/>
        <w:tabs>
          <w:tab w:leader="none" w:pos="70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71" w:lineRule="exact"/>
        <w:rPr>
          <w:rFonts w:ascii="Arial" w:cs="Arial" w:eastAsia="Arial" w:hAnsi="Arial"/>
          <w:sz w:val="17"/>
          <w:szCs w:val="17"/>
          <w:color w:val="auto"/>
        </w:rPr>
      </w:pPr>
    </w:p>
    <w:p>
      <w:pPr>
        <w:jc w:val="both"/>
        <w:ind w:firstLine="464"/>
        <w:spacing w:after="0" w:line="312" w:lineRule="auto"/>
        <w:tabs>
          <w:tab w:leader="none" w:pos="711"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73" w:lineRule="exact"/>
        <w:rPr>
          <w:sz w:val="20"/>
          <w:szCs w:val="20"/>
          <w:color w:val="auto"/>
        </w:rPr>
      </w:pPr>
    </w:p>
    <w:p>
      <w:pPr>
        <w:ind w:right="60" w:firstLine="464"/>
        <w:spacing w:after="0" w:line="264" w:lineRule="auto"/>
        <w:tabs>
          <w:tab w:leader="none" w:pos="70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7, 2018.</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412"/>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President, Chief Executive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Officer and Trustee (principal executive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Executive Vice President-Chief Financial Officer and Treasurer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Non-Executive 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S. Vassalluzzo</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 E. Bortz</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W. Faeder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Elizabeth I. Holland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Gail P. Steinel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Warren M. Thompson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28"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340" w:type="dxa"/>
            <w:vAlign w:val="bottom"/>
            <w:gridSpan w:val="22"/>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34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gridSpan w:val="2"/>
          </w:tcPr>
          <w:p>
            <w:pPr>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Underwriting Agreement for Debt Securities*</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Underwriting Agreement for Equity Securities*</w:t>
            </w:r>
          </w:p>
        </w:tc>
        <w:tc>
          <w:tcPr>
            <w:tcW w:w="0" w:type="dxa"/>
            <w:vAlign w:val="bottom"/>
          </w:tcPr>
          <w:p>
            <w:pPr>
              <w:spacing w:after="0"/>
              <w:rPr>
                <w:sz w:val="1"/>
                <w:szCs w:val="1"/>
                <w:color w:val="auto"/>
              </w:rPr>
            </w:pPr>
          </w:p>
        </w:tc>
      </w:tr>
      <w:tr>
        <w:trPr>
          <w:trHeight w:val="284"/>
        </w:trPr>
        <w:tc>
          <w:tcPr>
            <w:tcW w:w="520" w:type="dxa"/>
            <w:vAlign w:val="bottom"/>
            <w:gridSpan w:val="2"/>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Declaration of Trust of Federal Realty Investment Trust dated May 5, 1999 as amended by the Articles of Amendment of Declaration of Trust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6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of Federal Realty Investment Trust dated May 6, 2004, as corrected by the Certificate of Correction of Articles of Amendment of Declaration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of Trust of Federal Realty Investment Trust dated June 17, 2004, as amended by the Articles of Amendment of Declaration of Trust of Federal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Realty Investment Trust dated May 6, 2009 (previously filed as Exhibit 3.1 to the Trust’s Registration Statement on Form S-3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No. 333-160009) and incorporated herein by reference)</w:t>
              </w:r>
            </w:hyperlink>
          </w:p>
        </w:tc>
        <w:tc>
          <w:tcPr>
            <w:tcW w:w="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3"/>
              </w:rPr>
            </w:pPr>
            <w:hyperlink r:id="rId84">
              <w:r>
                <w:rPr>
                  <w:rFonts w:ascii="Arial" w:cs="Arial" w:eastAsia="Arial" w:hAnsi="Arial"/>
                  <w:sz w:val="18"/>
                  <w:szCs w:val="18"/>
                  <w:color w:val="0000EE"/>
                  <w:w w:val="93"/>
                </w:rPr>
                <w:t>Amended and Restated Bylaws of Federal Realty Investment Trust dated February 12, 2003, as amended October 29, 2003, May 5, 2004,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40" w:type="dxa"/>
            <w:vAlign w:val="bottom"/>
            <w:gridSpan w:val="4"/>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February 17, 2006, May 6, 2009, and November 2, 2016 (previously filed as Exhibit 3.2 to the Trust’s Annual Report on Form 10-K for the</w:t>
              </w:r>
            </w:hyperlink>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year ended December 31, 2016 (File No. 1-07533) and incorporated herein by reference)</w:t>
              </w:r>
            </w:hyperlink>
          </w:p>
        </w:tc>
        <w:tc>
          <w:tcPr>
            <w:tcW w:w="38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Specimen Common Share certificate (previously filed as Exhibit 4(i) to the Trust’s Annual Report on Form 10-K for the year ended</w:t>
              </w:r>
            </w:hyperlink>
          </w:p>
        </w:tc>
        <w:tc>
          <w:tcPr>
            <w:tcW w:w="8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December 31, 1999 (File No. 1-07533)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40" w:type="dxa"/>
            <w:vAlign w:val="bottom"/>
            <w:gridSpan w:val="4"/>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040" w:type="dxa"/>
            <w:vAlign w:val="bottom"/>
            <w:tcBorders>
              <w:bottom w:val="single" w:sz="8" w:color="0000EE"/>
            </w:tcBorders>
            <w:gridSpan w:val="19"/>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Articles Supplementary relating to the 5.417% Series 1 Cumulative Convertible Preferred Shares of Beneficial Interest (previously filed as</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w w:val="95"/>
              </w:rPr>
            </w:pPr>
            <w:hyperlink r:id="rId86">
              <w:r>
                <w:rPr>
                  <w:rFonts w:ascii="Arial" w:cs="Arial" w:eastAsia="Arial" w:hAnsi="Arial"/>
                  <w:sz w:val="18"/>
                  <w:szCs w:val="18"/>
                  <w:color w:val="0000EE"/>
                  <w:w w:val="95"/>
                </w:rPr>
                <w:t>Exhibit 4.1 to the Trust’s Current Report on Form 8-K filed on March 13, 2007, (File No. 1-07533) and incorporated herein by reference)</w:t>
              </w:r>
            </w:hyperlink>
          </w:p>
        </w:tc>
        <w:tc>
          <w:tcPr>
            <w:tcW w:w="0" w:type="dxa"/>
            <w:vAlign w:val="bottom"/>
          </w:tcPr>
          <w:p>
            <w:pPr>
              <w:spacing w:after="0"/>
              <w:rPr>
                <w:sz w:val="1"/>
                <w:szCs w:val="1"/>
                <w:color w:val="auto"/>
              </w:rPr>
            </w:pPr>
          </w:p>
        </w:tc>
      </w:tr>
      <w:tr>
        <w:trPr>
          <w:trHeight w:val="330"/>
        </w:trPr>
        <w:tc>
          <w:tcPr>
            <w:tcW w:w="520" w:type="dxa"/>
            <w:vAlign w:val="bottom"/>
            <w:gridSpan w:val="2"/>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988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w w:val="91"/>
              </w:rPr>
              <w:t>Indenture dated December 1, 1993 related to the Trust’s 7.48% Debentures due August 15, 2026; and 6.82% Medium Term Notes due</w:t>
            </w:r>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S-3 (File No. 33-63687), filed on December 13, 1993 and incorporated herein by reference) (p)</w:t>
            </w:r>
          </w:p>
        </w:tc>
        <w:tc>
          <w:tcPr>
            <w:tcW w:w="0" w:type="dxa"/>
            <w:vAlign w:val="bottom"/>
          </w:tcPr>
          <w:p>
            <w:pPr>
              <w:spacing w:after="0"/>
              <w:rPr>
                <w:sz w:val="1"/>
                <w:szCs w:val="1"/>
                <w:color w:val="auto"/>
              </w:rPr>
            </w:pPr>
          </w:p>
        </w:tc>
      </w:tr>
      <w:tr>
        <w:trPr>
          <w:trHeight w:val="284"/>
        </w:trPr>
        <w:tc>
          <w:tcPr>
            <w:tcW w:w="520" w:type="dxa"/>
            <w:vAlign w:val="bottom"/>
            <w:gridSpan w:val="2"/>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000" w:type="dxa"/>
            <w:vAlign w:val="bottom"/>
            <w:tcBorders>
              <w:bottom w:val="single" w:sz="8" w:color="0000EE"/>
            </w:tcBorders>
            <w:gridSpan w:val="17"/>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Indenture dated as of September 1, 1998 related to the Company’s 5.90% Notes due 2020, 3.00% Notes due 2022, 2.75% Notes due 2023,</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3.</w:t>
              </w:r>
              <w:r>
                <w:rPr>
                  <w:rFonts w:ascii="Arial" w:cs="Arial" w:eastAsia="Arial" w:hAnsi="Arial"/>
                  <w:sz w:val="18"/>
                  <w:szCs w:val="18"/>
                  <w:u w:val="single" w:color="auto"/>
                  <w:color w:val="0000EE"/>
                  <w:w w:val="89"/>
                </w:rPr>
                <w:t>95%</w:t>
              </w:r>
              <w:r>
                <w:rPr>
                  <w:rFonts w:ascii="Arial" w:cs="Arial" w:eastAsia="Arial" w:hAnsi="Arial"/>
                  <w:sz w:val="18"/>
                  <w:szCs w:val="18"/>
                  <w:color w:val="0000EE"/>
                  <w:w w:val="89"/>
                </w:rPr>
                <w:t xml:space="preserve"> Notes due 2024, 4.50% Notes due 2044, 2.55% Notes due 2021, 3.625% Notes due 2046, and 3.25% Notes due 2027, filed with the</w:t>
              </w:r>
            </w:hyperlink>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Commission on September 17, 1998 as Exhibit 4(a) to the Company’s Registration Statement on Form S 3 (File No. 333-63619)</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60" w:type="dxa"/>
            <w:vAlign w:val="bottom"/>
            <w:gridSpan w:val="6"/>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060" w:type="dxa"/>
            <w:vAlign w:val="bottom"/>
            <w:tcBorders>
              <w:bottom w:val="single" w:sz="8" w:color="0000EE"/>
            </w:tcBorders>
            <w:gridSpan w:val="20"/>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Articles Supplementary relating to the 5.000% Series C Cumulative Redeemable Preferred Shares of Beneficial Interest (previously filed as</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Exhibit 3.2 to the Trust’s Registration Statement on Form 8-A (File No. 1-07533), filed on September 29, 2017 and incorporated herein by</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Deposit Agreement, dated as of September 29, 2017, by and among Federal Realty Investment Trust, American Stock Transfer and Trust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Company, LLC, as Depository, and all holders from time to time of Receipt (previously filed as Exhibit 4.1 to the Trust’s Registration</w:t>
              </w:r>
            </w:hyperlink>
          </w:p>
        </w:tc>
        <w:tc>
          <w:tcPr>
            <w:tcW w:w="260" w:type="dxa"/>
            <w:vAlign w:val="bottom"/>
            <w:tcBorders>
              <w:top w:val="single" w:sz="8" w:color="0000EE"/>
            </w:tcBorders>
            <w:gridSpan w:val="3"/>
          </w:tcPr>
          <w:p>
            <w:pPr>
              <w:spacing w:after="0"/>
              <w:rPr>
                <w:sz w:val="17"/>
                <w:szCs w:val="17"/>
                <w:color w:val="auto"/>
              </w:rPr>
            </w:pPr>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Statement on Form 8-A (File No. 1-07533), filed on September 29, 2017 and incorporated herein by 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980" w:type="dxa"/>
            <w:vAlign w:val="bottom"/>
            <w:gridSpan w:val="7"/>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320" w:type="dxa"/>
            <w:vAlign w:val="bottom"/>
            <w:gridSpan w:val="24"/>
          </w:tcPr>
          <w:p>
            <w:pPr>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Specimen certificate relating to the 5.000% Series C Cumulative Redeemable Preferred Shares of Beneficial Interest (previously filed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760" w:type="dxa"/>
            <w:vAlign w:val="bottom"/>
            <w:gridSpan w:val="8"/>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Exhibit 4.3 to the Trust’s Registration Statement on Form 8-A (File No. 1-07533), filed on September 29, 2017 and incorporated herein by</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320" w:type="dxa"/>
            <w:vAlign w:val="bottom"/>
            <w:gridSpan w:val="24"/>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40" w:type="dxa"/>
            <w:vAlign w:val="bottom"/>
            <w:gridSpan w:val="7"/>
          </w:tcPr>
          <w:p>
            <w:pPr>
              <w:spacing w:after="0" w:line="20" w:lineRule="exact"/>
              <w:rPr>
                <w:sz w:val="1"/>
                <w:szCs w:val="1"/>
                <w:color w:val="auto"/>
              </w:rPr>
            </w:pPr>
          </w:p>
        </w:tc>
        <w:tc>
          <w:tcPr>
            <w:tcW w:w="15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gridSpan w:val="2"/>
          </w:tcPr>
          <w:p>
            <w:pPr>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Subordinated Indenture*</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Certificate for Preferred Shares*</w:t>
            </w: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10320" w:type="dxa"/>
            <w:vAlign w:val="bottom"/>
            <w:gridSpan w:val="24"/>
          </w:tcPr>
          <w:p>
            <w:pPr>
              <w:spacing w:after="0"/>
              <w:rPr>
                <w:sz w:val="20"/>
                <w:szCs w:val="20"/>
                <w:color w:val="auto"/>
              </w:rPr>
            </w:pPr>
            <w:r>
              <w:rPr>
                <w:rFonts w:ascii="Arial" w:cs="Arial" w:eastAsia="Arial" w:hAnsi="Arial"/>
                <w:sz w:val="18"/>
                <w:szCs w:val="18"/>
                <w:color w:val="auto"/>
              </w:rPr>
              <w:t>Form of Deposit Agreement and Depositary Receipt*</w:t>
            </w:r>
          </w:p>
        </w:tc>
        <w:tc>
          <w:tcPr>
            <w:tcW w:w="0" w:type="dxa"/>
            <w:vAlign w:val="bottom"/>
          </w:tcPr>
          <w:p>
            <w:pPr>
              <w:spacing w:after="0"/>
              <w:rPr>
                <w:sz w:val="1"/>
                <w:szCs w:val="1"/>
                <w:color w:val="auto"/>
              </w:rPr>
            </w:pPr>
          </w:p>
        </w:tc>
      </w:tr>
      <w:tr>
        <w:trPr>
          <w:trHeight w:val="284"/>
        </w:trPr>
        <w:tc>
          <w:tcPr>
            <w:tcW w:w="520" w:type="dxa"/>
            <w:vAlign w:val="bottom"/>
            <w:gridSpan w:val="2"/>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87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Opinion of Pillsbury Winthrop Shaw Pittman LLP regarding the legality of the securities being registered (filed herewith)</w:t>
            </w:r>
          </w:p>
        </w:tc>
        <w:tc>
          <w:tcPr>
            <w:tcW w:w="15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0"/>
        <w:spacing w:after="0"/>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EE"/>
        </w:rPr>
        <w:t>Opinion of Pillsbury Winthrop Shaw Pittman LLP regarding certain federal income tax matters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0000EE"/>
        </w:rPr>
        <w:t>Statement of Computation of Ratios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Grant Thornton LLP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xml:space="preserve">Consent of Pillsbury Winthrop Shaw Pittman LLP (included in </w:t>
      </w:r>
      <w:r>
        <w:rPr>
          <w:rFonts w:ascii="Arial" w:cs="Arial" w:eastAsia="Arial" w:hAnsi="Arial"/>
          <w:sz w:val="16"/>
          <w:szCs w:val="16"/>
          <w:u w:val="single" w:color="auto"/>
          <w:color w:val="0000EE"/>
        </w:rPr>
        <w:t>Exhibits 5.1</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8.1</w:t>
      </w:r>
      <w:r>
        <w:rPr>
          <w:rFonts w:ascii="Arial" w:cs="Arial" w:eastAsia="Arial" w:hAnsi="Arial"/>
          <w:sz w:val="16"/>
          <w:szCs w:val="16"/>
          <w:color w:val="auto"/>
        </w:rPr>
        <w:t>).</w:t>
      </w:r>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63">
        <w:r>
          <w:rPr>
            <w:rFonts w:ascii="Arial" w:cs="Arial" w:eastAsia="Arial" w:hAnsi="Arial"/>
            <w:sz w:val="16"/>
            <w:szCs w:val="16"/>
            <w:u w:val="single" w:color="auto"/>
            <w:color w:val="0000EE"/>
          </w:rPr>
          <w:t>Power of Attorney (filed herewith)</w:t>
        </w:r>
      </w:hyperlink>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u w:val="single" w:color="auto"/>
          <w:color w:val="0000EE"/>
        </w:rPr>
        <w:t>Statement of Eligibility of Trustee on Form T-1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  To be filed by amendment or incorporated by reference in connection with the offering of the offered securities.</w:t>
      </w:r>
    </w:p>
    <w:p>
      <w:pPr>
        <w:sectPr>
          <w:pgSz w:w="11900" w:h="16838" w:orient="portrait"/>
          <w:cols w:equalWidth="0" w:num="1">
            <w:col w:w="10219"/>
          </w:cols>
          <w:pgMar w:left="240" w:top="459"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Registration Statement on Form S-3 (the “Registration Statement”) relating to the registration under the Securities Act of 1933 (the “Act”) of an indeterminate initial offering amount of the following securities of the Company: (a) common shares of beneficial interest, par value $0.01 per share (“Common Shares”),</w:t>
      </w:r>
    </w:p>
    <w:p>
      <w:pPr>
        <w:ind w:right="60" w:firstLine="8"/>
        <w:spacing w:after="0" w:line="254"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preferred shares of beneficial interest, par value $0.01 per share (“Preferred Shares”), in one or more series, (c) depositary shares evidenced by depositary receipts (“Depositary Receipts”), each representing fractional interests in Preferred Shares (“Depositary Shares”), (d) senior or subordinated debt securities (“Debt Securities”) or (e) warrants to purchase Common Shares or Preferred Shares (“Warrants”). The Common Shares, Preferred Shares, Depositary Shares, Debt Securities and Warrants are collectively referred to herein as the “Securities.”</w:t>
      </w:r>
    </w:p>
    <w:p>
      <w:pPr>
        <w:spacing w:after="0" w:line="1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Debt Securities will be issued pursuant to one or more indentures, including the Senior Indenture dated as of September 1, 1998 between the Company and U.S. Bank National Association (successor to Wachovia Bank National Association (formerly First Union National Bank)), as Trustee (the “Senior Debt Indenture”), filed as Exhibit 4.4 to the Registration Statement, and any additional indentures entered into from time to time (the “Indentures”). The Preferred Shares may be offered in any class or series and to the extent required will be offered and sold pursuant to articles supplementary and/or amendments to the Declaration of Trust (as defined below), which are to be filed with the Maryland State Department of Assessments and Taxation (“SDAT”). Any Depositary Shares will be issued under one or more deposit agreements (each, a “Deposit Agreement”), each between the Company and a financial institution identified therein as the depositary (each, a “Depositary”). Any Warrants will be issued under one or more warrant agreements (each, a “Warrant Agreement”), each between the Company and a financial institution identified therein as a warrant agent (each, a “Warrant Agent”).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In rendering this opinion, we have assumed that the Senior Debt Indenture has been and the Indentures, other than the Senior Debt Indenture, will be duly authorized, executed and delivered by the respective Trustee, where applicable, the Securities will be properly authenticated by the manual signature of an authorized representative of the applicable Trustee, Warrant Agent, Depositary or transfer agent, and the signatures on all documents examined by us are genuine, which assumptions we have not independently verified.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assumptions and subject to the qualifications and limitations set forth herein, we are of the opinion that:</w:t>
      </w:r>
    </w:p>
    <w:p>
      <w:pPr>
        <w:spacing w:after="0" w:line="225" w:lineRule="exact"/>
        <w:rPr>
          <w:sz w:val="20"/>
          <w:szCs w:val="20"/>
          <w:color w:val="auto"/>
        </w:rPr>
      </w:pPr>
    </w:p>
    <w:p>
      <w:pPr>
        <w:ind w:right="80" w:firstLine="8"/>
        <w:spacing w:after="0" w:line="253" w:lineRule="auto"/>
        <w:tabs>
          <w:tab w:leader="none" w:pos="3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respect to the Common Shares, when the Board of Trustees of the Company or a duly authorized committee of such Board of Trustees (such Board of Trustees or committee being referred to herein as the “Board”) has taken all necessary corporate action to approve the issuance and establish the terms of the offering of Common Shares and related matters and when such Common Shares have been issued and sold by the Company in the manner contemplated by the Registration Statement and in accordance with such Board action, such Common Shares (including any Common Shares duly issued upon conversion, exchange or exercise of any other Security in accordance with the terms of such Security or the instrument governing such Security providing for such conversion,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exchange or exercise as approved by the Board) will be duly authorized, legally issued, fully paid and nonassessable.</w:t>
      </w:r>
    </w:p>
    <w:p>
      <w:pPr>
        <w:spacing w:after="0" w:line="210" w:lineRule="exact"/>
        <w:rPr>
          <w:rFonts w:ascii="Arial" w:cs="Arial" w:eastAsia="Arial" w:hAnsi="Arial"/>
          <w:sz w:val="18"/>
          <w:szCs w:val="18"/>
          <w:color w:val="auto"/>
        </w:rPr>
      </w:pPr>
    </w:p>
    <w:p>
      <w:pPr>
        <w:ind w:right="460" w:firstLine="8"/>
        <w:spacing w:after="0" w:line="277" w:lineRule="auto"/>
        <w:tabs>
          <w:tab w:leader="none" w:pos="312"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respect to the Preferred Shares, when the Board has taken all necessary corporate action to approve the issuance and establish the terms of any particular series of Preferred Shares, the offering thereof and related matters,</w:t>
      </w:r>
    </w:p>
    <w:p>
      <w:pPr>
        <w:sectPr>
          <w:pgSz w:w="11900" w:h="16838" w:orient="portrait"/>
          <w:cols w:equalWidth="0" w:num="1">
            <w:col w:w="11420"/>
          </w:cols>
          <w:pgMar w:left="240" w:top="121" w:right="239" w:bottom="1440" w:gutter="0" w:footer="0" w:header="0"/>
        </w:sectPr>
      </w:pPr>
    </w:p>
    <w:bookmarkStart w:id="66" w:name="page67"/>
    <w:bookmarkEnd w:id="6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filing of articles supplementary with the SDAT conforming to the law of the State of Maryland regarding the Preferred Shares, and when such series of Preferred Shares have been issued and sold by the Company in the manner contemplated by the Registration Statement and in accordance with such Board action, such series of Preferred Shares (including any Preferred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pacing w:after="0" w:line="188" w:lineRule="exact"/>
        <w:rPr>
          <w:sz w:val="20"/>
          <w:szCs w:val="20"/>
          <w:color w:val="auto"/>
        </w:rPr>
      </w:pPr>
    </w:p>
    <w:p>
      <w:pPr>
        <w:ind w:right="40" w:firstLine="8"/>
        <w:spacing w:after="0" w:line="289" w:lineRule="auto"/>
        <w:tabs>
          <w:tab w:leader="none" w:pos="312" w:val="left"/>
        </w:tabs>
        <w:numPr>
          <w:ilvl w:val="0"/>
          <w:numId w:val="90"/>
        </w:numPr>
        <w:rPr>
          <w:rFonts w:ascii="Arial" w:cs="Arial" w:eastAsia="Arial" w:hAnsi="Arial"/>
          <w:sz w:val="16"/>
          <w:szCs w:val="16"/>
          <w:color w:val="auto"/>
        </w:rPr>
      </w:pPr>
      <w:r>
        <w:rPr>
          <w:rFonts w:ascii="Arial" w:cs="Arial" w:eastAsia="Arial" w:hAnsi="Arial"/>
          <w:sz w:val="16"/>
          <w:szCs w:val="16"/>
          <w:color w:val="auto"/>
        </w:rPr>
        <w:t>With respect to the Depositary Shares, when (a) the Board has taken all necessary corporate action to approve the issuance and establish the terms of the series of Preferred Shares to be issued in connection therewith, the offering of such Depositary Shares in such series of Preferred Shares, and related matters, including the filing of articles supplementary with SDAT conforming to the law of the State of Maryland regarding the Preferred Shares, (b) a Deposit Agreement has been duly authorized, executed and delivered by the Company and a Depositary, which Deposit Agreement establishes the terms of the Depositary Shares and their issuance and sale, (c) such series of Preferred Shares have been deposited with such Depositary in accordance with the applicable Deposit Agreement, (d) such series of Preferred Shares have been issued and sold in the manner contemplated by the Registration Statement and in accordance with such Board action, and (e) Depositary Receipts evidencing Depositary Shares are duly issued against the deposit of such series of Preferred Shares in accordance with the Deposit Agreement, such Depositary Shares will be duly authorized, validly issued, fully paid and nonassessable and such Depositary Receipts will be duly authorized and validly issued and entitle the holders thereof to the rights specified in the Deposit Agreement.</w:t>
      </w:r>
    </w:p>
    <w:p>
      <w:pPr>
        <w:spacing w:after="0" w:line="166" w:lineRule="exact"/>
        <w:rPr>
          <w:rFonts w:ascii="Arial" w:cs="Arial" w:eastAsia="Arial" w:hAnsi="Arial"/>
          <w:sz w:val="16"/>
          <w:szCs w:val="16"/>
          <w:color w:val="auto"/>
        </w:rPr>
      </w:pPr>
    </w:p>
    <w:p>
      <w:pPr>
        <w:ind w:firstLine="8"/>
        <w:spacing w:after="0" w:line="291" w:lineRule="auto"/>
        <w:tabs>
          <w:tab w:leader="none" w:pos="312" w:val="left"/>
        </w:tabs>
        <w:numPr>
          <w:ilvl w:val="0"/>
          <w:numId w:val="90"/>
        </w:numPr>
        <w:rPr>
          <w:rFonts w:ascii="Arial" w:cs="Arial" w:eastAsia="Arial" w:hAnsi="Arial"/>
          <w:sz w:val="16"/>
          <w:szCs w:val="16"/>
          <w:color w:val="auto"/>
        </w:rPr>
      </w:pPr>
      <w:r>
        <w:rPr>
          <w:rFonts w:ascii="Arial" w:cs="Arial" w:eastAsia="Arial" w:hAnsi="Arial"/>
          <w:sz w:val="16"/>
          <w:szCs w:val="16"/>
          <w:color w:val="auto"/>
        </w:rPr>
        <w:t>With respect to the Debt Securities to be issued under the Senior Debt Indenture, when (a) the Senior Debt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Senior Debt Indenture, and (d) such Debt Securities have been issued and sold in the manner contemplated by the Registration Statement and in accordance with the Senior Debt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constitute the valid and legally binding obligations of the Company, enforceable against the Company in accordance with their terms.</w:t>
      </w:r>
    </w:p>
    <w:p>
      <w:pPr>
        <w:spacing w:after="0" w:line="167" w:lineRule="exact"/>
        <w:rPr>
          <w:rFonts w:ascii="Arial" w:cs="Arial" w:eastAsia="Arial" w:hAnsi="Arial"/>
          <w:sz w:val="16"/>
          <w:szCs w:val="16"/>
          <w:color w:val="auto"/>
        </w:rPr>
      </w:pPr>
    </w:p>
    <w:p>
      <w:pPr>
        <w:ind w:firstLine="8"/>
        <w:spacing w:after="0" w:line="254" w:lineRule="auto"/>
        <w:tabs>
          <w:tab w:leader="none" w:pos="312"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any Debt Securities to be issued under the Indentures, other than the Senior Debt Indenture, when (a) any such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applicable Indenture, and (d) such Debt Securities have been issued and sold in the manner contemplated by the Registration Statement and in accordance with the applicable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constitute the valid and legally binding obligations of the Company, enforceable against the Company in accordance with their terms.</w:t>
      </w:r>
    </w:p>
    <w:p>
      <w:pPr>
        <w:spacing w:after="0" w:line="192" w:lineRule="exact"/>
        <w:rPr>
          <w:rFonts w:ascii="Arial" w:cs="Arial" w:eastAsia="Arial" w:hAnsi="Arial"/>
          <w:sz w:val="18"/>
          <w:szCs w:val="18"/>
          <w:color w:val="auto"/>
        </w:rPr>
      </w:pPr>
    </w:p>
    <w:p>
      <w:pPr>
        <w:ind w:right="60" w:firstLine="8"/>
        <w:spacing w:after="0" w:line="290" w:lineRule="auto"/>
        <w:tabs>
          <w:tab w:leader="none" w:pos="312" w:val="left"/>
        </w:tabs>
        <w:numPr>
          <w:ilvl w:val="0"/>
          <w:numId w:val="90"/>
        </w:numPr>
        <w:rPr>
          <w:rFonts w:ascii="Arial" w:cs="Arial" w:eastAsia="Arial" w:hAnsi="Arial"/>
          <w:sz w:val="16"/>
          <w:szCs w:val="16"/>
          <w:color w:val="auto"/>
        </w:rPr>
      </w:pPr>
      <w:r>
        <w:rPr>
          <w:rFonts w:ascii="Arial" w:cs="Arial" w:eastAsia="Arial" w:hAnsi="Arial"/>
          <w:sz w:val="16"/>
          <w:szCs w:val="16"/>
          <w:color w:val="auto"/>
        </w:rPr>
        <w:t>With respect to the Warrants, when (a) one or more Warrant Agreements incorporating the terms and other provisions thereof has been duly executed and delivered by the Company and a Warrant Agent, (b) the Board has taken all necessary corporate action to approve the issuance and establish the terms of the Warrants, the terms of the offering of such Warrants, and related matters, (c) the Warrant certificates have been duly executed and authenticated or countersigned in accordance with the terms of the appropriate Warrant Agreement, and (d) the Warrants have been issued and sold in the manner contemplated by the Registration Statement and in accordance with the applicable Warrant Agreement, the Warrants will constitute the valid and legally binding obligations of the Company, enforceable against the Company in accordance with their terms,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ectPr>
          <w:pgSz w:w="11900" w:h="16838" w:orient="portrait"/>
          <w:cols w:equalWidth="0" w:num="1">
            <w:col w:w="11420"/>
          </w:cols>
          <w:pgMar w:left="240" w:top="274" w:right="239" w:bottom="1440" w:gutter="0" w:footer="0" w:header="0"/>
        </w:sectPr>
      </w:pPr>
    </w:p>
    <w:bookmarkStart w:id="67" w:name="page68"/>
    <w:bookmarkEnd w:id="67"/>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opinions set forth above are subject to and limited by the effect of (a) applicable bankruptcy, insolvency, fraudulent conveyance, fraudulent transfer, receivership, conservatorship, arrangement, moratorium and other laws affecting and relating to the rights of creditors generally, (b) general equitable principles and (c) requirements of reasonableness, good faith, fair dealing and materiality.</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connection with the opinions expressed above, we have assumed that, at or prior to the time of the delivery of any such Security, the Registration Statement, and any amendments thereto (including post-effective amendments) will be effective under the Act, a Prospectus Supplement to the Prospectus forming a part of the Registration Statement will have been prepared and filed with the Securities and Exchange Commission (the “Commission”) describing the Securities offered thereby, the authorization of such Security will not have been modified or rescinded by the Board, and there will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with the terms of such Security, will violate any applicable federal or state law or will result in a violation of any provision of any instrument or agreement then binding upon the Company or any restriction imposed by any court or governmental body having jurisdiction over the Company.</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opinions set forth in this letter are limited to matters governed by the law of the States of New York and Maryland, in each case as in effect on the date hereof.</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00"/>
          </w:cols>
          <w:pgMar w:left="240" w:top="274"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8.1</w:t>
      </w:r>
    </w:p>
    <w:p>
      <w:pPr>
        <w:spacing w:after="0" w:line="256"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1200 Seventeenth Street NW</w:t>
            </w:r>
          </w:p>
        </w:tc>
        <w:tc>
          <w:tcPr>
            <w:tcW w:w="2080" w:type="dxa"/>
            <w:vAlign w:val="bottom"/>
          </w:tcPr>
          <w:p>
            <w:pPr>
              <w:ind w:left="420"/>
              <w:spacing w:after="0"/>
              <w:rPr>
                <w:sz w:val="20"/>
                <w:szCs w:val="20"/>
                <w:color w:val="auto"/>
              </w:rPr>
            </w:pPr>
            <w:r>
              <w:rPr>
                <w:rFonts w:ascii="Arial" w:cs="Arial" w:eastAsia="Arial" w:hAnsi="Arial"/>
                <w:sz w:val="18"/>
                <w:szCs w:val="18"/>
                <w:color w:val="auto"/>
              </w:rPr>
              <w:t>Tel 202.663.8000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Washington, DC 20036-3006</w:t>
            </w:r>
          </w:p>
        </w:tc>
        <w:tc>
          <w:tcPr>
            <w:tcW w:w="2080" w:type="dxa"/>
            <w:vAlign w:val="bottom"/>
          </w:tcPr>
          <w:p>
            <w:pPr>
              <w:ind w:left="420"/>
              <w:spacing w:after="0"/>
              <w:rPr>
                <w:sz w:val="20"/>
                <w:szCs w:val="20"/>
                <w:color w:val="auto"/>
              </w:rPr>
            </w:pPr>
            <w:r>
              <w:rPr>
                <w:rFonts w:ascii="Arial" w:cs="Arial" w:eastAsia="Arial" w:hAnsi="Arial"/>
                <w:sz w:val="18"/>
                <w:szCs w:val="18"/>
                <w:color w:val="auto"/>
              </w:rPr>
              <w:t>Fax 202.663.8007</w:t>
            </w:r>
          </w:p>
        </w:tc>
      </w:tr>
      <w:tr>
        <w:trPr>
          <w:trHeight w:val="230"/>
        </w:trPr>
        <w:tc>
          <w:tcPr>
            <w:tcW w:w="2540" w:type="dxa"/>
            <w:vAlign w:val="bottom"/>
          </w:tcPr>
          <w:p>
            <w:pPr>
              <w:spacing w:after="0"/>
              <w:rPr>
                <w:sz w:val="20"/>
                <w:szCs w:val="20"/>
                <w:color w:val="auto"/>
              </w:rPr>
            </w:pPr>
          </w:p>
        </w:tc>
        <w:tc>
          <w:tcPr>
            <w:tcW w:w="2080" w:type="dxa"/>
            <w:vAlign w:val="bottom"/>
          </w:tcPr>
          <w:p>
            <w:pPr>
              <w:ind w:left="420"/>
              <w:spacing w:after="0"/>
              <w:rPr>
                <w:sz w:val="20"/>
                <w:szCs w:val="20"/>
                <w:color w:val="auto"/>
              </w:rPr>
            </w:pPr>
            <w:r>
              <w:rPr>
                <w:rFonts w:ascii="Arial" w:cs="Arial" w:eastAsia="Arial" w:hAnsi="Arial"/>
                <w:sz w:val="18"/>
                <w:szCs w:val="18"/>
                <w:color w:val="auto"/>
                <w:w w:val="93"/>
              </w:rPr>
              <w:t>www.pillsburylaw.com</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 prospectus (the “Base Prospectus”), a prospectus supplement, and all documents incorporated and deemed to be incorporated by reference therein, on May 7, 2018 with the Securities and Exchange Commission.</w:t>
      </w:r>
    </w:p>
    <w:p>
      <w:pPr>
        <w:spacing w:after="0" w:line="18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w:t>
      </w:r>
    </w:p>
    <w:p>
      <w:pPr>
        <w:sectPr>
          <w:pgSz w:w="11900" w:h="16838" w:orient="portrait"/>
          <w:cols w:equalWidth="0" w:num="1">
            <w:col w:w="11420"/>
          </w:cols>
          <w:pgMar w:left="2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2018;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(2018) taxable year and for future taxable years, and (iii) the discussions in (x) the Base Prospectus under the caption “Material Federal Income Tax Considerations,” and (y) the Company’s Annual Report on Form 10-K for the year ended December 31, 2017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Factors–U.S. federal tax reform legislation now and in the future could affect REITs, both positively and negatively, in ways that are difficult to anticipate,”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71" w:name="page72"/>
    <w:bookmarkEnd w:id="71"/>
    <w:p>
      <w:pPr>
        <w:ind w:left="10480"/>
        <w:spacing w:after="0"/>
        <w:rPr>
          <w:sz w:val="20"/>
          <w:szCs w:val="20"/>
          <w:color w:val="auto"/>
        </w:rPr>
      </w:pPr>
      <w:r>
        <w:rPr>
          <w:rFonts w:ascii="Arial" w:cs="Arial" w:eastAsia="Arial" w:hAnsi="Arial"/>
          <w:sz w:val="16"/>
          <w:szCs w:val="16"/>
          <w:b w:val="1"/>
          <w:bCs w:val="1"/>
          <w:color w:val="auto"/>
        </w:rPr>
        <w:t>Exhibit 12.1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right="476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color w:val="auto"/>
              </w:rPr>
              <w:t>3 months ended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6"/>
              </w:rPr>
              <w:t>March 31,</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7"/>
          </w:tcPr>
          <w:p>
            <w:pPr>
              <w:jc w:val="right"/>
              <w:ind w:right="860"/>
              <w:spacing w:after="0" w:line="149" w:lineRule="exact"/>
              <w:rPr>
                <w:sz w:val="20"/>
                <w:szCs w:val="20"/>
                <w:color w:val="auto"/>
              </w:rPr>
            </w:pPr>
            <w:r>
              <w:rPr>
                <w:rFonts w:ascii="Arial" w:cs="Arial" w:eastAsia="Arial" w:hAnsi="Arial"/>
                <w:sz w:val="14"/>
                <w:szCs w:val="14"/>
                <w:color w:val="auto"/>
              </w:rPr>
              <w:t>Year Ended December 31,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4"/>
                <w:szCs w:val="14"/>
                <w:color w:val="auto"/>
              </w:rPr>
              <w:t>2017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color w:val="auto"/>
              </w:rPr>
              <w:t>2015</w:t>
            </w:r>
          </w:p>
        </w:tc>
        <w:tc>
          <w:tcPr>
            <w:tcW w:w="180" w:type="dxa"/>
            <w:vAlign w:val="bottom"/>
          </w:tcPr>
          <w:p>
            <w:pPr>
              <w:spacing w:after="0"/>
              <w:rPr>
                <w:sz w:val="14"/>
                <w:szCs w:val="14"/>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4"/>
                <w:szCs w:val="14"/>
                <w:color w:val="auto"/>
              </w:rPr>
              <w:t>2014</w:t>
            </w:r>
          </w:p>
        </w:tc>
        <w:tc>
          <w:tcPr>
            <w:tcW w:w="30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340"/>
              <w:spacing w:after="0" w:line="201" w:lineRule="exact"/>
              <w:rPr>
                <w:sz w:val="20"/>
                <w:szCs w:val="20"/>
                <w:color w:val="auto"/>
              </w:rPr>
            </w:pPr>
            <w:r>
              <w:rPr>
                <w:rFonts w:ascii="Arial" w:cs="Arial" w:eastAsia="Arial" w:hAnsi="Arial"/>
                <w:sz w:val="18"/>
                <w:szCs w:val="18"/>
                <w:color w:val="auto"/>
              </w:rPr>
              <w:t>Income from continuing operations before income or loss from</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520"/>
              <w:spacing w:after="0"/>
              <w:rPr>
                <w:sz w:val="20"/>
                <w:szCs w:val="20"/>
                <w:color w:val="auto"/>
              </w:rPr>
            </w:pPr>
            <w:r>
              <w:rPr>
                <w:rFonts w:ascii="Arial" w:cs="Arial" w:eastAsia="Arial" w:hAnsi="Arial"/>
                <w:sz w:val="18"/>
                <w:szCs w:val="18"/>
                <w:color w:val="auto"/>
              </w:rPr>
              <w:t>equity investees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60,234</w:t>
            </w:r>
          </w:p>
        </w:tc>
        <w:tc>
          <w:tcPr>
            <w:tcW w:w="16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$222,807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227,487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$189,317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$165,655</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Distributed income of equity investees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Fixed charges (excluding capitalized interest)</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26,664</w:t>
            </w:r>
          </w:p>
        </w:tc>
        <w:tc>
          <w:tcPr>
            <w:tcW w:w="16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114,041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96,293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112,543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105,137</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118,920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Noncontrolling interests in income of subsidiaries with no fixed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charges</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(1,259)</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(4,952)</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(4,432)</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(4,204)</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(4,691)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earnings (A)</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332,694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319,696</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300,357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268,882</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26,184</w:t>
            </w:r>
          </w:p>
        </w:tc>
        <w:tc>
          <w:tcPr>
            <w:tcW w:w="16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$ 112,398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94,994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2"/>
              </w:rPr>
              <w:t>$ 111,625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$104,486</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$ 118,281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6,092</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25,560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18,022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18,122</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20,971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Portion of rents representing interest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1,299</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918</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651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114,315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130,665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126,108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340"/>
              <w:spacing w:after="0"/>
              <w:rPr>
                <w:sz w:val="20"/>
                <w:szCs w:val="20"/>
                <w:color w:val="auto"/>
              </w:rPr>
            </w:pPr>
            <w:r>
              <w:rPr>
                <w:rFonts w:ascii="Arial" w:cs="Arial" w:eastAsia="Arial" w:hAnsi="Arial"/>
                <w:sz w:val="18"/>
                <w:szCs w:val="18"/>
                <w:color w:val="auto"/>
              </w:rPr>
              <w:t>Preferred stock dividends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redemption costs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fixed charges and preferred stock dividends (C)</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142,059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114,856</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131,206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126,649</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135,642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(A divided by B)</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combined fixed charges and preferred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dividends (A divided by C)</w:t>
            </w: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issued our reports dated February 13, 2018 with respect to the consolidated financial statements and internal control over financial reporting of Federal Realty Investment Trust included in the Annual Report on Form 10-K for the year ended December 31, 2017, which are incorporated by reference in this Registration Statement. We consent to the incorporation by reference of the aforementioned reports in this Registration Statement, and to the use of our name as it appears under the caption “Experts.”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2018</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41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President, Chief Executive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Donald C. Wood</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Officer and Trustee (principal executive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Executive Vice President-Chief Financial Officer and Treasurer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Daniel Guglielmone</w:t>
            </w:r>
          </w:p>
        </w:tc>
        <w:tc>
          <w:tcPr>
            <w:tcW w:w="1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 Vassalluzzo</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Non-Executive 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Joseph S. Vassalluzzo</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E. Bortz</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Jon E. Bortz</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David W. Faeder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Kristin Gamble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Kristin Gamble</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Elizabeth I. Holland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Gail P. Steinel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Warren M. Thompson</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May 7, 2018</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Warren M. Thompson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177" w:lineRule="exact"/>
        <w:rPr>
          <w:sz w:val="20"/>
          <w:szCs w:val="20"/>
          <w:color w:val="auto"/>
        </w:rPr>
      </w:pPr>
    </w:p>
    <w:p>
      <w:pPr>
        <w:ind w:left="460" w:hanging="452"/>
        <w:spacing w:after="0"/>
        <w:tabs>
          <w:tab w:leader="none" w:pos="460" w:val="left"/>
        </w:tabs>
        <w:numPr>
          <w:ilvl w:val="0"/>
          <w:numId w:val="92"/>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19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220" w:type="dxa"/>
            <w:vAlign w:val="bottom"/>
          </w:tcPr>
          <w:p>
            <w:pPr>
              <w:jc w:val="center"/>
              <w:ind w:right="3754"/>
              <w:spacing w:after="0"/>
              <w:rPr>
                <w:sz w:val="20"/>
                <w:szCs w:val="20"/>
                <w:color w:val="auto"/>
              </w:rPr>
            </w:pPr>
            <w:r>
              <w:rPr>
                <w:rFonts w:ascii="Arial" w:cs="Arial" w:eastAsia="Arial" w:hAnsi="Arial"/>
                <w:sz w:val="18"/>
                <w:szCs w:val="18"/>
                <w:b w:val="1"/>
                <w:bCs w:val="1"/>
                <w:color w:val="auto"/>
                <w:w w:val="92"/>
              </w:rPr>
              <w:t>800 Nicollet Mall</w:t>
            </w:r>
          </w:p>
        </w:tc>
        <w:tc>
          <w:tcPr>
            <w:tcW w:w="1060" w:type="dxa"/>
            <w:vAlign w:val="bottom"/>
          </w:tcPr>
          <w:p>
            <w:pPr>
              <w:spacing w:after="0"/>
              <w:rPr>
                <w:sz w:val="18"/>
                <w:szCs w:val="18"/>
                <w:color w:val="auto"/>
              </w:rPr>
            </w:pPr>
          </w:p>
        </w:tc>
      </w:tr>
      <w:tr>
        <w:trPr>
          <w:trHeight w:val="225"/>
        </w:trPr>
        <w:tc>
          <w:tcPr>
            <w:tcW w:w="6220" w:type="dxa"/>
            <w:vAlign w:val="bottom"/>
          </w:tcPr>
          <w:p>
            <w:pPr>
              <w:jc w:val="center"/>
              <w:ind w:right="3754"/>
              <w:spacing w:after="0"/>
              <w:rPr>
                <w:sz w:val="20"/>
                <w:szCs w:val="20"/>
                <w:color w:val="auto"/>
              </w:rPr>
            </w:pPr>
            <w:r>
              <w:rPr>
                <w:rFonts w:ascii="Arial" w:cs="Arial" w:eastAsia="Arial" w:hAnsi="Arial"/>
                <w:sz w:val="18"/>
                <w:szCs w:val="18"/>
                <w:b w:val="1"/>
                <w:bCs w:val="1"/>
                <w:color w:val="auto"/>
                <w:w w:val="91"/>
              </w:rPr>
              <w:t>Minneapolis, Minnesota</w:t>
            </w:r>
          </w:p>
        </w:tc>
        <w:tc>
          <w:tcPr>
            <w:tcW w:w="1060" w:type="dxa"/>
            <w:vAlign w:val="bottom"/>
          </w:tcPr>
          <w:p>
            <w:pPr>
              <w:jc w:val="right"/>
              <w:ind w:right="19"/>
              <w:spacing w:after="0"/>
              <w:rPr>
                <w:sz w:val="20"/>
                <w:szCs w:val="20"/>
                <w:color w:val="auto"/>
              </w:rPr>
            </w:pPr>
            <w:r>
              <w:rPr>
                <w:rFonts w:ascii="Arial" w:cs="Arial" w:eastAsia="Arial" w:hAnsi="Arial"/>
                <w:sz w:val="18"/>
                <w:szCs w:val="18"/>
                <w:b w:val="1"/>
                <w:bCs w:val="1"/>
                <w:color w:val="auto"/>
              </w:rPr>
              <w:t>55402</w:t>
            </w:r>
          </w:p>
        </w:tc>
      </w:tr>
      <w:tr>
        <w:trPr>
          <w:trHeight w:val="186"/>
        </w:trPr>
        <w:tc>
          <w:tcPr>
            <w:tcW w:w="6220" w:type="dxa"/>
            <w:vAlign w:val="bottom"/>
          </w:tcPr>
          <w:p>
            <w:pPr>
              <w:jc w:val="center"/>
              <w:ind w:right="375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60" w:type="dxa"/>
            <w:vAlign w:val="bottom"/>
          </w:tcPr>
          <w:p>
            <w:pPr>
              <w:jc w:val="center"/>
              <w:ind w:left="319"/>
              <w:spacing w:after="0"/>
              <w:rPr>
                <w:sz w:val="20"/>
                <w:szCs w:val="20"/>
                <w:color w:val="auto"/>
              </w:rPr>
            </w:pPr>
            <w:r>
              <w:rPr>
                <w:rFonts w:ascii="Arial" w:cs="Arial" w:eastAsia="Arial" w:hAnsi="Arial"/>
                <w:sz w:val="14"/>
                <w:szCs w:val="14"/>
                <w:b w:val="1"/>
                <w:bCs w:val="1"/>
                <w:color w:val="auto"/>
                <w:w w:val="95"/>
              </w:rPr>
              <w:t>(Zip Code)</w:t>
            </w:r>
          </w:p>
        </w:tc>
      </w:tr>
      <w:tr>
        <w:trPr>
          <w:trHeight w:val="358"/>
        </w:trPr>
        <w:tc>
          <w:tcPr>
            <w:tcW w:w="6220" w:type="dxa"/>
            <w:vAlign w:val="bottom"/>
          </w:tcPr>
          <w:p>
            <w:pPr>
              <w:jc w:val="center"/>
              <w:ind w:left="1714"/>
              <w:spacing w:after="0"/>
              <w:rPr>
                <w:sz w:val="20"/>
                <w:szCs w:val="20"/>
                <w:color w:val="auto"/>
              </w:rPr>
            </w:pPr>
            <w:r>
              <w:rPr>
                <w:rFonts w:ascii="Arial" w:cs="Arial" w:eastAsia="Arial" w:hAnsi="Arial"/>
                <w:sz w:val="18"/>
                <w:szCs w:val="18"/>
                <w:b w:val="1"/>
                <w:bCs w:val="1"/>
                <w:color w:val="auto"/>
                <w:w w:val="92"/>
              </w:rPr>
              <w:t>Lisa L. Moorehead</w:t>
            </w:r>
          </w:p>
        </w:tc>
        <w:tc>
          <w:tcPr>
            <w:tcW w:w="1060" w:type="dxa"/>
            <w:vAlign w:val="bottom"/>
          </w:tcPr>
          <w:p>
            <w:pPr>
              <w:spacing w:after="0"/>
              <w:rPr>
                <w:sz w:val="24"/>
                <w:szCs w:val="24"/>
                <w:color w:val="auto"/>
              </w:rPr>
            </w:pPr>
          </w:p>
        </w:tc>
      </w:tr>
      <w:tr>
        <w:trPr>
          <w:trHeight w:val="216"/>
        </w:trPr>
        <w:tc>
          <w:tcPr>
            <w:tcW w:w="6220" w:type="dxa"/>
            <w:vAlign w:val="bottom"/>
          </w:tcPr>
          <w:p>
            <w:pPr>
              <w:jc w:val="center"/>
              <w:ind w:left="1734"/>
              <w:spacing w:after="0"/>
              <w:rPr>
                <w:sz w:val="20"/>
                <w:szCs w:val="20"/>
                <w:color w:val="auto"/>
              </w:rPr>
            </w:pPr>
            <w:r>
              <w:rPr>
                <w:rFonts w:ascii="Arial" w:cs="Arial" w:eastAsia="Arial" w:hAnsi="Arial"/>
                <w:sz w:val="18"/>
                <w:szCs w:val="18"/>
                <w:b w:val="1"/>
                <w:bCs w:val="1"/>
                <w:color w:val="auto"/>
                <w:w w:val="89"/>
              </w:rPr>
              <w:t>U.S. Bank National Association</w:t>
            </w:r>
          </w:p>
        </w:tc>
        <w:tc>
          <w:tcPr>
            <w:tcW w:w="1060" w:type="dxa"/>
            <w:vAlign w:val="bottom"/>
          </w:tcPr>
          <w:p>
            <w:pPr>
              <w:spacing w:after="0"/>
              <w:rPr>
                <w:sz w:val="18"/>
                <w:szCs w:val="18"/>
                <w:color w:val="auto"/>
              </w:rPr>
            </w:pPr>
          </w:p>
        </w:tc>
      </w:tr>
      <w:tr>
        <w:trPr>
          <w:trHeight w:val="216"/>
        </w:trPr>
        <w:tc>
          <w:tcPr>
            <w:tcW w:w="6220" w:type="dxa"/>
            <w:vAlign w:val="bottom"/>
          </w:tcPr>
          <w:p>
            <w:pPr>
              <w:jc w:val="center"/>
              <w:ind w:left="1734"/>
              <w:spacing w:after="0"/>
              <w:rPr>
                <w:sz w:val="20"/>
                <w:szCs w:val="20"/>
                <w:color w:val="auto"/>
              </w:rPr>
            </w:pPr>
            <w:r>
              <w:rPr>
                <w:rFonts w:ascii="Arial" w:cs="Arial" w:eastAsia="Arial" w:hAnsi="Arial"/>
                <w:sz w:val="18"/>
                <w:szCs w:val="18"/>
                <w:b w:val="1"/>
                <w:bCs w:val="1"/>
                <w:color w:val="auto"/>
                <w:w w:val="91"/>
              </w:rPr>
              <w:t>214 North Tryon Street, Suite 2700</w:t>
            </w:r>
          </w:p>
        </w:tc>
        <w:tc>
          <w:tcPr>
            <w:tcW w:w="1060" w:type="dxa"/>
            <w:vAlign w:val="bottom"/>
          </w:tcPr>
          <w:p>
            <w:pPr>
              <w:spacing w:after="0"/>
              <w:rPr>
                <w:sz w:val="18"/>
                <w:szCs w:val="18"/>
                <w:color w:val="auto"/>
              </w:rPr>
            </w:pPr>
          </w:p>
        </w:tc>
      </w:tr>
      <w:tr>
        <w:trPr>
          <w:trHeight w:val="216"/>
        </w:trPr>
        <w:tc>
          <w:tcPr>
            <w:tcW w:w="6220" w:type="dxa"/>
            <w:vAlign w:val="bottom"/>
          </w:tcPr>
          <w:p>
            <w:pPr>
              <w:jc w:val="center"/>
              <w:ind w:left="1714"/>
              <w:spacing w:after="0"/>
              <w:rPr>
                <w:sz w:val="20"/>
                <w:szCs w:val="20"/>
                <w:color w:val="auto"/>
              </w:rPr>
            </w:pPr>
            <w:r>
              <w:rPr>
                <w:rFonts w:ascii="Arial" w:cs="Arial" w:eastAsia="Arial" w:hAnsi="Arial"/>
                <w:sz w:val="18"/>
                <w:szCs w:val="18"/>
                <w:b w:val="1"/>
                <w:bCs w:val="1"/>
                <w:color w:val="auto"/>
                <w:w w:val="92"/>
              </w:rPr>
              <w:t>Charlotte, NC 28202</w:t>
            </w:r>
          </w:p>
        </w:tc>
        <w:tc>
          <w:tcPr>
            <w:tcW w:w="1060" w:type="dxa"/>
            <w:vAlign w:val="bottom"/>
          </w:tcPr>
          <w:p>
            <w:pPr>
              <w:spacing w:after="0"/>
              <w:rPr>
                <w:sz w:val="18"/>
                <w:szCs w:val="18"/>
                <w:color w:val="auto"/>
              </w:rPr>
            </w:pPr>
          </w:p>
        </w:tc>
      </w:tr>
      <w:tr>
        <w:trPr>
          <w:trHeight w:val="212"/>
        </w:trPr>
        <w:tc>
          <w:tcPr>
            <w:tcW w:w="6220" w:type="dxa"/>
            <w:vAlign w:val="bottom"/>
          </w:tcPr>
          <w:p>
            <w:pPr>
              <w:jc w:val="center"/>
              <w:ind w:left="1714"/>
              <w:spacing w:after="0"/>
              <w:rPr>
                <w:sz w:val="20"/>
                <w:szCs w:val="20"/>
                <w:color w:val="auto"/>
              </w:rPr>
            </w:pPr>
            <w:r>
              <w:rPr>
                <w:rFonts w:ascii="Arial" w:cs="Arial" w:eastAsia="Arial" w:hAnsi="Arial"/>
                <w:sz w:val="18"/>
                <w:szCs w:val="18"/>
                <w:b w:val="1"/>
                <w:bCs w:val="1"/>
                <w:color w:val="auto"/>
                <w:w w:val="88"/>
              </w:rPr>
              <w:t>704.335.4597</w:t>
            </w:r>
          </w:p>
        </w:tc>
        <w:tc>
          <w:tcPr>
            <w:tcW w:w="1060" w:type="dxa"/>
            <w:vAlign w:val="bottom"/>
          </w:tcPr>
          <w:p>
            <w:pPr>
              <w:spacing w:after="0"/>
              <w:rPr>
                <w:sz w:val="18"/>
                <w:szCs w:val="18"/>
                <w:color w:val="auto"/>
              </w:rPr>
            </w:pPr>
          </w:p>
        </w:tc>
      </w:tr>
      <w:tr>
        <w:trPr>
          <w:trHeight w:val="186"/>
        </w:trPr>
        <w:tc>
          <w:tcPr>
            <w:tcW w:w="6220" w:type="dxa"/>
            <w:vAlign w:val="bottom"/>
          </w:tcPr>
          <w:p>
            <w:pPr>
              <w:jc w:val="center"/>
              <w:ind w:left="1714"/>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10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205105</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5020" w:type="dxa"/>
            <w:vAlign w:val="bottom"/>
            <w:gridSpan w:val="3"/>
          </w:tcPr>
          <w:p>
            <w:pPr>
              <w:jc w:val="center"/>
              <w:ind w:right="1908"/>
              <w:spacing w:after="0"/>
              <w:rPr>
                <w:sz w:val="20"/>
                <w:szCs w:val="20"/>
                <w:color w:val="auto"/>
              </w:rPr>
            </w:pPr>
            <w:r>
              <w:rPr>
                <w:rFonts w:ascii="Arial" w:cs="Arial" w:eastAsia="Arial" w:hAnsi="Arial"/>
                <w:sz w:val="18"/>
                <w:szCs w:val="18"/>
                <w:b w:val="1"/>
                <w:bCs w:val="1"/>
                <w:color w:val="auto"/>
                <w:w w:val="88"/>
              </w:rPr>
              <w:t>(Issuer with respect to the Securities)</w:t>
            </w:r>
          </w:p>
        </w:tc>
      </w:tr>
      <w:tr>
        <w:trPr>
          <w:trHeight w:val="304"/>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43"/>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2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rPr>
              <w:t>52-0782497</w:t>
            </w:r>
          </w:p>
        </w:tc>
      </w:tr>
      <w:tr>
        <w:trPr>
          <w:trHeight w:val="149"/>
        </w:trPr>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1626 East Jeffereson Street</w:t>
            </w:r>
          </w:p>
        </w:tc>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25"/>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3"/>
              </w:rPr>
              <w:t>Rockville, Maryland</w:t>
            </w:r>
          </w:p>
        </w:tc>
        <w:tc>
          <w:tcPr>
            <w:tcW w:w="5020" w:type="dxa"/>
            <w:vAlign w:val="bottom"/>
            <w:gridSpan w:val="3"/>
          </w:tcPr>
          <w:p>
            <w:pPr>
              <w:jc w:val="right"/>
              <w:ind w:right="268"/>
              <w:spacing w:after="0"/>
              <w:rPr>
                <w:sz w:val="20"/>
                <w:szCs w:val="20"/>
                <w:color w:val="auto"/>
              </w:rPr>
            </w:pPr>
            <w:r>
              <w:rPr>
                <w:rFonts w:ascii="Arial" w:cs="Arial" w:eastAsia="Arial" w:hAnsi="Arial"/>
                <w:sz w:val="18"/>
                <w:szCs w:val="18"/>
                <w:b w:val="1"/>
                <w:bCs w:val="1"/>
                <w:color w:val="auto"/>
              </w:rPr>
              <w:t>20852</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89"/>
              </w:rPr>
              <w:t>Shelf Registration</w:t>
            </w:r>
          </w:p>
        </w:tc>
      </w:tr>
      <w:tr>
        <w:trPr>
          <w:trHeight w:val="186"/>
        </w:trPr>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4"/>
                <w:szCs w:val="14"/>
                <w:b w:val="1"/>
                <w:bCs w:val="1"/>
                <w:color w:val="auto"/>
                <w:w w:val="94"/>
              </w:rPr>
              <w:t>(Title of the Indenture Securities)</w:t>
            </w:r>
          </w:p>
        </w:tc>
      </w:tr>
    </w:tbl>
    <w:p>
      <w:pPr>
        <w:sectPr>
          <w:pgSz w:w="11900" w:h="16838" w:orient="portrait"/>
          <w:cols w:equalWidth="0" w:num="1">
            <w:col w:w="11420"/>
          </w:cols>
          <w:pgMar w:left="240" w:top="121"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37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1480" w:hanging="567"/>
        <w:spacing w:after="0"/>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right="5640" w:hanging="1027"/>
        <w:spacing w:after="0" w:line="402" w:lineRule="auto"/>
        <w:tabs>
          <w:tab w:leader="none" w:pos="1472"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380" w:hanging="1363"/>
        <w:spacing w:after="0" w:line="277" w:lineRule="auto"/>
        <w:tabs>
          <w:tab w:leader="none" w:pos="13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31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1480" w:hanging="567"/>
        <w:spacing w:after="0"/>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1480" w:right="760" w:hanging="567"/>
        <w:spacing w:after="0" w:line="277"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Report of Condition of the Trustee as of December 31, 2017 published pursuant to law or the requirements of its supervising or examining authority, attached as Exhibit 7.</w:t>
      </w:r>
    </w:p>
    <w:p>
      <w:pPr>
        <w:spacing w:after="0" w:line="75" w:lineRule="exact"/>
        <w:rPr>
          <w:rFonts w:ascii="Arial" w:cs="Arial" w:eastAsia="Arial" w:hAnsi="Arial"/>
          <w:sz w:val="18"/>
          <w:szCs w:val="18"/>
          <w:color w:val="auto"/>
        </w:rPr>
      </w:pPr>
    </w:p>
    <w:p>
      <w:pPr>
        <w:ind w:left="460" w:right="980" w:hanging="446"/>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Incorporated by reference to Exhibit 25.1 to registration statement on form S-3ASR, Registration Number 333-199863 filed on November 5, 2014.</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Charlotte, North Carolina on the 7</w:t>
      </w:r>
      <w:r>
        <w:rPr>
          <w:rFonts w:ascii="Arial" w:cs="Arial" w:eastAsia="Arial" w:hAnsi="Arial"/>
          <w:sz w:val="14"/>
          <w:szCs w:val="14"/>
          <w:color w:val="auto"/>
        </w:rPr>
        <w:t>th</w:t>
      </w:r>
      <w:r>
        <w:rPr>
          <w:rFonts w:ascii="Arial" w:cs="Arial" w:eastAsia="Arial" w:hAnsi="Arial"/>
          <w:sz w:val="17"/>
          <w:szCs w:val="17"/>
          <w:color w:val="auto"/>
        </w:rPr>
        <w:t xml:space="preserve"> of May,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Lisa L.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Lisa L. Moorehead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Asst. 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003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0" w:lineRule="exact"/>
        <w:rPr>
          <w:sz w:val="20"/>
          <w:szCs w:val="20"/>
          <w:color w:val="auto"/>
        </w:rPr>
      </w:pPr>
    </w:p>
    <w:p>
      <w:pPr>
        <w:spacing w:after="0" w:line="25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right="300" w:firstLine="8"/>
        <w:spacing w:after="0" w:line="277" w:lineRule="auto"/>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97" w:lineRule="exact"/>
        <w:rPr>
          <w:sz w:val="20"/>
          <w:szCs w:val="20"/>
          <w:color w:val="auto"/>
        </w:rPr>
      </w:pPr>
    </w:p>
    <w:p>
      <w:pPr>
        <w:ind w:left="6060" w:right="180"/>
        <w:spacing w:after="0" w:line="259" w:lineRule="auto"/>
        <w:rPr>
          <w:sz w:val="20"/>
          <w:szCs w:val="20"/>
          <w:color w:val="auto"/>
        </w:rPr>
      </w:pPr>
      <w:r>
        <w:rPr>
          <w:rFonts w:ascii="Arial" w:cs="Arial" w:eastAsia="Arial" w:hAnsi="Arial"/>
          <w:sz w:val="18"/>
          <w:szCs w:val="18"/>
          <w:color w:val="auto"/>
        </w:rPr>
        <w:t>IN TESTIMONY WHEREOF, today, January 23, 2018,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252220" cy="127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1252220" cy="127762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-8890</wp:posOffset>
            </wp:positionV>
            <wp:extent cx="1294765" cy="7543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12947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0" w:lineRule="exact"/>
        <w:rPr>
          <w:sz w:val="20"/>
          <w:szCs w:val="20"/>
          <w:color w:val="auto"/>
        </w:rPr>
      </w:pPr>
    </w:p>
    <w:p>
      <w:pPr>
        <w:spacing w:after="0" w:line="25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Otting, Comptroller of the Currency, do hereby certify that:</w:t>
      </w:r>
    </w:p>
    <w:p>
      <w:pPr>
        <w:spacing w:after="0" w:line="225" w:lineRule="exact"/>
        <w:rPr>
          <w:sz w:val="20"/>
          <w:szCs w:val="20"/>
          <w:color w:val="auto"/>
        </w:rPr>
      </w:pPr>
    </w:p>
    <w:p>
      <w:pPr>
        <w:ind w:right="280" w:firstLine="8"/>
        <w:spacing w:after="0" w:line="308" w:lineRule="auto"/>
        <w:tabs>
          <w:tab w:leader="none" w:pos="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right="60" w:firstLine="8"/>
        <w:spacing w:after="0" w:line="264" w:lineRule="auto"/>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208" w:lineRule="exact"/>
        <w:rPr>
          <w:sz w:val="20"/>
          <w:szCs w:val="20"/>
          <w:color w:val="auto"/>
        </w:rPr>
      </w:pPr>
    </w:p>
    <w:p>
      <w:pPr>
        <w:ind w:left="6060" w:right="180"/>
        <w:spacing w:after="0" w:line="259" w:lineRule="auto"/>
        <w:rPr>
          <w:sz w:val="20"/>
          <w:szCs w:val="20"/>
          <w:color w:val="auto"/>
        </w:rPr>
      </w:pPr>
      <w:r>
        <w:rPr>
          <w:rFonts w:ascii="Arial" w:cs="Arial" w:eastAsia="Arial" w:hAnsi="Arial"/>
          <w:sz w:val="18"/>
          <w:szCs w:val="18"/>
          <w:color w:val="auto"/>
        </w:rPr>
        <w:t>IN TESTIMONY WHEREOF, today, January 23, 2018, I have hereunto subscribed my name and caused my seal of office to be affixed to these presents at the U.S. Department of the Treasury, in the City of Washington,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252220" cy="127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1252220" cy="127762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-8890</wp:posOffset>
            </wp:positionV>
            <wp:extent cx="1294765" cy="7543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12947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May 7,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Lisa L.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Lisa L. Moorehead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Asst. Vice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0" w:right="2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100" w:type="dxa"/>
            <w:vAlign w:val="bottom"/>
            <w:gridSpan w:val="3"/>
          </w:tcPr>
          <w:p>
            <w:pPr>
              <w:jc w:val="center"/>
              <w:ind w:right="431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6140" w:type="dxa"/>
            <w:vAlign w:val="bottom"/>
            <w:gridSpan w:val="4"/>
          </w:tcPr>
          <w:p>
            <w:pPr>
              <w:jc w:val="center"/>
              <w:ind w:right="325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40" w:type="dxa"/>
            <w:vAlign w:val="bottom"/>
            <w:gridSpan w:val="4"/>
          </w:tcPr>
          <w:p>
            <w:pPr>
              <w:jc w:val="center"/>
              <w:ind w:right="325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6140" w:type="dxa"/>
            <w:vAlign w:val="bottom"/>
            <w:gridSpan w:val="4"/>
          </w:tcPr>
          <w:p>
            <w:pPr>
              <w:jc w:val="center"/>
              <w:ind w:right="3270"/>
              <w:spacing w:after="0"/>
              <w:rPr>
                <w:sz w:val="20"/>
                <w:szCs w:val="20"/>
                <w:color w:val="auto"/>
              </w:rPr>
            </w:pPr>
            <w:r>
              <w:rPr>
                <w:rFonts w:ascii="Arial" w:cs="Arial" w:eastAsia="Arial" w:hAnsi="Arial"/>
                <w:sz w:val="18"/>
                <w:szCs w:val="18"/>
                <w:b w:val="1"/>
                <w:bCs w:val="1"/>
                <w:color w:val="auto"/>
                <w:w w:val="89"/>
              </w:rPr>
              <w:t>As of 12/31/2017</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00" w:type="dxa"/>
            <w:vAlign w:val="bottom"/>
            <w:gridSpan w:val="3"/>
          </w:tcPr>
          <w:p>
            <w:pPr>
              <w:jc w:val="center"/>
              <w:ind w:right="429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4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3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12/31/2017</w:t>
            </w:r>
          </w:p>
        </w:tc>
        <w:tc>
          <w:tcPr>
            <w:tcW w:w="6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61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19,469,911</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111,520,538</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69,009</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279,502,730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4,583,971</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12,895,144</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27,984,526</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60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456,025,829</w:t>
            </w: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6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357,200,076</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926,018</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Demand Notes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1,102,222</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31,004,180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3,300,000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14,979,001</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60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408,511,497</w:t>
            </w: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14,266,915</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32,432,873</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796,344</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60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47,514,332</w:t>
            </w:r>
          </w:p>
        </w:tc>
      </w:tr>
      <w:tr>
        <w:trPr>
          <w:trHeight w:val="324"/>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456,025,829</w:t>
            </w: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lowerLetter"/>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lvl w:ilvl="1">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lvl w:ilvl="1">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lowerLetter"/>
      <w:start w:val="1"/>
    </w:lvl>
  </w:abstractNum>
  <w:abstractNum w:abstractNumId="25">
    <w:nsid w:val="61574095"/>
    <w:multiLevelType w:val="hybridMultilevel"/>
    <w:lvl w:ilvl="0">
      <w:lvlJc w:val="left"/>
      <w:lvlText w:val="%1."/>
      <w:numFmt w:val="decimal"/>
      <w:start w:val="5"/>
    </w:lvl>
  </w:abstractNum>
  <w:abstractNum w:abstractNumId="26">
    <w:nsid w:val="7E0C57B1"/>
    <w:multiLevelType w:val="hybridMultilevel"/>
    <w:lvl w:ilvl="0">
      <w:lvlJc w:val="left"/>
      <w:lvlText w:val="(%1)"/>
      <w:numFmt w:val="lowerLetter"/>
      <w:start w:val="1"/>
    </w:lvl>
  </w:abstractNum>
  <w:abstractNum w:abstractNumId="27">
    <w:nsid w:val="77AE35EB"/>
    <w:multiLevelType w:val="hybridMultilevel"/>
    <w:lvl w:ilvl="0">
      <w:lvlJc w:val="left"/>
      <w:lvlText w:val="(%1)"/>
      <w:numFmt w:val="lowerLetter"/>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lvl w:ilvl="1">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lvl w:ilvl="1">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lvl w:ilvl="1">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lvl w:ilvl="1">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emdash "/>
      <w:numFmt w:val="bullet"/>
      <w:start w:val="1"/>
    </w:lvl>
  </w:abstractNum>
  <w:abstractNum w:abstractNumId="67">
    <w:nsid w:val="1A27709E"/>
    <w:multiLevelType w:val="hybridMultilevel"/>
    <w:lvl w:ilvl="0">
      <w:lvlJc w:val="left"/>
      <w:lvlText w:val="•"/>
      <w:numFmt w:val="bullet"/>
      <w:start w:val="1"/>
    </w:lvl>
    <w:lvl w:ilvl="1">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lowerRoman"/>
      <w:start w:val="2"/>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1)"/>
      <w:numFmt w:val="lowerRoman"/>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1)"/>
      <w:numFmt w:val="decimal"/>
      <w:start w:val="2"/>
    </w:lvl>
  </w:abstractNum>
  <w:abstractNum w:abstractNumId="76">
    <w:nsid w:val="4C04A8AF"/>
    <w:multiLevelType w:val="hybridMultilevel"/>
    <w:lvl w:ilvl="0">
      <w:lvlJc w:val="left"/>
      <w:lvlText w:val="(%1)"/>
      <w:numFmt w:val="decimal"/>
      <w:start w:val="4"/>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1">
    <w:nsid w:val="68EBC550"/>
    <w:multiLevelType w:val="hybridMultilevel"/>
    <w:lvl w:ilvl="0">
      <w:lvlJc w:val="left"/>
      <w:lvlText w:val="(%1)"/>
      <w:numFmt w:val="decimal"/>
      <w:start w:val="2"/>
    </w:lvl>
    <w:lvl w:ilvl="1">
      <w:lvlJc w:val="left"/>
      <w:lvlText w:val="(%2)"/>
      <w:numFmt w:val="lowerRoman"/>
      <w:start w:val="1"/>
    </w:lvl>
  </w:abstractNum>
  <w:abstractNum w:abstractNumId="82">
    <w:nsid w:val="2DF6D648"/>
    <w:multiLevelType w:val="hybridMultilevel"/>
    <w:lvl w:ilvl="0">
      <w:lvlJc w:val="left"/>
      <w:lvlText w:val="%1"/>
      <w:numFmt w:val="decimal"/>
      <w:start w:val="1"/>
    </w:lvl>
    <w:lvl w:ilvl="1">
      <w:lvlJc w:val="left"/>
      <w:lvlText w:val="(%2)"/>
      <w:numFmt w:val="lowerRoman"/>
      <w:start w:val="2"/>
    </w:lvl>
  </w:abstractNum>
  <w:abstractNum w:abstractNumId="83">
    <w:nsid w:val="46B7D447"/>
    <w:multiLevelType w:val="hybridMultilevel"/>
    <w:lvl w:ilvl="0">
      <w:lvlJc w:val="left"/>
      <w:lvlText w:val="(%1)"/>
      <w:numFmt w:val="decimal"/>
      <w:start w:val="5"/>
    </w:lvl>
    <w:lvl w:ilvl="1">
      <w:lvlJc w:val="left"/>
      <w:lvlText w:val="%2"/>
      <w:numFmt w:val="lowerRoman"/>
      <w:start w:val="1"/>
    </w:lvl>
  </w:abstractNum>
  <w:abstractNum w:abstractNumId="84">
    <w:nsid w:val="4A2AC315"/>
    <w:multiLevelType w:val="hybridMultilevel"/>
    <w:lvl w:ilvl="0">
      <w:lvlJc w:val="left"/>
      <w:lvlText w:val="%1"/>
      <w:numFmt w:val="lowerLetter"/>
      <w:start w:val="1"/>
    </w:lvl>
    <w:lvl w:ilvl="1">
      <w:lvlJc w:val="left"/>
      <w:lvlText w:val="(%2)"/>
      <w:numFmt w:val="lowerRoman"/>
      <w:start w:val="1"/>
    </w:lvl>
  </w:abstractNum>
  <w:abstractNum w:abstractNumId="85">
    <w:nsid w:val="39EE015C"/>
    <w:multiLevelType w:val="hybridMultilevel"/>
    <w:lvl w:ilvl="0">
      <w:lvlJc w:val="left"/>
      <w:lvlText w:val="(%1)"/>
      <w:numFmt w:val="lowerLetter"/>
      <w:start w:val="2"/>
    </w:lvl>
    <w:lvl w:ilvl="1">
      <w:lvlJc w:val="left"/>
      <w:lvlText w:val="%2"/>
      <w:numFmt w:val="lowerRoman"/>
      <w:start w:val="1"/>
    </w:lvl>
  </w:abstractNum>
  <w:abstractNum w:abstractNumId="86">
    <w:nsid w:val="57FC4FBB"/>
    <w:multiLevelType w:val="hybridMultilevel"/>
    <w:lvl w:ilvl="0">
      <w:lvlJc w:val="left"/>
      <w:lvlText w:val="(%1)"/>
      <w:numFmt w:val="lowerLetter"/>
      <w:start w:val="5"/>
    </w:lvl>
  </w:abstractNum>
  <w:abstractNum w:abstractNumId="87">
    <w:nsid w:val="CC1016F"/>
    <w:multiLevelType w:val="hybridMultilevel"/>
    <w:lvl w:ilvl="0">
      <w:lvlJc w:val="left"/>
      <w:lvlText w:val="(%1)"/>
      <w:numFmt w:val="lowerLetter"/>
      <w:start w:val="2"/>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3"/>
    </w:lvl>
  </w:abstractNum>
  <w:abstractNum w:abstractNumId="90">
    <w:nsid w:val="26F324BA"/>
    <w:multiLevelType w:val="hybridMultilevel"/>
    <w:lvl w:ilvl="0">
      <w:lvlJc w:val="left"/>
      <w:lvlText w:val="(%1)"/>
      <w:numFmt w:val="decimal"/>
      <w:start w:val="3"/>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lowerLetter"/>
      <w:start w:val="2"/>
    </w:lvl>
  </w:abstractNum>
  <w:abstractNum w:abstractNumId="94">
    <w:nsid w:val="5FB8370B"/>
    <w:multiLevelType w:val="hybridMultilevel"/>
    <w:lvl w:ilvl="0">
      <w:lvlJc w:val="left"/>
      <w:lvlText w:val="*"/>
      <w:numFmt w:val="bullet"/>
      <w:start w:val="1"/>
    </w:lvl>
    <w:lvl w:ilvl="1">
      <w:lvlJc w:val="left"/>
      <w:lvlText w:val="%2."/>
      <w:numFmt w:val="decimal"/>
      <w:start w:val="1"/>
    </w:lvl>
  </w:abstractNum>
  <w:abstractNum w:abstractNumId="95">
    <w:nsid w:val="50801EE1"/>
    <w:multiLevelType w:val="hybridMultilevel"/>
    <w:lvl w:ilvl="0">
      <w:lvlJc w:val="left"/>
      <w:lvlText w:val="**"/>
      <w:numFmt w:val="bullet"/>
      <w:start w:val="1"/>
    </w:lvl>
    <w:lvl w:ilvl="1">
      <w:lvlJc w:val="left"/>
      <w:lvlText w:val="%2"/>
      <w:numFmt w:val="decimal"/>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jpeg"/><Relationship Id="rId118" Type="http://schemas.openxmlformats.org/officeDocument/2006/relationships/image" Target="media/image103.jpe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jpeg"/><Relationship Id="rId123" Type="http://schemas.openxmlformats.org/officeDocument/2006/relationships/image" Target="media/image108.jpe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83" Type="http://schemas.openxmlformats.org/officeDocument/2006/relationships/hyperlink" Target="http://www.sec.gov/Archives/edgar/data/34903/000119312509131764/dex31.htm" TargetMode="External"/><Relationship Id="rId84" Type="http://schemas.openxmlformats.org/officeDocument/2006/relationships/hyperlink" Target="http://www.sec.gov/Archives/edgar/data/34903/000003490317000008/frt-12312016xex32.htm" TargetMode="External"/><Relationship Id="rId85" Type="http://schemas.openxmlformats.org/officeDocument/2006/relationships/hyperlink" Target="http://www.sec.gov/Archives/edgar/data/34903/000095010900001048/0000950109-00-001048.txt" TargetMode="External"/><Relationship Id="rId86" Type="http://schemas.openxmlformats.org/officeDocument/2006/relationships/hyperlink" Target="http://www.sec.gov/Archives/edgar/data/34903/000119312507053506/dex41.htm" TargetMode="External"/><Relationship Id="rId87" Type="http://schemas.openxmlformats.org/officeDocument/2006/relationships/hyperlink" Target="http://www.sec.gov/Archives/edgar/data/34903/0000950109-98-004542.txt" TargetMode="External"/><Relationship Id="rId88" Type="http://schemas.openxmlformats.org/officeDocument/2006/relationships/hyperlink" Target="http://www.sec.gov/Archives/edgar/data/34903/000119312517299279/d453589dex32.htm" TargetMode="External"/><Relationship Id="rId89" Type="http://schemas.openxmlformats.org/officeDocument/2006/relationships/hyperlink" Target="http://www.sec.gov/Archives/edgar/data/34903/000119312517299279/d453589dex41.htm" TargetMode="External"/><Relationship Id="rId90" Type="http://schemas.openxmlformats.org/officeDocument/2006/relationships/hyperlink" Target="http://www.sec.gov/Archives/edgar/data/34903/000119312517299279/d453589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2019-12-05T05:30:35Z</dcterms:created>
  <dcterms:modified xsi:type="dcterms:W3CDTF">2019-12-05T05:30:35Z</dcterms:modified>
</cp:coreProperties>
</file>