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February 09, 2022</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OP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0"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Maryland (Federal Realty Investment Trust)</w:t>
            </w:r>
          </w:p>
        </w:tc>
        <w:tc>
          <w:tcPr>
            <w:tcW w:w="1700" w:type="dxa"/>
            <w:vAlign w:val="bottom"/>
          </w:tcPr>
          <w:p>
            <w:pPr>
              <w:jc w:val="right"/>
              <w:ind w:right="444"/>
              <w:spacing w:after="0"/>
              <w:rPr>
                <w:sz w:val="20"/>
                <w:szCs w:val="20"/>
                <w:color w:val="auto"/>
              </w:rPr>
            </w:pPr>
            <w:r>
              <w:rPr>
                <w:rFonts w:ascii="Arial" w:cs="Arial" w:eastAsia="Arial" w:hAnsi="Arial"/>
                <w:sz w:val="17"/>
                <w:szCs w:val="17"/>
                <w:b w:val="1"/>
                <w:bCs w:val="1"/>
                <w:color w:val="auto"/>
              </w:rPr>
              <w:t>1-07533</w:t>
            </w:r>
          </w:p>
        </w:tc>
        <w:tc>
          <w:tcPr>
            <w:tcW w:w="1340" w:type="dxa"/>
            <w:vAlign w:val="bottom"/>
          </w:tcPr>
          <w:p>
            <w:pPr>
              <w:spacing w:after="0"/>
              <w:rPr>
                <w:sz w:val="18"/>
                <w:szCs w:val="18"/>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87-3916363</w:t>
            </w:r>
          </w:p>
        </w:tc>
      </w:tr>
      <w:tr>
        <w:trPr>
          <w:trHeight w:val="220"/>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Delaware (Federal Realty OP LP)</w:t>
            </w:r>
          </w:p>
        </w:tc>
        <w:tc>
          <w:tcPr>
            <w:tcW w:w="1700" w:type="dxa"/>
            <w:vAlign w:val="bottom"/>
          </w:tcPr>
          <w:p>
            <w:pPr>
              <w:jc w:val="right"/>
              <w:ind w:right="184"/>
              <w:spacing w:after="0"/>
              <w:rPr>
                <w:sz w:val="20"/>
                <w:szCs w:val="20"/>
                <w:color w:val="auto"/>
              </w:rPr>
            </w:pPr>
            <w:r>
              <w:rPr>
                <w:rFonts w:ascii="Arial" w:cs="Arial" w:eastAsia="Arial" w:hAnsi="Arial"/>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52-0782497</w:t>
            </w:r>
          </w:p>
        </w:tc>
      </w:tr>
      <w:tr>
        <w:trPr>
          <w:trHeight w:val="126"/>
        </w:trPr>
        <w:tc>
          <w:tcPr>
            <w:tcW w:w="4240" w:type="dxa"/>
            <w:vAlign w:val="bottom"/>
          </w:tcPr>
          <w:p>
            <w:pPr>
              <w:jc w:val="center"/>
              <w:ind w:right="88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1700" w:type="dxa"/>
            <w:vAlign w:val="bottom"/>
          </w:tcPr>
          <w:p>
            <w:pPr>
              <w:ind w:left="560"/>
              <w:spacing w:after="0" w:line="126" w:lineRule="exact"/>
              <w:rPr>
                <w:sz w:val="20"/>
                <w:szCs w:val="20"/>
                <w:color w:val="auto"/>
              </w:rPr>
            </w:pPr>
            <w:r>
              <w:rPr>
                <w:rFonts w:ascii="Arial" w:cs="Arial" w:eastAsia="Arial" w:hAnsi="Arial"/>
                <w:sz w:val="13"/>
                <w:szCs w:val="13"/>
                <w:b w:val="1"/>
                <w:bCs w:val="1"/>
                <w:color w:val="auto"/>
              </w:rPr>
              <w:t>(Commission</w:t>
            </w:r>
          </w:p>
        </w:tc>
        <w:tc>
          <w:tcPr>
            <w:tcW w:w="1340" w:type="dxa"/>
            <w:vAlign w:val="bottom"/>
          </w:tcPr>
          <w:p>
            <w:pPr>
              <w:spacing w:after="0"/>
              <w:rPr>
                <w:sz w:val="10"/>
                <w:szCs w:val="10"/>
                <w:color w:val="auto"/>
              </w:rPr>
            </w:pPr>
          </w:p>
        </w:tc>
        <w:tc>
          <w:tcPr>
            <w:tcW w:w="1900" w:type="dxa"/>
            <w:vAlign w:val="bottom"/>
          </w:tcPr>
          <w:p>
            <w:pPr>
              <w:jc w:val="center"/>
              <w:ind w:left="8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240" w:type="dxa"/>
            <w:vAlign w:val="bottom"/>
          </w:tcPr>
          <w:p>
            <w:pPr>
              <w:jc w:val="center"/>
              <w:ind w:right="884"/>
              <w:spacing w:after="0"/>
              <w:rPr>
                <w:sz w:val="20"/>
                <w:szCs w:val="20"/>
                <w:color w:val="auto"/>
              </w:rPr>
            </w:pPr>
            <w:r>
              <w:rPr>
                <w:rFonts w:ascii="Arial" w:cs="Arial" w:eastAsia="Arial" w:hAnsi="Arial"/>
                <w:sz w:val="13"/>
                <w:szCs w:val="13"/>
                <w:b w:val="1"/>
                <w:bCs w:val="1"/>
                <w:color w:val="auto"/>
                <w:w w:val="88"/>
              </w:rPr>
              <w:t>of incorporation)</w:t>
            </w:r>
          </w:p>
        </w:tc>
        <w:tc>
          <w:tcPr>
            <w:tcW w:w="1700" w:type="dxa"/>
            <w:vAlign w:val="bottom"/>
          </w:tcPr>
          <w:p>
            <w:pPr>
              <w:ind w:left="540"/>
              <w:spacing w:after="0"/>
              <w:rPr>
                <w:sz w:val="20"/>
                <w:szCs w:val="20"/>
                <w:color w:val="auto"/>
              </w:rPr>
            </w:pPr>
            <w:r>
              <w:rPr>
                <w:rFonts w:ascii="Arial" w:cs="Arial" w:eastAsia="Arial" w:hAnsi="Arial"/>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424"/>
        </w:trPr>
        <w:tc>
          <w:tcPr>
            <w:tcW w:w="4240" w:type="dxa"/>
            <w:vAlign w:val="bottom"/>
          </w:tcPr>
          <w:p>
            <w:pPr>
              <w:ind w:left="2140"/>
              <w:spacing w:after="0"/>
              <w:rPr>
                <w:sz w:val="20"/>
                <w:szCs w:val="20"/>
                <w:color w:val="auto"/>
              </w:rPr>
            </w:pPr>
            <w:r>
              <w:rPr>
                <w:rFonts w:ascii="Arial" w:cs="Arial" w:eastAsia="Arial" w:hAnsi="Arial"/>
                <w:sz w:val="16"/>
                <w:szCs w:val="16"/>
                <w:b w:val="1"/>
                <w:bCs w:val="1"/>
                <w:color w:val="auto"/>
                <w:w w:val="98"/>
              </w:rPr>
              <w:t>909 Rose Avenue, Suite 200</w:t>
            </w:r>
          </w:p>
        </w:tc>
        <w:tc>
          <w:tcPr>
            <w:tcW w:w="1700" w:type="dxa"/>
            <w:vAlign w:val="bottom"/>
          </w:tcPr>
          <w:p>
            <w:pPr>
              <w:ind w:left="200"/>
              <w:spacing w:after="0"/>
              <w:rPr>
                <w:sz w:val="20"/>
                <w:szCs w:val="20"/>
                <w:color w:val="auto"/>
              </w:rPr>
            </w:pPr>
            <w:r>
              <w:rPr>
                <w:rFonts w:ascii="Arial" w:cs="Arial" w:eastAsia="Arial" w:hAnsi="Arial"/>
                <w:sz w:val="16"/>
                <w:szCs w:val="16"/>
                <w:b w:val="1"/>
                <w:bCs w:val="1"/>
                <w:color w:val="auto"/>
              </w:rPr>
              <w:t>North Bethesda,</w:t>
            </w: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Maryland</w:t>
            </w:r>
          </w:p>
        </w:tc>
        <w:tc>
          <w:tcPr>
            <w:tcW w:w="1900" w:type="dxa"/>
            <w:vAlign w:val="bottom"/>
          </w:tcPr>
          <w:p>
            <w:pPr>
              <w:jc w:val="right"/>
              <w:ind w:right="724"/>
              <w:spacing w:after="0"/>
              <w:rPr>
                <w:sz w:val="20"/>
                <w:szCs w:val="20"/>
                <w:color w:val="auto"/>
              </w:rPr>
            </w:pPr>
            <w:r>
              <w:rPr>
                <w:rFonts w:ascii="Arial" w:cs="Arial" w:eastAsia="Arial" w:hAnsi="Arial"/>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Arial" w:cs="Arial" w:eastAsia="Arial" w:hAnsi="Arial"/>
                <w:sz w:val="16"/>
                <w:szCs w:val="16"/>
                <w:b w:val="1"/>
                <w:bCs w:val="1"/>
                <w:color w:val="auto"/>
                <w:w w:val="94"/>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Arial" w:cs="Arial" w:eastAsia="Arial" w:hAnsi="Arial"/>
                <w:sz w:val="16"/>
                <w:szCs w:val="16"/>
                <w:b w:val="1"/>
                <w:bCs w:val="1"/>
                <w:color w:val="auto"/>
                <w:w w:val="96"/>
              </w:rPr>
              <w:t>(Zip Code)</w:t>
            </w:r>
          </w:p>
        </w:tc>
      </w:tr>
    </w:tbl>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301/998-8100</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2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89"/>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4480" w:type="dxa"/>
            <w:vAlign w:val="bottom"/>
            <w:gridSpan w:val="3"/>
          </w:tcPr>
          <w:p>
            <w:pPr>
              <w:jc w:val="center"/>
              <w:ind w:left="99"/>
              <w:spacing w:after="0" w:line="171"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92"/>
              </w:rPr>
              <w:t>Rights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89"/>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91"/>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7020" w:type="dxa"/>
            <w:vAlign w:val="bottom"/>
            <w:gridSpan w:val="6"/>
          </w:tcPr>
          <w:p>
            <w:pPr>
              <w:jc w:val="center"/>
              <w:ind w:right="2380"/>
              <w:spacing w:after="0" w:line="171"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88"/>
              </w:rPr>
              <w:t>value per share</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1"/>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212" w:lineRule="exact"/>
        <w:rPr>
          <w:sz w:val="24"/>
          <w:szCs w:val="24"/>
          <w:color w:val="auto"/>
        </w:rPr>
      </w:pPr>
    </w:p>
    <w:p>
      <w:pPr>
        <w:ind w:left="20" w:right="60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ind w:left="20"/>
        <w:spacing w:after="0" w:line="184" w:lineRule="exact"/>
        <w:tabs>
          <w:tab w:leader="none" w:pos="3740" w:val="left"/>
        </w:tabs>
        <w:rPr>
          <w:sz w:val="20"/>
          <w:szCs w:val="20"/>
          <w:color w:val="auto"/>
        </w:rPr>
      </w:pPr>
      <w:r>
        <w:rPr>
          <w:rFonts w:ascii="Arial" w:cs="Arial" w:eastAsia="Arial" w:hAnsi="Arial"/>
          <w:sz w:val="16"/>
          <w:szCs w:val="16"/>
          <w:color w:val="auto"/>
        </w:rPr>
        <w:t xml:space="preserve">Federal Realty Investment Trust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20" w:right="100"/>
        <w:spacing w:after="0"/>
        <w:rPr>
          <w:sz w:val="20"/>
          <w:szCs w:val="20"/>
          <w:color w:val="auto"/>
        </w:rPr>
      </w:pPr>
      <w:r>
        <w:rPr>
          <w:rFonts w:ascii="Arial" w:cs="Arial" w:eastAsia="Arial" w:hAnsi="Arial"/>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ind w:left="20"/>
        <w:spacing w:after="0" w:line="184" w:lineRule="exact"/>
        <w:tabs>
          <w:tab w:leader="none" w:pos="2980" w:val="left"/>
        </w:tabs>
        <w:rPr>
          <w:sz w:val="20"/>
          <w:szCs w:val="20"/>
          <w:color w:val="auto"/>
        </w:rPr>
      </w:pPr>
      <w:r>
        <w:rPr>
          <w:rFonts w:ascii="Arial" w:cs="Arial" w:eastAsia="Arial" w:hAnsi="Arial"/>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 xml:space="preserve">Item 5.02. </w:t>
      </w:r>
      <w:r>
        <w:rPr>
          <w:rFonts w:ascii="Arial" w:cs="Arial" w:eastAsia="Arial" w:hAnsi="Arial"/>
          <w:sz w:val="19"/>
          <w:szCs w:val="19"/>
          <w:b w:val="1"/>
          <w:bCs w:val="1"/>
          <w:color w:val="auto"/>
        </w:rPr>
        <w:t>Departure of Directors or Principal Officers; Election of Directors; Appointment of Principal Officers.</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February 9, 2022, the Compensation Committee of the Board of Trustees of Federal Realty Investment Trust (“Company”) approved the following modified compensation arrangements for the Company’s named executive officers: (a) base salaries of $1 million for Donald C. Wood, Chief Executive Officer, $650,000 for Jeffrey S. Berkes, President and Chief Operating Officer and $575,000 for each of Daniel Guglielmone, Executive Vice President-Chief Financial Officer and Treasurer and Dawn M. Becker, Executive Vice President-General Counsel and Secretary; (b) annual bonus targets of 100% of base salary for each of Mr. Guglielmone and Ms. Becker; (c) annual targets under our long-term incentive award program of $6,000,000 for Mr. Wood and $1 million for each of Mr. Guglielmone and Ms. Becker; and (d) one-time cash bonuses for each of Mr. Berkes, Mr. Guglielmone and Ms. Becker of $75,000.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ind w:right="460"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38"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FEDERAL REALTY INVESTMENT TRUST</w:t>
      </w:r>
    </w:p>
    <w:p>
      <w:pPr>
        <w:spacing w:after="0" w:line="26"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FEDERAL REALTY OP LP</w:t>
      </w:r>
    </w:p>
    <w:p>
      <w:pPr>
        <w:spacing w:after="0" w:line="276"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February 11, 2022</w:t>
      </w:r>
      <w:r>
        <w:rPr>
          <w:sz w:val="20"/>
          <w:szCs w:val="20"/>
          <w:color w:val="auto"/>
        </w:rPr>
        <w:tab/>
      </w:r>
      <w:r>
        <w:rPr>
          <w:rFonts w:ascii="Arial" w:cs="Arial" w:eastAsia="Arial" w:hAnsi="Arial"/>
          <w:sz w:val="18"/>
          <w:szCs w:val="18"/>
          <w:u w:val="single" w:color="auto"/>
          <w:color w:val="auto"/>
        </w:rPr>
        <w:t>/s/ Dawn M. Becker</w:t>
      </w:r>
    </w:p>
    <w:p>
      <w:pPr>
        <w:spacing w:after="0" w:line="283"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Dawn M. Becker</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Executive Vice President-General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80" w:type="dxa"/>
            <w:vAlign w:val="bottom"/>
          </w:tcPr>
          <w:p>
            <w:pPr>
              <w:ind w:left="2980"/>
              <w:spacing w:after="0"/>
              <w:rPr>
                <w:sz w:val="20"/>
                <w:szCs w:val="20"/>
                <w:color w:val="auto"/>
              </w:rPr>
            </w:pPr>
            <w:r>
              <w:rPr>
                <w:rFonts w:ascii="Arial" w:cs="Arial" w:eastAsia="Arial" w:hAnsi="Arial"/>
                <w:sz w:val="22"/>
                <w:szCs w:val="22"/>
                <w:color w:val="auto"/>
              </w:rPr>
              <w:t>EXHIBIT INDEX</w:t>
            </w:r>
          </w:p>
        </w:tc>
      </w:tr>
      <w:tr>
        <w:trPr>
          <w:trHeight w:val="557"/>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Cover Page Interactive Data File (the Cover Page Interactive Data File is embedded within the Inline XBRL document)</w:t>
            </w:r>
          </w:p>
        </w:tc>
      </w:tr>
    </w:tbl>
    <w:p>
      <w:pPr>
        <w:spacing w:after="0" w:line="1" w:lineRule="exact"/>
        <w:rPr>
          <w:sz w:val="20"/>
          <w:szCs w:val="20"/>
          <w:color w:val="auto"/>
        </w:rPr>
      </w:pPr>
    </w:p>
    <w:sectPr>
      <w:pgSz w:w="11900" w:h="16838" w:orient="portrait"/>
      <w:cols w:equalWidth="0" w:num="1">
        <w:col w:w="11180"/>
      </w:cols>
      <w:pgMar w:left="360" w:top="9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2022-02-12T02:28:46Z</dcterms:created>
  <dcterms:modified xsi:type="dcterms:W3CDTF">2022-02-12T02:28:46Z</dcterms:modified>
</cp:coreProperties>
</file>