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As filed with the Securities and Exchange Commission on November 4, 2014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REGISTRATION STATEMENT</w:t>
      </w:r>
    </w:p>
    <w:p>
      <w:pPr>
        <w:jc w:val="center"/>
        <w:ind w:right="-5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52-0782497</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ind w:left="22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ind w:left="264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Jeffrey B. Grill, Esq.</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Eric M. Green, Esq.</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2300 N Street, N.W.</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20037</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From time to time following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ectPr>
          <w:pgSz w:w="11900" w:h="16838" w:orient="portrait"/>
          <w:cols w:equalWidth="0" w:num="1">
            <w:col w:w="10880"/>
          </w:cols>
          <w:pgMar w:left="240" w:top="230" w:right="7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26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440" w:firstLine="456"/>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16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60" w:type="dxa"/>
            <w:vAlign w:val="bottom"/>
            <w:gridSpan w:val="2"/>
          </w:tcPr>
          <w:p>
            <w:pPr>
              <w:spacing w:after="0"/>
              <w:rPr>
                <w:sz w:val="20"/>
                <w:szCs w:val="20"/>
                <w:color w:val="auto"/>
              </w:rPr>
            </w:pPr>
            <w:r>
              <w:rPr>
                <w:rFonts w:ascii="Arial" w:cs="Arial" w:eastAsia="Arial" w:hAnsi="Arial"/>
                <w:sz w:val="18"/>
                <w:szCs w:val="18"/>
                <w:color w:val="auto"/>
                <w:w w:val="92"/>
              </w:rPr>
              <w:t>Large accelerated filer</w:t>
            </w:r>
          </w:p>
        </w:tc>
        <w:tc>
          <w:tcPr>
            <w:tcW w:w="23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gridSpan w:val="2"/>
          </w:tcPr>
          <w:p>
            <w:pPr>
              <w:ind w:left="600"/>
              <w:spacing w:after="0"/>
              <w:rPr>
                <w:sz w:val="20"/>
                <w:szCs w:val="20"/>
                <w:color w:val="auto"/>
              </w:rPr>
            </w:pPr>
            <w:r>
              <w:rPr>
                <w:rFonts w:ascii="Arial" w:cs="Arial" w:eastAsia="Arial" w:hAnsi="Arial"/>
                <w:sz w:val="18"/>
                <w:szCs w:val="18"/>
                <w:color w:val="auto"/>
                <w:w w:val="96"/>
              </w:rPr>
              <w:t>Accelerated filer</w:t>
            </w:r>
          </w:p>
        </w:tc>
        <w:tc>
          <w:tcPr>
            <w:tcW w:w="1100" w:type="dxa"/>
            <w:vAlign w:val="bottom"/>
          </w:tcPr>
          <w:p>
            <w:pPr>
              <w:spacing w:after="0"/>
              <w:rPr>
                <w:sz w:val="24"/>
                <w:szCs w:val="24"/>
                <w:color w:val="auto"/>
              </w:rPr>
            </w:pP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color w:val="auto"/>
                <w:w w:val="98"/>
              </w:rPr>
              <w:t>Non-accelerated filer</w:t>
            </w:r>
          </w:p>
        </w:tc>
        <w:tc>
          <w:tcPr>
            <w:tcW w:w="5240" w:type="dxa"/>
            <w:vAlign w:val="bottom"/>
            <w:gridSpan w:val="5"/>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6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80" w:type="dxa"/>
            <w:vAlign w:val="bottom"/>
            <w:gridSpan w:val="5"/>
          </w:tcPr>
          <w:p>
            <w:pPr>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65"/>
              <w:spacing w:after="0" w:line="116" w:lineRule="exact"/>
              <w:rPr>
                <w:sz w:val="20"/>
                <w:szCs w:val="20"/>
                <w:color w:val="auto"/>
              </w:rPr>
            </w:pPr>
            <w:r>
              <w:rPr>
                <w:rFonts w:ascii="Arial" w:cs="Arial" w:eastAsia="Arial" w:hAnsi="Arial"/>
                <w:sz w:val="13"/>
                <w:szCs w:val="13"/>
                <w:b w:val="1"/>
                <w:bCs w:val="1"/>
                <w:color w:val="auto"/>
                <w:w w:val="96"/>
              </w:rPr>
              <w:t>Proposed</w:t>
            </w:r>
          </w:p>
        </w:tc>
        <w:tc>
          <w:tcPr>
            <w:tcW w:w="1600" w:type="dxa"/>
            <w:vAlign w:val="bottom"/>
            <w:tcBorders>
              <w:right w:val="single" w:sz="8" w:color="auto"/>
            </w:tcBorders>
          </w:tcPr>
          <w:p>
            <w:pPr>
              <w:jc w:val="center"/>
              <w:ind w:left="21"/>
              <w:spacing w:after="0" w:line="116" w:lineRule="exact"/>
              <w:rPr>
                <w:sz w:val="20"/>
                <w:szCs w:val="20"/>
                <w:color w:val="auto"/>
              </w:rPr>
            </w:pPr>
            <w:r>
              <w:rPr>
                <w:rFonts w:ascii="Arial" w:cs="Arial" w:eastAsia="Arial" w:hAnsi="Arial"/>
                <w:sz w:val="13"/>
                <w:szCs w:val="13"/>
                <w:b w:val="1"/>
                <w:bCs w:val="1"/>
                <w:color w:val="auto"/>
                <w:w w:val="96"/>
              </w:rPr>
              <w:t>Proposed</w:t>
            </w: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320" w:type="dxa"/>
            <w:vAlign w:val="bottom"/>
            <w:vMerge w:val="restart"/>
          </w:tcPr>
          <w:p>
            <w:pPr>
              <w:jc w:val="center"/>
              <w:ind w:right="519"/>
              <w:spacing w:after="0"/>
              <w:rPr>
                <w:sz w:val="20"/>
                <w:szCs w:val="20"/>
                <w:color w:val="auto"/>
              </w:rPr>
            </w:pPr>
            <w:r>
              <w:rPr>
                <w:rFonts w:ascii="Arial" w:cs="Arial" w:eastAsia="Arial" w:hAnsi="Arial"/>
                <w:sz w:val="14"/>
                <w:szCs w:val="14"/>
                <w:b w:val="1"/>
                <w:bCs w:val="1"/>
                <w:color w:val="auto"/>
                <w:w w:val="93"/>
              </w:rPr>
              <w:t>Title of Each Class of</w:t>
            </w:r>
          </w:p>
        </w:tc>
        <w:tc>
          <w:tcPr>
            <w:tcW w:w="5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5"/>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1"/>
              <w:spacing w:after="0" w:line="149" w:lineRule="exact"/>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1"/>
              <w:spacing w:after="0" w:line="149" w:lineRule="exact"/>
              <w:rPr>
                <w:sz w:val="20"/>
                <w:szCs w:val="20"/>
                <w:color w:val="auto"/>
              </w:rPr>
            </w:pPr>
            <w:r>
              <w:rPr>
                <w:rFonts w:ascii="Arial" w:cs="Arial" w:eastAsia="Arial" w:hAnsi="Arial"/>
                <w:sz w:val="14"/>
                <w:szCs w:val="14"/>
                <w:b w:val="1"/>
                <w:bCs w:val="1"/>
                <w:color w:val="auto"/>
                <w:w w:val="92"/>
              </w:rPr>
              <w:t>Aggregate</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jc w:val="center"/>
              <w:ind w:right="519"/>
              <w:spacing w:after="0"/>
              <w:rPr>
                <w:sz w:val="20"/>
                <w:szCs w:val="20"/>
                <w:color w:val="auto"/>
              </w:rPr>
            </w:pPr>
            <w:r>
              <w:rPr>
                <w:rFonts w:ascii="Arial" w:cs="Arial" w:eastAsia="Arial" w:hAnsi="Arial"/>
                <w:sz w:val="14"/>
                <w:szCs w:val="14"/>
                <w:b w:val="1"/>
                <w:bCs w:val="1"/>
                <w:color w:val="auto"/>
                <w:w w:val="90"/>
              </w:rPr>
              <w:t>Securities to be Registered</w:t>
            </w:r>
          </w:p>
        </w:tc>
        <w:tc>
          <w:tcPr>
            <w:tcW w:w="54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6"/>
              </w:rPr>
              <w:t>Per Unit (1)</w:t>
            </w:r>
          </w:p>
        </w:tc>
        <w:tc>
          <w:tcPr>
            <w:tcW w:w="16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95"/>
              </w:rPr>
              <w:t>Offering Price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Common Shares of Beneficial Interest, $0.01 par value</w:t>
            </w:r>
          </w:p>
        </w:tc>
        <w:tc>
          <w:tcPr>
            <w:tcW w:w="108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632,033</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65"/>
              <w:spacing w:after="0"/>
              <w:rPr>
                <w:sz w:val="20"/>
                <w:szCs w:val="20"/>
                <w:color w:val="auto"/>
              </w:rPr>
            </w:pPr>
            <w:r>
              <w:rPr>
                <w:rFonts w:ascii="Arial" w:cs="Arial" w:eastAsia="Arial" w:hAnsi="Arial"/>
                <w:sz w:val="18"/>
                <w:szCs w:val="18"/>
                <w:color w:val="auto"/>
                <w:w w:val="89"/>
              </w:rPr>
              <w:t>$131.91</w:t>
            </w:r>
          </w:p>
        </w:tc>
        <w:tc>
          <w:tcPr>
            <w:tcW w:w="160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8"/>
                <w:szCs w:val="18"/>
                <w:color w:val="auto"/>
                <w:w w:val="89"/>
              </w:rPr>
              <w:t>$83,371,474</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$9,688</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300" w:hanging="452"/>
        <w:spacing w:after="0" w:line="27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based upon the average of the high and low prices of the common shares as reported on the New York Stock Exchange on October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55520" cy="909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632,033 Common Shares of Beneficial Interest</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prospectus relates to the offer and sale from time to time by the selling shareholders named in this prospectus or their pledgees of up to 632,033 of our common shares of beneficial interest, par value $0.01 per share, which we refer to as our common shares, comprised of common shares issuable upon redemption of units of (i) Route 35 Shrewsbury Limited Partnership, a New Jersey limited partnership, (ii) Shrewsbury Commons L.P., a Washington limited partnership, (iii) Sea Girt Limited Partnership, a Washington limited partnership, and (iv) 35 West, LLC, a Washington limited liability company, which we refer to collectively as the downREIT entities. In each case, we refer to the applicable units as downREIT units. The common shares offered hereunder will be issued to the selling shareholders or their pledgees (if at all) if and to the extent that such selling shareholders or their pledgees tender downREIT units for redemption and receive common shares as consideration for such redeemed downREIT units. We will not receive any proceeds from the sale of common shares by the selling shareholders or their pledgees.</w:t>
      </w:r>
    </w:p>
    <w:p>
      <w:pPr>
        <w:spacing w:after="0" w:line="17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Effective January 1, 2014, we acquired a controlling interest in The Grove at Shrewsbury, a 187,000 square foot shopping center in Shrewsbury, New Jersey, and Brook 35, a 99,000 square foot shopping center in Sea Girt, New Jersey. Our acquisition of such controlling interest was funded in part by the issuance of the downREIT units.</w:t>
      </w:r>
    </w:p>
    <w:p>
      <w:pPr>
        <w:spacing w:after="0" w:line="181"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Each holder of downREIT units has the right to require the applicable downREIT entity to redeem his, her or its downREIT units beginning on January 1, 2015. At the registrant’s election, the downREIT units tendered for redemption may be redeemed for common shares instead of cash.</w:t>
      </w:r>
    </w:p>
    <w:p>
      <w:pPr>
        <w:spacing w:after="0" w:line="12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are registering the common shares being offered by this prospectus pursuant to contractual obligations under registration rights agreements in order to permit the selling shareholders or their permissible transferees to offer or sell such shares without restriction, in the open market or otherwise. However, the registration of such common shares does not necessarily mean that any of the downREIT units will be tendered for redemption, that any common shares will be issued upon redemption of downREIT units, or that the selling shareholders or their permissible transferees will offer or sell any common shares.</w:t>
      </w:r>
    </w:p>
    <w:p>
      <w:pPr>
        <w:spacing w:after="0" w:line="154"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We will pay all expenses incident to the registration of the common shares offered herein (other than brokerage fees and sales commissions, fees and disbursements of the selling shareholders’ counsel, accountants and other advisors and transfer taxes, if any, relating to the sale or disposition of the offered shares).</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Our common shares are listed on the New York Stock Exchange under the symbol “FRT.” On October 31, 2014, the last reported sales price of our common shares, as reported on the New York Stock Exchange, was $131.80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60" w:firstLine="456"/>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Please read this prospectus and the applicable supplement carefully before you invest. Investing in our common shares involves risks. See “</w:t>
      </w:r>
      <w:hyperlink w:anchor="page6">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2 of our Annual Report on Form 10-K for the fiscal year ended December 31, 2013, and on page 2 of this prospectus, for risks relating to an investment in our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4, 2014</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3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1"/>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0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1"/>
            <w:vMerge w:val="continue"/>
          </w:tcPr>
          <w:p>
            <w:pPr>
              <w:spacing w:after="0"/>
              <w:rPr>
                <w:sz w:val="13"/>
                <w:szCs w:val="13"/>
                <w:color w:val="auto"/>
              </w:rPr>
            </w:pPr>
          </w:p>
        </w:tc>
        <w:tc>
          <w:tcPr>
            <w:tcW w:w="70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20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Forward-Looking Information</w:t>
              </w:r>
            </w:hyperlink>
          </w:p>
        </w:tc>
        <w:tc>
          <w:tcPr>
            <w:tcW w:w="1780" w:type="dxa"/>
            <w:vAlign w:val="bottom"/>
            <w:gridSpan w:val="3"/>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Risk Factors</w:t>
              </w:r>
            </w:hyperlink>
          </w:p>
        </w:tc>
        <w:tc>
          <w:tcPr>
            <w:tcW w:w="3060" w:type="dxa"/>
            <w:vAlign w:val="bottom"/>
            <w:gridSpan w:val="8"/>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398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The Trust</w:t>
              </w:r>
            </w:hyperlink>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Use of Proceeds</w:t>
              </w:r>
            </w:hyperlink>
          </w:p>
        </w:tc>
        <w:tc>
          <w:tcPr>
            <w:tcW w:w="2800" w:type="dxa"/>
            <w:vAlign w:val="bottom"/>
            <w:gridSpan w:val="6"/>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398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Selling Shareholders</w:t>
              </w:r>
            </w:hyperlink>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980" w:type="dxa"/>
            <w:vAlign w:val="bottom"/>
            <w:gridSpan w:val="1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Material Federal Income Tax Considerations</w:t>
              </w:r>
            </w:hyperlink>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5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Plan of Distribution</w:t>
              </w:r>
            </w:hyperlink>
          </w:p>
        </w:tc>
        <w:tc>
          <w:tcPr>
            <w:tcW w:w="1720" w:type="dxa"/>
            <w:vAlign w:val="bottom"/>
            <w:tcBorders>
              <w:top w:val="single" w:sz="8" w:color="0000EE"/>
            </w:tcBorders>
            <w:gridSpan w:val="4"/>
          </w:tcPr>
          <w:p>
            <w:pPr>
              <w:spacing w:after="0"/>
              <w:rPr>
                <w:sz w:val="24"/>
                <w:szCs w:val="24"/>
                <w:color w:val="auto"/>
              </w:rPr>
            </w:pPr>
          </w:p>
        </w:tc>
        <w:tc>
          <w:tcPr>
            <w:tcW w:w="760" w:type="dxa"/>
            <w:vAlign w:val="bottom"/>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Experts</w:t>
              </w:r>
            </w:hyperlink>
          </w:p>
        </w:tc>
        <w:tc>
          <w:tcPr>
            <w:tcW w:w="3420" w:type="dxa"/>
            <w:vAlign w:val="bottom"/>
            <w:gridSpan w:val="10"/>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Legal Matters</w:t>
              </w:r>
            </w:hyperlink>
          </w:p>
        </w:tc>
        <w:tc>
          <w:tcPr>
            <w:tcW w:w="2960" w:type="dxa"/>
            <w:vAlign w:val="bottom"/>
            <w:gridSpan w:val="7"/>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Where You Can Find More Information</w:t>
              </w:r>
            </w:hyperlink>
          </w:p>
        </w:tc>
        <w:tc>
          <w:tcPr>
            <w:tcW w:w="1100" w:type="dxa"/>
            <w:vAlign w:val="bottom"/>
            <w:gridSpan w:val="2"/>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selling shareholders or their pledgees may sell the securities described in this prospectus either separately or in units, in one or more offerings. Our prospectus provides you with a general description of these securities.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6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should read this prospectus together with any additional information you may need to make your investment decision. You should also read and carefully consider the information in the documents we have referred you to in “Where to Find Additional Information” below. Information incorporated by reference after the date of this prospectus may add, update or change information contained in this prospectus. Any information in such subsequent filings that is inconsistent with this prospectus will supersede the information in this prospectus or any earlier prospectus supplement.</w:t>
      </w:r>
    </w:p>
    <w:p>
      <w:pPr>
        <w:spacing w:after="0" w:line="171"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References to “we,” “us” or “our” refer to Federal Realty Investment Trust and its directly or indirectly owned subsidiaries, unless the context otherwise requires. References to the “Trust” refer to Federal Realty Investment Trust. The term “you” refers to a prospective investor.</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prospectus contains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“believes,” “estimates,” “anticipates” and “continues.” The risk factors incorporated by reference in this prospectus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information, or to publicly release the results if we revise any of them.</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risks. Before making an investment decision, please consider the risks described under the caption “Risk Factors” in our Annual Report on Form 10-K for the fiscal year ended December 31, 2013,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Federal Realty Investment Trust is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September 30, 2014, we owned or had a majority interest in community and neighborhood shopping centers and mixed-use properties which are operated as 89 predominantly retail real estate projects comprising approximately 20.1 million square feet. In total, the real estate projects were 95.6% leased and 94.7% occupied at September 30, 2014. A joint venture in which we own a 30% interest owned six retail real estate projects totaling approximately 0.8 million square feet as of September 30, 2014. In total, the joint venture properties in which we own an interest were 83.2% leased and occupied at September 30, 2014. We have paid quarterly dividends to our shareholders continuously since our founding in 1962 and have increased our dividends per common share for 47 consecutive years.</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 is (301) 998-8100. Our website address is www.federalrealty.com. The information contained on our website is not a part of this prospectus and is not incorporated herein by reference.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will not receive any proceeds from the sale of the offered shares by the selling shareholders. We will pay all costs and expenses incident to the registration of the offered shares, other than brokerage fees and sales commissions, fees and disbursements of the selling shareholders’ counsel, accountants and other advisors, and share transfer and other taxes attributable the sale of the offered shares, which will be paid by the selling shareholders. See “Selling Shareholders.”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selling shareholders hold an aggregate of 632,033 downREIT units, which they acquired on January 1, 2014 in exchange for their interests in certain entities owning real properties. We may issue the offered common shares to the selling shareholders or their pledgees in exchange for the downREIT units if and to the extent that the selling shareholders or their pledgees tender their downREIT units for redemption. The common shares offered by this prospectus may be offered from time to time by the selling shareholders named below and by any additional selling shareholders who may be named in a supplement to this prospectus. In addition, the common shares covered by this prospectus may be sold by any permissible transferees or pledgees who receive common shares or downREIT units from the selling shareholders listed below. The following table sets forth the name of each selling shareholder and the number of our common shares that may be offered by each selling shareholder. The selling shareholders may pledge their downREIT units or common shares to secure financing or for other purposes. As a result, pledgees of the selling shareholders may use this registration statement to sell shares pledged to them as collateral in the event the selling shareholder defaults.</w:t>
      </w:r>
    </w:p>
    <w:p>
      <w:pPr>
        <w:spacing w:after="0" w:line="18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None of the selling shareholders has had any position, office or other material relationship with us, or any of our predecessors or affiliates, during the past three years. Since the selling shareholders may sell all, some or none of the common shares covered by this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prospectus, no estimate can be made of the number of common shares that will be sold by the selling shareholders pursuant to this prospectus or that will be owned by the selling shareholders upon completion of the offering. The aggregate number of common shares set forth in the table below (which number assumes the redemption (upon the election of the downREIT holders to tender their downREIT units for redemption and the election of the registrant to acquire all tendered downREIT units in exchange for common shares) of all outstanding downREIT units owned by all of the selling shareholders as of the date hereof) represents less than 1% of the total number of our common shares outstanding as of November 3,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1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Number of</w:t>
            </w:r>
          </w:p>
        </w:tc>
        <w:tc>
          <w:tcPr>
            <w:tcW w:w="22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4"/>
              </w:rPr>
              <w:t>Number of</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1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22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Shareholder</w:t>
            </w:r>
          </w:p>
        </w:tc>
        <w:tc>
          <w:tcPr>
            <w:tcW w:w="21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22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7"/>
              </w:rPr>
              <w:t>Being</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71"/>
        </w:trPr>
        <w:tc>
          <w:tcPr>
            <w:tcW w:w="5620" w:type="dxa"/>
            <w:vAlign w:val="bottom"/>
            <w:gridSpan w:val="2"/>
            <w:vMerge w:val="continue"/>
          </w:tcPr>
          <w:p>
            <w:pPr>
              <w:spacing w:after="0"/>
              <w:rPr>
                <w:sz w:val="14"/>
                <w:szCs w:val="14"/>
                <w:color w:val="auto"/>
              </w:rPr>
            </w:pPr>
          </w:p>
        </w:tc>
        <w:tc>
          <w:tcPr>
            <w:tcW w:w="21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5"/>
              </w:rPr>
              <w:t>Prior to Offering (1)</w:t>
            </w:r>
          </w:p>
        </w:tc>
        <w:tc>
          <w:tcPr>
            <w:tcW w:w="2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5"/>
              </w:rPr>
              <w:t>Offered (2)</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After the Offering (3)</w:t>
            </w:r>
          </w:p>
        </w:tc>
        <w:tc>
          <w:tcPr>
            <w:tcW w:w="0" w:type="dxa"/>
            <w:vAlign w:val="bottom"/>
          </w:tcPr>
          <w:p>
            <w:pPr>
              <w:spacing w:after="0"/>
              <w:rPr>
                <w:sz w:val="1"/>
                <w:szCs w:val="1"/>
                <w:color w:val="auto"/>
              </w:rPr>
            </w:pPr>
          </w:p>
        </w:tc>
      </w:tr>
      <w:tr>
        <w:trPr>
          <w:trHeight w:val="182"/>
        </w:trPr>
        <w:tc>
          <w:tcPr>
            <w:tcW w:w="17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Merritt &amp; Pamela Sher</w:t>
            </w:r>
          </w:p>
        </w:tc>
        <w:tc>
          <w:tcPr>
            <w:tcW w:w="3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Living Trust (Merritt &amp; Pamela Sher,</w:t>
            </w:r>
          </w:p>
        </w:tc>
        <w:tc>
          <w:tcPr>
            <w:tcW w:w="1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Trustees)</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178,885(4)</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Ronald Sher</w:t>
            </w:r>
          </w:p>
        </w:tc>
        <w:tc>
          <w:tcPr>
            <w:tcW w:w="218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tcPr>
          <w:p>
            <w:pPr>
              <w:jc w:val="right"/>
              <w:ind w:right="960"/>
              <w:spacing w:after="0"/>
              <w:rPr>
                <w:sz w:val="20"/>
                <w:szCs w:val="20"/>
                <w:color w:val="auto"/>
              </w:rPr>
            </w:pPr>
            <w:r>
              <w:rPr>
                <w:rFonts w:ascii="Arial" w:cs="Arial" w:eastAsia="Arial" w:hAnsi="Arial"/>
                <w:sz w:val="18"/>
                <w:szCs w:val="18"/>
                <w:color w:val="auto"/>
              </w:rPr>
              <w:t>146,373(5)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Harvey Diamond</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79,223(6)</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Ralph and Eliana Kuhn Family Trust (Ralph Kuhn, Trustee)</w:t>
            </w:r>
          </w:p>
        </w:tc>
        <w:tc>
          <w:tcPr>
            <w:tcW w:w="218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tcPr>
          <w:p>
            <w:pPr>
              <w:jc w:val="right"/>
              <w:ind w:right="960"/>
              <w:spacing w:after="0"/>
              <w:rPr>
                <w:sz w:val="20"/>
                <w:szCs w:val="20"/>
                <w:color w:val="auto"/>
              </w:rPr>
            </w:pPr>
            <w:r>
              <w:rPr>
                <w:rFonts w:ascii="Arial" w:cs="Arial" w:eastAsia="Arial" w:hAnsi="Arial"/>
                <w:sz w:val="18"/>
                <w:szCs w:val="18"/>
                <w:color w:val="auto"/>
              </w:rPr>
              <w:t>79,223(7)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B. Kabat</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48,398(8)</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VT Trust (J. Victor Fandel, Trustee)</w:t>
            </w:r>
          </w:p>
        </w:tc>
        <w:tc>
          <w:tcPr>
            <w:tcW w:w="218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tcPr>
          <w:p>
            <w:pPr>
              <w:jc w:val="right"/>
              <w:ind w:right="960"/>
              <w:spacing w:after="0"/>
              <w:rPr>
                <w:sz w:val="20"/>
                <w:szCs w:val="20"/>
                <w:color w:val="auto"/>
              </w:rPr>
            </w:pPr>
            <w:r>
              <w:rPr>
                <w:rFonts w:ascii="Arial" w:cs="Arial" w:eastAsia="Arial" w:hAnsi="Arial"/>
                <w:sz w:val="18"/>
                <w:szCs w:val="18"/>
                <w:color w:val="auto"/>
              </w:rPr>
              <w:t>13,711(9)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Terranomics</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8,850(10)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Circe Sher</w:t>
            </w:r>
          </w:p>
        </w:tc>
        <w:tc>
          <w:tcPr>
            <w:tcW w:w="218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tcPr>
          <w:p>
            <w:pPr>
              <w:jc w:val="right"/>
              <w:ind w:right="880"/>
              <w:spacing w:after="0"/>
              <w:rPr>
                <w:sz w:val="20"/>
                <w:szCs w:val="20"/>
                <w:color w:val="auto"/>
              </w:rPr>
            </w:pPr>
            <w:r>
              <w:rPr>
                <w:rFonts w:ascii="Arial" w:cs="Arial" w:eastAsia="Arial" w:hAnsi="Arial"/>
                <w:sz w:val="18"/>
                <w:szCs w:val="18"/>
                <w:color w:val="auto"/>
              </w:rPr>
              <w:t>8,060(11)</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Lacey Sher</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8,060(12)</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Justin Sher</w:t>
            </w:r>
          </w:p>
        </w:tc>
        <w:tc>
          <w:tcPr>
            <w:tcW w:w="218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tcPr>
          <w:p>
            <w:pPr>
              <w:jc w:val="right"/>
              <w:ind w:right="880"/>
              <w:spacing w:after="0"/>
              <w:rPr>
                <w:sz w:val="20"/>
                <w:szCs w:val="20"/>
                <w:color w:val="auto"/>
              </w:rPr>
            </w:pPr>
            <w:r>
              <w:rPr>
                <w:rFonts w:ascii="Arial" w:cs="Arial" w:eastAsia="Arial" w:hAnsi="Arial"/>
                <w:sz w:val="18"/>
                <w:szCs w:val="18"/>
                <w:color w:val="auto"/>
              </w:rPr>
              <w:t>8,060(13)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Rebecca Wellington</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6,048(14)</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Rachel Sher</w:t>
            </w:r>
          </w:p>
        </w:tc>
        <w:tc>
          <w:tcPr>
            <w:tcW w:w="218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tcPr>
          <w:p>
            <w:pPr>
              <w:jc w:val="right"/>
              <w:ind w:right="880"/>
              <w:spacing w:after="0"/>
              <w:rPr>
                <w:sz w:val="20"/>
                <w:szCs w:val="20"/>
                <w:color w:val="auto"/>
              </w:rPr>
            </w:pPr>
            <w:r>
              <w:rPr>
                <w:rFonts w:ascii="Arial" w:cs="Arial" w:eastAsia="Arial" w:hAnsi="Arial"/>
                <w:sz w:val="18"/>
                <w:szCs w:val="18"/>
                <w:color w:val="auto"/>
              </w:rPr>
              <w:t>6,048(15)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Nigel Sher</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5,286(16)</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Peter Morse</w:t>
            </w:r>
          </w:p>
        </w:tc>
        <w:tc>
          <w:tcPr>
            <w:tcW w:w="218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tcPr>
          <w:p>
            <w:pPr>
              <w:jc w:val="right"/>
              <w:ind w:right="880"/>
              <w:spacing w:after="0"/>
              <w:rPr>
                <w:sz w:val="20"/>
                <w:szCs w:val="20"/>
                <w:color w:val="auto"/>
              </w:rPr>
            </w:pPr>
            <w:r>
              <w:rPr>
                <w:rFonts w:ascii="Arial" w:cs="Arial" w:eastAsia="Arial" w:hAnsi="Arial"/>
                <w:sz w:val="18"/>
                <w:szCs w:val="18"/>
                <w:color w:val="auto"/>
              </w:rPr>
              <w:t>4,810(17)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A. Bloch</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4,360(18)</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Sandra Williamson</w:t>
            </w:r>
          </w:p>
        </w:tc>
        <w:tc>
          <w:tcPr>
            <w:tcW w:w="218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tcPr>
          <w:p>
            <w:pPr>
              <w:jc w:val="right"/>
              <w:ind w:right="880"/>
              <w:spacing w:after="0"/>
              <w:rPr>
                <w:sz w:val="20"/>
                <w:szCs w:val="20"/>
                <w:color w:val="auto"/>
              </w:rPr>
            </w:pPr>
            <w:r>
              <w:rPr>
                <w:rFonts w:ascii="Arial" w:cs="Arial" w:eastAsia="Arial" w:hAnsi="Arial"/>
                <w:sz w:val="18"/>
                <w:szCs w:val="18"/>
                <w:color w:val="auto"/>
              </w:rPr>
              <w:t>3,749(19)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Castillo</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2,569(20)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Sher GP, Inc.</w:t>
            </w:r>
          </w:p>
        </w:tc>
        <w:tc>
          <w:tcPr>
            <w:tcW w:w="218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tcPr>
          <w:p>
            <w:pPr>
              <w:jc w:val="right"/>
              <w:ind w:right="880"/>
              <w:spacing w:after="0"/>
              <w:rPr>
                <w:sz w:val="20"/>
                <w:szCs w:val="20"/>
                <w:color w:val="auto"/>
              </w:rPr>
            </w:pPr>
            <w:r>
              <w:rPr>
                <w:rFonts w:ascii="Arial" w:cs="Arial" w:eastAsia="Arial" w:hAnsi="Arial"/>
                <w:sz w:val="18"/>
                <w:szCs w:val="18"/>
                <w:color w:val="auto"/>
              </w:rPr>
              <w:t>2,442(21)</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Cori Linn</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2,377(22)</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David Beckerman</w:t>
            </w:r>
          </w:p>
        </w:tc>
        <w:tc>
          <w:tcPr>
            <w:tcW w:w="218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tcPr>
          <w:p>
            <w:pPr>
              <w:jc w:val="right"/>
              <w:ind w:right="880"/>
              <w:spacing w:after="0"/>
              <w:rPr>
                <w:sz w:val="20"/>
                <w:szCs w:val="20"/>
                <w:color w:val="auto"/>
              </w:rPr>
            </w:pPr>
            <w:r>
              <w:rPr>
                <w:rFonts w:ascii="Arial" w:cs="Arial" w:eastAsia="Arial" w:hAnsi="Arial"/>
                <w:sz w:val="18"/>
                <w:szCs w:val="18"/>
                <w:color w:val="auto"/>
              </w:rPr>
              <w:t>2,116(23)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5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 &amp; P Steuart Trust dated 9/13/11 (William &amp; Pamela Steuart,</w:t>
            </w:r>
          </w:p>
        </w:tc>
        <w:tc>
          <w:tcPr>
            <w:tcW w:w="1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Co-Trustees)</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22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1,836(24)</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60" w:type="dxa"/>
            <w:vAlign w:val="bottom"/>
          </w:tcPr>
          <w:p>
            <w:pPr>
              <w:jc w:val="right"/>
              <w:ind w:right="1033"/>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7"/>
              </w:rPr>
              <w:t>Number of</w:t>
            </w:r>
          </w:p>
        </w:tc>
        <w:tc>
          <w:tcPr>
            <w:tcW w:w="218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4"/>
              </w:rPr>
              <w:t>Number of</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Common Shares</w:t>
            </w:r>
          </w:p>
        </w:tc>
        <w:tc>
          <w:tcPr>
            <w:tcW w:w="218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Selling Shareholder</w:t>
            </w:r>
          </w:p>
        </w:tc>
        <w:tc>
          <w:tcPr>
            <w:tcW w:w="3880" w:type="dxa"/>
            <w:vAlign w:val="bottom"/>
            <w:vMerge w:val="restart"/>
          </w:tcPr>
          <w:p>
            <w:pPr>
              <w:spacing w:after="0"/>
              <w:rPr>
                <w:sz w:val="12"/>
                <w:szCs w:val="12"/>
                <w:color w:val="auto"/>
              </w:rPr>
            </w:pPr>
          </w:p>
        </w:tc>
        <w:tc>
          <w:tcPr>
            <w:tcW w:w="21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218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7"/>
              </w:rPr>
              <w:t>Being</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71"/>
        </w:trPr>
        <w:tc>
          <w:tcPr>
            <w:tcW w:w="1780" w:type="dxa"/>
            <w:vAlign w:val="bottom"/>
            <w:vMerge w:val="continue"/>
          </w:tcPr>
          <w:p>
            <w:pPr>
              <w:spacing w:after="0"/>
              <w:rPr>
                <w:sz w:val="14"/>
                <w:szCs w:val="14"/>
                <w:color w:val="auto"/>
              </w:rPr>
            </w:pPr>
          </w:p>
        </w:tc>
        <w:tc>
          <w:tcPr>
            <w:tcW w:w="3880" w:type="dxa"/>
            <w:vAlign w:val="bottom"/>
            <w:vMerge w:val="continue"/>
          </w:tcPr>
          <w:p>
            <w:pPr>
              <w:spacing w:after="0"/>
              <w:rPr>
                <w:sz w:val="14"/>
                <w:szCs w:val="14"/>
                <w:color w:val="auto"/>
              </w:rPr>
            </w:pPr>
          </w:p>
        </w:tc>
        <w:tc>
          <w:tcPr>
            <w:tcW w:w="21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5"/>
              </w:rPr>
              <w:t>Prior to Offering (1)</w:t>
            </w:r>
          </w:p>
        </w:tc>
        <w:tc>
          <w:tcPr>
            <w:tcW w:w="218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5"/>
              </w:rPr>
              <w:t>Offered (2)</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After the Offering (3)</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388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Stephen Palevich</w:t>
            </w:r>
          </w:p>
        </w:tc>
        <w:tc>
          <w:tcPr>
            <w:tcW w:w="38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ind w:left="1160"/>
              <w:spacing w:after="0"/>
              <w:rPr>
                <w:sz w:val="20"/>
                <w:szCs w:val="20"/>
                <w:color w:val="auto"/>
              </w:rPr>
            </w:pPr>
            <w:r>
              <w:rPr>
                <w:rFonts w:ascii="Arial" w:cs="Arial" w:eastAsia="Arial" w:hAnsi="Arial"/>
                <w:sz w:val="15"/>
                <w:szCs w:val="15"/>
                <w:color w:val="auto"/>
                <w:w w:val="71"/>
              </w:rPr>
              <w:t>0</w:t>
            </w:r>
          </w:p>
        </w:tc>
        <w:tc>
          <w:tcPr>
            <w:tcW w:w="920" w:type="dxa"/>
            <w:vAlign w:val="bottom"/>
            <w:vMerge w:val="continue"/>
            <w:shd w:val="clear" w:color="auto" w:fill="CCEEFF"/>
          </w:tcPr>
          <w:p>
            <w:pPr>
              <w:spacing w:after="0"/>
              <w:rPr>
                <w:sz w:val="18"/>
                <w:szCs w:val="18"/>
                <w:color w:val="auto"/>
              </w:rPr>
            </w:pPr>
          </w:p>
        </w:tc>
        <w:tc>
          <w:tcPr>
            <w:tcW w:w="21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1,473(25)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Joseph D. Blum</w:t>
            </w:r>
          </w:p>
        </w:tc>
        <w:tc>
          <w:tcPr>
            <w:tcW w:w="2160" w:type="dxa"/>
            <w:vAlign w:val="bottom"/>
            <w:gridSpan w:val="2"/>
          </w:tcPr>
          <w:p>
            <w:pPr>
              <w:ind w:left="1160"/>
              <w:spacing w:after="0"/>
              <w:rPr>
                <w:sz w:val="20"/>
                <w:szCs w:val="20"/>
                <w:color w:val="auto"/>
              </w:rPr>
            </w:pPr>
            <w:r>
              <w:rPr>
                <w:rFonts w:ascii="Arial" w:cs="Arial" w:eastAsia="Arial" w:hAnsi="Arial"/>
                <w:sz w:val="18"/>
                <w:szCs w:val="18"/>
                <w:color w:val="auto"/>
              </w:rPr>
              <w:t>0</w:t>
            </w:r>
          </w:p>
        </w:tc>
        <w:tc>
          <w:tcPr>
            <w:tcW w:w="2180" w:type="dxa"/>
            <w:vAlign w:val="bottom"/>
            <w:gridSpan w:val="2"/>
          </w:tcPr>
          <w:p>
            <w:pPr>
              <w:jc w:val="right"/>
              <w:ind w:right="860"/>
              <w:spacing w:after="0"/>
              <w:rPr>
                <w:sz w:val="20"/>
                <w:szCs w:val="20"/>
                <w:color w:val="auto"/>
              </w:rPr>
            </w:pPr>
            <w:r>
              <w:rPr>
                <w:rFonts w:ascii="Arial" w:cs="Arial" w:eastAsia="Arial" w:hAnsi="Arial"/>
                <w:sz w:val="18"/>
                <w:szCs w:val="18"/>
                <w:color w:val="auto"/>
              </w:rPr>
              <w:t>864(26)</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Bomar</w:t>
            </w:r>
          </w:p>
        </w:tc>
        <w:tc>
          <w:tcPr>
            <w:tcW w:w="21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0</w:t>
            </w:r>
          </w:p>
        </w:tc>
        <w:tc>
          <w:tcPr>
            <w:tcW w:w="21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864(27)</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Cohen Family Trust (George Cohen, Trustee)</w:t>
            </w:r>
          </w:p>
        </w:tc>
        <w:tc>
          <w:tcPr>
            <w:tcW w:w="2160" w:type="dxa"/>
            <w:vAlign w:val="bottom"/>
            <w:gridSpan w:val="2"/>
          </w:tcPr>
          <w:p>
            <w:pPr>
              <w:ind w:left="1160"/>
              <w:spacing w:after="0"/>
              <w:rPr>
                <w:sz w:val="20"/>
                <w:szCs w:val="20"/>
                <w:color w:val="auto"/>
              </w:rPr>
            </w:pPr>
            <w:r>
              <w:rPr>
                <w:rFonts w:ascii="Arial" w:cs="Arial" w:eastAsia="Arial" w:hAnsi="Arial"/>
                <w:sz w:val="18"/>
                <w:szCs w:val="18"/>
                <w:color w:val="auto"/>
              </w:rPr>
              <w:t>0</w:t>
            </w:r>
          </w:p>
        </w:tc>
        <w:tc>
          <w:tcPr>
            <w:tcW w:w="2180" w:type="dxa"/>
            <w:vAlign w:val="bottom"/>
            <w:gridSpan w:val="2"/>
          </w:tcPr>
          <w:p>
            <w:pPr>
              <w:jc w:val="right"/>
              <w:ind w:right="860"/>
              <w:spacing w:after="0"/>
              <w:rPr>
                <w:sz w:val="20"/>
                <w:szCs w:val="20"/>
                <w:color w:val="auto"/>
              </w:rPr>
            </w:pPr>
            <w:r>
              <w:rPr>
                <w:rFonts w:ascii="Arial" w:cs="Arial" w:eastAsia="Arial" w:hAnsi="Arial"/>
                <w:sz w:val="18"/>
                <w:szCs w:val="18"/>
                <w:color w:val="auto"/>
              </w:rPr>
              <w:t>864(28)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 Culbertson Revocable Trust (B.L. Culbertson, Trustee)</w:t>
            </w:r>
          </w:p>
        </w:tc>
        <w:tc>
          <w:tcPr>
            <w:tcW w:w="21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0</w:t>
            </w:r>
          </w:p>
        </w:tc>
        <w:tc>
          <w:tcPr>
            <w:tcW w:w="21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864(29)</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The Fazekas Living Trust (Thomas Fazekas, Trustee)</w:t>
            </w:r>
          </w:p>
        </w:tc>
        <w:tc>
          <w:tcPr>
            <w:tcW w:w="2160" w:type="dxa"/>
            <w:vAlign w:val="bottom"/>
            <w:gridSpan w:val="2"/>
          </w:tcPr>
          <w:p>
            <w:pPr>
              <w:ind w:left="1160"/>
              <w:spacing w:after="0"/>
              <w:rPr>
                <w:sz w:val="20"/>
                <w:szCs w:val="20"/>
                <w:color w:val="auto"/>
              </w:rPr>
            </w:pPr>
            <w:r>
              <w:rPr>
                <w:rFonts w:ascii="Arial" w:cs="Arial" w:eastAsia="Arial" w:hAnsi="Arial"/>
                <w:sz w:val="18"/>
                <w:szCs w:val="18"/>
                <w:color w:val="auto"/>
              </w:rPr>
              <w:t>0</w:t>
            </w:r>
          </w:p>
        </w:tc>
        <w:tc>
          <w:tcPr>
            <w:tcW w:w="2180" w:type="dxa"/>
            <w:vAlign w:val="bottom"/>
            <w:gridSpan w:val="2"/>
          </w:tcPr>
          <w:p>
            <w:pPr>
              <w:jc w:val="right"/>
              <w:ind w:right="860"/>
              <w:spacing w:after="0"/>
              <w:rPr>
                <w:sz w:val="20"/>
                <w:szCs w:val="20"/>
                <w:color w:val="auto"/>
              </w:rPr>
            </w:pPr>
            <w:r>
              <w:rPr>
                <w:rFonts w:ascii="Arial" w:cs="Arial" w:eastAsia="Arial" w:hAnsi="Arial"/>
                <w:sz w:val="18"/>
                <w:szCs w:val="18"/>
                <w:color w:val="auto"/>
              </w:rPr>
              <w:t>864(30)</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&amp; S.M. Javaras Trust (A.N. Javaras, Trustee)</w:t>
            </w:r>
          </w:p>
        </w:tc>
        <w:tc>
          <w:tcPr>
            <w:tcW w:w="21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0</w:t>
            </w:r>
          </w:p>
        </w:tc>
        <w:tc>
          <w:tcPr>
            <w:tcW w:w="21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864(31)</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L.H. &amp; M.R. Miller Trust (Lindley H. Miller, Trustee)</w:t>
            </w:r>
          </w:p>
        </w:tc>
        <w:tc>
          <w:tcPr>
            <w:tcW w:w="2160" w:type="dxa"/>
            <w:vAlign w:val="bottom"/>
            <w:gridSpan w:val="2"/>
          </w:tcPr>
          <w:p>
            <w:pPr>
              <w:ind w:left="1160"/>
              <w:spacing w:after="0"/>
              <w:rPr>
                <w:sz w:val="20"/>
                <w:szCs w:val="20"/>
                <w:color w:val="auto"/>
              </w:rPr>
            </w:pPr>
            <w:r>
              <w:rPr>
                <w:rFonts w:ascii="Arial" w:cs="Arial" w:eastAsia="Arial" w:hAnsi="Arial"/>
                <w:sz w:val="18"/>
                <w:szCs w:val="18"/>
                <w:color w:val="auto"/>
              </w:rPr>
              <w:t>0</w:t>
            </w:r>
          </w:p>
        </w:tc>
        <w:tc>
          <w:tcPr>
            <w:tcW w:w="2180" w:type="dxa"/>
            <w:vAlign w:val="bottom"/>
            <w:gridSpan w:val="2"/>
          </w:tcPr>
          <w:p>
            <w:pPr>
              <w:jc w:val="right"/>
              <w:ind w:right="860"/>
              <w:spacing w:after="0"/>
              <w:rPr>
                <w:sz w:val="20"/>
                <w:szCs w:val="20"/>
                <w:color w:val="auto"/>
              </w:rPr>
            </w:pPr>
            <w:r>
              <w:rPr>
                <w:rFonts w:ascii="Arial" w:cs="Arial" w:eastAsia="Arial" w:hAnsi="Arial"/>
                <w:sz w:val="18"/>
                <w:szCs w:val="18"/>
                <w:color w:val="auto"/>
              </w:rPr>
              <w:t>864(32)</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Naggar</w:t>
            </w:r>
          </w:p>
        </w:tc>
        <w:tc>
          <w:tcPr>
            <w:tcW w:w="21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0</w:t>
            </w:r>
          </w:p>
        </w:tc>
        <w:tc>
          <w:tcPr>
            <w:tcW w:w="21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864(33)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Bruce C. Spikell Trust, UDT 9/13/10 (Bruce C. Spikell, Trustee)</w:t>
            </w:r>
          </w:p>
        </w:tc>
        <w:tc>
          <w:tcPr>
            <w:tcW w:w="2160" w:type="dxa"/>
            <w:vAlign w:val="bottom"/>
            <w:gridSpan w:val="2"/>
          </w:tcPr>
          <w:p>
            <w:pPr>
              <w:ind w:left="1160"/>
              <w:spacing w:after="0"/>
              <w:rPr>
                <w:sz w:val="20"/>
                <w:szCs w:val="20"/>
                <w:color w:val="auto"/>
              </w:rPr>
            </w:pPr>
            <w:r>
              <w:rPr>
                <w:rFonts w:ascii="Arial" w:cs="Arial" w:eastAsia="Arial" w:hAnsi="Arial"/>
                <w:sz w:val="18"/>
                <w:szCs w:val="18"/>
                <w:color w:val="auto"/>
              </w:rPr>
              <w:t>0</w:t>
            </w:r>
          </w:p>
        </w:tc>
        <w:tc>
          <w:tcPr>
            <w:tcW w:w="2180" w:type="dxa"/>
            <w:vAlign w:val="bottom"/>
            <w:gridSpan w:val="2"/>
          </w:tcPr>
          <w:p>
            <w:pPr>
              <w:jc w:val="right"/>
              <w:ind w:right="860"/>
              <w:spacing w:after="0"/>
              <w:rPr>
                <w:sz w:val="20"/>
                <w:szCs w:val="20"/>
                <w:color w:val="auto"/>
              </w:rPr>
            </w:pPr>
            <w:r>
              <w:rPr>
                <w:rFonts w:ascii="Arial" w:cs="Arial" w:eastAsia="Arial" w:hAnsi="Arial"/>
                <w:sz w:val="18"/>
                <w:szCs w:val="18"/>
                <w:color w:val="auto"/>
              </w:rPr>
              <w:t>864(34)</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L. Seiler</w:t>
            </w:r>
          </w:p>
        </w:tc>
        <w:tc>
          <w:tcPr>
            <w:tcW w:w="21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0</w:t>
            </w:r>
          </w:p>
        </w:tc>
        <w:tc>
          <w:tcPr>
            <w:tcW w:w="21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718(35)</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Seiler Family Revocable Trust</w:t>
            </w:r>
          </w:p>
        </w:tc>
        <w:tc>
          <w:tcPr>
            <w:tcW w:w="2160" w:type="dxa"/>
            <w:vAlign w:val="bottom"/>
            <w:gridSpan w:val="2"/>
          </w:tcPr>
          <w:p>
            <w:pPr>
              <w:ind w:left="1160"/>
              <w:spacing w:after="0"/>
              <w:rPr>
                <w:sz w:val="20"/>
                <w:szCs w:val="20"/>
                <w:color w:val="auto"/>
              </w:rPr>
            </w:pPr>
            <w:r>
              <w:rPr>
                <w:rFonts w:ascii="Arial" w:cs="Arial" w:eastAsia="Arial" w:hAnsi="Arial"/>
                <w:sz w:val="18"/>
                <w:szCs w:val="18"/>
                <w:color w:val="auto"/>
              </w:rPr>
              <w:t>0</w:t>
            </w:r>
          </w:p>
        </w:tc>
        <w:tc>
          <w:tcPr>
            <w:tcW w:w="2180" w:type="dxa"/>
            <w:vAlign w:val="bottom"/>
            <w:gridSpan w:val="2"/>
          </w:tcPr>
          <w:p>
            <w:pPr>
              <w:jc w:val="right"/>
              <w:ind w:right="860"/>
              <w:spacing w:after="0"/>
              <w:rPr>
                <w:sz w:val="20"/>
                <w:szCs w:val="20"/>
                <w:color w:val="auto"/>
              </w:rPr>
            </w:pPr>
            <w:r>
              <w:rPr>
                <w:rFonts w:ascii="Arial" w:cs="Arial" w:eastAsia="Arial" w:hAnsi="Arial"/>
                <w:sz w:val="18"/>
                <w:szCs w:val="18"/>
                <w:color w:val="auto"/>
              </w:rPr>
              <w:t>718(36)</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Offel Trust Agreement (Mignon Offel, Trustee)</w:t>
            </w:r>
          </w:p>
        </w:tc>
        <w:tc>
          <w:tcPr>
            <w:tcW w:w="21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0</w:t>
            </w:r>
          </w:p>
        </w:tc>
        <w:tc>
          <w:tcPr>
            <w:tcW w:w="21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648(37)</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Lynne Bremer</w:t>
            </w:r>
          </w:p>
        </w:tc>
        <w:tc>
          <w:tcPr>
            <w:tcW w:w="2160" w:type="dxa"/>
            <w:vAlign w:val="bottom"/>
            <w:gridSpan w:val="2"/>
          </w:tcPr>
          <w:p>
            <w:pPr>
              <w:ind w:left="1160"/>
              <w:spacing w:after="0"/>
              <w:rPr>
                <w:sz w:val="20"/>
                <w:szCs w:val="20"/>
                <w:color w:val="auto"/>
              </w:rPr>
            </w:pPr>
            <w:r>
              <w:rPr>
                <w:rFonts w:ascii="Arial" w:cs="Arial" w:eastAsia="Arial" w:hAnsi="Arial"/>
                <w:sz w:val="18"/>
                <w:szCs w:val="18"/>
                <w:color w:val="auto"/>
              </w:rPr>
              <w:t>0</w:t>
            </w:r>
          </w:p>
        </w:tc>
        <w:tc>
          <w:tcPr>
            <w:tcW w:w="2180" w:type="dxa"/>
            <w:vAlign w:val="bottom"/>
            <w:gridSpan w:val="2"/>
          </w:tcPr>
          <w:p>
            <w:pPr>
              <w:jc w:val="right"/>
              <w:ind w:right="860"/>
              <w:spacing w:after="0"/>
              <w:rPr>
                <w:sz w:val="20"/>
                <w:szCs w:val="20"/>
                <w:color w:val="auto"/>
              </w:rPr>
            </w:pPr>
            <w:r>
              <w:rPr>
                <w:rFonts w:ascii="Arial" w:cs="Arial" w:eastAsia="Arial" w:hAnsi="Arial"/>
                <w:sz w:val="18"/>
                <w:szCs w:val="18"/>
                <w:color w:val="auto"/>
              </w:rPr>
              <w:t>216(38)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40" w:hanging="452"/>
        <w:spacing w:after="0" w:line="253"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Assuming the redemption (upon the election of the downREIT holders to tender their downREIT units for redemption and the election of the registrant to acquire all tendered downREIT units in exchange for common shares) as of the date hereof of all outstanding downREIT units at redemption price in effect as of the date hereof. The information set forth in this column is partially based on information provided to us by the transfer agent and registrar for the common shares on November 3, 2014 with respect to the common shares held of record by certain of the selling shareholders. The amount of common shares beneficially owned by each selling shareholder is unknown and not reasonably available, and obtaining such information would require unreasonable effort.</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the common shares issuable upon redemption (upon the election of the downREIT holders to tender their downREIT units for redemption and the election of the registrant to acquire all tendered downREIT units in exchange for common shares) as of the date hereof of all outstanding downREIT units at the redemption price in effect as of the date hereof.</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Assuming the sale of all of the common shares being offered under this registration statement.</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92,173 downREIT units of Route 35 Shrewsbury Limited Partnership, (ii) 16,238 downREIT units of Shrewsbury Commons L.P., (iii) 68,238 downREIT units of Sea Girt Limited Partnership and (iv) 2,236 downREIT units of 35 West, LLC.</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65,433 downREIT units of Route 35 Shrewsbury Limited Partnership, (ii) 11,663 downREIT units of Shrewsbury Commons L.P., (iii) 64,309 downREIT units of Sea Girt Limited Partnership and (iv) 4,968 downREIT units of 35 West, LLC.</w:t>
      </w:r>
    </w:p>
    <w:p>
      <w:pPr>
        <w:spacing w:after="0" w:line="1" w:lineRule="exact"/>
        <w:rPr>
          <w:rFonts w:ascii="Arial" w:cs="Arial" w:eastAsia="Arial" w:hAnsi="Arial"/>
          <w:sz w:val="18"/>
          <w:szCs w:val="18"/>
          <w:color w:val="auto"/>
        </w:rPr>
      </w:pPr>
    </w:p>
    <w:p>
      <w:pPr>
        <w:jc w:val="both"/>
        <w:ind w:left="460" w:right="20" w:hanging="452"/>
        <w:spacing w:after="0" w:line="25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79,223 downREIT units of Route 35 Shrewsbury Limited Partnership, (ii) 0 downREIT units of Shrewsbury Commons L.P., (iii) 0 downREIT units of Sea Girt Limited Partnership and (iv) 0 downREIT units of 35 West, LLC.</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hanging="452"/>
        <w:spacing w:after="0" w:line="25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79,223 downREIT units of Route 35 Shrewsbury Limited Partnership, (ii) 0 downREIT units of Shrewsbury Commons L.P., (iii) 0 downREIT units of Sea Girt Limited Partnership and (iv) 0 downREIT units of 35 West, LLC.</w:t>
      </w:r>
    </w:p>
    <w:p>
      <w:pPr>
        <w:jc w:val="both"/>
        <w:ind w:lef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49,398 downREIT units of Route 35 Shrewsbury Limited Partnership, (ii) 0 downREIT units of Shrewsbury Commons L.P., (iii) 0 downREIT units of Sea Girt Limited Partnership and (iv) 0 downREIT units of 35 West, LLC.</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13,711 downREIT units of Route 35 Shrewsbury Limited Partnership, (ii) 0 downREIT units of Shrewsbury Commons L.P., (iii) 0 downREIT units of Sea Girt Limited Partnership and (iv) 0 downREIT units of 35 West, LLC.</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5,653 downREIT units of Route 35 Shrewsbury Limited Partnership, (ii) 239 downREIT units of Shrewsbury Commons L.P., (iii) 1,964 downREIT units of Sea Girt Limited Partnership and (iv) 994 downREIT units of 35 West, LLC.</w:t>
      </w:r>
    </w:p>
    <w:p>
      <w:pPr>
        <w:spacing w:after="0" w:line="1"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0 downREIT units of Route 35 Shrewsbury Limited Partnership, (ii) 897 downREIT units of Shrewsbury Commons L.P., (iii) 3,437 downREIT units of Sea Girt Limited Partnership and (iv) 3,726 downREIT units of 35 West, LLC.</w:t>
      </w:r>
    </w:p>
    <w:p>
      <w:pPr>
        <w:spacing w:after="0" w:line="1"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0 downREIT units of Route 35 Shrewsbury Limited Partnership, (ii) 897 downREIT units of Shrewsbury Commons L.P., (iii) 3,437 downREIT units of Sea Girt Limited Partnership and (iv) 3,726 downREIT units of 35 West, LLC.</w:t>
      </w:r>
    </w:p>
    <w:p>
      <w:pPr>
        <w:spacing w:after="0" w:line="1"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0 downREIT units of Route 35 Shrewsbury Limited Partnership, (ii) 897 downREIT units of Shrewsbury Commons L.P., (iii) 3,437 downREIT units of Sea Girt Limited Partnership and (iv) 3,726 downREIT units of 35 West, LLC.</w:t>
      </w:r>
    </w:p>
    <w:p>
      <w:pPr>
        <w:spacing w:after="0" w:line="1"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0 downREIT units of Route 35 Shrewsbury Limited Partnership, (ii) 359 downREIT units of Shrewsbury Commons L.P., (iii) 4,199 downREIT units of Sea Girt Limited Partnership and (iv) 1,490 downREIT units of 35 West, LLC.</w:t>
      </w:r>
    </w:p>
    <w:p>
      <w:pPr>
        <w:spacing w:after="0" w:line="1"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0 downREIT units of Route 35 Shrewsbury Limited Partnership, (ii) 359 downREIT units of Shrewsbury Commons L.P., (iii) 4,199 downREIT units of Sea Girt Limited Partnership and (iv) 1,490 downREIT units of 35 West, LLC.</w:t>
      </w:r>
    </w:p>
    <w:p>
      <w:pPr>
        <w:spacing w:after="0" w:line="1"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0 downREIT units of Route 35 Shrewsbury Limited Partnership, (ii) 359 downREIT units of Shrewsbury Commons L.P., (iii) 3,437 downREIT units of Sea Girt Limited Partnership and (iv) 1,490 downREIT units of 35 West, LLC.</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1,728 downREIT units of Route 35 Shrewsbury Limited Partnership, (ii) 0 downREIT units of Shrewsbury Commons L.P., (iii) 1,964 downREIT units of Sea Girt Limited Partnership and (iv) 1,118 downREIT units of 35 West, LLC.</w:t>
      </w:r>
    </w:p>
    <w:p>
      <w:pPr>
        <w:spacing w:after="0" w:line="1" w:lineRule="exact"/>
        <w:rPr>
          <w:rFonts w:ascii="Arial" w:cs="Arial" w:eastAsia="Arial" w:hAnsi="Arial"/>
          <w:sz w:val="18"/>
          <w:szCs w:val="18"/>
          <w:color w:val="auto"/>
        </w:rPr>
      </w:pPr>
    </w:p>
    <w:p>
      <w:pPr>
        <w:jc w:val="both"/>
        <w:ind w:left="460" w:right="28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432 downREIT units of Route 35 Shrewsbury Limited Partnership, (ii) 0 downREIT units of Shrewsbury Commons L.P., (iii) 3,928 downREIT units of Sea Girt Limited Partnership and (iv) 0 downREIT units of 35 West, LLC.</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hanging="452"/>
        <w:spacing w:after="0" w:line="25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432 downREIT units of Route 35 Shrewsbury Limited Partnership, (ii) 359 downREIT units of Shrewsbury Commons L.P., (iii) 1,964 downREIT units of Sea Girt Limited Partnership and (iv) 994 downREIT units of 35 West, LLC.</w:t>
      </w: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2,569 downREIT units of Route 35 Shrewsbury Limited Partnership, (ii) 0 downREIT units of Shrewsbury Commons L.P., (iii) 0 downREIT units of Sea Girt Limited Partnership and (iv) 0 downREIT units of 35 West, LLC.</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0 downREIT units of Route 35 Shrewsbury Limited Partnership, (ii) 478 downREIT units of Shrewsbury Commons L.P., (iii) 1,964 downREIT units of Sea Girt Limited Partnership and (iv) 0 downREIT units of 35 West, LLC.</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2,377 downREIT units of Route 35 Shrewsbury Limited Partnership, (ii) 0 downREIT units of Shrewsbury Commons L.P., (iii) 0 downREIT units of Sea Girt Limited Partnership and (iv) 0 downREIT units of 35 West, LLC.</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0 downREIT units of Route 35 Shrewsbury Limited Partnership, (ii) 269 downREIT units of Shrewsbury Commons L.P., (iii) 1,847 downREIT units of Sea Girt Limited Partnership and (iv) 0 downREIT units of 35 West, LLC.</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1,836 downREIT units of Route 35 Shrewsbury Limited Partnership, (ii) 0 downREIT units of Shrewsbury Commons L.P., (iii) 0 downREIT units of Sea Girt Limited Partnership and (iv) 0 downREIT units of 35 West, LLC.</w:t>
      </w:r>
    </w:p>
    <w:p>
      <w:pPr>
        <w:spacing w:after="0" w:line="1"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0 downREIT units of Route 35 Shrewsbury Limited Partnership, (ii) 0 downREIT units of Shrewsbury Commons L.P., (iii) 1,473 downREIT units of Sea Girt Limited Partnership and (iv) 0 downREIT units of 35 West, LLC.</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864 downREIT units of Route 35 Shrewsbury Limited Partnership, (ii) 0 downREIT units of Shrewsbury Commons L.P., (iii) 0 downREIT units of Sea Girt Limited Partnership and (iv) 0 downREIT units of 35 West, LLC.</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864 downREIT units of Route 35 Shrewsbury Limited Partnership, (ii) 0 downREIT units of Shrewsbury Commons L.P., (iii) 0 downREIT units of Sea Girt Limited Partnership and (iv) 0 downREIT units of 35 West, LLC.</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864 downREIT units of Route 35 Shrewsbury Limited Partnership, (ii) 0 downREIT units of Shrewsbury Commons L.P., (iii) 0 downREIT units of Sea Girt Limited Partnership and (iv) 0 downREIT units of 35 West, LLC.</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864 downREIT units of Route 35 Shrewsbury Limited Partnership, (ii) 0 downREIT units of Shrewsbury Commons L.P., (iii) 0 downREIT units of Sea Girt Limited Partnership and (iv) 0 downREIT units of 35 West, LLC.</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864 downREIT units of Route 35 Shrewsbury Limited Partnership, (ii) 0 downREIT units of Shrewsbury Commons L.P., (iii) 0 downREIT units of Sea Girt Limited Partnership and (iv) 0 downREIT units of 35 West, LLC.</w:t>
      </w:r>
    </w:p>
    <w:p>
      <w:pPr>
        <w:spacing w:after="0" w:line="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864 downREIT units of Route 35 Shrewsbury Limited Partnership, (ii) 0 downREIT units of Shrewsbury Commons L.P., (iii) 0 downREIT units of Sea Girt Limited Partnership and (iv) 0 downREIT units of 35 West, LLC.</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864 downREIT units of Route 35 Shrewsbury Limited Partnership, (ii) 0 downREIT units of Shrewsbury Commons L.P., (iii) 0 downREIT units of Sea Girt Limited Partnership and (iv) 0 downREIT units of 35 West, LLC.</w:t>
      </w: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864 downREIT units of Route 35 Shrewsbury Limited Partnership, (ii) 0 downREIT units of Shrewsbury Commons L.P., (iii) 0 downREIT units of Sea Girt Limited Partnership and (iv) 0 downREIT units of 35 West, LLC.</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864 downREIT units of Route 35 Shrewsbury Limited Partnership, (ii) 0 downREIT units of Shrewsbury Commons L.P., (iii) 0 downREIT units of Sea Girt Limited Partnership and (iv) 0 downREIT units of 35 West, LLC.</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0 downREIT units of Route 35 Shrewsbury Limited Partnership, (ii) 718 downREIT units of Shrewsbury Commons L.P., (iii) 0 downREIT units of Sea Girt Limited Partnership and (iv) 0 downREIT units of 35 West, LLC.</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0 downREIT units of Route 35 Shrewsbury Limited Partnership, (ii) 718 downREIT units of Shrewsbury Commons L.P., (iii) 0 downREIT units of Sea Girt Limited Partnership and (iv) 0 downREIT units of 35 West, LLC.</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648 downREIT units of Route 35 Shrewsbury Limited Partnership, (ii) 0 downREIT units of Shrewsbury Commons L.P., (iii) 0 downREIT units of Sea Girt Limited Partnership and (iv) 0 downREIT units of 35 West, LLC.</w:t>
      </w:r>
    </w:p>
    <w:p>
      <w:pPr>
        <w:spacing w:after="0" w:line="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216 downREIT units of Route 35 Shrewsbury Limited Partnership, (ii) 0 downREIT units of Shrewsbury Commons L.P., (iii) 0 downREIT units of Sea Girt Limited Partnership and (iv) 0 downREIT units of 35 West, LLC.</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shares. Because this section is a summary, it does not address all of the tax issues that may be important to you. For example, the discussion of the tax treatment of our shareholders addresses only common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81"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This summary is based 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common shares, the treatment of the partnership, and partners in the partnership, will generally depend on the status of the partner and the activities of the partnership. Partnerships holding common shares, and partners in such partnerships, should consult their tax advisors with regard to the U.S. federal income tax treatment of an investment in common shares.</w:t>
      </w:r>
    </w:p>
    <w:p>
      <w:pPr>
        <w:spacing w:after="0" w:line="187" w:lineRule="exact"/>
        <w:rPr>
          <w:sz w:val="20"/>
          <w:szCs w:val="20"/>
          <w:color w:val="auto"/>
        </w:rPr>
      </w:pPr>
    </w:p>
    <w:p>
      <w:pPr>
        <w:jc w:val="both"/>
        <w:ind w:right="5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THE COMMON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859 of the Code with respect to each of our taxable years ended through December 31, 2013;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if we fail, in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70" w:lineRule="exact"/>
        <w:rPr>
          <w:rFonts w:ascii="Arial" w:cs="Arial" w:eastAsia="Arial" w:hAnsi="Arial"/>
          <w:sz w:val="17"/>
          <w:szCs w:val="17"/>
          <w:color w:val="auto"/>
        </w:rPr>
      </w:pPr>
    </w:p>
    <w:p>
      <w:pPr>
        <w:ind w:left="900" w:right="2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180" w:hanging="446"/>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8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6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our Annual Report on Form 10-K for the fiscal year ended December 31, 2013, which is incorporated herein by reference, under the caption “Risk Factors — To maintain our status as a REIT, we limit the amount of shares any one shareholder can own.”</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or subsidiary REITs. Accordingly, our qualified REIT subsidiaries are not subject to federal corporate income taxation, though they may be subject to state and local taxation.</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131" w:lineRule="exact"/>
        <w:rPr>
          <w:sz w:val="20"/>
          <w:szCs w:val="20"/>
          <w:color w:val="auto"/>
        </w:rPr>
      </w:pPr>
    </w:p>
    <w:p>
      <w:pPr>
        <w:ind w:left="900" w:right="80" w:hanging="446"/>
        <w:spacing w:after="0" w:line="293"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right="140" w:hanging="446"/>
        <w:spacing w:after="0" w:line="30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59"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73"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our taxable REIT subsidiaries meets these conditions, and on an ongoing basis will use our best efforts to meet them in the future,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20" w:hanging="446"/>
        <w:spacing w:after="0" w:line="272"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 discretion that the amount of disqualified rent attributable to the personal property will not jeopardize our status as a REIT; and</w:t>
      </w:r>
    </w:p>
    <w:p>
      <w:pPr>
        <w:spacing w:after="0" w:line="83" w:lineRule="exact"/>
        <w:rPr>
          <w:rFonts w:ascii="Arial" w:cs="Arial" w:eastAsia="Arial" w:hAnsi="Arial"/>
          <w:sz w:val="17"/>
          <w:szCs w:val="17"/>
          <w:color w:val="auto"/>
        </w:rPr>
      </w:pPr>
    </w:p>
    <w:p>
      <w:pPr>
        <w:ind w:left="900" w:right="100" w:hanging="446"/>
        <w:spacing w:after="0" w:line="270"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66"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Tax on Income From Property Acquired in Foreclosure</w:t>
      </w:r>
      <w:r>
        <w:rPr>
          <w:rFonts w:ascii="Arial" w:cs="Arial" w:eastAsia="Arial" w:hAnsi="Arial"/>
          <w:sz w:val="17"/>
          <w:szCs w:val="17"/>
          <w:color w:val="auto"/>
        </w:rPr>
        <w:t>. We will be subject to tax at the maximum corporate rate on any income from foreclosure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 “Foreclosure property” is any real property (including interests in real property) and any personal property incident to such real property:</w:t>
      </w:r>
    </w:p>
    <w:p>
      <w:pPr>
        <w:spacing w:after="0" w:line="77" w:lineRule="exact"/>
        <w:rPr>
          <w:sz w:val="20"/>
          <w:szCs w:val="20"/>
          <w:color w:val="auto"/>
        </w:rPr>
      </w:pPr>
    </w:p>
    <w:p>
      <w:pPr>
        <w:ind w:left="900" w:right="160" w:hanging="446"/>
        <w:spacing w:after="0" w:line="308"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2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220" w:hanging="44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6" w:lineRule="exact"/>
        <w:rPr>
          <w:rFonts w:ascii="Arial" w:cs="Arial" w:eastAsia="Arial" w:hAnsi="Arial"/>
          <w:sz w:val="18"/>
          <w:szCs w:val="18"/>
          <w:color w:val="auto"/>
        </w:rPr>
      </w:pPr>
    </w:p>
    <w:p>
      <w:pPr>
        <w:ind w:left="900" w:right="60" w:hanging="446"/>
        <w:spacing w:after="0" w:line="308"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color w:val="auto"/>
        </w:rPr>
        <w:t>. 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8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b w:val="1"/>
          <w:bCs w:val="1"/>
          <w:i w:val="1"/>
          <w:iCs w:val="1"/>
          <w:color w:val="auto"/>
        </w:rPr>
        <w:t xml:space="preserve">Relief from Consequences of Failing to Meet Income Tests. </w:t>
      </w:r>
      <w:r>
        <w:rPr>
          <w:rFonts w:ascii="Arial" w:cs="Arial" w:eastAsia="Arial" w:hAnsi="Arial"/>
          <w:sz w:val="17"/>
          <w:szCs w:val="17"/>
          <w:color w:val="auto"/>
        </w:rPr>
        <w:t>If we fail to satisfy one or both of the 75% and 95% gross income tests for any taxable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2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280" w:hanging="547"/>
        <w:spacing w:after="0" w:line="277"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60" w:right="100" w:hanging="547"/>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200" w:hanging="547"/>
        <w:spacing w:after="0" w:line="277"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right="20" w:hanging="446"/>
        <w:spacing w:after="0" w:line="269"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40"/>
        <w:spacing w:after="0" w:line="342" w:lineRule="auto"/>
        <w:rPr>
          <w:sz w:val="20"/>
          <w:szCs w:val="20"/>
          <w:color w:val="auto"/>
        </w:rPr>
      </w:pPr>
      <w:r>
        <w:rPr>
          <w:rFonts w:ascii="Arial" w:cs="Arial" w:eastAsia="Arial" w:hAnsi="Arial"/>
          <w:sz w:val="16"/>
          <w:szCs w:val="16"/>
          <w:color w:val="auto"/>
        </w:rPr>
        <w:t>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fair market value of the loan.</w:t>
      </w:r>
    </w:p>
    <w:p>
      <w:pPr>
        <w:spacing w:after="0" w:line="179"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w:t>
      </w:r>
    </w:p>
    <w:p>
      <w:pPr>
        <w:spacing w:after="0" w:line="189"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the term “taxable U.S. shareholder” means a taxable beneficial owner of our common shares that for U.S. federal income tax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11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446"/>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b w:val="1"/>
          <w:bCs w:val="1"/>
          <w:i w:val="1"/>
          <w:iCs w:val="1"/>
          <w:color w:val="auto"/>
        </w:rPr>
        <w:t xml:space="preserve">Dividends and Other Taxable U.S. Shareholder Distributions. </w:t>
      </w:r>
      <w:r>
        <w:rPr>
          <w:rFonts w:ascii="Arial" w:cs="Arial" w:eastAsia="Arial" w:hAnsi="Arial"/>
          <w:sz w:val="16"/>
          <w:szCs w:val="16"/>
          <w:color w:val="auto"/>
        </w:rPr>
        <w:t>As long as we qualify as a REIT, a taxable U.S. shareholder must take into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distributions on 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common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8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Capital Gains and Losses. </w:t>
      </w:r>
      <w:r>
        <w:rPr>
          <w:rFonts w:ascii="Arial" w:cs="Arial" w:eastAsia="Arial" w:hAnsi="Arial"/>
          <w:sz w:val="18"/>
          <w:szCs w:val="18"/>
          <w:color w:val="auto"/>
        </w:rPr>
        <w:t>A taxpayer generally must hold a capital asset for more than one year for gain or loss derived from its sale or exchange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long-term capital gain or loss. The highest marginal individual income tax rate on ordinary income significantly exceeds the maximum tax rate on long-term capital gain applicable to non-corporate taxpayers. The maximum tax rate 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69"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Passive Activity and Investment Income Limitations. </w:t>
      </w:r>
      <w:r>
        <w:rPr>
          <w:rFonts w:ascii="Arial" w:cs="Arial" w:eastAsia="Arial" w:hAnsi="Arial"/>
          <w:sz w:val="17"/>
          <w:szCs w:val="17"/>
          <w:color w:val="auto"/>
        </w:rPr>
        <w:t>Distributions from us and gain from the disposition of our common shares will not be treated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 portion of their “net investment income,” which may include all or a portion of their dividends on our common shares and net gains from the taxable disposition of their shares. Taxable U.S. shareholders that are individuals, estates or trusts should consult their tax advisors regarding the applicability of the Medicare tax to any of their income or gains in respect of our common shares.</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maximum 20% rate does generally apply to:</w:t>
      </w:r>
    </w:p>
    <w:p>
      <w:pPr>
        <w:spacing w:after="0" w:line="78"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7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common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Ordinary Dividends</w:t>
      </w:r>
      <w:r>
        <w:rPr>
          <w:rFonts w:ascii="Arial" w:cs="Arial" w:eastAsia="Arial" w:hAnsi="Arial"/>
          <w:sz w:val="17"/>
          <w:szCs w:val="17"/>
          <w:color w:val="auto"/>
        </w:rPr>
        <w:t>. 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Capital Gain Dividends</w:t>
      </w:r>
      <w:r>
        <w:rPr>
          <w:rFonts w:ascii="Arial" w:cs="Arial" w:eastAsia="Arial" w:hAnsi="Arial"/>
          <w:sz w:val="17"/>
          <w:szCs w:val="17"/>
          <w:color w:val="auto"/>
        </w:rPr>
        <w:t>. 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b w:val="1"/>
          <w:bCs w:val="1"/>
          <w:i w:val="1"/>
          <w:iCs w:val="1"/>
          <w:color w:val="auto"/>
        </w:rPr>
        <w:t>Sale of Shares</w:t>
      </w:r>
      <w:r>
        <w:rPr>
          <w:rFonts w:ascii="Arial" w:cs="Arial" w:eastAsia="Arial" w:hAnsi="Arial"/>
          <w:sz w:val="18"/>
          <w:szCs w:val="18"/>
          <w:color w:val="auto"/>
        </w:rPr>
        <w:t>. A non-U.S. shareholder generally will not incur tax under FIRPTA on gain from the sale of its common shares as long as we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“domestically controlled REIT.” A “domestically controlled” REIT is a REIT in which at all times during a specified testing period non-U.S. persons held, directly or indirectly, less than 50% in value of our shares. We anticipate that we will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such class of shares are “regularly traded” on an established securities market. If neither of these exceptions were to apply, the gain on the sale of the common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shares avoids a taxable distribution of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84"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shares unless (i) in the case of a foreign financial institution (including an investment fund),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the sale of the common shares covered by this prospectus.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sale or distribution of all or any portion of the common shares covered by this prospectus may be effected from time to time by the selling shareholders, or any of their permissible transferees or pledgees (including, but not limited to, Morgan Stanley Private Bank, National Association). The sales may be made directly, indirectly through brokers or dealers, or in a distribution by one or more underwriters on a firm commitment or best efforts basis, in the over-the-counter market, on any national securities exchange or automated quotation system on which the common shares covered by this prospectus may be listed or traded, in privately negotiated transactions, to or through a market maker, or through any other legally available means. In addition, the sales may be made at market prices prevailing at the time of sale, at prices related to such prevailing market prices or at negotiated prices.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selling shareholders or their successors in interest may from time to time pledge or grant a security interest in some or all of the downREIT units or common shares, and, if the selling shareholders default in the performance of their secured obligations, the pledgees or secured parties may offer and sell the applicable common shares from time to time under this prospectus; however, in the event of a pledge or the default on the performance of a secured obligation by a selling shareholder, in order for the common shares to be sold under this registration statement, unless permitted by law, we must file an amendment to this registration statement under applicable provisions of the Securities Act amending the list of selling shareholders to include the pledgee, transferee, secured party or other successors in interest as a selling shareholder under this prospectus.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methods by which the common shares covered by this prospectus may be sold or distributed include any one or more of the following:</w:t>
      </w:r>
    </w:p>
    <w:p>
      <w:pPr>
        <w:spacing w:after="0" w:line="142" w:lineRule="exact"/>
        <w:rPr>
          <w:sz w:val="20"/>
          <w:szCs w:val="20"/>
          <w:color w:val="auto"/>
        </w:rPr>
      </w:pPr>
    </w:p>
    <w:p>
      <w:pPr>
        <w:ind w:left="900" w:right="5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broker or dealer so engaged will attempt to sell the common shares covered by this prospectus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account pursuant to this prospectus;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 rata distributions as part of the liquidation and winding up of the affairs of the selling shareholders or successor in interest that is an entity;</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pledges to a lender as collateral to secure loans, credit or other financing arrangements and any subsequent foreclosure thereunder; or</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effecting sales, brokers or dealers engaged by the selling shareholders may arrange for other brokers or dealers to participate. Any public offering price and any discount, concession or commission allowed or reallowed or paid to dealers may be changed from time to time and, as to any particular underwriter, broker, dealer or agent, may be in excess of those customary in the types of transactions involved.</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selling shareholders may from time to time sell all or a portion of the common shares covered by this prospectus short and deliver those securities to cover the short sale or sales, or may deliver the common shares covered by this prospectus upon the exercise, settlement or closing of a call equivalent position or a put equivalent position. The selling shareholders also may enter into hedging transactions with brokers, dealers or other financial institutions, which may in turn engage in short sales of the common shares covered by this prospectus in the course of hedging the positions they assume.</w:t>
      </w:r>
    </w:p>
    <w:p>
      <w:pPr>
        <w:spacing w:after="0" w:line="15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selling shareholders and the brokers or dealers participating in the distribution of the common shares covered by this prospectus may be deemed “underwriters” within the meaning of the Securities Act. Any profit on the sale of the common shares covered by this prospectus by the selling shareholders and any discounts, concessions or commissions received by any such brokers or dealers may be regarded as underwriting commissions under the Securities Act.</w:t>
      </w:r>
    </w:p>
    <w:p>
      <w:pPr>
        <w:spacing w:after="0" w:line="18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connection with the sale or distribution of the common shares covered by this prospectus, the rules of the SEC permit any underwriter to engage in certain transactions that stabilize the price of the common shares covered by this prospectus. These transactions may consist of bids or purchases for the purpose of pegging, fixing or maintaining the price of the common shares covered by this prospectus.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Underwriters, brokers, dealers or agents may be entitled, under agreements with us, to indemnification against the contribution toward certain civil liabilities, including liabilities under the Securities Act.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will pay all expenses in connection with the registration of the common shares covered by this prospectus. The selling shareholders will pay for any brokerage or underwriting commissions and taxes of any kind (including, without limitation, transfer taxes) with respect to any disposition, sale or transfer of the common shares covered by this prospectus.</w:t>
      </w:r>
    </w:p>
    <w:p>
      <w:pPr>
        <w:spacing w:after="0" w:line="18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common shares covered by this prospectus not sold pursuant to the registration statement on Form S-3 of which this prospectus is a part may be subject to certain restrictions under the Securities Act and could be sold, if at all, only pursuant to Rule 144 or another exemption from the registration requirements of the Securities Act. In general, under Rule 144, a person who is not, and has not been within the preceding three months, an affiliate of ours and also has satisfied a six-month holding period may, under certain circumstances, sell the common shares covered by this prospectus. Therefore, both during and after the effectiveness of the registration statement, the selling shareholders may sell the common shares covered by this prospectus pursuant to Rule 144.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audited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validity of the offered common shares and the accuracy of the discussion under “Material Federal Income Tax Considerations” will be passed upon for us by Pillsbury Winthrop Shaw Pittman LLP, Washington, D.C.</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 xml:space="preserve">We file annual, quarterly and special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(to the extent deemed filed and not furnished) as well as any future filings made with the SEC under Sections 13(a), 13(c), 14, or 15(d) of the Exchange Act (Exchange Act File No. 1-07533) made from the date of this prospectus until the selling shareholders sell all of the securities under this prospectus as supplemented or until the earlier termination of the offering described herein.</w:t>
      </w:r>
    </w:p>
    <w:p>
      <w:pPr>
        <w:spacing w:after="0" w:line="7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Definitive Proxy Statement for our 2014 Annual Meeting of Shareholders, filed with the SEC on March 28, 2014;</w:t>
      </w:r>
    </w:p>
    <w:p>
      <w:pPr>
        <w:spacing w:after="0" w:line="130" w:lineRule="exact"/>
        <w:rPr>
          <w:rFonts w:ascii="Arial" w:cs="Arial" w:eastAsia="Arial" w:hAnsi="Arial"/>
          <w:sz w:val="18"/>
          <w:szCs w:val="18"/>
          <w:color w:val="auto"/>
        </w:rPr>
      </w:pPr>
    </w:p>
    <w:p>
      <w:pPr>
        <w:ind w:left="5620" w:right="1620" w:hanging="5166"/>
        <w:spacing w:after="0" w:line="449" w:lineRule="auto"/>
        <w:tabs>
          <w:tab w:leader="none" w:pos="8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2014, June 30, 2014 and September 30, 3014; 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80" w:hanging="446"/>
        <w:spacing w:after="0" w:line="308"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February 11, 2014 (and dated February 6, 2014), February 12, 2014 (and dated February 12, 2014), May 9, 2014 (and dated May 7, 2014) and September 2, 2014 (and dated August 28, 2014); and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2569845</wp:posOffset>
            </wp:positionV>
            <wp:extent cx="2255520" cy="909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632,033 Common Shares of Beneficial Interest</w:t>
      </w:r>
    </w:p>
    <w:p>
      <w:pPr>
        <w:spacing w:after="0" w:line="72"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388620</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November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2289810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2315845</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Printing and Duplicating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10,000*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0"/>
              </w:rPr>
              <w:t>10,000*</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70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35,688</w:t>
            </w:r>
          </w:p>
        </w:tc>
        <w:tc>
          <w:tcPr>
            <w:tcW w:w="100" w:type="dxa"/>
            <w:vAlign w:val="bottom"/>
          </w:tcPr>
          <w:p>
            <w:pPr>
              <w:jc w:val="right"/>
              <w:spacing w:after="0"/>
              <w:rPr>
                <w:sz w:val="20"/>
                <w:szCs w:val="20"/>
                <w:color w:val="auto"/>
              </w:rPr>
            </w:pPr>
            <w:r>
              <w:rPr>
                <w:rFonts w:ascii="Arial" w:cs="Arial" w:eastAsia="Arial" w:hAnsi="Arial"/>
                <w:sz w:val="18"/>
                <w:szCs w:val="18"/>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Estimated</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Trustees and Officers</w:t>
      </w:r>
    </w:p>
    <w:p>
      <w:pPr>
        <w:spacing w:after="0" w:line="12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9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or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9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6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10680" w:type="dxa"/>
            <w:vAlign w:val="bottom"/>
            <w:gridSpan w:val="3"/>
          </w:tcPr>
          <w:p>
            <w:pPr>
              <w:ind w:left="54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90"/>
        </w:trPr>
        <w:tc>
          <w:tcPr>
            <w:tcW w:w="720" w:type="dxa"/>
            <w:vAlign w:val="bottom"/>
          </w:tcPr>
          <w:p>
            <w:pPr>
              <w:ind w:left="100"/>
              <w:spacing w:after="0"/>
              <w:rPr>
                <w:sz w:val="20"/>
                <w:szCs w:val="20"/>
                <w:color w:val="auto"/>
              </w:rPr>
            </w:pPr>
            <w:r>
              <w:rPr>
                <w:rFonts w:ascii="Arial" w:cs="Arial" w:eastAsia="Arial" w:hAnsi="Arial"/>
                <w:sz w:val="18"/>
                <w:szCs w:val="18"/>
                <w:color w:val="auto"/>
              </w:rPr>
              <w:t>4.1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2"/>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Declaration of Trust of Federal Realty Investment Trust dated June 17, 2004, as amended by the Articles of Amendment of Declaration</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2"/>
              </w:rPr>
              <w:t>of Trust of Federal Realty Investment Trust dated May 6, 2009 (previously filed as Exhibit 3.1 to the Trust’s Registration Statement on</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Form S-3, filed on June 16, 2009 (File No. 333-160009) and incorporated herein by reference)</w:t>
            </w: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4.2</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3"/>
              </w:rPr>
              <w:t>2004, February 17, 2006 and May 6, 2009 (previously filed as Exhibit 3.2 to the Trust’s Registration Statement on Form S-3, filed on</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June 16, 2009 (File No. 333-160009) and incorporated herein by reference)</w:t>
            </w: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4.3</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4"/>
              </w:rPr>
              <w:t>Specimen Common Share certificate (previously filed as Exhibit 4(i) to the Trust’s Annual Report on Form 10-K for the year ended</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5.1*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w:t>
            </w:r>
          </w:p>
        </w:tc>
      </w:tr>
    </w:tbl>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7720" w:type="dxa"/>
            <w:vAlign w:val="bottom"/>
            <w:gridSpan w:val="3"/>
          </w:tcPr>
          <w:p>
            <w:pPr>
              <w:ind w:left="54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720" w:type="dxa"/>
            <w:vAlign w:val="bottom"/>
          </w:tcPr>
          <w:p>
            <w:pPr>
              <w:jc w:val="right"/>
              <w:ind w:right="214"/>
              <w:spacing w:after="0"/>
              <w:rPr>
                <w:sz w:val="20"/>
                <w:szCs w:val="20"/>
                <w:color w:val="auto"/>
              </w:rPr>
            </w:pPr>
            <w:r>
              <w:rPr>
                <w:rFonts w:ascii="Arial" w:cs="Arial" w:eastAsia="Arial" w:hAnsi="Arial"/>
                <w:sz w:val="18"/>
                <w:szCs w:val="18"/>
                <w:color w:val="auto"/>
              </w:rPr>
              <w:t>8.1*</w:t>
            </w:r>
          </w:p>
        </w:tc>
        <w:tc>
          <w:tcPr>
            <w:tcW w:w="7720" w:type="dxa"/>
            <w:vAlign w:val="bottom"/>
            <w:gridSpan w:val="3"/>
          </w:tcPr>
          <w:p>
            <w:pPr>
              <w:ind w:left="860"/>
              <w:spacing w:after="0"/>
              <w:rPr>
                <w:sz w:val="20"/>
                <w:szCs w:val="20"/>
                <w:color w:val="auto"/>
              </w:rPr>
            </w:pPr>
            <w:r>
              <w:rPr>
                <w:rFonts w:ascii="Arial" w:cs="Arial" w:eastAsia="Arial" w:hAnsi="Arial"/>
                <w:sz w:val="18"/>
                <w:szCs w:val="18"/>
                <w:color w:val="auto"/>
                <w:w w:val="92"/>
              </w:rPr>
              <w:t>Opinion of Pillsbury Winthrop Shaw Pittman LLP regarding certain federal income tax matters</w:t>
            </w:r>
          </w:p>
        </w:tc>
      </w:tr>
      <w:tr>
        <w:trPr>
          <w:trHeight w:val="324"/>
        </w:trPr>
        <w:tc>
          <w:tcPr>
            <w:tcW w:w="720" w:type="dxa"/>
            <w:vAlign w:val="bottom"/>
          </w:tcPr>
          <w:p>
            <w:pPr>
              <w:jc w:val="right"/>
              <w:ind w:right="214"/>
              <w:spacing w:after="0"/>
              <w:rPr>
                <w:sz w:val="20"/>
                <w:szCs w:val="20"/>
                <w:color w:val="auto"/>
              </w:rPr>
            </w:pPr>
            <w:r>
              <w:rPr>
                <w:rFonts w:ascii="Arial" w:cs="Arial" w:eastAsia="Arial" w:hAnsi="Arial"/>
                <w:sz w:val="18"/>
                <w:szCs w:val="18"/>
                <w:color w:val="auto"/>
                <w:w w:val="95"/>
              </w:rPr>
              <w:t>23.1*</w:t>
            </w:r>
          </w:p>
        </w:tc>
        <w:tc>
          <w:tcPr>
            <w:tcW w:w="7720" w:type="dxa"/>
            <w:vAlign w:val="bottom"/>
            <w:gridSpan w:val="3"/>
          </w:tcPr>
          <w:p>
            <w:pPr>
              <w:ind w:left="86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720" w:type="dxa"/>
            <w:vAlign w:val="bottom"/>
          </w:tcPr>
          <w:p>
            <w:pPr>
              <w:jc w:val="right"/>
              <w:ind w:right="214"/>
              <w:spacing w:after="0"/>
              <w:rPr>
                <w:sz w:val="20"/>
                <w:szCs w:val="20"/>
                <w:color w:val="auto"/>
              </w:rPr>
            </w:pPr>
            <w:r>
              <w:rPr>
                <w:rFonts w:ascii="Arial" w:cs="Arial" w:eastAsia="Arial" w:hAnsi="Arial"/>
                <w:sz w:val="18"/>
                <w:szCs w:val="18"/>
                <w:color w:val="auto"/>
                <w:w w:val="95"/>
              </w:rPr>
              <w:t>23.2*</w:t>
            </w:r>
          </w:p>
        </w:tc>
        <w:tc>
          <w:tcPr>
            <w:tcW w:w="7720" w:type="dxa"/>
            <w:vAlign w:val="bottom"/>
            <w:gridSpan w:val="3"/>
          </w:tcPr>
          <w:p>
            <w:pPr>
              <w:ind w:left="860"/>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720" w:type="dxa"/>
            <w:vAlign w:val="bottom"/>
          </w:tcPr>
          <w:p>
            <w:pPr>
              <w:jc w:val="right"/>
              <w:ind w:right="214"/>
              <w:spacing w:after="0"/>
              <w:rPr>
                <w:sz w:val="20"/>
                <w:szCs w:val="20"/>
                <w:color w:val="auto"/>
              </w:rPr>
            </w:pPr>
            <w:r>
              <w:rPr>
                <w:rFonts w:ascii="Arial" w:cs="Arial" w:eastAsia="Arial" w:hAnsi="Arial"/>
                <w:sz w:val="18"/>
                <w:szCs w:val="18"/>
                <w:color w:val="auto"/>
                <w:w w:val="95"/>
              </w:rPr>
              <w:t>24.1*</w:t>
            </w:r>
          </w:p>
        </w:tc>
        <w:tc>
          <w:tcPr>
            <w:tcW w:w="7720" w:type="dxa"/>
            <w:vAlign w:val="bottom"/>
            <w:gridSpan w:val="3"/>
          </w:tcPr>
          <w:p>
            <w:pPr>
              <w:ind w:left="86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21" w:lineRule="exact"/>
        <w:rPr>
          <w:sz w:val="20"/>
          <w:szCs w:val="20"/>
          <w:color w:val="auto"/>
        </w:rPr>
      </w:pPr>
    </w:p>
    <w:p>
      <w:pPr>
        <w:ind w:left="700" w:hanging="23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117" w:lineRule="exact"/>
        <w:rPr>
          <w:rFonts w:ascii="Arial" w:cs="Arial" w:eastAsia="Arial" w:hAnsi="Arial"/>
          <w:sz w:val="18"/>
          <w:szCs w:val="18"/>
          <w:color w:val="auto"/>
        </w:rPr>
      </w:pPr>
    </w:p>
    <w:p>
      <w:pPr>
        <w:ind w:left="920" w:firstLine="421"/>
        <w:spacing w:after="0" w:line="255" w:lineRule="auto"/>
        <w:tabs>
          <w:tab w:leader="none" w:pos="1605"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920" w:right="60" w:firstLine="421"/>
        <w:spacing w:after="0" w:line="277" w:lineRule="auto"/>
        <w:tabs>
          <w:tab w:leader="none" w:pos="1655"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9" w:lineRule="exact"/>
        <w:rPr>
          <w:sz w:val="20"/>
          <w:szCs w:val="20"/>
          <w:color w:val="auto"/>
        </w:rPr>
      </w:pPr>
    </w:p>
    <w:p>
      <w:pPr>
        <w:jc w:val="both"/>
        <w:ind w:left="460" w:right="40" w:firstLine="443"/>
        <w:spacing w:after="0" w:line="264" w:lineRule="auto"/>
        <w:tabs>
          <w:tab w:leader="none" w:pos="11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left="460" w:right="560" w:firstLine="443"/>
        <w:spacing w:after="0" w:line="277" w:lineRule="auto"/>
        <w:tabs>
          <w:tab w:leader="none" w:pos="11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117" w:lineRule="exact"/>
        <w:rPr>
          <w:rFonts w:ascii="Arial" w:cs="Arial" w:eastAsia="Arial" w:hAnsi="Arial"/>
          <w:sz w:val="18"/>
          <w:szCs w:val="18"/>
          <w:color w:val="auto"/>
        </w:rPr>
      </w:pPr>
    </w:p>
    <w:p>
      <w:pPr>
        <w:ind w:left="920" w:right="160" w:firstLine="421"/>
        <w:spacing w:after="0" w:line="277" w:lineRule="auto"/>
        <w:tabs>
          <w:tab w:leader="none" w:pos="15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920" w:right="240" w:firstLine="421"/>
        <w:spacing w:after="0" w:line="274" w:lineRule="auto"/>
        <w:tabs>
          <w:tab w:leader="none" w:pos="1605" w:val="left"/>
        </w:tabs>
        <w:numPr>
          <w:ilvl w:val="1"/>
          <w:numId w:val="24"/>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ind w:left="920" w:right="4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9" w:lineRule="exact"/>
        <w:rPr>
          <w:sz w:val="20"/>
          <w:szCs w:val="20"/>
          <w:color w:val="auto"/>
        </w:rPr>
      </w:pPr>
    </w:p>
    <w:p>
      <w:pPr>
        <w:ind w:left="460" w:right="340" w:firstLine="443"/>
        <w:spacing w:after="0" w:line="277" w:lineRule="auto"/>
        <w:tabs>
          <w:tab w:leader="none" w:pos="11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62"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9" w:lineRule="exact"/>
        <w:rPr>
          <w:sz w:val="20"/>
          <w:szCs w:val="20"/>
          <w:color w:val="auto"/>
        </w:rPr>
      </w:pPr>
    </w:p>
    <w:p>
      <w:pPr>
        <w:ind w:left="1560" w:hanging="219"/>
        <w:spacing w:after="0"/>
        <w:tabs>
          <w:tab w:leader="none" w:pos="15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rFonts w:ascii="Arial" w:cs="Arial" w:eastAsia="Arial" w:hAnsi="Arial"/>
          <w:sz w:val="16"/>
          <w:szCs w:val="16"/>
          <w:color w:val="auto"/>
        </w:rPr>
      </w:pPr>
    </w:p>
    <w:p>
      <w:pPr>
        <w:ind w:left="920" w:right="200" w:firstLine="421"/>
        <w:spacing w:after="0" w:line="277" w:lineRule="auto"/>
        <w:tabs>
          <w:tab w:leader="none" w:pos="16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920" w:firstLine="421"/>
        <w:spacing w:after="0" w:line="277" w:lineRule="auto"/>
        <w:tabs>
          <w:tab w:leader="none" w:pos="16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40" w:firstLine="464"/>
        <w:spacing w:after="0" w:line="257" w:lineRule="auto"/>
        <w:tabs>
          <w:tab w:leader="none" w:pos="7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right="20" w:firstLine="464"/>
        <w:spacing w:after="0" w:line="271" w:lineRule="auto"/>
        <w:tabs>
          <w:tab w:leader="none" w:pos="701"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November 4, 2014.</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Executive Vice President-General Counsel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and Secretary</w:t>
      </w:r>
    </w:p>
    <w:p>
      <w:pPr>
        <w:spacing w:after="0" w:line="22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SIGNATURE</w:t>
            </w:r>
          </w:p>
        </w:tc>
        <w:tc>
          <w:tcPr>
            <w:tcW w:w="17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680" w:type="dxa"/>
            <w:vAlign w:val="bottom"/>
          </w:tcPr>
          <w:p>
            <w:pPr>
              <w:spacing w:after="0"/>
              <w:rPr>
                <w:sz w:val="16"/>
                <w:szCs w:val="16"/>
                <w:color w:val="auto"/>
              </w:rPr>
            </w:pPr>
          </w:p>
        </w:tc>
        <w:tc>
          <w:tcPr>
            <w:tcW w:w="10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Donald C. Wood*</w:t>
            </w: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President, Chief Executive</w:t>
            </w: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70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Officer and Trustee (principal executive officer)</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M. Taylor, Jr.*</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President-Chief Financial Officer and Treasurer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James M. Taylor, Jr.</w:t>
            </w:r>
          </w:p>
        </w:tc>
        <w:tc>
          <w:tcPr>
            <w:tcW w:w="170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Joseph S. Vassalluzzo*</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Non-Executive Chairman</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Joseph S. Vassalluzzo</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Jon E. Bortz*</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Jon E. Bortz</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David W. Faeder*</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Kristin Gamble*</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Kristin Gamble</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Gail P. Steinel*</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SIGNATURE</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680" w:type="dxa"/>
            <w:vAlign w:val="bottom"/>
          </w:tcPr>
          <w:p>
            <w:pPr>
              <w:spacing w:after="0"/>
              <w:rPr>
                <w:sz w:val="16"/>
                <w:szCs w:val="16"/>
                <w:color w:val="auto"/>
              </w:rPr>
            </w:pPr>
          </w:p>
        </w:tc>
        <w:tc>
          <w:tcPr>
            <w:tcW w:w="10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Warren M. Thompson*</w:t>
            </w: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20" w:type="dxa"/>
            <w:vAlign w:val="bottom"/>
            <w:gridSpan w:val="2"/>
          </w:tcPr>
          <w:p>
            <w:pPr>
              <w:ind w:left="100"/>
              <w:spacing w:after="0"/>
              <w:rPr>
                <w:sz w:val="20"/>
                <w:szCs w:val="20"/>
                <w:color w:val="auto"/>
              </w:rPr>
            </w:pPr>
            <w:r>
              <w:rPr>
                <w:rFonts w:ascii="Arial" w:cs="Arial" w:eastAsia="Arial" w:hAnsi="Arial"/>
                <w:sz w:val="18"/>
                <w:szCs w:val="18"/>
                <w:color w:val="auto"/>
              </w:rPr>
              <w:t>Trustee</w:t>
            </w: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3"/>
          </w:tcPr>
          <w:p>
            <w:pPr>
              <w:spacing w:after="0"/>
              <w:rPr>
                <w:sz w:val="20"/>
                <w:szCs w:val="20"/>
                <w:color w:val="auto"/>
              </w:rPr>
            </w:pPr>
            <w:r>
              <w:rPr>
                <w:rFonts w:ascii="Arial" w:cs="Arial" w:eastAsia="Arial" w:hAnsi="Arial"/>
                <w:sz w:val="18"/>
                <w:szCs w:val="18"/>
                <w:color w:val="auto"/>
              </w:rPr>
              <w:t>Warren M. Thompson</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58"/>
        </w:trPr>
        <w:tc>
          <w:tcPr>
            <w:tcW w:w="2580" w:type="dxa"/>
            <w:vAlign w:val="bottom"/>
            <w:gridSpan w:val="3"/>
          </w:tcPr>
          <w:p>
            <w:pPr>
              <w:spacing w:after="0"/>
              <w:rPr>
                <w:sz w:val="20"/>
                <w:szCs w:val="20"/>
                <w:color w:val="auto"/>
              </w:rPr>
            </w:pPr>
            <w:r>
              <w:rPr>
                <w:rFonts w:ascii="Arial" w:cs="Arial" w:eastAsia="Arial" w:hAnsi="Arial"/>
                <w:sz w:val="18"/>
                <w:szCs w:val="18"/>
                <w:color w:val="auto"/>
              </w:rPr>
              <w:t>*By:   /s/ Dawn M. Becker</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20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Dawn M. Becker</w:t>
            </w:r>
          </w:p>
        </w:tc>
        <w:tc>
          <w:tcPr>
            <w:tcW w:w="17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Attorney-in-fact</w:t>
            </w: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46"/>
        </w:trPr>
        <w:tc>
          <w:tcPr>
            <w:tcW w:w="2580" w:type="dxa"/>
            <w:vAlign w:val="bottom"/>
            <w:gridSpan w:val="3"/>
          </w:tcPr>
          <w:p>
            <w:pPr>
              <w:spacing w:after="0"/>
              <w:rPr>
                <w:sz w:val="20"/>
                <w:szCs w:val="20"/>
                <w:color w:val="auto"/>
              </w:rPr>
            </w:pPr>
            <w:r>
              <w:rPr>
                <w:rFonts w:ascii="Arial" w:cs="Arial" w:eastAsia="Arial" w:hAnsi="Arial"/>
                <w:sz w:val="18"/>
                <w:szCs w:val="18"/>
                <w:color w:val="auto"/>
              </w:rPr>
              <w:t>Date: November 4, 2014</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68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10680" w:type="dxa"/>
            <w:vAlign w:val="bottom"/>
            <w:gridSpan w:val="3"/>
          </w:tcPr>
          <w:p>
            <w:pPr>
              <w:ind w:left="54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90"/>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4.1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2"/>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Declaration of Trust of Federal Realty Investment Trust dated June 17, 2004, as amended by the Articles of Amendment of Declaration</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2"/>
              </w:rPr>
              <w:t>of Trust of Federal Realty Investment Trust dated May 6, 2009 (previously filed as Exhibit 3.1 to the Trust’s Registration Statement on</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Form S-3, filed on June 16, 2009 (File No. 333-160009) and incorporated herein by reference)</w:t>
            </w:r>
          </w:p>
        </w:tc>
      </w:tr>
      <w:tr>
        <w:trPr>
          <w:trHeight w:val="310"/>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4.2</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3"/>
              </w:rPr>
              <w:t>2004, February 17, 2006 and May 6, 2009 (previously filed as Exhibit 3.2 to the Trust’s Registration Statement on Form S-3, filed on</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June 16, 2009 (File No. 333-160009) and incorporated herein by reference)</w:t>
            </w:r>
          </w:p>
        </w:tc>
      </w:tr>
      <w:tr>
        <w:trPr>
          <w:trHeight w:val="310"/>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4.3</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4"/>
              </w:rPr>
              <w:t>Specimen Common Share certificate (previously filed as Exhibit 4(i) to the Trust’s Annual Report on Form 10-K for the year ended</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24"/>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5.1*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w:t>
            </w:r>
          </w:p>
        </w:tc>
      </w:tr>
      <w:tr>
        <w:trPr>
          <w:trHeight w:val="324"/>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8.1*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Opinion of Pillsbury Winthrop Shaw Pittman LLP regarding certain federal income tax matters</w:t>
            </w:r>
          </w:p>
        </w:tc>
      </w:tr>
      <w:tr>
        <w:trPr>
          <w:trHeight w:val="324"/>
        </w:trPr>
        <w:tc>
          <w:tcPr>
            <w:tcW w:w="720" w:type="dxa"/>
            <w:vAlign w:val="bottom"/>
          </w:tcPr>
          <w:p>
            <w:pPr>
              <w:jc w:val="right"/>
              <w:ind w:right="212"/>
              <w:spacing w:after="0"/>
              <w:rPr>
                <w:sz w:val="20"/>
                <w:szCs w:val="20"/>
                <w:color w:val="auto"/>
              </w:rPr>
            </w:pPr>
            <w:r>
              <w:rPr>
                <w:rFonts w:ascii="Arial" w:cs="Arial" w:eastAsia="Arial" w:hAnsi="Arial"/>
                <w:sz w:val="18"/>
                <w:szCs w:val="18"/>
                <w:color w:val="auto"/>
                <w:w w:val="95"/>
              </w:rPr>
              <w:t>23.1*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720" w:type="dxa"/>
            <w:vAlign w:val="bottom"/>
          </w:tcPr>
          <w:p>
            <w:pPr>
              <w:jc w:val="right"/>
              <w:ind w:right="212"/>
              <w:spacing w:after="0"/>
              <w:rPr>
                <w:sz w:val="20"/>
                <w:szCs w:val="20"/>
                <w:color w:val="auto"/>
              </w:rPr>
            </w:pPr>
            <w:r>
              <w:rPr>
                <w:rFonts w:ascii="Arial" w:cs="Arial" w:eastAsia="Arial" w:hAnsi="Arial"/>
                <w:sz w:val="18"/>
                <w:szCs w:val="18"/>
                <w:color w:val="auto"/>
                <w:w w:val="95"/>
              </w:rPr>
              <w:t>23.2*</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720" w:type="dxa"/>
            <w:vAlign w:val="bottom"/>
          </w:tcPr>
          <w:p>
            <w:pPr>
              <w:jc w:val="right"/>
              <w:ind w:right="212"/>
              <w:spacing w:after="0"/>
              <w:rPr>
                <w:sz w:val="20"/>
                <w:szCs w:val="20"/>
                <w:color w:val="auto"/>
              </w:rPr>
            </w:pPr>
            <w:r>
              <w:rPr>
                <w:rFonts w:ascii="Arial" w:cs="Arial" w:eastAsia="Arial" w:hAnsi="Arial"/>
                <w:sz w:val="18"/>
                <w:szCs w:val="18"/>
                <w:color w:val="auto"/>
                <w:w w:val="95"/>
              </w:rPr>
              <w:t>24.1*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ectPr>
          <w:pgSz w:w="11900" w:h="16838" w:orient="portrait"/>
          <w:cols w:equalWidth="0" w:num="1">
            <w:col w:w="11400"/>
          </w:cols>
          <w:pgMar w:left="240" w:top="459" w:right="2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2300 N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20037</w:t>
      </w:r>
    </w:p>
    <w:p>
      <w:pPr>
        <w:spacing w:after="0" w:line="211" w:lineRule="exact"/>
        <w:rPr>
          <w:sz w:val="20"/>
          <w:szCs w:val="20"/>
          <w:color w:val="auto"/>
        </w:rPr>
      </w:pPr>
    </w:p>
    <w:p>
      <w:pPr>
        <w:ind w:left="9540"/>
        <w:spacing w:after="0"/>
        <w:rPr>
          <w:sz w:val="20"/>
          <w:szCs w:val="20"/>
          <w:color w:val="auto"/>
        </w:rPr>
      </w:pPr>
      <w:r>
        <w:rPr>
          <w:rFonts w:ascii="Arial" w:cs="Arial" w:eastAsia="Arial" w:hAnsi="Arial"/>
          <w:sz w:val="18"/>
          <w:szCs w:val="18"/>
          <w:color w:val="auto"/>
        </w:rPr>
        <w:t>November 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are acting as counsel for Federal Realty Investment Trust, a Maryland real estate investment trust (the “Company”), in connection with the Registration Statement on Form S-3 relating to the registration under the Securities Act of 1933 (the “Act”) of 632,033 common shares of beneficial interest, par value $0.01 per share (the “Common Shares”), of the Company, all of which are authorized but heretofore unissued shares to be offered and sold by certain shareholders of the Company (the “Selling Shareholder Shares”). (Such Registration Statement, as the same may be amended from time to time, is herein referred to as the “Registration Statement.”) The Selling Shareholder Shares are comprised of Common Shares issuable upon the redemption of outstanding units (the “DownREIT Units”) of limited partnership interest or limited liability company interest, as the case may be, in each of (i) Route 35 Shrewsbury Limited Partnership, (ii) Shrewsbury Commons L.P., (iii) Sea Girt Limited Partnership and (iv) 35 West, LLC (such entities in items (i) through (iv), collectively the “DownREIT Entities”).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reviewed and are familiar with such documents, corporate proceedings and other matters as we have considered relevant or necessary as a basis for this opinion. On the basis of the foregoing and the assumptions set forth below, and subject to the other qualifications and limitations set forth herein, we are of the opinion that the Selling Shareholder Shares have been duly authorized and upon redemption of the DownREIT Units for Common Shares in accordance with the agreement of limited partnership or operating agreement, as applicable, of each of the DownREIT Entities, will be validly issued, fully paid and nonassessable.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assumed that (a) at or prior to the time of the delivery of any of the Selling Shareholder Shares, the Registration Statement will be effective under the Act, (b) at the time of issuance, the Company has a sufficient number of authorized but unissued Common Shares under the Declaration of Trust of the Company, as amended and corrected, and (c) the Company’s Board of Trustees shall not have rescinded or otherwise modified the authorization of the Selling Shareholder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to matters governed by the law of the State of Maryland.</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hereby consent to the filing of this opinion as Exhibit 5.1 to the Registration Statement and to the use of our name under the caption “Legal Matters” in the Registration Statement and in the Prospectus included therein. In giving this consent, we do not thereby admit that we are within</w:t>
      </w:r>
    </w:p>
    <w:p>
      <w:pPr>
        <w:sectPr>
          <w:pgSz w:w="11900" w:h="16838" w:orient="portrait"/>
          <w:cols w:equalWidth="0" w:num="1">
            <w:col w:w="11420"/>
          </w:cols>
          <w:pgMar w:left="240" w:top="121" w:right="2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category of persons whose consent is required under Section 7 of the Act or the rules and regulations of the Securities and Exchange Commission promulgated thereunder.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0"/>
          </w:cols>
          <w:pgMar w:left="240" w:top="274" w:right="8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the Prospectus and all documents incorporated and deemed to be incorporated by reference therein) with the Securities and Exchange Commission.</w:t>
      </w:r>
    </w:p>
    <w:p>
      <w:pPr>
        <w:spacing w:after="0" w:line="14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w:t>
      </w:r>
    </w:p>
    <w:p>
      <w:pPr>
        <w:sectPr>
          <w:pgSz w:w="11900" w:h="16838" w:orient="portrait"/>
          <w:cols w:equalWidth="0" w:num="1">
            <w:col w:w="11420"/>
          </w:cols>
          <w:pgMar w:left="240" w:top="121" w:right="239" w:bottom="1440" w:gutter="0" w:footer="0" w:header="0"/>
        </w:sectPr>
      </w:pPr>
    </w:p>
    <w:bookmarkStart w:id="40" w:name="page41"/>
    <w:bookmarkEnd w:id="40"/>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5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2014;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(2014) taxable year and for future taxable years, and (iii) the discussions in (x) the Prospectus under the caption “Material Federal Income Tax Considerations,” and (y) the Company’s Annual Report on Form 10-K for the year ended December 31, 2013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Prospectus under the caption “Material Federal Income Tax Considerations” are hereby confirmed.</w:t>
      </w:r>
    </w:p>
    <w:p>
      <w:pPr>
        <w:spacing w:after="0" w:line="18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00"/>
          </w:cols>
          <w:pgMar w:left="240" w:top="274" w:right="259" w:bottom="1440" w:gutter="0" w:footer="0" w:header="0"/>
        </w:sectPr>
      </w:pPr>
    </w:p>
    <w:bookmarkStart w:id="41" w:name="page42"/>
    <w:bookmarkEnd w:id="41"/>
    <w:p>
      <w:pPr>
        <w:ind w:right="4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240"/>
          </w:cols>
          <w:pgMar w:left="240" w:top="274" w:right="4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issued our reports dated February 11, 2014, with respect to the consolidated financial statements, schedules and internal control over financial reporting included in the Annual Report of Federal Realty Investment Trust on Form 10-K for the year ended December 31, 2013, which are incorporated by reference in this Registration Statement. We consent to the incorporation by reference of the aforementioned reports in this Registration Statement on Form S-3 of Federal Realty Investment Trust, and to the use of our name as it appears under the caption “Experts.”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4, 2014</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James M. Taylor, Jr. and Dawn M. Becker, and each and any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thereto; and we hereby ratify and confirm all that said attorneys and agents, or any of them, shall do or cause to be done by virtue thereof.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SIGNATURE</w:t>
            </w:r>
          </w:p>
        </w:tc>
        <w:tc>
          <w:tcPr>
            <w:tcW w:w="1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4"/>
                <w:szCs w:val="1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6"/>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280" w:type="dxa"/>
            <w:vAlign w:val="bottom"/>
            <w:gridSpan w:val="3"/>
          </w:tcPr>
          <w:p>
            <w:pPr>
              <w:ind w:left="100"/>
              <w:spacing w:after="0"/>
              <w:rPr>
                <w:sz w:val="20"/>
                <w:szCs w:val="20"/>
                <w:color w:val="auto"/>
              </w:rPr>
            </w:pPr>
            <w:r>
              <w:rPr>
                <w:rFonts w:ascii="Arial" w:cs="Arial" w:eastAsia="Arial" w:hAnsi="Arial"/>
                <w:sz w:val="18"/>
                <w:szCs w:val="18"/>
                <w:color w:val="auto"/>
                <w:w w:val="97"/>
              </w:rPr>
              <w:t>President, Chief Executive Officer and Trustee (principal executive</w:t>
            </w:r>
          </w:p>
        </w:tc>
        <w:tc>
          <w:tcPr>
            <w:tcW w:w="166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700" w:type="dxa"/>
            <w:vAlign w:val="bottom"/>
          </w:tcPr>
          <w:p>
            <w:pPr>
              <w:spacing w:after="0"/>
              <w:rPr>
                <w:sz w:val="19"/>
                <w:szCs w:val="19"/>
                <w:color w:val="auto"/>
              </w:rPr>
            </w:pPr>
          </w:p>
        </w:tc>
        <w:tc>
          <w:tcPr>
            <w:tcW w:w="5280" w:type="dxa"/>
            <w:vAlign w:val="bottom"/>
            <w:gridSpan w:val="3"/>
          </w:tcPr>
          <w:p>
            <w:pPr>
              <w:ind w:left="100"/>
              <w:spacing w:after="0"/>
              <w:rPr>
                <w:sz w:val="20"/>
                <w:szCs w:val="20"/>
                <w:color w:val="auto"/>
              </w:rPr>
            </w:pPr>
            <w:r>
              <w:rPr>
                <w:rFonts w:ascii="Arial" w:cs="Arial" w:eastAsia="Arial" w:hAnsi="Arial"/>
                <w:sz w:val="18"/>
                <w:szCs w:val="18"/>
                <w:color w:val="auto"/>
              </w:rPr>
              <w:t>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M. Taylor, Jr.</w:t>
            </w:r>
          </w:p>
        </w:tc>
        <w:tc>
          <w:tcPr>
            <w:tcW w:w="1700" w:type="dxa"/>
            <w:vAlign w:val="bottom"/>
            <w:tcBorders>
              <w:bottom w:val="single" w:sz="8" w:color="auto"/>
            </w:tcBorders>
          </w:tcPr>
          <w:p>
            <w:pPr>
              <w:spacing w:after="0"/>
              <w:rPr>
                <w:sz w:val="24"/>
                <w:szCs w:val="24"/>
                <w:color w:val="auto"/>
              </w:rPr>
            </w:pPr>
          </w:p>
        </w:tc>
        <w:tc>
          <w:tcPr>
            <w:tcW w:w="5280" w:type="dxa"/>
            <w:vAlign w:val="bottom"/>
            <w:gridSpan w:val="3"/>
          </w:tcPr>
          <w:p>
            <w:pPr>
              <w:ind w:left="100"/>
              <w:spacing w:after="0"/>
              <w:rPr>
                <w:sz w:val="20"/>
                <w:szCs w:val="20"/>
                <w:color w:val="auto"/>
              </w:rPr>
            </w:pPr>
            <w:r>
              <w:rPr>
                <w:rFonts w:ascii="Arial" w:cs="Arial" w:eastAsia="Arial" w:hAnsi="Arial"/>
                <w:sz w:val="18"/>
                <w:szCs w:val="18"/>
                <w:color w:val="auto"/>
                <w:w w:val="96"/>
              </w:rPr>
              <w:t>Executive Vice President and Chief Financial Officer and Treasurer</w:t>
            </w:r>
          </w:p>
        </w:tc>
        <w:tc>
          <w:tcPr>
            <w:tcW w:w="166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James M. Taylor, Jr.</w:t>
            </w:r>
          </w:p>
        </w:tc>
        <w:tc>
          <w:tcPr>
            <w:tcW w:w="1700" w:type="dxa"/>
            <w:vAlign w:val="bottom"/>
          </w:tcPr>
          <w:p>
            <w:pPr>
              <w:spacing w:after="0"/>
              <w:rPr>
                <w:sz w:val="19"/>
                <w:szCs w:val="19"/>
                <w:color w:val="auto"/>
              </w:rPr>
            </w:pPr>
          </w:p>
        </w:tc>
        <w:tc>
          <w:tcPr>
            <w:tcW w:w="5280" w:type="dxa"/>
            <w:vAlign w:val="bottom"/>
            <w:gridSpan w:val="3"/>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S. Vassalluzzo</w:t>
            </w:r>
          </w:p>
        </w:tc>
        <w:tc>
          <w:tcPr>
            <w:tcW w:w="1700" w:type="dxa"/>
            <w:vAlign w:val="bottom"/>
            <w:tcBorders>
              <w:bottom w:val="single" w:sz="8" w:color="auto"/>
            </w:tcBorders>
          </w:tcPr>
          <w:p>
            <w:pPr>
              <w:spacing w:after="0"/>
              <w:rPr>
                <w:sz w:val="24"/>
                <w:szCs w:val="24"/>
                <w:color w:val="auto"/>
              </w:rPr>
            </w:pPr>
          </w:p>
        </w:tc>
        <w:tc>
          <w:tcPr>
            <w:tcW w:w="5280" w:type="dxa"/>
            <w:vAlign w:val="bottom"/>
            <w:gridSpan w:val="3"/>
          </w:tcPr>
          <w:p>
            <w:pPr>
              <w:ind w:left="100"/>
              <w:spacing w:after="0"/>
              <w:rPr>
                <w:sz w:val="20"/>
                <w:szCs w:val="20"/>
                <w:color w:val="auto"/>
              </w:rPr>
            </w:pPr>
            <w:r>
              <w:rPr>
                <w:rFonts w:ascii="Arial" w:cs="Arial" w:eastAsia="Arial" w:hAnsi="Arial"/>
                <w:sz w:val="18"/>
                <w:szCs w:val="18"/>
                <w:color w:val="auto"/>
              </w:rPr>
              <w:t>Non-Executive Chairman</w:t>
            </w:r>
          </w:p>
        </w:tc>
        <w:tc>
          <w:tcPr>
            <w:tcW w:w="166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Joseph S. Vassalluzzo</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 E. Bortz</w:t>
            </w:r>
          </w:p>
        </w:tc>
        <w:tc>
          <w:tcPr>
            <w:tcW w:w="1700" w:type="dxa"/>
            <w:vAlign w:val="bottom"/>
            <w:tcBorders>
              <w:bottom w:val="single" w:sz="8" w:color="auto"/>
            </w:tcBorders>
          </w:tcPr>
          <w:p>
            <w:pPr>
              <w:spacing w:after="0"/>
              <w:rPr>
                <w:sz w:val="24"/>
                <w:szCs w:val="24"/>
                <w:color w:val="auto"/>
              </w:rPr>
            </w:pPr>
          </w:p>
        </w:tc>
        <w:tc>
          <w:tcPr>
            <w:tcW w:w="528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66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Jon E. Bortz</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1700" w:type="dxa"/>
            <w:vAlign w:val="bottom"/>
            <w:tcBorders>
              <w:bottom w:val="single" w:sz="8" w:color="auto"/>
            </w:tcBorders>
          </w:tcPr>
          <w:p>
            <w:pPr>
              <w:spacing w:after="0"/>
              <w:rPr>
                <w:sz w:val="24"/>
                <w:szCs w:val="24"/>
                <w:color w:val="auto"/>
              </w:rPr>
            </w:pPr>
          </w:p>
        </w:tc>
        <w:tc>
          <w:tcPr>
            <w:tcW w:w="528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66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Kristin Gamble</w:t>
            </w:r>
          </w:p>
        </w:tc>
        <w:tc>
          <w:tcPr>
            <w:tcW w:w="1700" w:type="dxa"/>
            <w:vAlign w:val="bottom"/>
            <w:tcBorders>
              <w:bottom w:val="single" w:sz="8" w:color="auto"/>
            </w:tcBorders>
          </w:tcPr>
          <w:p>
            <w:pPr>
              <w:spacing w:after="0"/>
              <w:rPr>
                <w:sz w:val="24"/>
                <w:szCs w:val="24"/>
                <w:color w:val="auto"/>
              </w:rPr>
            </w:pPr>
          </w:p>
        </w:tc>
        <w:tc>
          <w:tcPr>
            <w:tcW w:w="528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66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Kristin Gamble</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1700" w:type="dxa"/>
            <w:vAlign w:val="bottom"/>
            <w:tcBorders>
              <w:bottom w:val="single" w:sz="8" w:color="auto"/>
            </w:tcBorders>
          </w:tcPr>
          <w:p>
            <w:pPr>
              <w:spacing w:after="0"/>
              <w:rPr>
                <w:sz w:val="24"/>
                <w:szCs w:val="24"/>
                <w:color w:val="auto"/>
              </w:rPr>
            </w:pPr>
          </w:p>
        </w:tc>
        <w:tc>
          <w:tcPr>
            <w:tcW w:w="528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66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M. Thompson</w:t>
            </w:r>
          </w:p>
        </w:tc>
        <w:tc>
          <w:tcPr>
            <w:tcW w:w="1700" w:type="dxa"/>
            <w:vAlign w:val="bottom"/>
            <w:tcBorders>
              <w:bottom w:val="single" w:sz="8" w:color="auto"/>
            </w:tcBorders>
          </w:tcPr>
          <w:p>
            <w:pPr>
              <w:spacing w:after="0"/>
              <w:rPr>
                <w:sz w:val="24"/>
                <w:szCs w:val="24"/>
                <w:color w:val="auto"/>
              </w:rPr>
            </w:pPr>
          </w:p>
        </w:tc>
        <w:tc>
          <w:tcPr>
            <w:tcW w:w="528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66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November 4, 2014</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Warren M. Thompson</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7"/>
    </w:lvl>
  </w:abstractNum>
  <w:abstractNum w:abstractNumId="3">
    <w:nsid w:val="6B68079A"/>
    <w:multiLevelType w:val="hybridMultilevel"/>
    <w:lvl w:ilvl="0">
      <w:lvlJc w:val="left"/>
      <w:lvlText w:val="(%1)"/>
      <w:numFmt w:val="decimal"/>
      <w:start w:val="19"/>
    </w:lvl>
  </w:abstractNum>
  <w:abstractNum w:abstractNumId="4">
    <w:nsid w:val="4E6AFB66"/>
    <w:multiLevelType w:val="hybridMultilevel"/>
    <w:lvl w:ilvl="0">
      <w:lvlJc w:val="left"/>
      <w:lvlText w:val="(%1)"/>
      <w:numFmt w:val="decimal"/>
      <w:start w:val="32"/>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lvl w:ilvl="1">
      <w:lvlJc w:val="left"/>
      <w:lvlText w:val="•"/>
      <w:numFmt w:val="bullet"/>
      <w:start w:val="1"/>
    </w:lvl>
  </w:abstractNum>
  <w:abstractNum w:abstractNumId="13">
    <w:nsid w:val="628C895D"/>
    <w:multiLevelType w:val="hybridMultilevel"/>
    <w:lvl w:ilvl="0">
      <w:lvlJc w:val="left"/>
      <w:lvlText w:val="(%1)"/>
      <w:numFmt w:val="lowerRoman"/>
      <w:start w:val="2"/>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3">
    <w:nsid w:val="B03E0C6"/>
    <w:multiLevelType w:val="hybridMultilevel"/>
    <w:lvl w:ilvl="0">
      <w:lvlJc w:val="left"/>
      <w:lvlText w:val="(%1)"/>
      <w:numFmt w:val="decimal"/>
      <w:start w:val="2"/>
    </w:lvl>
    <w:lvl w:ilvl="1">
      <w:lvlJc w:val="left"/>
      <w:lvlText w:val="(%2)"/>
      <w:numFmt w:val="lowerRoman"/>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lvl w:ilvl="1">
      <w:lvlJc w:val="left"/>
      <w:lvlText w:val="(%2)"/>
      <w:numFmt w:val="lowerRoman"/>
      <w:start w:val="1"/>
    </w:lvl>
  </w:abstractNum>
  <w:abstractNum w:abstractNumId="26">
    <w:nsid w:val="71F32454"/>
    <w:multiLevelType w:val="hybridMultilevel"/>
    <w:lvl w:ilvl="0">
      <w:lvlJc w:val="left"/>
      <w:lvlText w:val="(%1)"/>
      <w:numFmt w:val="lowerLetter"/>
      <w:start w:val="2"/>
    </w:lvl>
    <w:lvl w:ilvl="1">
      <w:lvlJc w:val="left"/>
      <w:lvlText w:val="%2"/>
      <w:numFmt w:val="lowerRoman"/>
      <w:start w:val="1"/>
    </w:lvl>
  </w:abstractNum>
  <w:abstractNum w:abstractNumId="27">
    <w:nsid w:val="2CA8861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2019-12-05T09:02:50Z</dcterms:created>
  <dcterms:modified xsi:type="dcterms:W3CDTF">2019-12-05T09:02:50Z</dcterms:modified>
</cp:coreProperties>
</file>