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150495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9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169545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7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July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156845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0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159385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74"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3980" w:type="dxa"/>
            <w:vAlign w:val="bottom"/>
          </w:tcPr>
          <w:p>
            <w:pPr>
              <w:jc w:val="center"/>
              <w:ind w:right="2281"/>
              <w:spacing w:after="0"/>
              <w:rPr>
                <w:sz w:val="20"/>
                <w:szCs w:val="20"/>
                <w:color w:val="auto"/>
              </w:rPr>
            </w:pPr>
            <w:r>
              <w:rPr>
                <w:rFonts w:ascii="Arial" w:cs="Arial" w:eastAsia="Arial" w:hAnsi="Arial"/>
                <w:sz w:val="18"/>
                <w:szCs w:val="18"/>
                <w:b w:val="1"/>
                <w:bCs w:val="1"/>
                <w:color w:val="auto"/>
                <w:w w:val="98"/>
              </w:rPr>
              <w:t>Maryland</w:t>
            </w:r>
          </w:p>
        </w:tc>
        <w:tc>
          <w:tcPr>
            <w:tcW w:w="2340" w:type="dxa"/>
            <w:vAlign w:val="bottom"/>
          </w:tcPr>
          <w:p>
            <w:pPr>
              <w:jc w:val="center"/>
              <w:ind w:right="1102"/>
              <w:spacing w:after="0"/>
              <w:rPr>
                <w:sz w:val="20"/>
                <w:szCs w:val="20"/>
                <w:color w:val="auto"/>
              </w:rPr>
            </w:pPr>
            <w:r>
              <w:rPr>
                <w:rFonts w:ascii="Arial" w:cs="Arial" w:eastAsia="Arial" w:hAnsi="Arial"/>
                <w:sz w:val="18"/>
                <w:szCs w:val="18"/>
                <w:b w:val="1"/>
                <w:bCs w:val="1"/>
                <w:color w:val="auto"/>
                <w:w w:val="90"/>
              </w:rPr>
              <w:t>1-07533</w:t>
            </w:r>
          </w:p>
        </w:tc>
        <w:tc>
          <w:tcPr>
            <w:tcW w:w="244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52-0782497</w:t>
            </w:r>
          </w:p>
        </w:tc>
      </w:tr>
      <w:tr>
        <w:trPr>
          <w:trHeight w:val="149"/>
        </w:trPr>
        <w:tc>
          <w:tcPr>
            <w:tcW w:w="3980" w:type="dxa"/>
            <w:vAlign w:val="bottom"/>
          </w:tcPr>
          <w:p>
            <w:pPr>
              <w:jc w:val="center"/>
              <w:ind w:right="22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40" w:type="dxa"/>
            <w:vAlign w:val="bottom"/>
          </w:tcPr>
          <w:p>
            <w:pPr>
              <w:jc w:val="center"/>
              <w:ind w:right="108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980" w:type="dxa"/>
            <w:vAlign w:val="bottom"/>
          </w:tcPr>
          <w:p>
            <w:pPr>
              <w:jc w:val="center"/>
              <w:ind w:right="2281"/>
              <w:spacing w:after="0"/>
              <w:rPr>
                <w:sz w:val="20"/>
                <w:szCs w:val="20"/>
                <w:color w:val="auto"/>
              </w:rPr>
            </w:pPr>
            <w:r>
              <w:rPr>
                <w:rFonts w:ascii="Arial" w:cs="Arial" w:eastAsia="Arial" w:hAnsi="Arial"/>
                <w:sz w:val="14"/>
                <w:szCs w:val="14"/>
                <w:b w:val="1"/>
                <w:bCs w:val="1"/>
                <w:color w:val="auto"/>
                <w:w w:val="94"/>
              </w:rPr>
              <w:t>of incorporation)</w:t>
            </w:r>
          </w:p>
        </w:tc>
        <w:tc>
          <w:tcPr>
            <w:tcW w:w="2340" w:type="dxa"/>
            <w:vAlign w:val="bottom"/>
          </w:tcPr>
          <w:p>
            <w:pPr>
              <w:jc w:val="center"/>
              <w:ind w:right="1082"/>
              <w:spacing w:after="0"/>
              <w:rPr>
                <w:sz w:val="20"/>
                <w:szCs w:val="20"/>
                <w:color w:val="auto"/>
              </w:rPr>
            </w:pPr>
            <w:r>
              <w:rPr>
                <w:rFonts w:ascii="Arial" w:cs="Arial" w:eastAsia="Arial" w:hAnsi="Arial"/>
                <w:sz w:val="14"/>
                <w:szCs w:val="14"/>
                <w:b w:val="1"/>
                <w:bCs w:val="1"/>
                <w:color w:val="auto"/>
                <w:w w:val="95"/>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6320" w:type="dxa"/>
            <w:vAlign w:val="bottom"/>
            <w:gridSpan w:val="2"/>
          </w:tcPr>
          <w:p>
            <w:pPr>
              <w:jc w:val="center"/>
              <w:ind w:right="982"/>
              <w:spacing w:after="0"/>
              <w:rPr>
                <w:sz w:val="20"/>
                <w:szCs w:val="20"/>
                <w:color w:val="auto"/>
              </w:rPr>
            </w:pPr>
            <w:r>
              <w:rPr>
                <w:rFonts w:ascii="Arial" w:cs="Arial" w:eastAsia="Arial" w:hAnsi="Arial"/>
                <w:sz w:val="18"/>
                <w:szCs w:val="18"/>
                <w:b w:val="1"/>
                <w:bCs w:val="1"/>
                <w:color w:val="auto"/>
                <w:w w:val="90"/>
              </w:rPr>
              <w:t>1626 East Jefferson Street, Rockville, Maryland</w:t>
            </w:r>
          </w:p>
        </w:tc>
        <w:tc>
          <w:tcPr>
            <w:tcW w:w="2440" w:type="dxa"/>
            <w:vAlign w:val="bottom"/>
          </w:tcPr>
          <w:p>
            <w:pPr>
              <w:jc w:val="right"/>
              <w:spacing w:after="0"/>
              <w:rPr>
                <w:sz w:val="20"/>
                <w:szCs w:val="20"/>
                <w:color w:val="auto"/>
              </w:rPr>
            </w:pPr>
            <w:r>
              <w:rPr>
                <w:rFonts w:ascii="Arial" w:cs="Arial" w:eastAsia="Arial" w:hAnsi="Arial"/>
                <w:sz w:val="18"/>
                <w:szCs w:val="18"/>
                <w:b w:val="1"/>
                <w:bCs w:val="1"/>
                <w:color w:val="auto"/>
              </w:rPr>
              <w:t>20852-4041</w:t>
            </w:r>
          </w:p>
        </w:tc>
      </w:tr>
      <w:tr>
        <w:trPr>
          <w:trHeight w:val="186"/>
        </w:trPr>
        <w:tc>
          <w:tcPr>
            <w:tcW w:w="3980" w:type="dxa"/>
            <w:vAlign w:val="bottom"/>
          </w:tcPr>
          <w:p>
            <w:pPr>
              <w:jc w:val="center"/>
              <w:ind w:left="120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40" w:type="dxa"/>
            <w:vAlign w:val="bottom"/>
          </w:tcPr>
          <w:p>
            <w:pPr>
              <w:spacing w:after="0"/>
              <w:rPr>
                <w:sz w:val="16"/>
                <w:szCs w:val="16"/>
                <w:color w:val="auto"/>
              </w:rPr>
            </w:pPr>
          </w:p>
        </w:tc>
        <w:tc>
          <w:tcPr>
            <w:tcW w:w="2440" w:type="dxa"/>
            <w:vAlign w:val="bottom"/>
          </w:tcPr>
          <w:p>
            <w:pPr>
              <w:jc w:val="center"/>
              <w:ind w:left="1361"/>
              <w:spacing w:after="0"/>
              <w:rPr>
                <w:sz w:val="20"/>
                <w:szCs w:val="20"/>
                <w:color w:val="auto"/>
              </w:rPr>
            </w:pPr>
            <w:r>
              <w:rPr>
                <w:rFonts w:ascii="Arial" w:cs="Arial" w:eastAsia="Arial" w:hAnsi="Arial"/>
                <w:sz w:val="14"/>
                <w:szCs w:val="14"/>
                <w:b w:val="1"/>
                <w:bCs w:val="1"/>
                <w:color w:val="auto"/>
                <w:w w:val="98"/>
              </w:rPr>
              <w:t>(Zip Code)</w:t>
            </w:r>
          </w:p>
        </w:tc>
      </w:tr>
    </w:tbl>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172085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58"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3"/>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3"/>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Shares of Beneficial Interest, $.01 par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FRT</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value per share, with associated Common 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Depositary Shares, each representing 1/1000 of a</w:t>
            </w:r>
          </w:p>
        </w:tc>
        <w:tc>
          <w:tcPr>
            <w:tcW w:w="3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FRT-C</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1"/>
              </w:rPr>
              <w:t>share of 5.00% Series C Cumulative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Redeemable Preferred Stock, $.01 par value per</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146050</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17"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61" w:lineRule="exact"/>
        <w:rPr>
          <w:sz w:val="24"/>
          <w:szCs w:val="24"/>
          <w:color w:val="auto"/>
        </w:rPr>
      </w:pPr>
    </w:p>
    <w:p>
      <w:pPr>
        <w:ind w:right="200"/>
        <w:spacing w:after="0" w:line="233"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116205</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July 25, 2019, Federal Realty Investment Trust (the “Trust”) entered into an Amended and Restated Credit Agreement (the “Agreement”), by and among the Trust, as Borrower, the financial institutions party thereto and their permitted assignees, as Lenders, Wells Fargo Bank, National Association, as Administrative Agent (the “Administrative Agent”), PNC Bank, National Association, as Syndication Agent, and each of Wells Fargo Securities, LLC and PNC Capital Markets, LLC, as Joint Book Managers.</w:t>
      </w:r>
    </w:p>
    <w:p>
      <w:pPr>
        <w:spacing w:after="0" w:line="18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Agreement replaces that certain Credit Agreement, dated as of July 7, 2011 (the “Old Agreement”), by and among the Trust, as Borrower, and the financial institutions party thereto. The Old Agreement consisted of an $800.0 million unsecured revolving credit facility (the “Old Facility”) with a maturity date of April 20, 2020. As of June 30, 2019, the Old Facility bore interest at LIBOR plus 82.5 basis points, and the spread over LIBOR was subject to adjustment based on our credit rating.</w:t>
      </w:r>
    </w:p>
    <w:p>
      <w:pPr>
        <w:spacing w:after="0" w:line="187"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Agreement consists of a $1.0 billion unsecured revolving credit facility (the “New Facility”) with a maturity date of January 19, 2024, subject to two six-month extensions at the option of the Trust. The New Facility initially bears interest at a rate of LIBOR plus 77.5 basis points, and the spread over LIBOR is subject to adjustment based on our credit rating. Under an accordion feature, the Trust has the option to expand the borrowing capacity under the New Facility to up to $1.5 billion.</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Agreement contains a number of restrictions on the Trust’s business, including, but not limited to, restrictions on the Trust’s ability to incur indebtedness, make investments, incur liens, engage in certain affiliate transactions, and engage in major transactions such as mergers. In addition, the Trust is subject to various financial maintenance covenants, including, but not limited to, a minimum fixed charge coverage ratio, a maximum secured indebtedness ratio, and a minimum unencumbered leverage ratio. The Agreement also contains affirmative covenants and events of default, including, but not limited to, a cross default to the Trust’s other indebtedness and the occurrence of a change of control. The Trust’s failure to comply with these covenants, or the occurrence of an event of default, could result in acceleration of the Trust’s debt and other financial obligations under the Agreement. The Old Agreement contained covenants and events of default similar to the foregoing.</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Affiliates of certain lenders under the Agreement have served, and may serve in the future, as underwriters in connection with public offerings of equity and debt securities by the Trust, and an affiliate of the Administrative Agent serves as agent and/or principal pursuant to an equity distribution agreement in connection with the Trust’s “at the market” equity program. In addition, affiliates of certain lenders under the Agreement have provided from time to time, and may provide in the future, investment and commercial banking and financial advisory services to the Trust or its affiliates in the ordinary course of business for which they have received and may continue to receive customary fees and commissions.</w:t>
      </w:r>
    </w:p>
    <w:p>
      <w:pPr>
        <w:spacing w:after="0" w:line="1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foregoing does not constitute a complete summary of the terms and conditions of the Agreement, which is attached hereto as Exhibit 10.1, or of the Old Agreement, which was attached as Exhibit 10.1 to the Trust’s Current Report on Form 8-K filed with the Securities and Exchange Commission on July 11, 2011. The description contained herein of the terms and conditions of the Agreement and Old Agreement is qualified in its entirety by reference to the Agreement and Old Agreement, respectively.</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0"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1.02. Termination of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1.02 is included in Item 1.01 and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required by this Item 2.03 is included in Item 1.01 and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included in the Form 8-K:</w:t>
      </w:r>
    </w:p>
    <w:p>
      <w:pPr>
        <w:spacing w:after="0" w:line="244" w:lineRule="exact"/>
        <w:rPr>
          <w:sz w:val="20"/>
          <w:szCs w:val="20"/>
          <w:color w:val="auto"/>
        </w:rPr>
      </w:pPr>
    </w:p>
    <w:p>
      <w:pPr>
        <w:spacing w:after="0"/>
        <w:tabs>
          <w:tab w:leader="none" w:pos="130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15240</wp:posOffset>
            </wp:positionV>
            <wp:extent cx="6157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157595" cy="8890"/>
                    </a:xfrm>
                    <a:prstGeom prst="rect">
                      <a:avLst/>
                    </a:prstGeom>
                    <a:noFill/>
                  </pic:spPr>
                </pic:pic>
              </a:graphicData>
            </a:graphic>
          </wp:anchor>
        </w:drawing>
      </w:r>
    </w:p>
    <w:p>
      <w:pPr>
        <w:spacing w:after="0" w:line="97" w:lineRule="exact"/>
        <w:rPr>
          <w:sz w:val="20"/>
          <w:szCs w:val="20"/>
          <w:color w:val="auto"/>
        </w:rPr>
      </w:pPr>
    </w:p>
    <w:p>
      <w:pPr>
        <w:ind w:left="1320" w:hanging="1323"/>
        <w:spacing w:after="0" w:line="259" w:lineRule="auto"/>
        <w:tabs>
          <w:tab w:leader="none" w:pos="1300" w:val="left"/>
        </w:tabs>
        <w:rPr>
          <w:rFonts w:ascii="Arial" w:cs="Arial" w:eastAsia="Arial" w:hAnsi="Arial"/>
          <w:sz w:val="18"/>
          <w:szCs w:val="18"/>
          <w:u w:val="single" w:color="auto"/>
          <w:color w:val="0000EE"/>
        </w:rPr>
      </w:pPr>
      <w:r>
        <w:rPr>
          <w:rFonts w:ascii="Arial" w:cs="Arial" w:eastAsia="Arial" w:hAnsi="Arial"/>
          <w:sz w:val="18"/>
          <w:szCs w:val="18"/>
          <w:color w:val="auto"/>
        </w:rPr>
        <w:t>Exhibit 10.1</w:t>
      </w:r>
      <w:r>
        <w:rPr>
          <w:sz w:val="20"/>
          <w:szCs w:val="20"/>
          <w:color w:val="auto"/>
        </w:rPr>
        <w:tab/>
      </w:r>
      <w:hyperlink w:anchor="page5">
        <w:r>
          <w:rPr>
            <w:rFonts w:ascii="Arial" w:cs="Arial" w:eastAsia="Arial" w:hAnsi="Arial"/>
            <w:sz w:val="18"/>
            <w:szCs w:val="18"/>
            <w:u w:val="single" w:color="auto"/>
            <w:color w:val="0000EE"/>
          </w:rPr>
          <w:t>Amended and Restated Credit Agreement, dated as of July 25, 2019, by and among Federal Realty Investment Trust, as Borrower, the</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financial institutions party thereto and their permitted assignees, as Lenders, Wells Fargo Bank, National Association, as</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Administrative Agent, PNC Bank, National Association, as Syndication Agent, and each of Wells Fargo Securities, LLC and PNC</w:t>
        </w:r>
      </w:hyperlink>
      <w:r>
        <w:rPr>
          <w:rFonts w:ascii="Arial" w:cs="Arial" w:eastAsia="Arial" w:hAnsi="Arial"/>
          <w:sz w:val="18"/>
          <w:szCs w:val="18"/>
          <w:u w:val="single" w:color="auto"/>
          <w:color w:val="0000EE"/>
        </w:rPr>
        <w:t xml:space="preserve"> </w:t>
      </w:r>
      <w:hyperlink w:anchor="page5">
        <w:r>
          <w:rPr>
            <w:rFonts w:ascii="Arial" w:cs="Arial" w:eastAsia="Arial" w:hAnsi="Arial"/>
            <w:sz w:val="18"/>
            <w:szCs w:val="18"/>
            <w:u w:val="single" w:color="auto"/>
            <w:color w:val="0000EE"/>
          </w:rPr>
          <w:t>Capital Markets, LLC, as Joint Book Managers</w:t>
        </w:r>
      </w:hyperlink>
    </w:p>
    <w:p>
      <w:pPr>
        <w:spacing w:after="0" w:line="119" w:lineRule="exact"/>
        <w:rPr>
          <w:rFonts w:ascii="Arial" w:cs="Arial" w:eastAsia="Arial" w:hAnsi="Arial"/>
          <w:sz w:val="18"/>
          <w:szCs w:val="18"/>
          <w:u w:val="single" w:color="auto"/>
          <w:color w:val="0000EE"/>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 July 29,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President-General Counsel and Secretary</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680"/>
          </w:cols>
          <w:pgMar w:left="440" w:top="270" w:right="7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Loan Number: 1004039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718185</wp:posOffset>
            </wp:positionV>
            <wp:extent cx="6997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760730</wp:posOffset>
            </wp:positionV>
            <wp:extent cx="6997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14605</wp:posOffset>
            </wp:positionV>
            <wp:extent cx="617220"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1722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AMENDED AND RESTATED CREDIT AGREEMENT</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Dated as of July 25, 2019</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as Borrower,</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THE FINANCIAL INSTITUTIONS PARTY HERETO</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AND THEIR PERMITTED ASSIGNEES UNDER SECTION 12.6.,</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Lenders,</w:t>
      </w:r>
    </w:p>
    <w:p>
      <w:pPr>
        <w:spacing w:after="0" w:line="211"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Administrative Agent,</w:t>
      </w:r>
    </w:p>
    <w:p>
      <w:pPr>
        <w:spacing w:after="0" w:line="211" w:lineRule="exact"/>
        <w:rPr>
          <w:sz w:val="20"/>
          <w:szCs w:val="20"/>
          <w:color w:val="auto"/>
        </w:rPr>
      </w:pPr>
    </w:p>
    <w:p>
      <w:pPr>
        <w:ind w:left="2920"/>
        <w:spacing w:after="0"/>
        <w:rPr>
          <w:sz w:val="20"/>
          <w:szCs w:val="20"/>
          <w:color w:val="auto"/>
        </w:rPr>
      </w:pPr>
      <w:r>
        <w:rPr>
          <w:rFonts w:ascii="Arial" w:cs="Arial" w:eastAsia="Arial" w:hAnsi="Arial"/>
          <w:sz w:val="18"/>
          <w:szCs w:val="18"/>
          <w:color w:val="auto"/>
        </w:rPr>
        <w:t>PNC BANK, NATIONAL ASSOCIATION,</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ind w:left="312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as Joint Book Managers,</w:t>
      </w:r>
    </w:p>
    <w:p>
      <w:pPr>
        <w:spacing w:after="0" w:line="211"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WELLS FARGO SECURITIES, LLC</w:t>
      </w:r>
    </w:p>
    <w:p>
      <w:pPr>
        <w:spacing w:after="0" w:line="23" w:lineRule="exact"/>
        <w:rPr>
          <w:sz w:val="20"/>
          <w:szCs w:val="20"/>
          <w:color w:val="auto"/>
        </w:rPr>
      </w:pPr>
    </w:p>
    <w:p>
      <w:pPr>
        <w:ind w:left="3300"/>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U.S. BANK NATIONAL ASSOCIATION,</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REGIONS CAPITAL MARKETS,</w:t>
      </w:r>
    </w:p>
    <w:p>
      <w:pPr>
        <w:spacing w:after="0" w:line="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TD SECURITIES (USA) LLC</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 Joint Lead Arrangers,</w:t>
      </w:r>
    </w:p>
    <w:p>
      <w:pPr>
        <w:spacing w:after="0" w:line="211"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U.S. BANK NATIONAL ASSOCIATION,</w:t>
      </w:r>
    </w:p>
    <w:p>
      <w:pPr>
        <w:spacing w:after="0" w:line="23"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SUNTRUST BANK,</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TD BANK, N.A.,</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980"/>
        <w:spacing w:after="0"/>
        <w:rPr>
          <w:sz w:val="20"/>
          <w:szCs w:val="20"/>
          <w:color w:val="auto"/>
        </w:rPr>
      </w:pPr>
      <w:r>
        <w:rPr>
          <w:rFonts w:ascii="Arial" w:cs="Arial" w:eastAsia="Arial" w:hAnsi="Arial"/>
          <w:sz w:val="18"/>
          <w:szCs w:val="18"/>
          <w:color w:val="auto"/>
        </w:rPr>
        <w:t>REGIONS BANK</w:t>
      </w:r>
    </w:p>
    <w:p>
      <w:pPr>
        <w:spacing w:after="0" w:line="9"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-627380</wp:posOffset>
            </wp:positionH>
            <wp:positionV relativeFrom="paragraph">
              <wp:posOffset>40005</wp:posOffset>
            </wp:positionV>
            <wp:extent cx="6997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-627380</wp:posOffset>
            </wp:positionH>
            <wp:positionV relativeFrom="paragraph">
              <wp:posOffset>83185</wp:posOffset>
            </wp:positionV>
            <wp:extent cx="6997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0"/>
        </w:trPr>
        <w:tc>
          <w:tcPr>
            <w:tcW w:w="8940" w:type="dxa"/>
            <w:vAlign w:val="bottom"/>
          </w:tcPr>
          <w:p>
            <w:pPr>
              <w:ind w:left="4600"/>
              <w:spacing w:after="0"/>
              <w:rPr>
                <w:sz w:val="20"/>
                <w:szCs w:val="20"/>
                <w:color w:val="auto"/>
              </w:rPr>
            </w:pPr>
            <w:r>
              <w:rPr>
                <w:rFonts w:ascii="Arial" w:cs="Arial" w:eastAsia="Arial" w:hAnsi="Arial"/>
                <w:sz w:val="18"/>
                <w:szCs w:val="18"/>
                <w:color w:val="auto"/>
              </w:rPr>
              <w:t>TABLE OF CONTENTS</w:t>
            </w:r>
          </w:p>
        </w:tc>
        <w:tc>
          <w:tcPr>
            <w:tcW w:w="2040" w:type="dxa"/>
            <w:vAlign w:val="bottom"/>
          </w:tcPr>
          <w:p>
            <w:pPr>
              <w:spacing w:after="0"/>
              <w:rPr>
                <w:sz w:val="20"/>
                <w:szCs w:val="20"/>
                <w:color w:val="auto"/>
              </w:rPr>
            </w:pPr>
          </w:p>
        </w:tc>
      </w:tr>
      <w:tr>
        <w:trPr>
          <w:trHeight w:val="459"/>
        </w:trPr>
        <w:tc>
          <w:tcPr>
            <w:tcW w:w="8940" w:type="dxa"/>
            <w:vAlign w:val="bottom"/>
          </w:tcPr>
          <w:p>
            <w:pPr>
              <w:spacing w:after="0"/>
              <w:rPr>
                <w:sz w:val="20"/>
                <w:szCs w:val="20"/>
                <w:color w:val="auto"/>
              </w:rPr>
            </w:pPr>
            <w:r>
              <w:rPr>
                <w:rFonts w:ascii="Arial" w:cs="Arial" w:eastAsia="Arial" w:hAnsi="Arial"/>
                <w:sz w:val="18"/>
                <w:szCs w:val="18"/>
                <w:color w:val="auto"/>
              </w:rPr>
              <w:t>Article I. Definitions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8940" w:type="dxa"/>
            <w:vAlign w:val="bottom"/>
          </w:tcPr>
          <w:p>
            <w:pPr>
              <w:ind w:left="480"/>
              <w:spacing w:after="0"/>
              <w:rPr>
                <w:sz w:val="20"/>
                <w:szCs w:val="20"/>
                <w:color w:val="auto"/>
              </w:rPr>
            </w:pPr>
            <w:r>
              <w:rPr>
                <w:rFonts w:ascii="Arial" w:cs="Arial" w:eastAsia="Arial" w:hAnsi="Arial"/>
                <w:sz w:val="18"/>
                <w:szCs w:val="18"/>
                <w:color w:val="auto"/>
              </w:rPr>
              <w:t>Section 1.1. Definitions</w:t>
            </w:r>
          </w:p>
        </w:tc>
        <w:tc>
          <w:tcPr>
            <w:tcW w:w="20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1.2. General; References to Pacific Time</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1.3. Financial Attributes of Non-Wholly Owned Subsidiaries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8940" w:type="dxa"/>
            <w:vAlign w:val="bottom"/>
          </w:tcPr>
          <w:p>
            <w:pPr>
              <w:ind w:left="480"/>
              <w:spacing w:after="0"/>
              <w:rPr>
                <w:sz w:val="20"/>
                <w:szCs w:val="20"/>
                <w:color w:val="auto"/>
              </w:rPr>
            </w:pPr>
            <w:r>
              <w:rPr>
                <w:rFonts w:ascii="Arial" w:cs="Arial" w:eastAsia="Arial" w:hAnsi="Arial"/>
                <w:sz w:val="18"/>
                <w:szCs w:val="18"/>
                <w:color w:val="auto"/>
              </w:rPr>
              <w:t>Section 1.4. Rates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24"/>
        </w:trPr>
        <w:tc>
          <w:tcPr>
            <w:tcW w:w="8940" w:type="dxa"/>
            <w:vAlign w:val="bottom"/>
          </w:tcPr>
          <w:p>
            <w:pPr>
              <w:spacing w:after="0"/>
              <w:rPr>
                <w:sz w:val="20"/>
                <w:szCs w:val="20"/>
                <w:color w:val="auto"/>
              </w:rPr>
            </w:pPr>
            <w:r>
              <w:rPr>
                <w:rFonts w:ascii="Arial" w:cs="Arial" w:eastAsia="Arial" w:hAnsi="Arial"/>
                <w:sz w:val="18"/>
                <w:szCs w:val="18"/>
                <w:color w:val="auto"/>
              </w:rPr>
              <w:t>Article II. Credit Facility</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310"/>
        </w:trPr>
        <w:tc>
          <w:tcPr>
            <w:tcW w:w="8940" w:type="dxa"/>
            <w:vAlign w:val="bottom"/>
          </w:tcPr>
          <w:p>
            <w:pPr>
              <w:ind w:left="480"/>
              <w:spacing w:after="0"/>
              <w:rPr>
                <w:sz w:val="20"/>
                <w:szCs w:val="20"/>
                <w:color w:val="auto"/>
              </w:rPr>
            </w:pPr>
            <w:r>
              <w:rPr>
                <w:rFonts w:ascii="Arial" w:cs="Arial" w:eastAsia="Arial" w:hAnsi="Arial"/>
                <w:sz w:val="18"/>
                <w:szCs w:val="18"/>
                <w:color w:val="auto"/>
              </w:rPr>
              <w:t>Section 2.1. Revolving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2.2. Bid Rate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2.3. Letters of Credit</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2.4. Swingline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2.5. Rates and Payment of Interest on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2.6. Number of Interest Periods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2.7. Repayment of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2.8. Prepayments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2.9. Continuation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2.10. Conversion</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2.11. Notes</w:t>
            </w:r>
          </w:p>
        </w:tc>
        <w:tc>
          <w:tcPr>
            <w:tcW w:w="20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2.12. Voluntary Reductions of the Revolving Commitment</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2.13. Extension of Revolving Termination Date</w:t>
            </w:r>
          </w:p>
        </w:tc>
        <w:tc>
          <w:tcPr>
            <w:tcW w:w="204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2.14. Expiration Date of Letters of Credit Past Revolving Commitment Termination</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2.15. Amount Limitations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2.16. Increase in Revolving Commitments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8940" w:type="dxa"/>
            <w:vAlign w:val="bottom"/>
          </w:tcPr>
          <w:p>
            <w:pPr>
              <w:ind w:left="480"/>
              <w:spacing w:after="0"/>
              <w:rPr>
                <w:sz w:val="20"/>
                <w:szCs w:val="20"/>
                <w:color w:val="auto"/>
              </w:rPr>
            </w:pPr>
            <w:r>
              <w:rPr>
                <w:rFonts w:ascii="Arial" w:cs="Arial" w:eastAsia="Arial" w:hAnsi="Arial"/>
                <w:sz w:val="18"/>
                <w:szCs w:val="18"/>
                <w:color w:val="auto"/>
              </w:rPr>
              <w:t>Section 2.17. Funds Transfer Disbursements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24"/>
        </w:trPr>
        <w:tc>
          <w:tcPr>
            <w:tcW w:w="8940" w:type="dxa"/>
            <w:vAlign w:val="bottom"/>
          </w:tcPr>
          <w:p>
            <w:pPr>
              <w:spacing w:after="0"/>
              <w:rPr>
                <w:sz w:val="20"/>
                <w:szCs w:val="20"/>
                <w:color w:val="auto"/>
              </w:rPr>
            </w:pPr>
            <w:r>
              <w:rPr>
                <w:rFonts w:ascii="Arial" w:cs="Arial" w:eastAsia="Arial" w:hAnsi="Arial"/>
                <w:sz w:val="18"/>
                <w:szCs w:val="18"/>
                <w:color w:val="auto"/>
              </w:rPr>
              <w:t>Article III. Payments, Fees and Other General Provisions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0"/>
        </w:trPr>
        <w:tc>
          <w:tcPr>
            <w:tcW w:w="8940" w:type="dxa"/>
            <w:vAlign w:val="bottom"/>
          </w:tcPr>
          <w:p>
            <w:pPr>
              <w:ind w:left="480"/>
              <w:spacing w:after="0"/>
              <w:rPr>
                <w:sz w:val="20"/>
                <w:szCs w:val="20"/>
                <w:color w:val="auto"/>
              </w:rPr>
            </w:pPr>
            <w:r>
              <w:rPr>
                <w:rFonts w:ascii="Arial" w:cs="Arial" w:eastAsia="Arial" w:hAnsi="Arial"/>
                <w:sz w:val="18"/>
                <w:szCs w:val="18"/>
                <w:color w:val="auto"/>
              </w:rPr>
              <w:t>Section 3.1. Payments</w:t>
            </w: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3.2. Pro Rata Treatment</w:t>
            </w:r>
          </w:p>
        </w:tc>
        <w:tc>
          <w:tcPr>
            <w:tcW w:w="204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3.3. Sharing of Payments, Etc.</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3.4. Several Obligations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3.5. Fees</w:t>
            </w:r>
          </w:p>
        </w:tc>
        <w:tc>
          <w:tcPr>
            <w:tcW w:w="20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3.6. Computations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3.7. Usury</w:t>
            </w:r>
          </w:p>
        </w:tc>
        <w:tc>
          <w:tcPr>
            <w:tcW w:w="20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3.8. Statements of Account</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3.9. Defaulting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0"/>
        </w:trPr>
        <w:tc>
          <w:tcPr>
            <w:tcW w:w="8940" w:type="dxa"/>
            <w:vAlign w:val="bottom"/>
          </w:tcPr>
          <w:p>
            <w:pPr>
              <w:ind w:left="480"/>
              <w:spacing w:after="0"/>
              <w:rPr>
                <w:sz w:val="20"/>
                <w:szCs w:val="20"/>
                <w:color w:val="auto"/>
              </w:rPr>
            </w:pPr>
            <w:r>
              <w:rPr>
                <w:rFonts w:ascii="Arial" w:cs="Arial" w:eastAsia="Arial" w:hAnsi="Arial"/>
                <w:sz w:val="18"/>
                <w:szCs w:val="18"/>
                <w:color w:val="auto"/>
              </w:rPr>
              <w:t>Section 3.10. Taxes; Foreign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8940" w:type="dxa"/>
            <w:vAlign w:val="bottom"/>
          </w:tcPr>
          <w:p>
            <w:pPr>
              <w:spacing w:after="0"/>
              <w:rPr>
                <w:sz w:val="20"/>
                <w:szCs w:val="20"/>
                <w:color w:val="auto"/>
              </w:rPr>
            </w:pPr>
            <w:r>
              <w:rPr>
                <w:rFonts w:ascii="Arial" w:cs="Arial" w:eastAsia="Arial" w:hAnsi="Arial"/>
                <w:sz w:val="18"/>
                <w:szCs w:val="18"/>
                <w:color w:val="auto"/>
              </w:rPr>
              <w:t>Article IV. Yield Protection, Etc.</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10"/>
        </w:trPr>
        <w:tc>
          <w:tcPr>
            <w:tcW w:w="8940" w:type="dxa"/>
            <w:vAlign w:val="bottom"/>
          </w:tcPr>
          <w:p>
            <w:pPr>
              <w:ind w:left="480"/>
              <w:spacing w:after="0"/>
              <w:rPr>
                <w:sz w:val="20"/>
                <w:szCs w:val="20"/>
                <w:color w:val="auto"/>
              </w:rPr>
            </w:pPr>
            <w:r>
              <w:rPr>
                <w:rFonts w:ascii="Arial" w:cs="Arial" w:eastAsia="Arial" w:hAnsi="Arial"/>
                <w:sz w:val="18"/>
                <w:szCs w:val="18"/>
                <w:color w:val="auto"/>
              </w:rPr>
              <w:t>Section 4.1. Additional Costs; Capital Adequacy</w:t>
            </w:r>
          </w:p>
        </w:tc>
        <w:tc>
          <w:tcPr>
            <w:tcW w:w="204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4.2. Inability to Determine Interest Rates; Alternative Rate of Interest</w:t>
            </w:r>
          </w:p>
        </w:tc>
        <w:tc>
          <w:tcPr>
            <w:tcW w:w="204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4.3. Illegality</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4.4. Compensation</w:t>
            </w:r>
          </w:p>
        </w:tc>
        <w:tc>
          <w:tcPr>
            <w:tcW w:w="204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4.5. Treatment of Affected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4.6. Affected Lenders</w:t>
            </w:r>
          </w:p>
        </w:tc>
        <w:tc>
          <w:tcPr>
            <w:tcW w:w="204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8940" w:type="dxa"/>
            <w:vAlign w:val="bottom"/>
          </w:tcPr>
          <w:p>
            <w:pPr>
              <w:ind w:left="480"/>
              <w:spacing w:after="0"/>
              <w:rPr>
                <w:sz w:val="20"/>
                <w:szCs w:val="20"/>
                <w:color w:val="auto"/>
              </w:rPr>
            </w:pPr>
            <w:r>
              <w:rPr>
                <w:rFonts w:ascii="Arial" w:cs="Arial" w:eastAsia="Arial" w:hAnsi="Arial"/>
                <w:sz w:val="18"/>
                <w:szCs w:val="18"/>
                <w:color w:val="auto"/>
              </w:rPr>
              <w:t>Section 4.7. Change of Lending Office</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8940" w:type="dxa"/>
            <w:vAlign w:val="bottom"/>
          </w:tcPr>
          <w:p>
            <w:pPr>
              <w:ind w:left="480"/>
              <w:spacing w:after="0"/>
              <w:rPr>
                <w:sz w:val="20"/>
                <w:szCs w:val="20"/>
                <w:color w:val="auto"/>
              </w:rPr>
            </w:pPr>
            <w:r>
              <w:rPr>
                <w:rFonts w:ascii="Arial" w:cs="Arial" w:eastAsia="Arial" w:hAnsi="Arial"/>
                <w:sz w:val="18"/>
                <w:szCs w:val="18"/>
                <w:color w:val="auto"/>
              </w:rPr>
              <w:t>Section 4.8. Assumptions Concerning Funding of LIBOR Loans</w:t>
            </w:r>
          </w:p>
        </w:tc>
        <w:tc>
          <w:tcPr>
            <w:tcW w:w="204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 -</w:t>
      </w:r>
    </w:p>
    <w:p>
      <w:pPr>
        <w:sectPr>
          <w:pgSz w:w="11900" w:h="16838" w:orient="portrait"/>
          <w:cols w:equalWidth="0" w:num="1">
            <w:col w:w="10980"/>
          </w:cols>
          <w:pgMar w:left="440" w:top="274" w:right="4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10480" w:type="dxa"/>
            <w:vAlign w:val="bottom"/>
          </w:tcPr>
          <w:p>
            <w:pPr>
              <w:spacing w:after="0"/>
              <w:rPr>
                <w:sz w:val="20"/>
                <w:szCs w:val="20"/>
                <w:color w:val="auto"/>
              </w:rPr>
            </w:pPr>
            <w:r>
              <w:rPr>
                <w:rFonts w:ascii="Arial" w:cs="Arial" w:eastAsia="Arial" w:hAnsi="Arial"/>
                <w:sz w:val="18"/>
                <w:szCs w:val="18"/>
                <w:color w:val="auto"/>
              </w:rPr>
              <w:t>Article V. Conditions Precedent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310"/>
        </w:trPr>
        <w:tc>
          <w:tcPr>
            <w:tcW w:w="10480" w:type="dxa"/>
            <w:vAlign w:val="bottom"/>
          </w:tcPr>
          <w:p>
            <w:pPr>
              <w:ind w:left="480"/>
              <w:spacing w:after="0"/>
              <w:rPr>
                <w:sz w:val="20"/>
                <w:szCs w:val="20"/>
                <w:color w:val="auto"/>
              </w:rPr>
            </w:pPr>
            <w:r>
              <w:rPr>
                <w:rFonts w:ascii="Arial" w:cs="Arial" w:eastAsia="Arial" w:hAnsi="Arial"/>
                <w:sz w:val="18"/>
                <w:szCs w:val="18"/>
                <w:color w:val="auto"/>
              </w:rPr>
              <w:t>Section 5.1. Initial Conditions Precedent</w:t>
            </w:r>
          </w:p>
        </w:tc>
        <w:tc>
          <w:tcPr>
            <w:tcW w:w="5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30"/>
        </w:trPr>
        <w:tc>
          <w:tcPr>
            <w:tcW w:w="10480" w:type="dxa"/>
            <w:vAlign w:val="bottom"/>
          </w:tcPr>
          <w:p>
            <w:pPr>
              <w:ind w:left="480"/>
              <w:spacing w:after="0"/>
              <w:rPr>
                <w:sz w:val="20"/>
                <w:szCs w:val="20"/>
                <w:color w:val="auto"/>
              </w:rPr>
            </w:pPr>
            <w:r>
              <w:rPr>
                <w:rFonts w:ascii="Arial" w:cs="Arial" w:eastAsia="Arial" w:hAnsi="Arial"/>
                <w:sz w:val="18"/>
                <w:szCs w:val="18"/>
                <w:color w:val="auto"/>
              </w:rPr>
              <w:t>Section 5.2. Conditions Precedent to All Loans and Letters of Credit</w:t>
            </w:r>
          </w:p>
        </w:tc>
        <w:tc>
          <w:tcPr>
            <w:tcW w:w="5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324"/>
        </w:trPr>
        <w:tc>
          <w:tcPr>
            <w:tcW w:w="10480" w:type="dxa"/>
            <w:vAlign w:val="bottom"/>
          </w:tcPr>
          <w:p>
            <w:pPr>
              <w:spacing w:after="0"/>
              <w:rPr>
                <w:sz w:val="20"/>
                <w:szCs w:val="20"/>
                <w:color w:val="auto"/>
              </w:rPr>
            </w:pPr>
            <w:r>
              <w:rPr>
                <w:rFonts w:ascii="Arial" w:cs="Arial" w:eastAsia="Arial" w:hAnsi="Arial"/>
                <w:sz w:val="18"/>
                <w:szCs w:val="18"/>
                <w:color w:val="auto"/>
              </w:rPr>
              <w:t>Article VI. Representations and Warranties</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310"/>
        </w:trPr>
        <w:tc>
          <w:tcPr>
            <w:tcW w:w="10480" w:type="dxa"/>
            <w:vAlign w:val="bottom"/>
          </w:tcPr>
          <w:p>
            <w:pPr>
              <w:ind w:left="480"/>
              <w:spacing w:after="0"/>
              <w:rPr>
                <w:sz w:val="20"/>
                <w:szCs w:val="20"/>
                <w:color w:val="auto"/>
              </w:rPr>
            </w:pPr>
            <w:r>
              <w:rPr>
                <w:rFonts w:ascii="Arial" w:cs="Arial" w:eastAsia="Arial" w:hAnsi="Arial"/>
                <w:sz w:val="18"/>
                <w:szCs w:val="18"/>
                <w:color w:val="auto"/>
              </w:rPr>
              <w:t>Section 6.1. Representations and Warranties</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10480" w:type="dxa"/>
            <w:vAlign w:val="bottom"/>
          </w:tcPr>
          <w:p>
            <w:pPr>
              <w:ind w:left="480"/>
              <w:spacing w:after="0"/>
              <w:rPr>
                <w:sz w:val="20"/>
                <w:szCs w:val="20"/>
                <w:color w:val="auto"/>
              </w:rPr>
            </w:pPr>
            <w:r>
              <w:rPr>
                <w:rFonts w:ascii="Arial" w:cs="Arial" w:eastAsia="Arial" w:hAnsi="Arial"/>
                <w:sz w:val="18"/>
                <w:szCs w:val="18"/>
                <w:color w:val="auto"/>
              </w:rPr>
              <w:t>Section 6.2. Survival of Representations and Warranties, Etc.</w:t>
            </w:r>
          </w:p>
        </w:tc>
        <w:tc>
          <w:tcPr>
            <w:tcW w:w="5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24"/>
        </w:trPr>
        <w:tc>
          <w:tcPr>
            <w:tcW w:w="10480" w:type="dxa"/>
            <w:vAlign w:val="bottom"/>
          </w:tcPr>
          <w:p>
            <w:pPr>
              <w:spacing w:after="0"/>
              <w:rPr>
                <w:sz w:val="20"/>
                <w:szCs w:val="20"/>
                <w:color w:val="auto"/>
              </w:rPr>
            </w:pPr>
            <w:r>
              <w:rPr>
                <w:rFonts w:ascii="Arial" w:cs="Arial" w:eastAsia="Arial" w:hAnsi="Arial"/>
                <w:sz w:val="18"/>
                <w:szCs w:val="18"/>
                <w:color w:val="auto"/>
              </w:rPr>
              <w:t>Article VII. Affirmative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310"/>
        </w:trPr>
        <w:tc>
          <w:tcPr>
            <w:tcW w:w="10480" w:type="dxa"/>
            <w:vAlign w:val="bottom"/>
          </w:tcPr>
          <w:p>
            <w:pPr>
              <w:ind w:left="480"/>
              <w:spacing w:after="0"/>
              <w:rPr>
                <w:sz w:val="20"/>
                <w:szCs w:val="20"/>
                <w:color w:val="auto"/>
              </w:rPr>
            </w:pPr>
            <w:r>
              <w:rPr>
                <w:rFonts w:ascii="Arial" w:cs="Arial" w:eastAsia="Arial" w:hAnsi="Arial"/>
                <w:sz w:val="18"/>
                <w:szCs w:val="18"/>
                <w:color w:val="auto"/>
              </w:rPr>
              <w:t>Section 7.1. Preservation of Existence and Similar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7.2. Compliance with Applicable Law and Material Contracts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7.3. Maintenance of Property</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7.4. Conduct of Business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7.5. Insurance</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7.6. Payment of Taxes and Claims</w:t>
            </w: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7.7. Books and Records; Inspections</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7.8.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7.9. Environmental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7.10. Further Assurances</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w w:val="95"/>
              </w:rPr>
              <w:t>Section 7.11. Compliance with Anti-Corruption Laws; Beneficial Ownership Regulation, Anti-Money Laundering Laws and Sanctions</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7.12. REIT Status</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7.13. Exchange Listing</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10480" w:type="dxa"/>
            <w:vAlign w:val="bottom"/>
          </w:tcPr>
          <w:p>
            <w:pPr>
              <w:ind w:left="480"/>
              <w:spacing w:after="0"/>
              <w:rPr>
                <w:sz w:val="20"/>
                <w:szCs w:val="20"/>
                <w:color w:val="auto"/>
              </w:rPr>
            </w:pPr>
            <w:r>
              <w:rPr>
                <w:rFonts w:ascii="Arial" w:cs="Arial" w:eastAsia="Arial" w:hAnsi="Arial"/>
                <w:sz w:val="18"/>
                <w:szCs w:val="18"/>
                <w:color w:val="auto"/>
              </w:rPr>
              <w:t>Section 7.14. Guarantors</w:t>
            </w:r>
          </w:p>
        </w:tc>
        <w:tc>
          <w:tcPr>
            <w:tcW w:w="5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24"/>
        </w:trPr>
        <w:tc>
          <w:tcPr>
            <w:tcW w:w="10480" w:type="dxa"/>
            <w:vAlign w:val="bottom"/>
          </w:tcPr>
          <w:p>
            <w:pPr>
              <w:spacing w:after="0"/>
              <w:rPr>
                <w:sz w:val="20"/>
                <w:szCs w:val="20"/>
                <w:color w:val="auto"/>
              </w:rPr>
            </w:pPr>
            <w:r>
              <w:rPr>
                <w:rFonts w:ascii="Arial" w:cs="Arial" w:eastAsia="Arial" w:hAnsi="Arial"/>
                <w:sz w:val="18"/>
                <w:szCs w:val="18"/>
                <w:color w:val="auto"/>
              </w:rPr>
              <w:t>Article VIII.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10"/>
        </w:trPr>
        <w:tc>
          <w:tcPr>
            <w:tcW w:w="10480" w:type="dxa"/>
            <w:vAlign w:val="bottom"/>
          </w:tcPr>
          <w:p>
            <w:pPr>
              <w:ind w:left="480"/>
              <w:spacing w:after="0"/>
              <w:rPr>
                <w:sz w:val="20"/>
                <w:szCs w:val="20"/>
                <w:color w:val="auto"/>
              </w:rPr>
            </w:pPr>
            <w:r>
              <w:rPr>
                <w:rFonts w:ascii="Arial" w:cs="Arial" w:eastAsia="Arial" w:hAnsi="Arial"/>
                <w:sz w:val="18"/>
                <w:szCs w:val="18"/>
                <w:color w:val="auto"/>
              </w:rPr>
              <w:t>Section 8.1. Quarterly Financial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8.2. Year-End Statements</w:t>
            </w:r>
          </w:p>
        </w:tc>
        <w:tc>
          <w:tcPr>
            <w:tcW w:w="5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8.3. Compliance Certificate</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8.4. Other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8.5. Electronic Delivery of Certain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8.6. Public/Private Information</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10480" w:type="dxa"/>
            <w:vAlign w:val="bottom"/>
          </w:tcPr>
          <w:p>
            <w:pPr>
              <w:ind w:left="480"/>
              <w:spacing w:after="0"/>
              <w:rPr>
                <w:sz w:val="20"/>
                <w:szCs w:val="20"/>
                <w:color w:val="auto"/>
              </w:rPr>
            </w:pPr>
            <w:r>
              <w:rPr>
                <w:rFonts w:ascii="Arial" w:cs="Arial" w:eastAsia="Arial" w:hAnsi="Arial"/>
                <w:sz w:val="18"/>
                <w:szCs w:val="18"/>
                <w:color w:val="auto"/>
              </w:rPr>
              <w:t>Section 8.7. USA Patriot Act Notice; Compliance</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10480" w:type="dxa"/>
            <w:vAlign w:val="bottom"/>
          </w:tcPr>
          <w:p>
            <w:pPr>
              <w:spacing w:after="0"/>
              <w:rPr>
                <w:sz w:val="20"/>
                <w:szCs w:val="20"/>
                <w:color w:val="auto"/>
              </w:rPr>
            </w:pPr>
            <w:r>
              <w:rPr>
                <w:rFonts w:ascii="Arial" w:cs="Arial" w:eastAsia="Arial" w:hAnsi="Arial"/>
                <w:sz w:val="18"/>
                <w:szCs w:val="18"/>
                <w:color w:val="auto"/>
              </w:rPr>
              <w:t>Article IX. Negative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10"/>
        </w:trPr>
        <w:tc>
          <w:tcPr>
            <w:tcW w:w="10480" w:type="dxa"/>
            <w:vAlign w:val="bottom"/>
          </w:tcPr>
          <w:p>
            <w:pPr>
              <w:ind w:left="480"/>
              <w:spacing w:after="0"/>
              <w:rPr>
                <w:sz w:val="20"/>
                <w:szCs w:val="20"/>
                <w:color w:val="auto"/>
              </w:rPr>
            </w:pPr>
            <w:r>
              <w:rPr>
                <w:rFonts w:ascii="Arial" w:cs="Arial" w:eastAsia="Arial" w:hAnsi="Arial"/>
                <w:sz w:val="18"/>
                <w:szCs w:val="18"/>
                <w:color w:val="auto"/>
              </w:rPr>
              <w:t>Section 9.1. Financial Covenants</w:t>
            </w:r>
          </w:p>
        </w:tc>
        <w:tc>
          <w:tcPr>
            <w:tcW w:w="5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9.2. [Intentionally Omitted]</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9.3. Liens; Negative Pledges</w:t>
            </w: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9.4. Restrictions on Intercompany Transfers</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9.5. Merger, Consolidation, Sales of Assets and Other Arrangements</w:t>
            </w:r>
          </w:p>
        </w:tc>
        <w:tc>
          <w:tcPr>
            <w:tcW w:w="5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9.6. Plans</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9.7. Fiscal Year</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9.8. Modifications of Organizational Documents</w:t>
            </w:r>
          </w:p>
        </w:tc>
        <w:tc>
          <w:tcPr>
            <w:tcW w:w="5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9.9. Transactions with Affiliates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9.10. Environmental Matters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9.11. Non-Controlled Properties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0480" w:type="dxa"/>
            <w:vAlign w:val="bottom"/>
          </w:tcPr>
          <w:p>
            <w:pPr>
              <w:ind w:left="480"/>
              <w:spacing w:after="0"/>
              <w:rPr>
                <w:sz w:val="20"/>
                <w:szCs w:val="20"/>
                <w:color w:val="auto"/>
              </w:rPr>
            </w:pPr>
            <w:r>
              <w:rPr>
                <w:rFonts w:ascii="Arial" w:cs="Arial" w:eastAsia="Arial" w:hAnsi="Arial"/>
                <w:sz w:val="18"/>
                <w:szCs w:val="18"/>
                <w:color w:val="auto"/>
              </w:rPr>
              <w:t>Section 9.12. Derivatives Contracts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0480" w:type="dxa"/>
            <w:vAlign w:val="bottom"/>
          </w:tcPr>
          <w:p>
            <w:pPr>
              <w:ind w:left="480"/>
              <w:spacing w:after="0"/>
              <w:rPr>
                <w:sz w:val="20"/>
                <w:szCs w:val="20"/>
                <w:color w:val="auto"/>
              </w:rPr>
            </w:pPr>
            <w:r>
              <w:rPr>
                <w:rFonts w:ascii="Arial" w:cs="Arial" w:eastAsia="Arial" w:hAnsi="Arial"/>
                <w:sz w:val="18"/>
                <w:szCs w:val="18"/>
                <w:color w:val="auto"/>
              </w:rPr>
              <w:t>Section 9.13. Use of Proceeds</w:t>
            </w:r>
          </w:p>
        </w:tc>
        <w:tc>
          <w:tcPr>
            <w:tcW w:w="50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ii -</w:t>
      </w:r>
    </w:p>
    <w:p>
      <w:pPr>
        <w:sectPr>
          <w:pgSz w:w="11900" w:h="16838" w:orient="portrait"/>
          <w:cols w:equalWidth="0" w:num="1">
            <w:col w:w="10980"/>
          </w:cols>
          <w:pgMar w:left="440" w:top="274"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Article X.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310"/>
        </w:trPr>
        <w:tc>
          <w:tcPr>
            <w:tcW w:w="8720" w:type="dxa"/>
            <w:vAlign w:val="bottom"/>
          </w:tcPr>
          <w:p>
            <w:pPr>
              <w:ind w:left="480"/>
              <w:spacing w:after="0"/>
              <w:rPr>
                <w:sz w:val="20"/>
                <w:szCs w:val="20"/>
                <w:color w:val="auto"/>
              </w:rPr>
            </w:pPr>
            <w:r>
              <w:rPr>
                <w:rFonts w:ascii="Arial" w:cs="Arial" w:eastAsia="Arial" w:hAnsi="Arial"/>
                <w:sz w:val="18"/>
                <w:szCs w:val="18"/>
                <w:color w:val="auto"/>
              </w:rPr>
              <w:t>Section 10.1. Events of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10.2. Remedies Upon Event of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10.3. Remedies Upon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10.4. Marshaling; Payments Set Aside</w:t>
            </w:r>
          </w:p>
        </w:tc>
        <w:tc>
          <w:tcPr>
            <w:tcW w:w="2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10.5. Allocation of Proceeds</w:t>
            </w:r>
          </w:p>
        </w:tc>
        <w:tc>
          <w:tcPr>
            <w:tcW w:w="22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10.6. Letter of Credit Collateral Account</w:t>
            </w:r>
          </w:p>
        </w:tc>
        <w:tc>
          <w:tcPr>
            <w:tcW w:w="22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10.7. Rescission of Acceleration by Requisite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10.8. Performance by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8720" w:type="dxa"/>
            <w:vAlign w:val="bottom"/>
          </w:tcPr>
          <w:p>
            <w:pPr>
              <w:ind w:left="480"/>
              <w:spacing w:after="0"/>
              <w:rPr>
                <w:sz w:val="20"/>
                <w:szCs w:val="20"/>
                <w:color w:val="auto"/>
              </w:rPr>
            </w:pPr>
            <w:r>
              <w:rPr>
                <w:rFonts w:ascii="Arial" w:cs="Arial" w:eastAsia="Arial" w:hAnsi="Arial"/>
                <w:sz w:val="18"/>
                <w:szCs w:val="18"/>
                <w:color w:val="auto"/>
              </w:rPr>
              <w:t>Section 10.9. Rights Cumulative</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8720" w:type="dxa"/>
            <w:vAlign w:val="bottom"/>
          </w:tcPr>
          <w:p>
            <w:pPr>
              <w:spacing w:after="0"/>
              <w:rPr>
                <w:sz w:val="20"/>
                <w:szCs w:val="20"/>
                <w:color w:val="auto"/>
              </w:rPr>
            </w:pPr>
            <w:r>
              <w:rPr>
                <w:rFonts w:ascii="Arial" w:cs="Arial" w:eastAsia="Arial" w:hAnsi="Arial"/>
                <w:sz w:val="18"/>
                <w:szCs w:val="18"/>
                <w:color w:val="auto"/>
              </w:rPr>
              <w:t>Article XI. The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10"/>
        </w:trPr>
        <w:tc>
          <w:tcPr>
            <w:tcW w:w="8720" w:type="dxa"/>
            <w:vAlign w:val="bottom"/>
          </w:tcPr>
          <w:p>
            <w:pPr>
              <w:ind w:left="480"/>
              <w:spacing w:after="0"/>
              <w:rPr>
                <w:sz w:val="20"/>
                <w:szCs w:val="20"/>
                <w:color w:val="auto"/>
              </w:rPr>
            </w:pPr>
            <w:r>
              <w:rPr>
                <w:rFonts w:ascii="Arial" w:cs="Arial" w:eastAsia="Arial" w:hAnsi="Arial"/>
                <w:sz w:val="18"/>
                <w:szCs w:val="18"/>
                <w:color w:val="auto"/>
              </w:rPr>
              <w:t>Section 11.1. Appointment and Authorization</w:t>
            </w:r>
          </w:p>
        </w:tc>
        <w:tc>
          <w:tcPr>
            <w:tcW w:w="22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11.2. Wells Fargo as Lender</w:t>
            </w:r>
          </w:p>
        </w:tc>
        <w:tc>
          <w:tcPr>
            <w:tcW w:w="226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11.3. Approvals of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11.4. Notice of Events of Default</w:t>
            </w:r>
          </w:p>
        </w:tc>
        <w:tc>
          <w:tcPr>
            <w:tcW w:w="22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11.5. Administrative Agent’s Reliance</w:t>
            </w:r>
          </w:p>
        </w:tc>
        <w:tc>
          <w:tcPr>
            <w:tcW w:w="226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11.6. Indemnification of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11.7. Lender Credit Decision, Etc.</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11.8. Successor Administrative Agent</w:t>
            </w:r>
          </w:p>
        </w:tc>
        <w:tc>
          <w:tcPr>
            <w:tcW w:w="22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30"/>
        </w:trPr>
        <w:tc>
          <w:tcPr>
            <w:tcW w:w="8720" w:type="dxa"/>
            <w:vAlign w:val="bottom"/>
          </w:tcPr>
          <w:p>
            <w:pPr>
              <w:ind w:left="480"/>
              <w:spacing w:after="0"/>
              <w:rPr>
                <w:sz w:val="20"/>
                <w:szCs w:val="20"/>
                <w:color w:val="auto"/>
              </w:rPr>
            </w:pPr>
            <w:r>
              <w:rPr>
                <w:rFonts w:ascii="Arial" w:cs="Arial" w:eastAsia="Arial" w:hAnsi="Arial"/>
                <w:sz w:val="18"/>
                <w:szCs w:val="18"/>
                <w:color w:val="auto"/>
              </w:rPr>
              <w:t>Section 11.9. Titled Agents</w:t>
            </w:r>
          </w:p>
        </w:tc>
        <w:tc>
          <w:tcPr>
            <w:tcW w:w="22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324"/>
        </w:trPr>
        <w:tc>
          <w:tcPr>
            <w:tcW w:w="8720" w:type="dxa"/>
            <w:vAlign w:val="bottom"/>
          </w:tcPr>
          <w:p>
            <w:pPr>
              <w:spacing w:after="0"/>
              <w:rPr>
                <w:sz w:val="20"/>
                <w:szCs w:val="20"/>
                <w:color w:val="auto"/>
              </w:rPr>
            </w:pPr>
            <w:r>
              <w:rPr>
                <w:rFonts w:ascii="Arial" w:cs="Arial" w:eastAsia="Arial" w:hAnsi="Arial"/>
                <w:sz w:val="18"/>
                <w:szCs w:val="18"/>
                <w:color w:val="auto"/>
              </w:rPr>
              <w:t>Article XII. Miscellaneous</w:t>
            </w:r>
          </w:p>
        </w:tc>
        <w:tc>
          <w:tcPr>
            <w:tcW w:w="2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10"/>
        </w:trPr>
        <w:tc>
          <w:tcPr>
            <w:tcW w:w="8720" w:type="dxa"/>
            <w:vAlign w:val="bottom"/>
          </w:tcPr>
          <w:p>
            <w:pPr>
              <w:ind w:left="480"/>
              <w:spacing w:after="0"/>
              <w:rPr>
                <w:sz w:val="20"/>
                <w:szCs w:val="20"/>
                <w:color w:val="auto"/>
              </w:rPr>
            </w:pPr>
            <w:r>
              <w:rPr>
                <w:rFonts w:ascii="Arial" w:cs="Arial" w:eastAsia="Arial" w:hAnsi="Arial"/>
                <w:sz w:val="18"/>
                <w:szCs w:val="18"/>
                <w:color w:val="auto"/>
              </w:rPr>
              <w:t>Section 12.1. Notices</w:t>
            </w:r>
          </w:p>
        </w:tc>
        <w:tc>
          <w:tcPr>
            <w:tcW w:w="226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12.2. Expenses</w:t>
            </w:r>
          </w:p>
        </w:tc>
        <w:tc>
          <w:tcPr>
            <w:tcW w:w="22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12.3. Stamp, Intangible and Recording Taxes</w:t>
            </w:r>
          </w:p>
        </w:tc>
        <w:tc>
          <w:tcPr>
            <w:tcW w:w="2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12.4. Setoff</w:t>
            </w:r>
          </w:p>
        </w:tc>
        <w:tc>
          <w:tcPr>
            <w:tcW w:w="2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12.5. Litigation; Jurisdiction; Other Matters; Waivers</w:t>
            </w:r>
          </w:p>
        </w:tc>
        <w:tc>
          <w:tcPr>
            <w:tcW w:w="226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12.6. Successors and Assigns</w:t>
            </w:r>
          </w:p>
        </w:tc>
        <w:tc>
          <w:tcPr>
            <w:tcW w:w="22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12.7. Amendments and Waivers</w:t>
            </w:r>
          </w:p>
        </w:tc>
        <w:tc>
          <w:tcPr>
            <w:tcW w:w="226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12.8. Nonliability of Administrative Agent and Lenders</w:t>
            </w:r>
          </w:p>
        </w:tc>
        <w:tc>
          <w:tcPr>
            <w:tcW w:w="2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12.9. Confidentiality</w:t>
            </w:r>
          </w:p>
        </w:tc>
        <w:tc>
          <w:tcPr>
            <w:tcW w:w="22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12.10. Indemnification</w:t>
            </w:r>
          </w:p>
        </w:tc>
        <w:tc>
          <w:tcPr>
            <w:tcW w:w="226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12.11. Termination; Survival</w:t>
            </w:r>
          </w:p>
        </w:tc>
        <w:tc>
          <w:tcPr>
            <w:tcW w:w="2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12.12. Severability of Provisions</w:t>
            </w:r>
          </w:p>
        </w:tc>
        <w:tc>
          <w:tcPr>
            <w:tcW w:w="2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12.13. GOVERNING LAW</w:t>
            </w:r>
          </w:p>
        </w:tc>
        <w:tc>
          <w:tcPr>
            <w:tcW w:w="226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12.14. Counterparts</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12.15. Obligations with Respect to Loan Parties</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12.16. Independence of Covenants</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12.17. Limitation of Liability</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12.18. Entire Agreement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12.19. Construction</w:t>
            </w:r>
          </w:p>
        </w:tc>
        <w:tc>
          <w:tcPr>
            <w:tcW w:w="226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12.20. Headings</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12.21. Limitation of Liability of Trustees, Etc.</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12.22. Acknowledgement and Consent to Bail-In of EEA Financial Institutions</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8720" w:type="dxa"/>
            <w:vAlign w:val="bottom"/>
          </w:tcPr>
          <w:p>
            <w:pPr>
              <w:ind w:left="480"/>
              <w:spacing w:after="0"/>
              <w:rPr>
                <w:sz w:val="20"/>
                <w:szCs w:val="20"/>
                <w:color w:val="auto"/>
              </w:rPr>
            </w:pPr>
            <w:r>
              <w:rPr>
                <w:rFonts w:ascii="Arial" w:cs="Arial" w:eastAsia="Arial" w:hAnsi="Arial"/>
                <w:sz w:val="18"/>
                <w:szCs w:val="18"/>
                <w:color w:val="auto"/>
              </w:rPr>
              <w:t>Section 12.23. Effect of Amendment and Restatement</w:t>
            </w:r>
          </w:p>
        </w:tc>
        <w:tc>
          <w:tcPr>
            <w:tcW w:w="226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720" w:type="dxa"/>
            <w:vAlign w:val="bottom"/>
          </w:tcPr>
          <w:p>
            <w:pPr>
              <w:ind w:left="480"/>
              <w:spacing w:after="0"/>
              <w:rPr>
                <w:sz w:val="20"/>
                <w:szCs w:val="20"/>
                <w:color w:val="auto"/>
              </w:rPr>
            </w:pPr>
            <w:r>
              <w:rPr>
                <w:rFonts w:ascii="Arial" w:cs="Arial" w:eastAsia="Arial" w:hAnsi="Arial"/>
                <w:sz w:val="18"/>
                <w:szCs w:val="18"/>
                <w:color w:val="auto"/>
              </w:rPr>
              <w:t>Section 12.24. Acknowledgement Regarding Any Supported QFCs</w:t>
            </w:r>
          </w:p>
        </w:tc>
        <w:tc>
          <w:tcPr>
            <w:tcW w:w="2260" w:type="dxa"/>
            <w:vAlign w:val="bottom"/>
          </w:tcPr>
          <w:p>
            <w:pPr>
              <w:jc w:val="right"/>
              <w:spacing w:after="0"/>
              <w:rPr>
                <w:sz w:val="20"/>
                <w:szCs w:val="20"/>
                <w:color w:val="auto"/>
              </w:rPr>
            </w:pPr>
            <w:r>
              <w:rPr>
                <w:rFonts w:ascii="Arial" w:cs="Arial" w:eastAsia="Arial" w:hAnsi="Arial"/>
                <w:sz w:val="18"/>
                <w:szCs w:val="18"/>
                <w:color w:val="auto"/>
              </w:rPr>
              <w:t>118</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 iii -</w:t>
      </w:r>
    </w:p>
    <w:p>
      <w:pPr>
        <w:sectPr>
          <w:pgSz w:w="11900" w:h="16838" w:orient="portrait"/>
          <w:cols w:equalWidth="0" w:num="1">
            <w:col w:w="10980"/>
          </w:cols>
          <w:pgMar w:left="440" w:top="382" w:right="479" w:bottom="1440" w:gutter="0" w:footer="0" w:header="0"/>
        </w:sectPr>
      </w:pPr>
    </w:p>
    <w:bookmarkStart w:id="8" w:name="page9"/>
    <w:bookmarkEnd w:id="8"/>
    <w:p>
      <w:pPr>
        <w:ind w:right="260"/>
        <w:spacing w:after="0" w:line="290" w:lineRule="auto"/>
        <w:rPr>
          <w:sz w:val="20"/>
          <w:szCs w:val="20"/>
          <w:color w:val="auto"/>
        </w:rPr>
      </w:pPr>
      <w:r>
        <w:rPr>
          <w:rFonts w:ascii="Arial" w:cs="Arial" w:eastAsia="Arial" w:hAnsi="Arial"/>
          <w:sz w:val="16"/>
          <w:szCs w:val="16"/>
          <w:color w:val="auto"/>
        </w:rPr>
        <w:t>SCHEDULE I SCHEDULE 1.1.(a) SCHEDULE 1.1.(b) SCHEDULE 6.1.(b) SCHEDULE 6.1.(f) SCHEDULE 6.1.(g) SCHEDULE 6.1.(i) SCHEDULE 6.1.(z)</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Commitments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-1683385</wp:posOffset>
            </wp:positionH>
            <wp:positionV relativeFrom="paragraph">
              <wp:posOffset>-215900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List of Loan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Ownership Structure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Properties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Indebtedness and Guaranties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Litigation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Unencumbered Assets</w:t>
      </w:r>
    </w:p>
    <w:p>
      <w:pPr>
        <w:spacing w:after="0" w:line="210" w:lineRule="exact"/>
        <w:rPr>
          <w:sz w:val="20"/>
          <w:szCs w:val="20"/>
          <w:color w:val="auto"/>
        </w:rPr>
      </w:pPr>
    </w:p>
    <w:p>
      <w:pPr>
        <w:sectPr>
          <w:pgSz w:w="11900" w:h="16838" w:orient="portrait"/>
          <w:cols w:equalWidth="0" w:num="2">
            <w:col w:w="1720" w:space="720"/>
            <w:col w:w="7579"/>
          </w:cols>
          <w:pgMar w:left="440" w:top="274" w:right="1440" w:bottom="1440" w:gutter="0" w:footer="0" w:header="0"/>
        </w:sect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J</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P</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EXHIBIT Q-1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Q-2</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Q-3</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EXHIBIT Q-4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Form of Assignment and Assumption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Designation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Guaranty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Continuation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Conversion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Notice of Swingline Borrowing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Revolving Note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Swingline Note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Form of Disbursement Instruction Agreement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Request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Bid Rate Quote Acceptance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Opinion of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Compliance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Form of U.S. Tax Compliance Certificates</w:t>
      </w:r>
    </w:p>
    <w:p>
      <w:pPr>
        <w:spacing w:after="0" w:line="143" w:lineRule="exact"/>
        <w:rPr>
          <w:sz w:val="20"/>
          <w:szCs w:val="20"/>
          <w:color w:val="auto"/>
        </w:rPr>
      </w:pPr>
    </w:p>
    <w:p>
      <w:pPr>
        <w:sectPr>
          <w:pgSz w:w="11900" w:h="16838" w:orient="portrait"/>
          <w:cols w:equalWidth="0" w:num="2">
            <w:col w:w="1720" w:space="720"/>
            <w:col w:w="7579"/>
          </w:cols>
          <w:pgMar w:left="440" w:top="274" w:right="1440" w:bottom="1440" w:gutter="0" w:footer="0" w:header="0"/>
          <w:type w:val="continuous"/>
        </w:sectPr>
      </w:pPr>
    </w:p>
    <w:p>
      <w:pPr>
        <w:ind w:left="5340"/>
        <w:spacing w:after="0"/>
        <w:rPr>
          <w:sz w:val="20"/>
          <w:szCs w:val="20"/>
          <w:color w:val="auto"/>
        </w:rPr>
      </w:pPr>
      <w:r>
        <w:rPr>
          <w:rFonts w:ascii="Arial" w:cs="Arial" w:eastAsia="Arial" w:hAnsi="Arial"/>
          <w:sz w:val="17"/>
          <w:szCs w:val="17"/>
          <w:color w:val="auto"/>
        </w:rPr>
        <w:t>- iv -</w:t>
      </w:r>
    </w:p>
    <w:p>
      <w:pPr>
        <w:sectPr>
          <w:pgSz w:w="11900" w:h="16838" w:orient="portrait"/>
          <w:cols w:equalWidth="0" w:num="1">
            <w:col w:w="10019"/>
          </w:cols>
          <w:pgMar w:left="440" w:top="274" w:right="1440" w:bottom="1440" w:gutter="0" w:footer="0" w:header="0"/>
          <w:type w:val="continuous"/>
        </w:sectPr>
      </w:pPr>
    </w:p>
    <w:bookmarkStart w:id="9" w:name="page10"/>
    <w:bookmarkEnd w:id="9"/>
    <w:p>
      <w:pPr>
        <w:ind w:firstLine="44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AMENDED AND RESTATED CREDIT AGREEMENT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July 25, 2019, by and among FEDERAL REALTY INVESTMENT TRUST, a real estate investment trust formed under the laws of the State of Maryland (the “</w:t>
      </w:r>
      <w:r>
        <w:rPr>
          <w:rFonts w:ascii="Arial" w:cs="Arial" w:eastAsia="Arial" w:hAnsi="Arial"/>
          <w:sz w:val="17"/>
          <w:szCs w:val="17"/>
          <w:b w:val="1"/>
          <w:bCs w:val="1"/>
          <w:color w:val="auto"/>
        </w:rPr>
        <w:t>Borrower</w:t>
      </w:r>
      <w:r>
        <w:rPr>
          <w:rFonts w:ascii="Arial" w:cs="Arial" w:eastAsia="Arial" w:hAnsi="Arial"/>
          <w:sz w:val="17"/>
          <w:szCs w:val="17"/>
          <w:color w:val="auto"/>
        </w:rPr>
        <w:t>”), each of the financial institutions initially a signatory hereto together with their successors and permitted assignees under Section 12.6. (the “</w:t>
      </w:r>
      <w:r>
        <w:rPr>
          <w:rFonts w:ascii="Arial" w:cs="Arial" w:eastAsia="Arial" w:hAnsi="Arial"/>
          <w:sz w:val="17"/>
          <w:szCs w:val="17"/>
          <w:b w:val="1"/>
          <w:bCs w:val="1"/>
          <w:color w:val="auto"/>
        </w:rPr>
        <w:t>Lenders</w:t>
      </w:r>
      <w:r>
        <w:rPr>
          <w:rFonts w:ascii="Arial" w:cs="Arial" w:eastAsia="Arial" w:hAnsi="Arial"/>
          <w:sz w:val="17"/>
          <w:szCs w:val="17"/>
          <w:color w:val="auto"/>
        </w:rPr>
        <w:t>”), WELLS FARGO BANK, NATIONAL ASSOCIATION, as Administrative Agent (together with its successors and permitted assigns,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and PNC BANK, NATIONAL ASSOCIATION, as Syndication Agent (the “</w:t>
      </w:r>
      <w:r>
        <w:rPr>
          <w:rFonts w:ascii="Arial" w:cs="Arial" w:eastAsia="Arial" w:hAnsi="Arial"/>
          <w:sz w:val="17"/>
          <w:szCs w:val="17"/>
          <w:b w:val="1"/>
          <w:bCs w:val="1"/>
          <w:color w:val="auto"/>
        </w:rPr>
        <w:t>Syndication Agent</w:t>
      </w:r>
      <w:r>
        <w:rPr>
          <w:rFonts w:ascii="Arial" w:cs="Arial" w:eastAsia="Arial" w:hAnsi="Arial"/>
          <w:sz w:val="17"/>
          <w:szCs w:val="17"/>
          <w:color w:val="auto"/>
        </w:rPr>
        <w:t>”), each of U.S. BANK NATIONAL ASSOCIATION, SUNTRUST BANK, TD BANK, N.A. and REGIONS BANK, as Documentation Agents (each a “</w:t>
      </w:r>
      <w:r>
        <w:rPr>
          <w:rFonts w:ascii="Arial" w:cs="Arial" w:eastAsia="Arial" w:hAnsi="Arial"/>
          <w:sz w:val="17"/>
          <w:szCs w:val="17"/>
          <w:b w:val="1"/>
          <w:bCs w:val="1"/>
          <w:color w:val="auto"/>
        </w:rPr>
        <w:t>Documentation Agent</w:t>
      </w:r>
      <w:r>
        <w:rPr>
          <w:rFonts w:ascii="Arial" w:cs="Arial" w:eastAsia="Arial" w:hAnsi="Arial"/>
          <w:sz w:val="17"/>
          <w:szCs w:val="17"/>
          <w:color w:val="auto"/>
        </w:rPr>
        <w:t>”), each of WELLS FARGO SECURITIES, LLC and PNC CAPITAL MARKETS LLC, as Joint Book Managers (each a “</w:t>
      </w:r>
      <w:r>
        <w:rPr>
          <w:rFonts w:ascii="Arial" w:cs="Arial" w:eastAsia="Arial" w:hAnsi="Arial"/>
          <w:sz w:val="17"/>
          <w:szCs w:val="17"/>
          <w:b w:val="1"/>
          <w:bCs w:val="1"/>
          <w:color w:val="auto"/>
        </w:rPr>
        <w:t>Book Manager</w:t>
      </w:r>
      <w:r>
        <w:rPr>
          <w:rFonts w:ascii="Arial" w:cs="Arial" w:eastAsia="Arial" w:hAnsi="Arial"/>
          <w:sz w:val="17"/>
          <w:szCs w:val="17"/>
          <w:color w:val="auto"/>
        </w:rPr>
        <w:t>”) and each of WELLS FARGO SECURITIES, LLC, PNC CAPITAL MARKETS LLC, U.S. BANK NATIONAL ASSOCIATION, SUNTRUST ROBINSON HUMPHREY, INC., REGIONS CAPITAL MARKETS and TD SECURITIES (USA) LLC, as Joint Lead Arrangers (each an “</w:t>
      </w:r>
      <w:r>
        <w:rPr>
          <w:rFonts w:ascii="Arial" w:cs="Arial" w:eastAsia="Arial" w:hAnsi="Arial"/>
          <w:sz w:val="17"/>
          <w:szCs w:val="17"/>
          <w:b w:val="1"/>
          <w:bCs w:val="1"/>
          <w:color w:val="auto"/>
        </w:rPr>
        <w:t>Arranger</w:t>
      </w:r>
      <w:r>
        <w:rPr>
          <w:rFonts w:ascii="Arial" w:cs="Arial" w:eastAsia="Arial" w:hAnsi="Arial"/>
          <w:sz w:val="17"/>
          <w:szCs w:val="17"/>
          <w:color w:val="auto"/>
        </w:rPr>
        <w:t>”).</w:t>
      </w:r>
    </w:p>
    <w:p>
      <w:pPr>
        <w:spacing w:after="0" w:line="178"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WHEREAS, the Borrower, each of the financial institutions party thereto as a “Lender”, the Administrative Agent and certain other parties have entered into that certain Credit Agreement dated as of July 7, 2011 (as amended and as in effect immediately prior to the date hereof, the “</w:t>
      </w:r>
      <w:r>
        <w:rPr>
          <w:rFonts w:ascii="Arial" w:cs="Arial" w:eastAsia="Arial" w:hAnsi="Arial"/>
          <w:sz w:val="18"/>
          <w:szCs w:val="18"/>
          <w:b w:val="1"/>
          <w:bCs w:val="1"/>
          <w:color w:val="auto"/>
        </w:rPr>
        <w:t>Existing</w:t>
      </w:r>
      <w:r>
        <w:rPr>
          <w:rFonts w:ascii="Arial" w:cs="Arial" w:eastAsia="Arial" w:hAnsi="Arial"/>
          <w:sz w:val="18"/>
          <w:szCs w:val="18"/>
          <w:color w:val="auto"/>
        </w:rPr>
        <w:t xml:space="preserve"> </w:t>
      </w:r>
      <w:r>
        <w:rPr>
          <w:rFonts w:ascii="Arial" w:cs="Arial" w:eastAsia="Arial" w:hAnsi="Arial"/>
          <w:sz w:val="18"/>
          <w:szCs w:val="18"/>
          <w:b w:val="1"/>
          <w:bCs w:val="1"/>
          <w:color w:val="auto"/>
        </w:rPr>
        <w:t>Credit Agreement</w:t>
      </w:r>
      <w:r>
        <w:rPr>
          <w:rFonts w:ascii="Arial" w:cs="Arial" w:eastAsia="Arial" w:hAnsi="Arial"/>
          <w:sz w:val="18"/>
          <w:szCs w:val="18"/>
          <w:color w:val="auto"/>
        </w:rPr>
        <w:t>”); and</w:t>
      </w:r>
    </w:p>
    <w:p>
      <w:pPr>
        <w:spacing w:after="0" w:line="181" w:lineRule="exact"/>
        <w:rPr>
          <w:sz w:val="20"/>
          <w:szCs w:val="20"/>
          <w:color w:val="auto"/>
        </w:rPr>
      </w:pPr>
    </w:p>
    <w:p>
      <w:pPr>
        <w:ind w:right="480" w:firstLine="441"/>
        <w:spacing w:after="0" w:line="312" w:lineRule="auto"/>
        <w:rPr>
          <w:sz w:val="20"/>
          <w:szCs w:val="20"/>
          <w:color w:val="auto"/>
        </w:rPr>
      </w:pPr>
      <w:r>
        <w:rPr>
          <w:rFonts w:ascii="Arial" w:cs="Arial" w:eastAsia="Arial" w:hAnsi="Arial"/>
          <w:sz w:val="16"/>
          <w:szCs w:val="16"/>
          <w:color w:val="auto"/>
        </w:rPr>
        <w:t>WHEREAS, the Borrower, the Administrative Agent, the Issuing Bank and the Lenders desire to amend and restate the Existing Credit Agreement, to, among other things, make available to the Borrower an unsecured revolving credit facility in the amount of $1,000,000,000 with a $50,000,000 swingline subfacility and a letter of credit subfacility of up to $50,000,000, on the terms and conditions contained herein.</w:t>
      </w:r>
    </w:p>
    <w:p>
      <w:pPr>
        <w:spacing w:after="0" w:line="147" w:lineRule="exact"/>
        <w:rPr>
          <w:sz w:val="20"/>
          <w:szCs w:val="20"/>
          <w:color w:val="auto"/>
        </w:rPr>
      </w:pPr>
    </w:p>
    <w:p>
      <w:pPr>
        <w:ind w:right="200" w:firstLine="441"/>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by the parties hereto, the parties hereto agree as follows: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I. D</w:t>
      </w:r>
      <w:r>
        <w:rPr>
          <w:rFonts w:ascii="Arial" w:cs="Arial" w:eastAsia="Arial" w:hAnsi="Arial"/>
          <w:sz w:val="15"/>
          <w:szCs w:val="15"/>
          <w:b w:val="1"/>
          <w:bCs w:val="1"/>
          <w:color w:val="auto"/>
        </w:rPr>
        <w:t>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terms defined elsewhere herein, the following terms shall have the following meanings for the purposes of this Agreement:</w:t>
      </w:r>
    </w:p>
    <w:p>
      <w:pPr>
        <w:spacing w:after="0" w:line="2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w:t>
      </w:r>
      <w:r>
        <w:rPr>
          <w:rFonts w:ascii="Arial" w:cs="Arial" w:eastAsia="Arial" w:hAnsi="Arial"/>
          <w:sz w:val="18"/>
          <w:szCs w:val="18"/>
          <w:color w:val="auto"/>
        </w:rPr>
        <w:t>” has the meaning given that term in Section 2.2.(c)(ii)(C).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Auction</w:t>
      </w:r>
      <w:r>
        <w:rPr>
          <w:rFonts w:ascii="Arial" w:cs="Arial" w:eastAsia="Arial" w:hAnsi="Arial"/>
          <w:sz w:val="18"/>
          <w:szCs w:val="18"/>
          <w:color w:val="auto"/>
        </w:rPr>
        <w:t>” means a solicitation of Bid Rate Quotes setting forth Absolute Rates pursuant to Section 2.2.</w:t>
      </w:r>
    </w:p>
    <w:p>
      <w:pPr>
        <w:spacing w:after="0" w:line="225"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Absolute Rate Loan</w:t>
      </w:r>
      <w:r>
        <w:rPr>
          <w:rFonts w:ascii="Arial" w:cs="Arial" w:eastAsia="Arial" w:hAnsi="Arial"/>
          <w:sz w:val="18"/>
          <w:szCs w:val="18"/>
          <w:color w:val="auto"/>
        </w:rPr>
        <w:t>” means a Bid Rate Loan, the interest rate on which is determined on the basis of an Absolute Rate pursuant to an Absolute Rate Auction.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Accession Agreement</w:t>
      </w:r>
      <w:r>
        <w:rPr>
          <w:rFonts w:ascii="Arial" w:cs="Arial" w:eastAsia="Arial" w:hAnsi="Arial"/>
          <w:sz w:val="18"/>
          <w:szCs w:val="18"/>
          <w:color w:val="auto"/>
        </w:rPr>
        <w:t>” means an Accession Agreement substantially in the form of Annex I to the Guaranty.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Costs</w:t>
      </w:r>
      <w:r>
        <w:rPr>
          <w:rFonts w:ascii="Arial" w:cs="Arial" w:eastAsia="Arial" w:hAnsi="Arial"/>
          <w:sz w:val="18"/>
          <w:szCs w:val="18"/>
          <w:color w:val="auto"/>
        </w:rPr>
        <w:t>” has the meaning given that term in Section 4.1.(b).</w:t>
      </w:r>
    </w:p>
    <w:p>
      <w:pPr>
        <w:spacing w:after="0" w:line="225" w:lineRule="exact"/>
        <w:rPr>
          <w:sz w:val="20"/>
          <w:szCs w:val="20"/>
          <w:color w:val="auto"/>
        </w:rPr>
      </w:pPr>
    </w:p>
    <w:p>
      <w:pPr>
        <w:ind w:right="1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EBITDA</w:t>
      </w:r>
      <w:r>
        <w:rPr>
          <w:rFonts w:ascii="Arial" w:cs="Arial" w:eastAsia="Arial" w:hAnsi="Arial"/>
          <w:sz w:val="18"/>
          <w:szCs w:val="18"/>
          <w:color w:val="auto"/>
        </w:rPr>
        <w:t xml:space="preserve">” means, for any given period, (a) the EBITDA of the Borrower and its Subsidiaries determined on a consolidated basis for such period (including the Borrower’s Ownership Share of EBITDA of its Unconsolidated Affiliates as set forth in clause (b) of the definition of EBITDA),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Capital Reserves.</w:t>
      </w:r>
    </w:p>
    <w:p>
      <w:pPr>
        <w:sectPr>
          <w:pgSz w:w="11900" w:h="16838" w:orient="portrait"/>
          <w:cols w:equalWidth="0" w:num="1">
            <w:col w:w="10980"/>
          </w:cols>
          <w:pgMar w:left="440" w:top="270" w:right="479" w:bottom="1440" w:gutter="0" w:footer="0" w:header="0"/>
        </w:sectPr>
      </w:pPr>
    </w:p>
    <w:bookmarkStart w:id="10" w:name="page11"/>
    <w:bookmarkEnd w:id="10"/>
    <w:p>
      <w:pPr>
        <w:ind w:right="98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Adjusted Total Asset Value</w:t>
      </w:r>
      <w:r>
        <w:rPr>
          <w:rFonts w:ascii="Arial" w:cs="Arial" w:eastAsia="Arial" w:hAnsi="Arial"/>
          <w:sz w:val="18"/>
          <w:szCs w:val="18"/>
          <w:color w:val="auto"/>
        </w:rPr>
        <w:t>” means Total Asset Value determined exclusive of assets that are owned by Excluded Subsidiaries and Unconsolidated Affiliates.</w:t>
      </w:r>
    </w:p>
    <w:p>
      <w:pPr>
        <w:spacing w:after="0" w:line="162" w:lineRule="exact"/>
        <w:rPr>
          <w:sz w:val="20"/>
          <w:szCs w:val="20"/>
          <w:color w:val="auto"/>
        </w:rPr>
      </w:pPr>
    </w:p>
    <w:p>
      <w:pPr>
        <w:ind w:right="2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means Wells Fargo Bank, National Association as contractual representative of the Lenders under this Agreement, or any successor Administrative Agent appointed pursuant to Section 11.8.</w:t>
      </w:r>
    </w:p>
    <w:p>
      <w:pPr>
        <w:spacing w:after="0" w:line="162"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Questionnaire</w:t>
      </w:r>
      <w:r>
        <w:rPr>
          <w:rFonts w:ascii="Arial" w:cs="Arial" w:eastAsia="Arial" w:hAnsi="Arial"/>
          <w:sz w:val="18"/>
          <w:szCs w:val="18"/>
          <w:color w:val="auto"/>
        </w:rPr>
        <w:t>” means the Administrative Questionnaire completed by each Lender and delivered to the Administrative Agent in a form supplied by the Administrative Agent to the Lenders from time to time.</w:t>
      </w:r>
    </w:p>
    <w:p>
      <w:pPr>
        <w:spacing w:after="0" w:line="162"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 In no event shall the Administrative Agent or any Lender be deemed to be an Affiliate of the Borrower.</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 Date</w:t>
      </w:r>
      <w:r>
        <w:rPr>
          <w:rFonts w:ascii="Arial" w:cs="Arial" w:eastAsia="Arial" w:hAnsi="Arial"/>
          <w:sz w:val="18"/>
          <w:szCs w:val="18"/>
          <w:color w:val="auto"/>
        </w:rPr>
        <w:t>” means the date as of which this Agreement is dated.</w:t>
      </w:r>
    </w:p>
    <w:p>
      <w:pPr>
        <w:spacing w:after="0" w:line="225" w:lineRule="exact"/>
        <w:rPr>
          <w:sz w:val="20"/>
          <w:szCs w:val="20"/>
          <w:color w:val="auto"/>
        </w:rPr>
      </w:pPr>
    </w:p>
    <w:p>
      <w:pPr>
        <w:ind w:right="6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Anti-Corruption Laws</w:t>
      </w:r>
      <w:r>
        <w:rPr>
          <w:rFonts w:ascii="Arial" w:cs="Arial" w:eastAsia="Arial" w:hAnsi="Arial"/>
          <w:sz w:val="18"/>
          <w:szCs w:val="18"/>
          <w:color w:val="auto"/>
        </w:rPr>
        <w:t>” means all laws, rules, and regulations of any jurisdiction applicable to the Borrower or its Subsidiaries from time to time concerning or relating to bribery or corruption, including, without limitation, the United States Foreign Corrupt Practices Act of 1977 and the rules and regulations thereunder and the U.K. Bribery Act 2010 and the rules and regulations thereunder.</w:t>
      </w:r>
    </w:p>
    <w:p>
      <w:pPr>
        <w:spacing w:after="0" w:line="176" w:lineRule="exact"/>
        <w:rPr>
          <w:sz w:val="20"/>
          <w:szCs w:val="20"/>
          <w:color w:val="auto"/>
        </w:rPr>
      </w:pPr>
    </w:p>
    <w:p>
      <w:pPr>
        <w:ind w:right="2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Anti-Money Laundering Laws</w:t>
      </w:r>
      <w:r>
        <w:rPr>
          <w:rFonts w:ascii="Arial" w:cs="Arial" w:eastAsia="Arial" w:hAnsi="Arial"/>
          <w:sz w:val="18"/>
          <w:szCs w:val="18"/>
          <w:color w:val="auto"/>
        </w:rPr>
        <w:t>” means any and all laws, statutes, regulations or obligatory government orders, decrees, ordinances or rules applicable to a Loan Party, its Subsidiaries or Affiliates related to terrorism financing or money laundering, including any applicable provision of the PATRIOT Act and The Currency and Foreign Transactions Reporting Act (also known as the “Bank Secrecy Act,” 31 U.S.C. §§ 5311-5330 and 12U.S.C. §§ 1818(s), 1820(b) and 1951-1959).</w:t>
      </w:r>
    </w:p>
    <w:p>
      <w:pPr>
        <w:spacing w:after="0" w:line="180" w:lineRule="exact"/>
        <w:rPr>
          <w:sz w:val="20"/>
          <w:szCs w:val="20"/>
          <w:color w:val="auto"/>
        </w:rPr>
      </w:pPr>
    </w:p>
    <w:p>
      <w:pPr>
        <w:ind w:right="4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Facility Fee</w:t>
      </w:r>
      <w:r>
        <w:rPr>
          <w:rFonts w:ascii="Arial" w:cs="Arial" w:eastAsia="Arial" w:hAnsi="Arial"/>
          <w:sz w:val="18"/>
          <w:szCs w:val="18"/>
          <w:color w:val="auto"/>
        </w:rPr>
        <w:t>” means the percentage set forth in the table below corresponding to the Level at which the “Applicable Margin” is determined in accordance with the definition thereof:</w:t>
      </w:r>
    </w:p>
    <w:p>
      <w:pPr>
        <w:spacing w:after="0" w:line="184" w:lineRule="exact"/>
        <w:rPr>
          <w:sz w:val="20"/>
          <w:szCs w:val="20"/>
          <w:color w:val="auto"/>
        </w:rPr>
      </w:pPr>
    </w:p>
    <w:tbl>
      <w:tblPr>
        <w:tblLayout w:type="fixed"/>
        <w:tblInd w:w="17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Level</w:t>
            </w:r>
          </w:p>
        </w:tc>
        <w:tc>
          <w:tcPr>
            <w:tcW w:w="71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Facility Fee</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6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6220" w:type="dxa"/>
            <w:vAlign w:val="bottom"/>
            <w:vMerge w:val="continue"/>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7140" w:type="dxa"/>
            <w:vAlign w:val="bottom"/>
            <w:gridSpan w:val="3"/>
          </w:tcPr>
          <w:p>
            <w:pPr>
              <w:jc w:val="right"/>
              <w:ind w:right="60"/>
              <w:spacing w:after="0"/>
              <w:rPr>
                <w:sz w:val="20"/>
                <w:szCs w:val="20"/>
                <w:color w:val="auto"/>
              </w:rPr>
            </w:pPr>
            <w:r>
              <w:rPr>
                <w:rFonts w:ascii="Arial" w:cs="Arial" w:eastAsia="Arial" w:hAnsi="Arial"/>
                <w:sz w:val="18"/>
                <w:szCs w:val="18"/>
                <w:color w:val="auto"/>
              </w:rPr>
              <w:t>0.125%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7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7140" w:type="dxa"/>
            <w:vAlign w:val="bottom"/>
            <w:gridSpan w:val="3"/>
          </w:tcPr>
          <w:p>
            <w:pPr>
              <w:jc w:val="right"/>
              <w:ind w:right="60"/>
              <w:spacing w:after="0"/>
              <w:rPr>
                <w:sz w:val="20"/>
                <w:szCs w:val="20"/>
                <w:color w:val="auto"/>
              </w:rPr>
            </w:pPr>
            <w:r>
              <w:rPr>
                <w:rFonts w:ascii="Arial" w:cs="Arial" w:eastAsia="Arial" w:hAnsi="Arial"/>
                <w:sz w:val="18"/>
                <w:szCs w:val="18"/>
                <w:color w:val="auto"/>
              </w:rPr>
              <w:t>0.200%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7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0.250%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7140" w:type="dxa"/>
            <w:vAlign w:val="bottom"/>
            <w:gridSpan w:val="3"/>
          </w:tcPr>
          <w:p>
            <w:pPr>
              <w:jc w:val="right"/>
              <w:ind w:right="60"/>
              <w:spacing w:after="0"/>
              <w:rPr>
                <w:sz w:val="20"/>
                <w:szCs w:val="20"/>
                <w:color w:val="auto"/>
              </w:rPr>
            </w:pPr>
            <w:r>
              <w:rPr>
                <w:rFonts w:ascii="Arial" w:cs="Arial" w:eastAsia="Arial" w:hAnsi="Arial"/>
                <w:sz w:val="18"/>
                <w:szCs w:val="18"/>
                <w:color w:val="auto"/>
              </w:rPr>
              <w:t>0.300%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Any change in the applicable Level at which the Applicable Margin is determined shall result in a corresponding and simultaneous change in the Applicable Facility Fee. The provisions of this definition shall be subject to Section 2.5.(c).</w:t>
      </w:r>
    </w:p>
    <w:p>
      <w:pPr>
        <w:spacing w:after="0" w:line="166" w:lineRule="exact"/>
        <w:rPr>
          <w:sz w:val="20"/>
          <w:szCs w:val="20"/>
          <w:color w:val="auto"/>
        </w:rPr>
      </w:pPr>
    </w:p>
    <w:p>
      <w:pPr>
        <w:ind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all applicable provisions of international, foreign, federal, state and local statutes, treaties, rules, guidelines, regulations, ordinances, codes, executive orders, and administrative or judicial precedents or authorities, including the interpretation, implementation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000"/>
          </w:cols>
          <w:pgMar w:left="440" w:top="270" w:right="459" w:bottom="1440" w:gutter="0" w:footer="0" w:header="0"/>
        </w:sectPr>
      </w:pPr>
    </w:p>
    <w:bookmarkStart w:id="11" w:name="page12"/>
    <w:bookmarkEnd w:id="11"/>
    <w:p>
      <w:pPr>
        <w:ind w:right="20" w:firstLine="441"/>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Applicable Margin</w:t>
      </w:r>
      <w:r>
        <w:rPr>
          <w:rFonts w:ascii="Arial" w:cs="Arial" w:eastAsia="Arial" w:hAnsi="Arial"/>
          <w:sz w:val="16"/>
          <w:szCs w:val="16"/>
          <w:color w:val="auto"/>
        </w:rPr>
        <w:t>” means the percentage rate set forth in the table below corresponding to the level (each a “</w:t>
      </w:r>
      <w:r>
        <w:rPr>
          <w:rFonts w:ascii="Arial" w:cs="Arial" w:eastAsia="Arial" w:hAnsi="Arial"/>
          <w:sz w:val="16"/>
          <w:szCs w:val="16"/>
          <w:b w:val="1"/>
          <w:bCs w:val="1"/>
          <w:color w:val="auto"/>
        </w:rPr>
        <w:t>Level</w:t>
      </w:r>
      <w:r>
        <w:rPr>
          <w:rFonts w:ascii="Arial" w:cs="Arial" w:eastAsia="Arial" w:hAnsi="Arial"/>
          <w:sz w:val="16"/>
          <w:szCs w:val="16"/>
          <w:color w:val="auto"/>
        </w:rPr>
        <w:t>”) into which the Borrower’s Credit Rating then falls. As of the Agreement Date, the Applicable Margin is determined based on Level 2. Any change in the Borrower’s Credit Rating which would cause it to move to a different Level shall be effective as of the first Business Day of the first calendar month immediately following receipt by the Administrative Agent of written notice delivered by the Borrower in accordance with Section 8.4.(n) that the Borrower’s Credit Rating has changed; provided, however, if the Borrower has not delivered the notice required by such Section but the Administrative Agent becomes aware that the Borrower’s Credit Rating has changed, then the Administrative Agent may, in its sole discretion, adjust the Level by written notice to the Borrower (provided, however, that the Administrative Agent’s failure to give such notice shall not change the effectiveness of the adjustment of the Level) effective as of the first Business Day of the first calendar month following the date the Administrative Agent becomes aware that the Borrower’s Credit Rating has changed. During any period that the Borrower has received two Credit Ratings that are not equivalent, the Applicable Margin shall be determined based on the Level corresponding to the higher of such two Credit Ratings unless the difference in the Credit Ratings is greater than one ratings level, in which case the Applicable Margin shall be determined by reference to the ratings level immediately below the higher of the two Credit Ratings. During any period for which the Borrower has received a Credit Rating from only one Rating Agency, then the Applicable Margin shall be determined based on such Credit Rating. During any period that the Borrower has not received a Credit Rating from any Rating Agency, the Applicable Margin shall be determined based on Level 6. The provisions of this definition shall be subject to Section 2.5.(c).</w:t>
      </w:r>
    </w:p>
    <w:p>
      <w:pPr>
        <w:spacing w:after="0" w:line="191"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9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Borrower’s Credit Rating</w:t>
            </w: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7"/>
              </w:rPr>
              <w:t>Applicable Margin for</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Applicable</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w w:val="89"/>
              </w:rPr>
              <w:t>Level</w:t>
            </w:r>
          </w:p>
        </w:tc>
        <w:tc>
          <w:tcPr>
            <w:tcW w:w="620" w:type="dxa"/>
            <w:vAlign w:val="bottom"/>
          </w:tcPr>
          <w:p>
            <w:pPr>
              <w:spacing w:after="0"/>
              <w:rPr>
                <w:sz w:val="12"/>
                <w:szCs w:val="12"/>
                <w:color w:val="auto"/>
              </w:rPr>
            </w:pPr>
          </w:p>
        </w:tc>
        <w:tc>
          <w:tcPr>
            <w:tcW w:w="49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6"/>
              </w:rPr>
              <w:t>(S&amp;P/Moody’s or</w:t>
            </w:r>
          </w:p>
        </w:tc>
        <w:tc>
          <w:tcPr>
            <w:tcW w:w="21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Revolving Loans that</w:t>
            </w:r>
          </w:p>
        </w:tc>
        <w:tc>
          <w:tcPr>
            <w:tcW w:w="12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Margin for all</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vMerge w:val="continue"/>
          </w:tcPr>
          <w:p>
            <w:pPr>
              <w:spacing w:after="0"/>
              <w:rPr>
                <w:sz w:val="14"/>
                <w:szCs w:val="14"/>
                <w:color w:val="auto"/>
              </w:rPr>
            </w:pPr>
          </w:p>
        </w:tc>
        <w:tc>
          <w:tcPr>
            <w:tcW w:w="620" w:type="dxa"/>
            <w:vAlign w:val="bottom"/>
          </w:tcPr>
          <w:p>
            <w:pPr>
              <w:spacing w:after="0"/>
              <w:rPr>
                <w:sz w:val="14"/>
                <w:szCs w:val="14"/>
                <w:color w:val="auto"/>
              </w:rPr>
            </w:pPr>
          </w:p>
        </w:tc>
        <w:tc>
          <w:tcPr>
            <w:tcW w:w="49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equivalent)</w:t>
            </w:r>
          </w:p>
        </w:tc>
        <w:tc>
          <w:tcPr>
            <w:tcW w:w="2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are LIBOR Loans</w:t>
            </w:r>
          </w:p>
        </w:tc>
        <w:tc>
          <w:tcPr>
            <w:tcW w:w="12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Base Rate Loans</w:t>
            </w:r>
          </w:p>
        </w:tc>
        <w:tc>
          <w:tcPr>
            <w:tcW w:w="0" w:type="dxa"/>
            <w:vAlign w:val="bottom"/>
          </w:tcPr>
          <w:p>
            <w:pPr>
              <w:spacing w:after="0"/>
              <w:rPr>
                <w:sz w:val="1"/>
                <w:szCs w:val="1"/>
                <w:color w:val="auto"/>
              </w:rPr>
            </w:pPr>
          </w:p>
        </w:tc>
      </w:tr>
      <w:tr>
        <w:trPr>
          <w:trHeight w:val="20"/>
        </w:trPr>
        <w:tc>
          <w:tcPr>
            <w:tcW w:w="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1</w:t>
            </w:r>
          </w:p>
        </w:tc>
        <w:tc>
          <w:tcPr>
            <w:tcW w:w="620" w:type="dxa"/>
            <w:vAlign w:val="bottom"/>
            <w:vMerge w:val="restart"/>
            <w:shd w:val="clear" w:color="auto" w:fill="CCEEFF"/>
          </w:tcPr>
          <w:p>
            <w:pPr>
              <w:spacing w:after="0" w:line="20" w:lineRule="exact"/>
              <w:rPr>
                <w:sz w:val="1"/>
                <w:szCs w:val="1"/>
                <w:color w:val="auto"/>
              </w:rPr>
            </w:pPr>
          </w:p>
        </w:tc>
        <w:tc>
          <w:tcPr>
            <w:tcW w:w="428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42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A/A2 (or equivalent) or better</w:t>
            </w:r>
          </w:p>
        </w:tc>
        <w:tc>
          <w:tcPr>
            <w:tcW w:w="640" w:type="dxa"/>
            <w:vAlign w:val="bottom"/>
            <w:vMerge w:val="continue"/>
            <w:shd w:val="clear" w:color="auto" w:fill="CCEEFF"/>
          </w:tcPr>
          <w:p>
            <w:pPr>
              <w:spacing w:after="0"/>
              <w:rPr>
                <w:sz w:val="17"/>
                <w:szCs w:val="17"/>
                <w:color w:val="auto"/>
              </w:rPr>
            </w:pPr>
          </w:p>
        </w:tc>
        <w:tc>
          <w:tcPr>
            <w:tcW w:w="2160" w:type="dxa"/>
            <w:vAlign w:val="bottom"/>
            <w:gridSpan w:val="2"/>
            <w:shd w:val="clear" w:color="auto" w:fill="CCEEFF"/>
          </w:tcPr>
          <w:p>
            <w:pPr>
              <w:jc w:val="right"/>
              <w:ind w:right="620"/>
              <w:spacing w:after="0" w:line="203" w:lineRule="exact"/>
              <w:rPr>
                <w:sz w:val="20"/>
                <w:szCs w:val="20"/>
                <w:color w:val="auto"/>
              </w:rPr>
            </w:pPr>
            <w:r>
              <w:rPr>
                <w:rFonts w:ascii="Arial" w:cs="Arial" w:eastAsia="Arial" w:hAnsi="Arial"/>
                <w:sz w:val="18"/>
                <w:szCs w:val="18"/>
                <w:color w:val="auto"/>
              </w:rPr>
              <w:t>0.750%</w:t>
            </w:r>
          </w:p>
        </w:tc>
        <w:tc>
          <w:tcPr>
            <w:tcW w:w="12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0.750%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A-/A3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0.775%</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0.775%</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BBB+/Baa1 (or equivalent)</w:t>
            </w: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0.825%</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0.825%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BBB/Baa2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0.900%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0.900%</w:t>
            </w:r>
          </w:p>
        </w:tc>
        <w:tc>
          <w:tcPr>
            <w:tcW w:w="0" w:type="dxa"/>
            <w:vAlign w:val="bottom"/>
          </w:tcPr>
          <w:p>
            <w:pPr>
              <w:spacing w:after="0"/>
              <w:rPr>
                <w:sz w:val="1"/>
                <w:szCs w:val="1"/>
                <w:color w:val="auto"/>
              </w:rPr>
            </w:pPr>
          </w:p>
        </w:tc>
      </w:tr>
      <w:tr>
        <w:trPr>
          <w:trHeight w:val="216"/>
        </w:trPr>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BBB-/Baa3 (or equivalent)</w:t>
            </w:r>
          </w:p>
        </w:tc>
        <w:tc>
          <w:tcPr>
            <w:tcW w:w="21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20"/>
                <w:szCs w:val="20"/>
                <w:color w:val="auto"/>
              </w:rPr>
            </w:pPr>
          </w:p>
        </w:tc>
        <w:tc>
          <w:tcPr>
            <w:tcW w:w="4920" w:type="dxa"/>
            <w:vAlign w:val="bottom"/>
            <w:gridSpan w:val="2"/>
          </w:tcPr>
          <w:p>
            <w:pPr>
              <w:spacing w:after="0"/>
              <w:rPr>
                <w:sz w:val="20"/>
                <w:szCs w:val="20"/>
                <w:color w:val="auto"/>
              </w:rPr>
            </w:pPr>
            <w:r>
              <w:rPr>
                <w:rFonts w:ascii="Arial" w:cs="Arial" w:eastAsia="Arial" w:hAnsi="Arial"/>
                <w:sz w:val="18"/>
                <w:szCs w:val="18"/>
                <w:color w:val="auto"/>
              </w:rPr>
              <w:t>Lower than BBB-/Baa3 (or equivalent)</w:t>
            </w:r>
          </w:p>
        </w:tc>
        <w:tc>
          <w:tcPr>
            <w:tcW w:w="2160" w:type="dxa"/>
            <w:vAlign w:val="bottom"/>
            <w:gridSpan w:val="2"/>
          </w:tcPr>
          <w:p>
            <w:pPr>
              <w:jc w:val="right"/>
              <w:ind w:right="620"/>
              <w:spacing w:after="0"/>
              <w:rPr>
                <w:sz w:val="20"/>
                <w:szCs w:val="20"/>
                <w:color w:val="auto"/>
              </w:rPr>
            </w:pPr>
            <w:r>
              <w:rPr>
                <w:rFonts w:ascii="Arial" w:cs="Arial" w:eastAsia="Arial" w:hAnsi="Arial"/>
                <w:sz w:val="18"/>
                <w:szCs w:val="18"/>
                <w:color w:val="auto"/>
              </w:rPr>
              <w:t>1.450%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Fund</w:t>
      </w:r>
      <w:r>
        <w:rPr>
          <w:rFonts w:ascii="Arial" w:cs="Arial" w:eastAsia="Arial" w:hAnsi="Arial"/>
          <w:sz w:val="18"/>
          <w:szCs w:val="18"/>
          <w:color w:val="auto"/>
        </w:rPr>
        <w:t>” means any Fund that is administered or managed by (a) a Lender, (b) an Affiliate of a Lender, or (c) an entity or an Affiliate of any entity that administers or manages a Lender.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Arranger</w:t>
      </w:r>
      <w:r>
        <w:rPr>
          <w:rFonts w:ascii="Arial" w:cs="Arial" w:eastAsia="Arial" w:hAnsi="Arial"/>
          <w:sz w:val="16"/>
          <w:szCs w:val="16"/>
          <w:color w:val="auto"/>
        </w:rPr>
        <w:t>” has the meaning set forth in the introductory paragraph hereof and shall include each Arranger’s successors and permitted assigns.</w:t>
      </w:r>
    </w:p>
    <w:p>
      <w:pPr>
        <w:spacing w:after="0" w:line="248"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Assignment and Assumption</w:t>
      </w:r>
      <w:r>
        <w:rPr>
          <w:rFonts w:ascii="Arial" w:cs="Arial" w:eastAsia="Arial" w:hAnsi="Arial"/>
          <w:sz w:val="18"/>
          <w:szCs w:val="18"/>
          <w:color w:val="auto"/>
        </w:rPr>
        <w:t>” means an Assignment and Assumption Agreement among a Lender, an Eligible Assignee and the Administrative Agent, substantially in the form of Exhibit A.</w:t>
      </w:r>
    </w:p>
    <w:p>
      <w:pPr>
        <w:spacing w:after="0" w:line="162"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Action</w:t>
      </w:r>
      <w:r>
        <w:rPr>
          <w:rFonts w:ascii="Arial" w:cs="Arial" w:eastAsia="Arial" w:hAnsi="Arial"/>
          <w:sz w:val="18"/>
          <w:szCs w:val="18"/>
          <w:color w:val="auto"/>
        </w:rPr>
        <w:t>” means the exercise of any Write-Down and Conversion Powers by the applicable EEA Resolution Authority in respect of any liability of an EEA Financial Institution.</w:t>
      </w:r>
    </w:p>
    <w:p>
      <w:pPr>
        <w:spacing w:after="0" w:line="162"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Bail-In Legislation</w:t>
      </w:r>
      <w:r>
        <w:rPr>
          <w:rFonts w:ascii="Arial" w:cs="Arial" w:eastAsia="Arial" w:hAnsi="Arial"/>
          <w:sz w:val="18"/>
          <w:szCs w:val="18"/>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0980"/>
          </w:cols>
          <w:pgMar w:left="440" w:top="270" w:right="479" w:bottom="1440" w:gutter="0" w:footer="0" w:header="0"/>
        </w:sectPr>
      </w:pPr>
    </w:p>
    <w:bookmarkStart w:id="12" w:name="page13"/>
    <w:bookmarkEnd w:id="1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Bankruptcy Code</w:t>
      </w:r>
      <w:r>
        <w:rPr>
          <w:rFonts w:ascii="Arial" w:cs="Arial" w:eastAsia="Arial" w:hAnsi="Arial"/>
          <w:sz w:val="18"/>
          <w:szCs w:val="18"/>
          <w:color w:val="auto"/>
        </w:rPr>
        <w:t>” means the Bankruptcy Code of 1978, as amended.</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w:t>
      </w:r>
      <w:r>
        <w:rPr>
          <w:rFonts w:ascii="Arial" w:cs="Arial" w:eastAsia="Arial" w:hAnsi="Arial"/>
          <w:sz w:val="18"/>
          <w:szCs w:val="18"/>
          <w:color w:val="auto"/>
        </w:rPr>
        <w:t>” means the LIBOR Market Index Rate; provided, that if for any reason the LIBOR Market Index Rate is unavailable, Base Rate shall mean the per annum rate of interest equal to the Federal Funds Rate plus one and one-half of one percent (1.50%).</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Rate Loan</w:t>
      </w:r>
      <w:r>
        <w:rPr>
          <w:rFonts w:ascii="Arial" w:cs="Arial" w:eastAsia="Arial" w:hAnsi="Arial"/>
          <w:sz w:val="18"/>
          <w:szCs w:val="18"/>
          <w:color w:val="auto"/>
        </w:rPr>
        <w:t>” means a Revolving Loan bearing interest at a rate based on the Base Rate.</w:t>
      </w:r>
    </w:p>
    <w:p>
      <w:pPr>
        <w:spacing w:after="0" w:line="225"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w:t>
      </w:r>
      <w:r>
        <w:rPr>
          <w:rFonts w:ascii="Arial" w:cs="Arial" w:eastAsia="Arial" w:hAnsi="Arial"/>
          <w:sz w:val="18"/>
          <w:szCs w:val="18"/>
          <w:color w:val="auto"/>
        </w:rPr>
        <w:t xml:space="preserve">” means the sum of: (a) the alternate benchmark rate (which may include Term SOFR) that has been selected by the Administrative Agent and the Borrower giving due consideration to (i) any selection or recommendation of a replacement rate or the mechanism for determining such a rate by the Relevant Governmental Body or (ii) any evolving or then-prevailing market convention for determining a rate of interest as a replacement to LIBOR for U.S. Dollar-denominated syndicated credit facilities and (b) the Benchmark Replacement Adjustment;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Benchmark Replacement as so determined would be less than zero, the Benchmark Replacement will be deemed to be zero for the purposes of this Agreement.</w:t>
      </w:r>
    </w:p>
    <w:p>
      <w:pPr>
        <w:spacing w:after="0" w:line="188" w:lineRule="exact"/>
        <w:rPr>
          <w:sz w:val="20"/>
          <w:szCs w:val="20"/>
          <w:color w:val="auto"/>
        </w:rPr>
      </w:pPr>
    </w:p>
    <w:p>
      <w:pPr>
        <w:ind w:right="14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Adjustment</w:t>
      </w:r>
      <w:r>
        <w:rPr>
          <w:rFonts w:ascii="Arial" w:cs="Arial" w:eastAsia="Arial" w:hAnsi="Arial"/>
          <w:sz w:val="16"/>
          <w:szCs w:val="16"/>
          <w:color w:val="auto"/>
        </w:rPr>
        <w:t>” means, with respect to any replacement of LIBOR with an Unadjusted Benchmark Replacement for each applicable Interest Period, the spread adjustment, or method for calculating or determining such spread adjustment, (which may be a positive or negative value or zero) that has been selected by the Administrative Agent and the Borrower giving due consideration to (i) any selection or recommendation of a spread adjustment, or method for calculating or determining such spread adjustment, for the replacement of LIBOR with the applicable Unadjusted Benchmark Replacement by the Relevant Governmental Body or (ii) any evolving or then-prevailing market convention for determining a spread adjustment, or method for calculating or determining such spread adjustment, for the replacement of LIBOR with the applicable Unadjusted Benchmark Replacement for U.S. Dollar-denominated syndicated credit facilities at such time.</w:t>
      </w:r>
    </w:p>
    <w:p>
      <w:pPr>
        <w:spacing w:after="0" w:line="162"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“Base Rate”, the definition of “Interest Period”, timing and frequency of determining rates and making payments of interest and other administrative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Benchmark Replacement exists, in such other manner of administration as the Administrative Agent decides is reasonably necessary in connection with the administration of this Agreement).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Replacement Date</w:t>
      </w:r>
      <w:r>
        <w:rPr>
          <w:rFonts w:ascii="Arial" w:cs="Arial" w:eastAsia="Arial" w:hAnsi="Arial"/>
          <w:sz w:val="18"/>
          <w:szCs w:val="18"/>
          <w:color w:val="auto"/>
        </w:rPr>
        <w:t>” means the earlier to occur of the following events with respect to LIBOR:</w:t>
      </w:r>
    </w:p>
    <w:p>
      <w:pPr>
        <w:spacing w:after="0" w:line="121" w:lineRule="exact"/>
        <w:rPr>
          <w:sz w:val="20"/>
          <w:szCs w:val="20"/>
          <w:color w:val="auto"/>
        </w:rPr>
      </w:pPr>
    </w:p>
    <w:p>
      <w:pPr>
        <w:ind w:left="440" w:firstLine="428"/>
        <w:spacing w:after="0" w:line="264" w:lineRule="auto"/>
        <w:tabs>
          <w:tab w:leader="none" w:pos="1118"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the case of clause (1) or (2) of the definition of “Benchmark Transition Event,” the later of (a) the date of the public statement or publication of information referenced therein and (b) the date on which the administrator of LIBOR permanently or indefinitely ceases to provide LIBOR; or</w:t>
      </w:r>
    </w:p>
    <w:p>
      <w:pPr>
        <w:spacing w:after="0" w:line="113" w:lineRule="exact"/>
        <w:rPr>
          <w:rFonts w:ascii="Arial" w:cs="Arial" w:eastAsia="Arial" w:hAnsi="Arial"/>
          <w:sz w:val="18"/>
          <w:szCs w:val="18"/>
          <w:color w:val="auto"/>
        </w:rPr>
      </w:pPr>
    </w:p>
    <w:p>
      <w:pPr>
        <w:ind w:left="5460" w:hanging="96"/>
        <w:spacing w:after="0"/>
        <w:tabs>
          <w:tab w:leader="none" w:pos="5460" w:val="left"/>
        </w:tabs>
        <w:numPr>
          <w:ilvl w:val="1"/>
          <w:numId w:val="2"/>
        </w:numPr>
        <w:rPr>
          <w:rFonts w:ascii="Arial" w:cs="Arial" w:eastAsia="Arial" w:hAnsi="Arial"/>
          <w:sz w:val="18"/>
          <w:szCs w:val="18"/>
          <w:color w:val="auto"/>
        </w:rPr>
      </w:pPr>
      <w:r>
        <w:rPr>
          <w:rFonts w:ascii="Arial" w:cs="Arial" w:eastAsia="Arial" w:hAnsi="Arial"/>
          <w:sz w:val="18"/>
          <w:szCs w:val="18"/>
          <w:color w:val="auto"/>
        </w:rPr>
        <w:t>4 -</w:t>
      </w:r>
    </w:p>
    <w:p>
      <w:pPr>
        <w:sectPr>
          <w:pgSz w:w="11900" w:h="16838" w:orient="portrait"/>
          <w:cols w:equalWidth="0" w:num="1">
            <w:col w:w="10920"/>
          </w:cols>
          <w:pgMar w:left="440" w:top="270" w:right="539" w:bottom="1440" w:gutter="0" w:footer="0" w:header="0"/>
        </w:sectPr>
      </w:pPr>
    </w:p>
    <w:bookmarkStart w:id="13" w:name="page14"/>
    <w:bookmarkEnd w:id="13"/>
    <w:p>
      <w:pPr>
        <w:ind w:left="440" w:right="40" w:firstLine="428"/>
        <w:spacing w:after="0" w:line="277" w:lineRule="auto"/>
        <w:tabs>
          <w:tab w:leader="none" w:pos="1118" w:val="left"/>
        </w:tabs>
        <w:numPr>
          <w:ilvl w:val="0"/>
          <w:numId w:val="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clause (3) of the definition of “Benchmark Transition Event,” the date of the public statement or publication of information referenced therein.</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Event</w:t>
      </w:r>
      <w:r>
        <w:rPr>
          <w:rFonts w:ascii="Arial" w:cs="Arial" w:eastAsia="Arial" w:hAnsi="Arial"/>
          <w:sz w:val="18"/>
          <w:szCs w:val="18"/>
          <w:color w:val="auto"/>
        </w:rPr>
        <w:t>” means the occurrence of one or more of the following events with respect to LIBOR:</w:t>
      </w:r>
    </w:p>
    <w:p>
      <w:pPr>
        <w:spacing w:after="0" w:line="121" w:lineRule="exact"/>
        <w:rPr>
          <w:sz w:val="20"/>
          <w:szCs w:val="20"/>
          <w:color w:val="auto"/>
        </w:rPr>
      </w:pPr>
    </w:p>
    <w:p>
      <w:pPr>
        <w:ind w:left="440" w:right="200" w:firstLine="428"/>
        <w:spacing w:after="0" w:line="264" w:lineRule="auto"/>
        <w:tabs>
          <w:tab w:leader="none" w:pos="111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or on behalf of the administrator of LIBOR announcing that such administrator has ceased or will cease to provide LIBOR, permanently or indefinitely, provided that, at the time of such statement or publication, there is no successor administrator that will continue to provide LIBOR;</w:t>
      </w:r>
    </w:p>
    <w:p>
      <w:pPr>
        <w:spacing w:after="0" w:line="73" w:lineRule="exact"/>
        <w:rPr>
          <w:rFonts w:ascii="Arial" w:cs="Arial" w:eastAsia="Arial" w:hAnsi="Arial"/>
          <w:sz w:val="18"/>
          <w:szCs w:val="18"/>
          <w:color w:val="auto"/>
        </w:rPr>
      </w:pPr>
    </w:p>
    <w:p>
      <w:pPr>
        <w:ind w:left="440" w:right="180" w:firstLine="428"/>
        <w:spacing w:after="0" w:line="276" w:lineRule="auto"/>
        <w:tabs>
          <w:tab w:leader="none" w:pos="1118" w:val="left"/>
        </w:tabs>
        <w:numPr>
          <w:ilvl w:val="0"/>
          <w:numId w:val="4"/>
        </w:numPr>
        <w:rPr>
          <w:rFonts w:ascii="Arial" w:cs="Arial" w:eastAsia="Arial" w:hAnsi="Arial"/>
          <w:sz w:val="17"/>
          <w:szCs w:val="17"/>
          <w:color w:val="auto"/>
        </w:rPr>
      </w:pPr>
      <w:r>
        <w:rPr>
          <w:rFonts w:ascii="Arial" w:cs="Arial" w:eastAsia="Arial" w:hAnsi="Arial"/>
          <w:sz w:val="17"/>
          <w:szCs w:val="17"/>
          <w:color w:val="auto"/>
        </w:rPr>
        <w:t>a public statement or publication of information by the regulatory supervisor for the administrator of LIBOR, the U.S. Federal Reserve System, an insolvency official with jurisdiction over the administrator for LIBOR, a resolution authority with jurisdiction over the administrator for LIBOR or a court or an entity with similar insolvency or resolution authority over the administrator for LIBOR, which states that the administrator of LIBOR has ceased or will cease to provide LIBOR permanently or indefinitely, provided that, at the time of such statement or publication, there is no successor administrator that will continue to provide LIBOR; or</w:t>
      </w:r>
    </w:p>
    <w:p>
      <w:pPr>
        <w:spacing w:after="0" w:line="64" w:lineRule="exact"/>
        <w:rPr>
          <w:rFonts w:ascii="Arial" w:cs="Arial" w:eastAsia="Arial" w:hAnsi="Arial"/>
          <w:sz w:val="17"/>
          <w:szCs w:val="17"/>
          <w:color w:val="auto"/>
        </w:rPr>
      </w:pPr>
    </w:p>
    <w:p>
      <w:pPr>
        <w:ind w:left="440" w:right="120" w:firstLine="428"/>
        <w:spacing w:after="0" w:line="277" w:lineRule="auto"/>
        <w:tabs>
          <w:tab w:leader="none" w:pos="1118" w:val="left"/>
        </w:tabs>
        <w:numPr>
          <w:ilvl w:val="0"/>
          <w:numId w:val="4"/>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LIBOR announcing that LIBOR is no longer representative.</w:t>
      </w:r>
    </w:p>
    <w:p>
      <w:pPr>
        <w:spacing w:after="0" w:line="166" w:lineRule="exact"/>
        <w:rPr>
          <w:sz w:val="20"/>
          <w:szCs w:val="20"/>
          <w:color w:val="auto"/>
        </w:rPr>
      </w:pPr>
    </w:p>
    <w:p>
      <w:pPr>
        <w:ind w:right="2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Transition Start Date</w:t>
      </w:r>
      <w:r>
        <w:rPr>
          <w:rFonts w:ascii="Arial" w:cs="Arial" w:eastAsia="Arial" w:hAnsi="Arial"/>
          <w:sz w:val="18"/>
          <w:szCs w:val="18"/>
          <w:color w:val="auto"/>
        </w:rPr>
        <w:t>” means (a) in the case of a Benchmark Transition Event, the earlier of (i) the applicable Benchmark Replacement Date and (ii) if such Benchmark Transition Event is a public statement or publication of information of a prospective event, the 90</w:t>
      </w:r>
      <w:r>
        <w:rPr>
          <w:rFonts w:ascii="Arial" w:cs="Arial" w:eastAsia="Arial" w:hAnsi="Arial"/>
          <w:sz w:val="15"/>
          <w:szCs w:val="15"/>
          <w:color w:val="auto"/>
        </w:rPr>
        <w:t>th</w:t>
      </w:r>
      <w:r>
        <w:rPr>
          <w:rFonts w:ascii="Arial" w:cs="Arial" w:eastAsia="Arial" w:hAnsi="Arial"/>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 and (b) in the case of an Early Opt-in Election, the date specified by the Administrative Agent or the Requisite Lenders, as applicable, by notice to the Borrower, the Administrative Agent (in the case of such noticed by the Requisite Lenders) and the Lenders.</w:t>
      </w:r>
    </w:p>
    <w:p>
      <w:pPr>
        <w:spacing w:after="0" w:line="188" w:lineRule="exact"/>
        <w:rPr>
          <w:sz w:val="20"/>
          <w:szCs w:val="20"/>
          <w:color w:val="auto"/>
        </w:rPr>
      </w:pPr>
    </w:p>
    <w:p>
      <w:pPr>
        <w:ind w:right="16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Benchmark Unavailability Period</w:t>
      </w:r>
      <w:r>
        <w:rPr>
          <w:rFonts w:ascii="Arial" w:cs="Arial" w:eastAsia="Arial" w:hAnsi="Arial"/>
          <w:sz w:val="18"/>
          <w:szCs w:val="18"/>
          <w:color w:val="auto"/>
        </w:rPr>
        <w:t>” means, if a Benchmark Transition Event and its related Benchmark Replacement Date have occurred with respect to LIBOR and solely to the extent that LIBOR has not been replaced with a Benchmark Replacement, the period (x) beginning at the time that such Benchmark Replacement Date has occurred if, at such time, no Benchmark Replacement has replaced LIBOR for all purposes hereunder in accordance with clauses (b) through (e) of Section 4.2. and (y) ending at the time that a Benchmark Replacement has replaced LIBOR for all purposes hereunder pursuant to clauses (b) through (e) of Section 4.2.</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Beneficial Ownership Certification</w:t>
      </w:r>
      <w:r>
        <w:rPr>
          <w:rFonts w:ascii="Arial" w:cs="Arial" w:eastAsia="Arial" w:hAnsi="Arial"/>
          <w:sz w:val="16"/>
          <w:szCs w:val="16"/>
          <w:color w:val="auto"/>
        </w:rPr>
        <w:t>” means a certification regarding beneficial ownership as required by the Beneficial Ownership Regulation.</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5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Benefit Arrangement</w:t>
      </w:r>
      <w:r>
        <w:rPr>
          <w:rFonts w:ascii="Arial" w:cs="Arial" w:eastAsia="Arial" w:hAnsi="Arial"/>
          <w:sz w:val="18"/>
          <w:szCs w:val="18"/>
          <w:color w:val="auto"/>
        </w:rPr>
        <w:t>” means at any time an employee benefit plan within the meaning of Section 3(3) of ERISA which is not a Plan or a Multiemployer Plan and which is maintained or otherwise contributed to by any member of the ERISA Group.</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BHC Act Affiliate</w:t>
      </w:r>
      <w:r>
        <w:rPr>
          <w:rFonts w:ascii="Arial" w:cs="Arial" w:eastAsia="Arial" w:hAnsi="Arial"/>
          <w:sz w:val="16"/>
          <w:szCs w:val="16"/>
          <w:color w:val="auto"/>
        </w:rPr>
        <w:t>” of a party means an “affiliate” (as such term is defined under, and interpreted in accordance with, 12 U.S.C. 1841(k)) of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party.</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020"/>
          </w:cols>
          <w:pgMar w:left="440" w:top="274" w:right="439" w:bottom="1440" w:gutter="0" w:footer="0" w:header="0"/>
        </w:sectPr>
      </w:pPr>
    </w:p>
    <w:bookmarkStart w:id="14" w:name="page15"/>
    <w:bookmarkEnd w:id="14"/>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Bid Rate Borrowing</w:t>
      </w:r>
      <w:r>
        <w:rPr>
          <w:rFonts w:ascii="Arial" w:cs="Arial" w:eastAsia="Arial" w:hAnsi="Arial"/>
          <w:sz w:val="18"/>
          <w:szCs w:val="18"/>
          <w:color w:val="auto"/>
        </w:rPr>
        <w:t>” has the meaning given that term in Section 2.2.(b).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Loan</w:t>
      </w:r>
      <w:r>
        <w:rPr>
          <w:rFonts w:ascii="Arial" w:cs="Arial" w:eastAsia="Arial" w:hAnsi="Arial"/>
          <w:sz w:val="18"/>
          <w:szCs w:val="18"/>
          <w:color w:val="auto"/>
        </w:rPr>
        <w:t>” means a loan made by a Lender under Section 2.2.(f).</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Note</w:t>
      </w:r>
      <w:r>
        <w:rPr>
          <w:rFonts w:ascii="Arial" w:cs="Arial" w:eastAsia="Arial" w:hAnsi="Arial"/>
          <w:sz w:val="18"/>
          <w:szCs w:val="18"/>
          <w:color w:val="auto"/>
        </w:rPr>
        <w:t>” means a promissory note of the Borrower substantially in the form of Exhibit B, payable to the order of a Lender as originally in effect and otherwise duly completed.</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Bid Rate Quote</w:t>
      </w:r>
      <w:r>
        <w:rPr>
          <w:rFonts w:ascii="Arial" w:cs="Arial" w:eastAsia="Arial" w:hAnsi="Arial"/>
          <w:sz w:val="16"/>
          <w:szCs w:val="16"/>
          <w:color w:val="auto"/>
        </w:rPr>
        <w:t>” means an offer in accordance with Section 2.2.(c) by a Lender to make a Bid Rate Loan with one single specified interest rate.</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Bid Rate Quote Request</w:t>
      </w:r>
      <w:r>
        <w:rPr>
          <w:rFonts w:ascii="Arial" w:cs="Arial" w:eastAsia="Arial" w:hAnsi="Arial"/>
          <w:sz w:val="18"/>
          <w:szCs w:val="18"/>
          <w:color w:val="auto"/>
        </w:rPr>
        <w:t>” has the meaning given that term in Section 2.2.(b).</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Borrower</w:t>
      </w:r>
      <w:r>
        <w:rPr>
          <w:rFonts w:ascii="Arial" w:cs="Arial" w:eastAsia="Arial" w:hAnsi="Arial"/>
          <w:sz w:val="16"/>
          <w:szCs w:val="16"/>
          <w:color w:val="auto"/>
        </w:rPr>
        <w:t>” has the meaning set forth in the introductory paragraph hereof and shall include the Borrower’s successors and permitted assigns.</w:t>
      </w:r>
    </w:p>
    <w:p>
      <w:pPr>
        <w:spacing w:after="0" w:line="2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Information</w:t>
      </w:r>
      <w:r>
        <w:rPr>
          <w:rFonts w:ascii="Arial" w:cs="Arial" w:eastAsia="Arial" w:hAnsi="Arial"/>
          <w:sz w:val="18"/>
          <w:szCs w:val="18"/>
          <w:color w:val="auto"/>
        </w:rPr>
        <w:t>” has the meaning given that term in Section 2.5.(c).</w:t>
      </w:r>
    </w:p>
    <w:p>
      <w:pPr>
        <w:spacing w:after="0" w:line="22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a day of the week (but not a Saturday, Sunday or holiday) on which the offices of the Administrative Agent in San Francisco, California are open to the public for carrying on substantially all of the Administrative Agent’s business functions, and (b) if such day relates to a LIBOR Loan, any such day that is also a day on which dealings in Dollars are carried on in the London interbank market. Unless specifically referenced in this Agreement as a Business Day, all references to “days” shall be to calendar days.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Reserves</w:t>
      </w:r>
      <w:r>
        <w:rPr>
          <w:rFonts w:ascii="Arial" w:cs="Arial" w:eastAsia="Arial" w:hAnsi="Arial"/>
          <w:sz w:val="16"/>
          <w:szCs w:val="16"/>
          <w:color w:val="auto"/>
        </w:rPr>
        <w:t>” means, for any period and with respect to any: (i) portion of a Property developed with improvements utilized for the retail</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sale of goods or services, office space or other use (other than residential apartments and Hotel Properties), an amount equal to (a) $0.15 per square foot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times, (b) a fraction, the numerator of which is the number of days in such period and the denominator of which is 365; provided, however, no capital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reserves shall be required with respect to any portion of any such Property which is leased under a ground lease to a third party that owns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improvements on such portion of such Property; (ii) Multifamily Property or any portion of a Property developed with improvements utilized 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residential apartments (other than Properties having less than 20 residential units), an amount equal to (a) $200 per apartment unit in such Multifamily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Property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(b) a fraction, the numerator of which is the number of days in such period and the denominator of which is 365 or (iii) Hotel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Property an amount equal to the greater of (a) 4.0% of total gross revenues for such Property for such period and (b) the aggregate amount of reserves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respect to furniture, fixtures and equipment required under any Property Management Agreement or Franchise Agreement applicable to such Property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such period. If the term Capital Reserves is used without reference to any specific Property, then the amount shall be determined on an aggregate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basis with respect to all Office Properties, Retail Properties, Multifamily Properties and Hotel Properties of the Borrower and its Subsidiaries and 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proportionate share of all Office Properties, Retail Properties, Multifamily Properties and Hotel Properties of all Unconsolidated Affiliates.</w:t>
      </w:r>
    </w:p>
    <w:p>
      <w:pPr>
        <w:spacing w:after="0" w:line="207"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Capitalization Rate</w:t>
      </w:r>
      <w:r>
        <w:rPr>
          <w:rFonts w:ascii="Arial" w:cs="Arial" w:eastAsia="Arial" w:hAnsi="Arial"/>
          <w:sz w:val="18"/>
          <w:szCs w:val="18"/>
          <w:color w:val="auto"/>
        </w:rPr>
        <w:t>” means (a) 7.25% for (i) the Hotel Properties known as The Row Hotel at Assembly Row and Canopy by Hilton at Pike &amp; Rose and (ii) other Hotel Properties located in downtown or central business district locations in Boston, Massachusetts; Chicago, Illinois; Los Angeles, California; borough of Manhattan, New York; Miami, Florida; San Diego, California; San Francisco, California; and Washington, D.C., (b) 7.75% for all other Hotel Properties and (c) 6.00% for all other Properties.</w:t>
      </w:r>
    </w:p>
    <w:p>
      <w:pPr>
        <w:spacing w:after="0" w:line="180" w:lineRule="exact"/>
        <w:rPr>
          <w:sz w:val="20"/>
          <w:szCs w:val="20"/>
          <w:color w:val="auto"/>
        </w:rPr>
      </w:pPr>
    </w:p>
    <w:p>
      <w:pPr>
        <w:jc w:val="both"/>
        <w:ind w:right="4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Capitalized Lease Obligation</w:t>
      </w:r>
      <w:r>
        <w:rPr>
          <w:rFonts w:ascii="Arial" w:cs="Arial" w:eastAsia="Arial" w:hAnsi="Arial"/>
          <w:sz w:val="16"/>
          <w:szCs w:val="16"/>
          <w:color w:val="auto"/>
        </w:rPr>
        <w:t>” means obligations under a lease that are required to be capitalized for financial reporting purposes in accordance with GAAP (subject to the provisions of Section 1.2. hereof). The amount of a Capitalized Lease Obligation is the capitalized amount of such obligation as would be required to be reflected on a balance sheet of the applicable Person prepared in accordance with GAAP as of the applicable date.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020"/>
          </w:cols>
          <w:pgMar w:left="440" w:top="270" w:right="439" w:bottom="1440" w:gutter="0" w:footer="0" w:header="0"/>
        </w:sectPr>
      </w:pPr>
    </w:p>
    <w:bookmarkStart w:id="15" w:name="page16"/>
    <w:bookmarkEnd w:id="15"/>
    <w:p>
      <w:pPr>
        <w:ind w:firstLine="441"/>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Cash Collateralize</w:t>
      </w:r>
      <w:r>
        <w:rPr>
          <w:rFonts w:ascii="Arial" w:cs="Arial" w:eastAsia="Arial" w:hAnsi="Arial"/>
          <w:sz w:val="17"/>
          <w:szCs w:val="17"/>
          <w:color w:val="auto"/>
        </w:rPr>
        <w:t>” means, to pledge and deposit with or deliver to the Administrative Agent, for the benefit of the Issuing Bank or the Lenders, as collateral for Letter of Credit Liabilities or obligations of Lenders to fund participations in respect of Letter of Credit Liabilities, cash, or deposit account balances or, if the Administrative Agent and the Issuing Bank shall agree in their sole discretion, other credit support, in each case pursuant to documentation in form and substance satisfactory to the Administrative Agent and the Issuing Bank. “Cash Collateral” shall have a meaning correlative to the foregoing and shall include the proceeds of such cash collateral and other credit support, but shall not include any deposit accounts (or other assets) of Borrower not specifically designated by the Borrower as “Cash Collateral.”</w:t>
      </w:r>
    </w:p>
    <w:p>
      <w:pPr>
        <w:spacing w:after="0" w:line="174" w:lineRule="exact"/>
        <w:rPr>
          <w:sz w:val="20"/>
          <w:szCs w:val="20"/>
          <w:color w:val="auto"/>
        </w:rPr>
      </w:pPr>
    </w:p>
    <w:p>
      <w:pPr>
        <w:ind w:right="60" w:firstLine="44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Cash Equivalents</w:t>
      </w:r>
      <w:r>
        <w:rPr>
          <w:rFonts w:ascii="Arial" w:cs="Arial" w:eastAsia="Arial" w:hAnsi="Arial"/>
          <w:sz w:val="17"/>
          <w:szCs w:val="17"/>
          <w:color w:val="auto"/>
        </w:rPr>
        <w:t>” means: (a) securities issued, guaranteed or insured by the United States of America or any of its agencies with maturities of not more than one year from the date acquired; (b) certificates of deposit with maturities of not more than one year from the date acquired issued by a United States federal or state chartered commercial bank of recognized standing, or a commercial bank organized under the laws of any other country which is a member of the Organisation for Economic Cooperation and Development, or a political subdivision of any such country, acting through a branch or agency, which bank has capital and unimpaired surplus in excess of $500,000,000 and which bank or its holding company has a short-term commercial paper rating of at least A-2 or the equivalent by S&amp;P or at least P-2 or the equivalent by Moody’s; (c) reverse repurchase agreements with terms of not more than seven days from the date acquired, for securities of the type described in clause (a) above and entered into only with commercial banks having the qualifications described in clause (b) above; (d) commercial paper issued by any Person incorporated under the laws of the United States of America or any State thereof and rated at least A-2 or the equivalent thereof by S&amp;P or at least P-2 or the equivalent thereof by Moody’s, in each case with maturities of not more than one year from the date acquired; and (e) investments in money market funds registered under the Investment Company Act of 1940, as amended, which have net assets of at least $500,000,000 and at least 85% of whose assets consist of securities and other obligations of the type described in clauses (a) through (d) above.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w:t>
      </w:r>
      <w:r>
        <w:rPr>
          <w:rFonts w:ascii="Arial" w:cs="Arial" w:eastAsia="Arial" w:hAnsi="Arial"/>
          <w:sz w:val="18"/>
          <w:szCs w:val="18"/>
          <w:color w:val="auto"/>
        </w:rPr>
        <w:t>” means, as to a Lender, such Lender’s Revolving Commitment.</w:t>
      </w:r>
    </w:p>
    <w:p>
      <w:pPr>
        <w:spacing w:after="0" w:line="225" w:lineRule="exact"/>
        <w:rPr>
          <w:sz w:val="20"/>
          <w:szCs w:val="20"/>
          <w:color w:val="auto"/>
        </w:rPr>
      </w:pPr>
    </w:p>
    <w:p>
      <w:pPr>
        <w:ind w:right="5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Commodity Exchange Act</w:t>
      </w:r>
      <w:r>
        <w:rPr>
          <w:rFonts w:ascii="Arial" w:cs="Arial" w:eastAsia="Arial" w:hAnsi="Arial"/>
          <w:sz w:val="18"/>
          <w:szCs w:val="18"/>
          <w:color w:val="auto"/>
        </w:rPr>
        <w:t>” means the Commodity Exchange Act (7 U.S.C. §1 et seq.), as amended from time to time, and any successor statute.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has the meaning given that term in Section 8.3.</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Connection Income Taxes</w:t>
      </w:r>
      <w:r>
        <w:rPr>
          <w:rFonts w:ascii="Arial" w:cs="Arial" w:eastAsia="Arial" w:hAnsi="Arial"/>
          <w:sz w:val="18"/>
          <w:szCs w:val="18"/>
          <w:color w:val="auto"/>
        </w:rPr>
        <w:t>” means Other Connection Taxes that are imposed on or measured by net income (however denominated) or that are franchise Taxes or branch profits Taxes.</w:t>
      </w:r>
    </w:p>
    <w:p>
      <w:pPr>
        <w:spacing w:after="0" w:line="162" w:lineRule="exact"/>
        <w:rPr>
          <w:sz w:val="20"/>
          <w:szCs w:val="20"/>
          <w:color w:val="auto"/>
        </w:rPr>
      </w:pPr>
    </w:p>
    <w:p>
      <w:pPr>
        <w:ind w:right="4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Continue</w:t>
      </w:r>
      <w:r>
        <w:rPr>
          <w:rFonts w:ascii="Arial" w:cs="Arial" w:eastAsia="Arial" w:hAnsi="Arial"/>
          <w:sz w:val="18"/>
          <w:szCs w:val="18"/>
          <w:color w:val="auto"/>
        </w:rPr>
        <w:t>”, “</w:t>
      </w:r>
      <w:r>
        <w:rPr>
          <w:rFonts w:ascii="Arial" w:cs="Arial" w:eastAsia="Arial" w:hAnsi="Arial"/>
          <w:sz w:val="18"/>
          <w:szCs w:val="18"/>
          <w:b w:val="1"/>
          <w:bCs w:val="1"/>
          <w:color w:val="auto"/>
        </w:rPr>
        <w:t>Continuation</w:t>
      </w:r>
      <w:r>
        <w:rPr>
          <w:rFonts w:ascii="Arial" w:cs="Arial" w:eastAsia="Arial" w:hAnsi="Arial"/>
          <w:sz w:val="18"/>
          <w:szCs w:val="18"/>
          <w:color w:val="auto"/>
        </w:rPr>
        <w:t>” and “</w:t>
      </w:r>
      <w:r>
        <w:rPr>
          <w:rFonts w:ascii="Arial" w:cs="Arial" w:eastAsia="Arial" w:hAnsi="Arial"/>
          <w:sz w:val="18"/>
          <w:szCs w:val="18"/>
          <w:b w:val="1"/>
          <w:bCs w:val="1"/>
          <w:color w:val="auto"/>
        </w:rPr>
        <w:t>Continued</w:t>
      </w:r>
      <w:r>
        <w:rPr>
          <w:rFonts w:ascii="Arial" w:cs="Arial" w:eastAsia="Arial" w:hAnsi="Arial"/>
          <w:sz w:val="18"/>
          <w:szCs w:val="18"/>
          <w:color w:val="auto"/>
        </w:rPr>
        <w:t>” each refers to the continuation of a LIBOR Loan from one Interest Period to another Interest Period pursuant to Section 2.9.</w:t>
      </w:r>
    </w:p>
    <w:p>
      <w:pPr>
        <w:spacing w:after="0" w:line="162"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Construction-in-Process”</w:t>
      </w:r>
      <w:r>
        <w:rPr>
          <w:rFonts w:ascii="Arial" w:cs="Arial" w:eastAsia="Arial" w:hAnsi="Arial"/>
          <w:sz w:val="18"/>
          <w:szCs w:val="18"/>
          <w:color w:val="auto"/>
        </w:rPr>
        <w:t xml:space="preserve"> means cash expenditures for land and improvements (including indirect costs internally allocated and development costs) in accordance with GAAP on all Development Properties.</w:t>
      </w:r>
    </w:p>
    <w:p>
      <w:pPr>
        <w:spacing w:after="0" w:line="162" w:lineRule="exact"/>
        <w:rPr>
          <w:sz w:val="20"/>
          <w:szCs w:val="20"/>
          <w:color w:val="auto"/>
        </w:rPr>
      </w:pPr>
    </w:p>
    <w:p>
      <w:pPr>
        <w:ind w:right="3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000"/>
          </w:cols>
          <w:pgMar w:left="440" w:top="270" w:right="459" w:bottom="1440" w:gutter="0" w:footer="0" w:header="0"/>
        </w:sectPr>
      </w:pPr>
    </w:p>
    <w:bookmarkStart w:id="16" w:name="page17"/>
    <w:bookmarkEnd w:id="16"/>
    <w:p>
      <w:pPr>
        <w:ind w:right="10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Controlled Property</w:t>
      </w:r>
      <w:r>
        <w:rPr>
          <w:rFonts w:ascii="Arial" w:cs="Arial" w:eastAsia="Arial" w:hAnsi="Arial"/>
          <w:sz w:val="18"/>
          <w:szCs w:val="18"/>
          <w:color w:val="auto"/>
        </w:rPr>
        <w:t>” means a Property which is an Eligible Property that is owned in fee simple (or leased under a Ground Lease) by a Subsidiary that is not a Wholly Owned Subsidiary and with respect to which the Borrower or such Subsidiary has the right to take the following actions without the need to obtain the consent of any Person (other than the Requisite Lenders if required pursuant to the Loan Documents): (A) to create Liens on such Property as security for Indebtedness of the Borrower or such Subsidiary, as applicable and (B) to sell, convey, transfer or otherwise dispose of such Property.</w:t>
      </w:r>
    </w:p>
    <w:p>
      <w:pPr>
        <w:spacing w:after="0" w:line="184" w:lineRule="exact"/>
        <w:rPr>
          <w:sz w:val="20"/>
          <w:szCs w:val="20"/>
          <w:color w:val="auto"/>
        </w:rPr>
      </w:pPr>
    </w:p>
    <w:p>
      <w:pPr>
        <w:ind w:right="6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w:t>
      </w:r>
      <w:r>
        <w:rPr>
          <w:rFonts w:ascii="Arial" w:cs="Arial" w:eastAsia="Arial" w:hAnsi="Arial"/>
          <w:sz w:val="18"/>
          <w:szCs w:val="18"/>
          <w:color w:val="auto"/>
        </w:rPr>
        <w:t>”, “</w:t>
      </w:r>
      <w:r>
        <w:rPr>
          <w:rFonts w:ascii="Arial" w:cs="Arial" w:eastAsia="Arial" w:hAnsi="Arial"/>
          <w:sz w:val="18"/>
          <w:szCs w:val="18"/>
          <w:b w:val="1"/>
          <w:bCs w:val="1"/>
          <w:color w:val="auto"/>
        </w:rPr>
        <w:t>Conversion</w:t>
      </w:r>
      <w:r>
        <w:rPr>
          <w:rFonts w:ascii="Arial" w:cs="Arial" w:eastAsia="Arial" w:hAnsi="Arial"/>
          <w:sz w:val="18"/>
          <w:szCs w:val="18"/>
          <w:color w:val="auto"/>
        </w:rPr>
        <w:t>” and “</w:t>
      </w:r>
      <w:r>
        <w:rPr>
          <w:rFonts w:ascii="Arial" w:cs="Arial" w:eastAsia="Arial" w:hAnsi="Arial"/>
          <w:sz w:val="18"/>
          <w:szCs w:val="18"/>
          <w:b w:val="1"/>
          <w:bCs w:val="1"/>
          <w:color w:val="auto"/>
        </w:rPr>
        <w:t>Converted</w:t>
      </w:r>
      <w:r>
        <w:rPr>
          <w:rFonts w:ascii="Arial" w:cs="Arial" w:eastAsia="Arial" w:hAnsi="Arial"/>
          <w:sz w:val="18"/>
          <w:szCs w:val="18"/>
          <w:color w:val="auto"/>
        </w:rPr>
        <w:t>” each refers to the conversion of a Loan of one Type into a Loan of another Type pursuant to Section 2.10.</w:t>
      </w:r>
    </w:p>
    <w:p>
      <w:pPr>
        <w:spacing w:after="0" w:line="162"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Entity”</w:t>
      </w:r>
      <w:r>
        <w:rPr>
          <w:rFonts w:ascii="Arial" w:cs="Arial" w:eastAsia="Arial" w:hAnsi="Arial"/>
          <w:sz w:val="18"/>
          <w:szCs w:val="18"/>
          <w:color w:val="auto"/>
        </w:rPr>
        <w:t xml:space="preserve">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Party</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w:t>
      </w:r>
      <w:r>
        <w:rPr>
          <w:rFonts w:ascii="Arial" w:cs="Arial" w:eastAsia="Arial" w:hAnsi="Arial"/>
          <w:sz w:val="18"/>
          <w:szCs w:val="18"/>
          <w:color w:val="auto"/>
        </w:rPr>
        <w:t>” means any of the following: (a) the making (or deemed making) of any Loan, (b) the Conversion of a Base Rate Loan into a LIBOR Loan, (c) the Continuation of a LIBOR Loan and (d) the issuance of a Letter of Credit.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Rating</w:t>
      </w:r>
      <w:r>
        <w:rPr>
          <w:rFonts w:ascii="Arial" w:cs="Arial" w:eastAsia="Arial" w:hAnsi="Arial"/>
          <w:sz w:val="18"/>
          <w:szCs w:val="18"/>
          <w:color w:val="auto"/>
        </w:rPr>
        <w:t>” means the rating assigned by a Rating Agency to the senior unsecured long term Indebtedness of a Person.</w:t>
      </w:r>
    </w:p>
    <w:p>
      <w:pPr>
        <w:spacing w:after="0" w:line="225" w:lineRule="exact"/>
        <w:rPr>
          <w:sz w:val="20"/>
          <w:szCs w:val="20"/>
          <w:color w:val="auto"/>
        </w:rPr>
      </w:pPr>
    </w:p>
    <w:p>
      <w:pPr>
        <w:ind w:right="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means the Bankruptcy Code, and all other liquidation, conservatorship, bankruptcy, assignment for the benefit of creditors, moratorium, rearrangement, receivership, insolvency, reorganization, or similar Applicable Laws relating to the relief of debtors in the United States of America or other applicable jurisdictions from time to time in effect.</w:t>
      </w:r>
    </w:p>
    <w:p>
      <w:pPr>
        <w:spacing w:after="0" w:line="176"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of the events specified in Section 10.1., whether or not there has been satisfied any requirement for the giving of notice, the lapse of time, or both.</w:t>
      </w:r>
    </w:p>
    <w:p>
      <w:pPr>
        <w:spacing w:after="0" w:line="162"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means, subject to Section 3.9.(f), any Lender that (a) has failed to (i) fund all or any portion of its Loans within 2 Business Days of the date such Loans were required to be funded hereunder unless such Lender notifies the Administrative Agent and the Borrower in writing that such failure is the result of such Lender’s reasonable determination (such reasonableness to be confirmed by the Administrative Agent) that one or more conditions precedent to funding (each of which conditions precedent, together with any applicable default, shall be specifically identified in such writing furnished to the Administrative Agent and the Borrower on or prior to the date which is one Business Day before the request for such funding is submitted by the Borrower in order to be effective to exclude such Lender from being a “Defaulting Lender” hereunder with respect to such requested funding) has not been satisfied, or (ii) pay to the Administrative Agent, the Issuing Bank, the Swingline Lender or any other Lender any other amount required to be paid by it hereunder (including in respect of its participation in Letters of Credit or Swingline Loans) within 2 Business Days of the date when due, (b) has notified the Borrower, the Administrative Agent, the Issuing Bank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(such reasonableness to be confirmed by the Administrative Agent) that a condition precedent to funding (which condition precedent, together with any applicable default, shall be specifically identified in such writing or public statement furnished to the Administrative Agent and the Borrower on or prior to the date which is one Business Day before the request</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020"/>
          </w:cols>
          <w:pgMar w:left="440" w:top="270" w:right="439" w:bottom="1440" w:gutter="0" w:footer="0" w:header="0"/>
        </w:sectPr>
      </w:pPr>
    </w:p>
    <w:bookmarkStart w:id="17" w:name="page18"/>
    <w:bookmarkEnd w:id="17"/>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such funding is submitted by the Borrower) cannot be satisfied in order to be effective to exclude such Lender from being a “Defaulting Lender” hereunder with respect to such requested funding), (c) has failed, within 3 Business Days after written request by the Administrative Agent or the Borrower, to confirm in writing to the Administrative Agent and the Borrower that it will comply with its prospective funding obligations hereunder (provided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provided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of America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clauses (a) through (d) above shall be conclusive and binding absent manifest error, and such Lender shall be deemed to be a Defaulting Lender (subject to Section 3.9.(f)) upon delivery of written notice of such determination to the Borrower, the Issuing Bank, the Swingline Lender and each Lender.</w:t>
      </w:r>
    </w:p>
    <w:p>
      <w:pPr>
        <w:spacing w:after="0" w:line="179" w:lineRule="exact"/>
        <w:rPr>
          <w:sz w:val="20"/>
          <w:szCs w:val="20"/>
          <w:color w:val="auto"/>
        </w:rPr>
      </w:pPr>
    </w:p>
    <w:p>
      <w:pPr>
        <w:ind w:right="4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Right</w:t>
      </w:r>
      <w:r>
        <w:rPr>
          <w:rFonts w:ascii="Arial" w:cs="Arial" w:eastAsia="Arial" w:hAnsi="Arial"/>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Contract</w:t>
      </w:r>
      <w:r>
        <w:rPr>
          <w:rFonts w:ascii="Arial" w:cs="Arial" w:eastAsia="Arial" w:hAnsi="Arial"/>
          <w:sz w:val="16"/>
          <w:szCs w:val="16"/>
          <w:color w:val="auto"/>
        </w:rPr>
        <w:t>” means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commitment on the part of a Loan Party to enter into any of the foregoing), whether or not any such transaction is governed by or subject to any master agreement. Not in limitation of the foregoing, the term “Derivatives Contract” includes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such obligations or liabilities under any such master agreement.</w:t>
      </w:r>
    </w:p>
    <w:p>
      <w:pPr>
        <w:spacing w:after="0" w:line="160"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Derivatives Support Document</w:t>
      </w:r>
      <w:r>
        <w:rPr>
          <w:rFonts w:ascii="Arial" w:cs="Arial" w:eastAsia="Arial" w:hAnsi="Arial"/>
          <w:sz w:val="18"/>
          <w:szCs w:val="18"/>
          <w:color w:val="auto"/>
        </w:rPr>
        <w:t>” means (i) any Credit Support Annex comprising part of (and as defined in) any Specified Derivatives Contract, and (ii) any document or agreement pursuant to which cash, deposit accounts, securities accounts or similar financial asset collateral are pledged to or made available for set-off by, a Specified Derivatives Provider, including any banker’s lien or similar right, securing or supporting Specified Derivatives Obligation.</w:t>
      </w:r>
    </w:p>
    <w:p>
      <w:pPr>
        <w:spacing w:after="0" w:line="180" w:lineRule="exact"/>
        <w:rPr>
          <w:sz w:val="20"/>
          <w:szCs w:val="20"/>
          <w:color w:val="auto"/>
        </w:rPr>
      </w:pPr>
    </w:p>
    <w:p>
      <w:pPr>
        <w:jc w:val="both"/>
        <w:ind w:right="16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Derivatives Termination Value</w:t>
      </w:r>
      <w:r>
        <w:rPr>
          <w:rFonts w:ascii="Arial" w:cs="Arial" w:eastAsia="Arial" w:hAnsi="Arial"/>
          <w:sz w:val="16"/>
          <w:szCs w:val="16"/>
          <w:color w:val="auto"/>
        </w:rPr>
        <w:t>” means, in respect of any one or more Derivatives Contracts, after taking into account the effect of any legally enforceable netting agreement relating to such Derivatives Contracts, (a) for any date on or after the date such Derivatives Contracts have been closed out and termination value(s) determined in accordance therewith, such termination value(s), and (b) for any date prior to the date referenced in clause</w:t>
      </w:r>
    </w:p>
    <w:p>
      <w:pPr>
        <w:spacing w:after="0" w:line="2" w:lineRule="exact"/>
        <w:rPr>
          <w:sz w:val="20"/>
          <w:szCs w:val="20"/>
          <w:color w:val="auto"/>
        </w:rPr>
      </w:pPr>
    </w:p>
    <w:p>
      <w:pPr>
        <w:ind w:right="60" w:firstLine="4"/>
        <w:spacing w:after="0" w:line="255" w:lineRule="auto"/>
        <w:tabs>
          <w:tab w:leader="none" w:pos="24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amount(s) determined as the mark-to-market value(s) for such Derivatives Contracts, as determined based upon one or more mid-market or other readily available quotations provided by any recognized dealer in such Derivatives Contracts (which may include the Administrative Agent or any Lender).</w:t>
      </w:r>
    </w:p>
    <w:p>
      <w:pPr>
        <w:spacing w:after="0" w:line="122" w:lineRule="exact"/>
        <w:rPr>
          <w:rFonts w:ascii="Arial" w:cs="Arial" w:eastAsia="Arial" w:hAnsi="Arial"/>
          <w:sz w:val="18"/>
          <w:szCs w:val="18"/>
          <w:color w:val="auto"/>
        </w:rPr>
      </w:pPr>
    </w:p>
    <w:p>
      <w:pPr>
        <w:ind w:left="5460" w:hanging="96"/>
        <w:spacing w:after="0"/>
        <w:tabs>
          <w:tab w:leader="none" w:pos="5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9 -</w:t>
      </w:r>
    </w:p>
    <w:p>
      <w:pPr>
        <w:sectPr>
          <w:pgSz w:w="11900" w:h="16838" w:orient="portrait"/>
          <w:cols w:equalWidth="0" w:num="1">
            <w:col w:w="11020"/>
          </w:cols>
          <w:pgMar w:left="440" w:top="274" w:right="439" w:bottom="1440" w:gutter="0" w:footer="0" w:header="0"/>
        </w:sectPr>
      </w:pPr>
    </w:p>
    <w:bookmarkStart w:id="18" w:name="page19"/>
    <w:bookmarkEnd w:id="18"/>
    <w:p>
      <w:pPr>
        <w:ind w:right="180"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Designated Lender</w:t>
      </w:r>
      <w:r>
        <w:rPr>
          <w:rFonts w:ascii="Arial" w:cs="Arial" w:eastAsia="Arial" w:hAnsi="Arial"/>
          <w:sz w:val="18"/>
          <w:szCs w:val="18"/>
          <w:color w:val="auto"/>
        </w:rPr>
        <w:t>” means a special purpose corporation which is an Affiliate of, or sponsored by, a Lender, that is engaged in making, purchasing or otherwise investing in commercial loans in the ordinary course of its business and that issues (or the parent of which issues) commercial paper rated at least P-1 (or the then equivalent grade) by Moody’s or A-1 (or the then equivalent grade) by S&amp;P that, in either case, (a) is organized under the laws of the United States of America or any state thereof, (b) shall have become a party to this Agreement pursuant to Section 12.6.(h) and (c) is not otherwise a Lender.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Designating Lender</w:t>
      </w:r>
      <w:r>
        <w:rPr>
          <w:rFonts w:ascii="Arial" w:cs="Arial" w:eastAsia="Arial" w:hAnsi="Arial"/>
          <w:sz w:val="18"/>
          <w:szCs w:val="18"/>
          <w:color w:val="auto"/>
        </w:rPr>
        <w:t>” has the meaning given that term in Section 12.6.(h).</w:t>
      </w:r>
    </w:p>
    <w:p>
      <w:pPr>
        <w:spacing w:after="0" w:line="225" w:lineRule="exact"/>
        <w:rPr>
          <w:sz w:val="20"/>
          <w:szCs w:val="20"/>
          <w:color w:val="auto"/>
        </w:rPr>
      </w:pPr>
    </w:p>
    <w:p>
      <w:pPr>
        <w:ind w:right="2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Agreement</w:t>
      </w:r>
      <w:r>
        <w:rPr>
          <w:rFonts w:ascii="Arial" w:cs="Arial" w:eastAsia="Arial" w:hAnsi="Arial"/>
          <w:sz w:val="18"/>
          <w:szCs w:val="18"/>
          <w:color w:val="auto"/>
        </w:rPr>
        <w:t>” means a Designation Agreement between a Lender and a Designated Lender and accepted by the Administrative Agent, substantially in the form of Exhibit C or such other form as may be agreed to by such Lender, such Designated Lender and the Administrative Agent.</w:t>
      </w:r>
    </w:p>
    <w:p>
      <w:pPr>
        <w:spacing w:after="0" w:line="176" w:lineRule="exact"/>
        <w:rPr>
          <w:sz w:val="20"/>
          <w:szCs w:val="20"/>
          <w:color w:val="auto"/>
        </w:rPr>
      </w:pPr>
    </w:p>
    <w:p>
      <w:pPr>
        <w:ind w:right="8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Development Property</w:t>
      </w:r>
      <w:r>
        <w:rPr>
          <w:rFonts w:ascii="Arial" w:cs="Arial" w:eastAsia="Arial" w:hAnsi="Arial"/>
          <w:sz w:val="16"/>
          <w:szCs w:val="16"/>
          <w:color w:val="auto"/>
        </w:rPr>
        <w:t>” means a Property that is not yet a Retail Property, an Office Property, a Multifamily Property or a Hotel Property but is being developed, or will have development commencing within 12 months of any date of determination, to become one. A Development Property will cease to constitute a Development Property upon the earlier to occur of (x) in the case of a Retail Property, Office Property or Multifamily Property</w:t>
      </w:r>
    </w:p>
    <w:p>
      <w:pPr>
        <w:spacing w:after="0" w:line="2" w:lineRule="exact"/>
        <w:rPr>
          <w:sz w:val="20"/>
          <w:szCs w:val="20"/>
          <w:color w:val="auto"/>
        </w:rPr>
      </w:pPr>
    </w:p>
    <w:p>
      <w:pPr>
        <w:ind w:right="80" w:firstLine="4"/>
        <w:spacing w:after="0" w:line="261" w:lineRule="auto"/>
        <w:tabs>
          <w:tab w:leader="none" w:pos="24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date that is six months past substantial completion of such Property and (b) achieving an Occupancy Rate of 85.0% and (y) in the case of a Hotel Property, the date that is 12 months past substantial completion of such Property.</w:t>
      </w:r>
    </w:p>
    <w:p>
      <w:pPr>
        <w:spacing w:after="0" w:line="180" w:lineRule="exact"/>
        <w:rPr>
          <w:sz w:val="20"/>
          <w:szCs w:val="20"/>
          <w:color w:val="auto"/>
        </w:rPr>
      </w:pPr>
    </w:p>
    <w:p>
      <w:pPr>
        <w:ind w:right="70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Disbursement Instruction Agreement</w:t>
      </w:r>
      <w:r>
        <w:rPr>
          <w:rFonts w:ascii="Arial" w:cs="Arial" w:eastAsia="Arial" w:hAnsi="Arial"/>
          <w:sz w:val="16"/>
          <w:szCs w:val="16"/>
          <w:color w:val="auto"/>
        </w:rPr>
        <w:t>” means an agreement substantially in the form of Exhibit K to be executed and delivered by the Borrower, as the same may be amended, restated or modified from time to time with the prior written approval of the Administrative Agent.</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Early Opt-in Election</w:t>
      </w:r>
      <w:r>
        <w:rPr>
          <w:rFonts w:ascii="Arial" w:cs="Arial" w:eastAsia="Arial" w:hAnsi="Arial"/>
          <w:sz w:val="18"/>
          <w:szCs w:val="18"/>
          <w:color w:val="auto"/>
        </w:rPr>
        <w:t>” means the occurrence of:</w:t>
      </w:r>
    </w:p>
    <w:p>
      <w:pPr>
        <w:spacing w:after="0" w:line="121" w:lineRule="exact"/>
        <w:rPr>
          <w:sz w:val="20"/>
          <w:szCs w:val="20"/>
          <w:color w:val="auto"/>
        </w:rPr>
      </w:pPr>
    </w:p>
    <w:p>
      <w:pPr>
        <w:ind w:left="440" w:right="20" w:firstLine="428"/>
        <w:spacing w:after="0" w:line="259"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a determination by the Administrative Agent or (ii) a notification by the Requisite Lenders to the Administrative Agent (with a copy to the Borrower) that the Requisite Lenders have determined that U.S. Dollar-denominated syndicated credit facilities being executed at such time, or that include language similar to that contained in clauses (b) through (e) of Section 4.2., are being executed or amended, as applicable, to incorporate or adopt a new benchmark interest rate to replace LIBOR, and</w:t>
      </w:r>
    </w:p>
    <w:p>
      <w:pPr>
        <w:spacing w:after="0" w:line="78" w:lineRule="exact"/>
        <w:rPr>
          <w:rFonts w:ascii="Arial" w:cs="Arial" w:eastAsia="Arial" w:hAnsi="Arial"/>
          <w:sz w:val="18"/>
          <w:szCs w:val="18"/>
          <w:color w:val="auto"/>
        </w:rPr>
      </w:pPr>
    </w:p>
    <w:p>
      <w:pPr>
        <w:ind w:left="440" w:firstLine="428"/>
        <w:spacing w:after="0" w:line="264" w:lineRule="auto"/>
        <w:tabs>
          <w:tab w:leader="none" w:pos="1118" w:val="left"/>
        </w:tabs>
        <w:numPr>
          <w:ilvl w:val="0"/>
          <w:numId w:val="7"/>
        </w:numPr>
        <w:rPr>
          <w:rFonts w:ascii="Arial" w:cs="Arial" w:eastAsia="Arial" w:hAnsi="Arial"/>
          <w:sz w:val="18"/>
          <w:szCs w:val="18"/>
          <w:color w:val="auto"/>
        </w:rPr>
      </w:pPr>
      <w:r>
        <w:rPr>
          <w:rFonts w:ascii="Arial" w:cs="Arial" w:eastAsia="Arial" w:hAnsi="Arial"/>
          <w:sz w:val="18"/>
          <w:szCs w:val="18"/>
          <w:color w:val="auto"/>
        </w:rPr>
        <w:t>(i) the election by the Administrative Agent or (ii) the election by the Requisite Lenders to declare that an Early Opt-in Election has occurred and the provision, as applicable, by the Administrative Agent of written notice of such election to the Borrower and the Lenders or by the Requisite Lenders of written notice of such election to the Administrative Agent.</w:t>
      </w:r>
    </w:p>
    <w:p>
      <w:pPr>
        <w:spacing w:after="0" w:line="177" w:lineRule="exact"/>
        <w:rPr>
          <w:sz w:val="20"/>
          <w:szCs w:val="20"/>
          <w:color w:val="auto"/>
        </w:rPr>
      </w:pPr>
    </w:p>
    <w:p>
      <w:pPr>
        <w:ind w:firstLine="44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EBITDA</w:t>
      </w:r>
      <w:r>
        <w:rPr>
          <w:rFonts w:ascii="Arial" w:cs="Arial" w:eastAsia="Arial" w:hAnsi="Arial"/>
          <w:sz w:val="16"/>
          <w:szCs w:val="16"/>
          <w:color w:val="auto"/>
        </w:rPr>
        <w:t xml:space="preserve">” means, with respect to a Person for any period: (a) net income (or loss) of such Person for such period determined on a consolidated basis, in accordance with GAAP, exclusive of the following (but only to the extent included in determination of such net income (loss)): (i) depreciation and amortization expense; (ii) Interest Expense; (iii) income tax expense; and (iv) extraordinary or non-recurring gains and losses;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such Person’s Ownership Share of EBITDA (as determined in a manner consistent with the foregoing clause (a)) of its Unconsolidated Affiliates. EBITDA will be adjusted to remove all impact of straight lining of rents required under GAAP and amortization of intangibles pursuant to FASB ASC 805.</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020"/>
          </w:cols>
          <w:pgMar w:left="440" w:top="270" w:right="439" w:bottom="1440" w:gutter="0" w:footer="0" w:header="0"/>
        </w:sectPr>
      </w:pPr>
    </w:p>
    <w:bookmarkStart w:id="19" w:name="page20"/>
    <w:bookmarkEnd w:id="19"/>
    <w:p>
      <w:pPr>
        <w:ind w:right="40" w:firstLine="441"/>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EEA Financial Institution</w:t>
      </w:r>
      <w:r>
        <w:rPr>
          <w:rFonts w:ascii="Arial" w:cs="Arial" w:eastAsia="Arial" w:hAnsi="Arial"/>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means the later of (a) the Agreement Date and (b) the date on which all of the conditions precedent set forth in Section 5.1. shall have been fulfilled or waived by all of the Lenders.</w:t>
      </w:r>
    </w:p>
    <w:p>
      <w:pPr>
        <w:spacing w:after="0" w:line="162" w:lineRule="exact"/>
        <w:rPr>
          <w:sz w:val="20"/>
          <w:szCs w:val="20"/>
          <w:color w:val="auto"/>
        </w:rPr>
      </w:pPr>
    </w:p>
    <w:p>
      <w:pPr>
        <w:ind w:right="4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means (a) a Lender, (b) an Affiliate of a Lender, (c) an Approved Fund and (d) any other Person (other than a natural person) approved by the Administrative Agent (such approval not to be unreasonably withheld or delayed); provided that notwithstanding the foregoing, “Eligible Assignee” shall not include the Borrower, any of the Borrower’s Affiliates or Subsidiaries or any Defaulting Lender.</w:t>
      </w:r>
    </w:p>
    <w:p>
      <w:pPr>
        <w:spacing w:after="0" w:line="158" w:lineRule="exact"/>
        <w:rPr>
          <w:sz w:val="20"/>
          <w:szCs w:val="20"/>
          <w:color w:val="auto"/>
        </w:rPr>
      </w:pPr>
    </w:p>
    <w:p>
      <w:pPr>
        <w:ind w:right="2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Property</w:t>
      </w:r>
      <w:r>
        <w:rPr>
          <w:rFonts w:ascii="Arial" w:cs="Arial" w:eastAsia="Arial" w:hAnsi="Arial"/>
          <w:sz w:val="16"/>
          <w:szCs w:val="16"/>
          <w:color w:val="auto"/>
        </w:rPr>
        <w:t>” means a Property which satisfies all of the following requirements: (a) such Property is a Retail Property, an Office Property, a Multifamily Property or Hotel Property; (b) neither such Property, nor any interest of the Borrower, any Subsidiary or any Unconsolidated Affiliate therein (and if such Property is owned by a Subsidiary or Unconsolidated Affiliate, none of the Borrower’s direct or indirect ownership interests in such Subsidiary or Unconsolidated Affiliate) is subject to any (i) Lien other than (x) Permitted Liens (excluding Permitted Liens of the type described in clauses (g) and (h) of the definition thereof) and (y) in the case of a Property leased under a Ground Lease, the interest of the lessor under such Ground Lease (regardless of whether the lessee’s obligations under such Ground Lease constitute Capitalized Lease Obligations) or (ii) Negative Pledge;</w:t>
      </w:r>
    </w:p>
    <w:p>
      <w:pPr>
        <w:spacing w:after="0" w:line="4" w:lineRule="exact"/>
        <w:rPr>
          <w:sz w:val="20"/>
          <w:szCs w:val="20"/>
          <w:color w:val="auto"/>
        </w:rPr>
      </w:pPr>
    </w:p>
    <w:p>
      <w:pPr>
        <w:ind w:right="360" w:firstLine="4"/>
        <w:spacing w:after="0" w:line="281" w:lineRule="auto"/>
        <w:tabs>
          <w:tab w:leader="none" w:pos="245" w:val="left"/>
        </w:tabs>
        <w:numPr>
          <w:ilvl w:val="0"/>
          <w:numId w:val="8"/>
        </w:numPr>
        <w:rPr>
          <w:rFonts w:ascii="Arial" w:cs="Arial" w:eastAsia="Arial" w:hAnsi="Arial"/>
          <w:sz w:val="16"/>
          <w:szCs w:val="16"/>
          <w:color w:val="auto"/>
        </w:rPr>
      </w:pPr>
      <w:r>
        <w:rPr>
          <w:rFonts w:ascii="Arial" w:cs="Arial" w:eastAsia="Arial" w:hAnsi="Arial"/>
          <w:sz w:val="16"/>
          <w:szCs w:val="16"/>
          <w:color w:val="auto"/>
        </w:rPr>
        <w:t>such Property is free of all structural defects or major architectural deficiencies, title defects, environmental conditions or other adverse matters except for defects, deficiencies, conditions or other matters individually or collectively which are not material to the profitable operation of such Property; and (d) if (i) such Property is leased by the Borrower, a Subsidiary or Unconsolidated Affiliate pursuant to a Ground Lease or other lease,</w:t>
      </w:r>
    </w:p>
    <w:p>
      <w:pPr>
        <w:spacing w:after="0" w:line="2" w:lineRule="exact"/>
        <w:rPr>
          <w:rFonts w:ascii="Arial" w:cs="Arial" w:eastAsia="Arial" w:hAnsi="Arial"/>
          <w:sz w:val="16"/>
          <w:szCs w:val="16"/>
          <w:color w:val="auto"/>
        </w:rPr>
      </w:pPr>
    </w:p>
    <w:p>
      <w:pPr>
        <w:ind w:right="220" w:firstLine="4"/>
        <w:spacing w:after="0" w:line="255" w:lineRule="auto"/>
        <w:tabs>
          <w:tab w:leader="none" w:pos="265"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lessor’s interest in such Property is subject to a mortgage and (iii) such Ground Lease or lease is subordinate to such mortgage, then the mortgagee shall have executed a customary non-disturbance agreement with respect to the rights of the Borrower, such Subsidiary or Unconsolidated Affiliate under the Ground Lease or other lease.</w:t>
      </w:r>
    </w:p>
    <w:p>
      <w:pPr>
        <w:spacing w:after="0" w:line="186" w:lineRule="exact"/>
        <w:rPr>
          <w:sz w:val="20"/>
          <w:szCs w:val="20"/>
          <w:color w:val="auto"/>
        </w:rPr>
      </w:pPr>
    </w:p>
    <w:p>
      <w:pPr>
        <w:ind w:right="10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any Applicable Law relating to environmental protection or the manufacture, storage, remediation, disposal or clean-up of Hazardous Materials including, without limitation, the following: Clean Air Act, 42 U.S.C. § 7401 et seq.; Federal Water Pollution Control Act, 33 U.S.C. § 1251 et seq.; Solid Waste Disposal Act, as amended by the Resource Conservation and Recovery Act, 42 U.S.C. § 6901 et seq.; Comprehensive Environmental Response, Compensation and Liability Act, 42 U.S.C. § 9601 et seq.; National Environmental Policy Act, 42 U.S.C. § 4321 et seq.; regulations of the Environmental Protection Agency, any applicable rule of common law and any judicial interpretation thereof relating primarily to the environment or Hazardous Materials, and, to the extent constituting Applicable Law, any analogous or comparable state or local laws, regulations or ordinances that concern Hazardous Materials or protection of the environment.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0980"/>
          </w:cols>
          <w:pgMar w:left="440" w:top="270" w:right="479" w:bottom="1440" w:gutter="0" w:footer="0" w:header="0"/>
        </w:sectPr>
      </w:pPr>
    </w:p>
    <w:bookmarkStart w:id="20" w:name="page21"/>
    <w:bookmarkEnd w:id="20"/>
    <w:p>
      <w:pPr>
        <w:ind w:right="160"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Equity Interest</w:t>
      </w:r>
      <w:r>
        <w:rPr>
          <w:rFonts w:ascii="Arial" w:cs="Arial" w:eastAsia="Arial" w:hAnsi="Arial"/>
          <w:sz w:val="18"/>
          <w:szCs w:val="18"/>
          <w:color w:val="auto"/>
        </w:rPr>
        <w:t>” means,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without limitation, partnership, member or trust interests therein), whether voting or nonvoting, and whether or not such share, warrant, option, right or other interest is authorized or otherwise existing on any date of determination.</w:t>
      </w:r>
    </w:p>
    <w:p>
      <w:pPr>
        <w:spacing w:after="0" w:line="189"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means any issuance or sale by a Person of any Equity Interest in such Person and shall in any event include the issuance of any Equity Interest upon the conversion or exchange of any security constituting Indebtedness that is convertible or exchangeable, or is being converted or exchanged, for Equity Interests.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means the Employee Retirement Income Security Act of 1974, as in effect from time to time.</w:t>
      </w:r>
    </w:p>
    <w:p>
      <w:pPr>
        <w:spacing w:after="0" w:line="225"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ERISA Event</w:t>
      </w:r>
      <w:r>
        <w:rPr>
          <w:rFonts w:ascii="Arial" w:cs="Arial" w:eastAsia="Arial" w:hAnsi="Arial"/>
          <w:sz w:val="16"/>
          <w:szCs w:val="16"/>
          <w:color w:val="auto"/>
        </w:rPr>
        <w:t>” means, with respect to the ERISA Group, (a) any “reportable event” as defined in Section 4043 of ERISA with respect to a Plan (other than an event for which the 30-day notice period is waived); (b) the withdrawal of a member of the ERISA Group from a Plan subject to Section 4063 of ERISA during a plan year in which it was a “substantial employer” as defined in Section 4001(a)(2) of ERISA or a cessation of operations that is treated as such a withdrawal under Section 4062(e) of ERISA; (c) the incurrence by a member of the ERISA Group of any liability with respect to the withdrawal or partial withdrawal from any Multiemployer Plan; (d) the incurrence by any member of the ERISA Group of any liability under Title IV of ERISA with respect to the termination of any Plan or Multiemployer Plan; (e) the ERISA group receives notice of the institution of proceedings to terminate a Plan or Multiemployer Plan by the PBGC; (f) the failure by any member of the ERISA Group to make when due required contributions to a Multiemployer Plan or Plan unless such failure is cured within 30 days or the filing pursuant to Section 412(c) of the Internal Revenue Code or Section 302(c) of ERISA of an application for a waiver of the minimum funding standard; (g) any other event or condition that might reasonably be expected to constitute grounds under Section 4042 of ERISA for the termination of, or the appointment of a trustee to administer, any Plan or Multiemployer Plan or the imposition of liability under Section 4069 or 4212(c) of ERISA; (h) the receipt by any member of the ERISA Group of any notice or the receipt by any Multiemployer Plan from any member of the ERISA Group of any notice, concerning the imposition of Withdrawal Liability or a determination that a Multiemployer Plan is, or is expected to be, insolvent (within the meaning of Section 4245 of ERISA), in reorganization (within the meaning of Section 4241 of ERISA), or in “critical” status (within the meaning of Section 432 of the Internal Revenue Code or Section 305 of ERISA); (i) the ERISA Group receives notice of the imposition of any liability under Title IV of ERISA, other than for PBGC premiums due but not delinquent under Section 4007 of ERISA, upon any member of the ERISA Group or the imposition of any Lien in favor of the PBGC under Title IV of ERISA; or (j) the ERISA Group receives notice of a determination that a Plan is, or is reasonably expected to be, in “at risk” status (within the meaning of Section 430 of the Internal Revenue Code or Section 303 of ERISA).</w:t>
      </w:r>
    </w:p>
    <w:p>
      <w:pPr>
        <w:spacing w:after="0" w:line="391"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means the Borrower, any Subsidiary and all members of a controlled group of corporations and all trades or businesses (whether or not incorporated) under common control which, together with the Borrower or any Subsidiary, are treated as a single employer under Section 414 of the Internal Revenue Code.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020"/>
          </w:cols>
          <w:pgMar w:left="440" w:top="270" w:right="439" w:bottom="1440" w:gutter="0" w:footer="0" w:header="0"/>
        </w:sectPr>
      </w:pPr>
    </w:p>
    <w:bookmarkStart w:id="21" w:name="page22"/>
    <w:bookmarkEnd w:id="21"/>
    <w:p>
      <w:pPr>
        <w:ind w:right="3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right="4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Eurodollar Reserve Percentage</w:t>
      </w:r>
      <w:r>
        <w:rPr>
          <w:rFonts w:ascii="Arial" w:cs="Arial" w:eastAsia="Arial" w:hAnsi="Arial"/>
          <w:sz w:val="18"/>
          <w:szCs w:val="18"/>
          <w:color w:val="auto"/>
        </w:rPr>
        <w:t>” means, for any day, the percentage which is in effect for such day as prescribed by the Board of Governors of the Federal Reserve System (or any successor) for determining the maximum reserve requirement (including, without limitation, any basic, supplemental or emergency reserves) in respect of eurocurrency liabilities or any similar category of liabilities for a member bank of the Federal Reserve System in New York City.</w:t>
      </w:r>
    </w:p>
    <w:p>
      <w:pPr>
        <w:spacing w:after="0" w:line="180"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of the events specified in Section 10.1., provided that any requirement for notice or lapse of time or any other condition has been satisfied.</w:t>
      </w:r>
    </w:p>
    <w:p>
      <w:pPr>
        <w:spacing w:after="0" w:line="162"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means any Subsidiary (a) holding title to assets that are or are to become collateral for any Secured Indebtedness of such Subsidiary and (b) that is prohibited from Guarantying the Indebtedness of any other Person pursuant to (i) any document, instrument, or agreement evidencing such Secured Indebtedness or (ii) a provision of such Subsidiary’s organizational documents which provision was included in such Subsidiary’s organizational documents as a condition to the extension of such Secured Indebtedness.</w:t>
      </w:r>
    </w:p>
    <w:p>
      <w:pPr>
        <w:spacing w:after="0" w:line="165" w:lineRule="exact"/>
        <w:rPr>
          <w:sz w:val="20"/>
          <w:szCs w:val="20"/>
          <w:color w:val="auto"/>
        </w:rPr>
      </w:pPr>
    </w:p>
    <w:p>
      <w:pPr>
        <w:ind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means, with respect to any Guarantor,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62" w:lineRule="exact"/>
        <w:rPr>
          <w:sz w:val="20"/>
          <w:szCs w:val="20"/>
          <w:color w:val="auto"/>
        </w:rPr>
      </w:pPr>
    </w:p>
    <w:p>
      <w:pPr>
        <w:ind w:right="18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w:t>
      </w:r>
    </w:p>
    <w:p>
      <w:pPr>
        <w:spacing w:after="0" w:line="3" w:lineRule="exact"/>
        <w:rPr>
          <w:sz w:val="20"/>
          <w:szCs w:val="20"/>
          <w:color w:val="auto"/>
        </w:rPr>
      </w:pPr>
    </w:p>
    <w:p>
      <w:pPr>
        <w:ind w:firstLine="4"/>
        <w:spacing w:after="0" w:line="270" w:lineRule="auto"/>
        <w:tabs>
          <w:tab w:leader="none" w:pos="255"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 the case of a Lender, U.S. federal withholding Taxes imposed on amounts payable to or for the account of such Lender with respect to an applicable interest in a Loan or Commitment pursuant to an Applicable Law in effect on the date on which (i) such Lender acquires such interest in the Loan or Commitment (other than pursuant to an assignment request by the Borrower under Section 4.6.) or (ii) such Lender changes its lending office, except in each case to the extent that, pursuant to Section 3.10., amounts with respect to such Taxes were payable either to such Lender’s assignor immediately before such Lender became a party hereto or to such Lender immediately before it changed its lending office, (c) Taxes attributable to such Recipient’s failure to comply with Section 3.10.(g) and (d) any U.S. federal withholding Taxes imposed under FATCA.</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has the meaning set forth in the first recital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Lender</w:t>
      </w:r>
      <w:r>
        <w:rPr>
          <w:rFonts w:ascii="Arial" w:cs="Arial" w:eastAsia="Arial" w:hAnsi="Arial"/>
          <w:sz w:val="18"/>
          <w:szCs w:val="18"/>
          <w:color w:val="auto"/>
        </w:rPr>
        <w:t>” has the meaning given that term in Section 2.1.(e).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Letters of Credit</w:t>
      </w:r>
      <w:r>
        <w:rPr>
          <w:rFonts w:ascii="Arial" w:cs="Arial" w:eastAsia="Arial" w:hAnsi="Arial"/>
          <w:sz w:val="18"/>
          <w:szCs w:val="18"/>
          <w:color w:val="auto"/>
        </w:rPr>
        <w:t>” means the letters of credit described on Schedule 1.1.(b).</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0960"/>
          </w:cols>
          <w:pgMar w:left="440" w:top="270" w:right="49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Extended Letter of Credit</w:t>
      </w:r>
      <w:r>
        <w:rPr>
          <w:rFonts w:ascii="Arial" w:cs="Arial" w:eastAsia="Arial" w:hAnsi="Arial"/>
          <w:sz w:val="18"/>
          <w:szCs w:val="18"/>
          <w:color w:val="auto"/>
        </w:rPr>
        <w:t>” has the meaning given that term in Section 2.3.(b).</w:t>
      </w:r>
    </w:p>
    <w:p>
      <w:pPr>
        <w:spacing w:after="0" w:line="225" w:lineRule="exact"/>
        <w:rPr>
          <w:sz w:val="20"/>
          <w:szCs w:val="20"/>
          <w:color w:val="auto"/>
        </w:rPr>
      </w:pPr>
    </w:p>
    <w:p>
      <w:pPr>
        <w:ind w:right="10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Value</w:t>
      </w:r>
      <w:r>
        <w:rPr>
          <w:rFonts w:ascii="Arial" w:cs="Arial" w:eastAsia="Arial" w:hAnsi="Arial"/>
          <w:sz w:val="16"/>
          <w:szCs w:val="16"/>
          <w:color w:val="auto"/>
        </w:rPr>
        <w:t>” means, with respect to (a) a security listed on a national securities exchange or the NASDAQ National Market, the price of such security as reported on such exchange or market by any widely recognized reporting method customarily relied upon by financial institutions and</w:t>
      </w:r>
    </w:p>
    <w:p>
      <w:pPr>
        <w:spacing w:after="0" w:line="1" w:lineRule="exact"/>
        <w:rPr>
          <w:sz w:val="20"/>
          <w:szCs w:val="20"/>
          <w:color w:val="auto"/>
        </w:rPr>
      </w:pPr>
    </w:p>
    <w:p>
      <w:pPr>
        <w:ind w:right="280" w:firstLine="4"/>
        <w:spacing w:after="0" w:line="292" w:lineRule="auto"/>
        <w:tabs>
          <w:tab w:leader="none" w:pos="2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any other property, the price which could be negotiated in an arm’s-length free market transaction, for cash, between a willing seller and a willing buyer, neither of which is under pressure or compulsion to complete the transaction. Except as otherwise provided herein, Fair Market Value shall be determined by the Board of Trustees of the Borrower (or an authorized committee thereof) acting in good faith conclusively evidenced by a board resolution or written consent thereof delivered to the Administrative Agent or, with respect to any asset valued at no more than $1,000,000, such determination may be made by the chief financial officer of the Borrower evidenced by an officer’s certificate delivered to the Administrative Agent.</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FASB ASC</w:t>
      </w:r>
      <w:r>
        <w:rPr>
          <w:rFonts w:ascii="Arial" w:cs="Arial" w:eastAsia="Arial" w:hAnsi="Arial"/>
          <w:sz w:val="18"/>
          <w:szCs w:val="18"/>
          <w:color w:val="auto"/>
        </w:rPr>
        <w:t>” means the Accounting Standards Codification of the Financial Accounting Standards Board.</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means Sections 1471 through 1474 of the Internal Revenue Code, as of the date of this Agreement (or any amended or successor version that is substantively comparable and not materially more onerous to comply with) and any current or future regulations or official interpretations thereof and any agreement entered into pursuant to Section 1471(b)(1) of the Internal Revenue Code.</w:t>
      </w:r>
    </w:p>
    <w:p>
      <w:pPr>
        <w:spacing w:after="0" w:line="176"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means, for any day, the rate per annum (rounded upward to the nearest 1/100</w:t>
      </w:r>
      <w:r>
        <w:rPr>
          <w:rFonts w:ascii="Arial" w:cs="Arial" w:eastAsia="Arial" w:hAnsi="Arial"/>
          <w:sz w:val="14"/>
          <w:szCs w:val="14"/>
          <w:color w:val="auto"/>
        </w:rPr>
        <w:t>th</w:t>
      </w:r>
      <w:r>
        <w:rPr>
          <w:rFonts w:ascii="Arial" w:cs="Arial" w:eastAsia="Arial" w:hAnsi="Arial"/>
          <w:sz w:val="17"/>
          <w:szCs w:val="17"/>
          <w:color w:val="auto"/>
        </w:rPr>
        <w:t xml:space="preserve"> of 1%) equal to the weighted average of the rates on overnight Federal funds transactions with members of the Federal Reserve System on such day, as published by the Federal Reserve Bank of New York on the Business Day next succeeding such day, provided that (a) if such day is not a Business Day, the Federal Funds Rate for such day shall be such rate on such transactions on the next preceding Business Day, and (b) if no such rate is so published on such next succeeding Business Day, the Federal Funds Rate for such day shall be the average rate quoted to the Administrative Agent by federal funds dealers selected by the Administrative Agent on such day on such transaction as determined by the Administrative Agent. If the Federal Funds Rate determined as provided above would be less than zero, the Federal Funds Rate shall be deemed to be zero.</w:t>
      </w:r>
    </w:p>
    <w:p>
      <w:pPr>
        <w:spacing w:after="0" w:line="172"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Federal Reserve Bank of New York’s Website</w:t>
      </w:r>
      <w:r>
        <w:rPr>
          <w:rFonts w:ascii="Arial" w:cs="Arial" w:eastAsia="Arial" w:hAnsi="Arial"/>
          <w:sz w:val="18"/>
          <w:szCs w:val="18"/>
          <w:color w:val="auto"/>
        </w:rPr>
        <w:t xml:space="preserve">” means the website of the Federal Reserve Bank of New York at </w:t>
      </w:r>
      <w:r>
        <w:rPr>
          <w:rFonts w:ascii="Arial" w:cs="Arial" w:eastAsia="Arial" w:hAnsi="Arial"/>
          <w:sz w:val="18"/>
          <w:szCs w:val="18"/>
          <w:u w:val="single" w:color="auto"/>
          <w:color w:val="auto"/>
        </w:rPr>
        <w:t>http://www.newyorkfed.org</w:t>
      </w:r>
      <w:r>
        <w:rPr>
          <w:rFonts w:ascii="Arial" w:cs="Arial" w:eastAsia="Arial" w:hAnsi="Arial"/>
          <w:sz w:val="18"/>
          <w:szCs w:val="18"/>
          <w:color w:val="auto"/>
        </w:rPr>
        <w:t>, or any successor source.</w:t>
      </w:r>
    </w:p>
    <w:p>
      <w:pPr>
        <w:spacing w:after="0" w:line="162"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means that certain fee letter dated June 24, 2019, by and between the Borrower, the Administrative Agent, the Syndication Agent and the Arrangers and any other fee letter entered into with respect hereto.</w:t>
      </w:r>
    </w:p>
    <w:p>
      <w:pPr>
        <w:spacing w:after="0" w:line="162"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Fees</w:t>
      </w:r>
      <w:r>
        <w:rPr>
          <w:rFonts w:ascii="Arial" w:cs="Arial" w:eastAsia="Arial" w:hAnsi="Arial"/>
          <w:sz w:val="18"/>
          <w:szCs w:val="18"/>
          <w:color w:val="auto"/>
        </w:rPr>
        <w:t>” means the fees and commissions provided for or referred to in Section 3.5. and any other fees payable by the Borrower hereunder, under any other Loan Document or under the Fee Letter.</w:t>
      </w:r>
    </w:p>
    <w:p>
      <w:pPr>
        <w:spacing w:after="0" w:line="162" w:lineRule="exact"/>
        <w:rPr>
          <w:sz w:val="20"/>
          <w:szCs w:val="20"/>
          <w:color w:val="auto"/>
        </w:rPr>
      </w:pPr>
    </w:p>
    <w:p>
      <w:pPr>
        <w:ind w:right="100"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Fixed Charges</w:t>
      </w:r>
      <w:r>
        <w:rPr>
          <w:rFonts w:ascii="Arial" w:cs="Arial" w:eastAsia="Arial" w:hAnsi="Arial"/>
          <w:sz w:val="18"/>
          <w:szCs w:val="18"/>
          <w:color w:val="auto"/>
        </w:rPr>
        <w:t xml:space="preserve">” means, for any period, the sum of (a) Interest Expense of the Borrower and its Subsidiaries determined on a consolidated basis and of Unconsolidated Affiliates for such period, (b) all regularly scheduled principal payments made with respect to Indebtedness of the Borrower, its Subsidiaries and its Unconsolidated Affiliates during such period, other than any balloon, bullet or similar principal payment which repays such Indebtedness in full, and (c) all Preferred Dividends paid by the Borrower, its Subsidiaries and Unconsolidated Affiliates during such period (other than such payments to the Borrower and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only the Borrower’s Ownership Share of the amounts (other than inter-company amounts) set forth in clauses (a) through (c) above with respect to Unconsolidated Affiliates of the Borrower shall be included in determinations of Fixed Charges.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020"/>
          </w:cols>
          <w:pgMar w:left="440" w:top="270" w:right="439" w:bottom="1440" w:gutter="0" w:footer="0" w:header="0"/>
        </w:sectPr>
      </w:pPr>
    </w:p>
    <w:bookmarkStart w:id="23" w:name="page24"/>
    <w:bookmarkEnd w:id="23"/>
    <w:p>
      <w:pPr>
        <w:ind w:right="18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Foreign Lender</w:t>
      </w:r>
      <w:r>
        <w:rPr>
          <w:rFonts w:ascii="Arial" w:cs="Arial" w:eastAsia="Arial" w:hAnsi="Arial"/>
          <w:sz w:val="17"/>
          <w:szCs w:val="17"/>
          <w:color w:val="auto"/>
        </w:rPr>
        <w:t>” means (a) if the Borrower is a U.S. Person, a Lender that is not a U.S. Person, and (b) if the Borrower is not a U.S. Person, a Lender that is resident or organized under the laws of a jurisdiction other than that in which the Borrower is resident for tax purposes.</w:t>
      </w:r>
    </w:p>
    <w:p>
      <w:pPr>
        <w:spacing w:after="0" w:line="138"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Franchise Agreement</w:t>
      </w:r>
      <w:r>
        <w:rPr>
          <w:rFonts w:ascii="Arial" w:cs="Arial" w:eastAsia="Arial" w:hAnsi="Arial"/>
          <w:sz w:val="18"/>
          <w:szCs w:val="18"/>
          <w:color w:val="auto"/>
        </w:rPr>
        <w:t>” means an agreement permitting the use of the applicable hotel brand name, hotel system trademarks, trade names and any related rights in connection with the ownership or operation of a Property.</w:t>
      </w:r>
    </w:p>
    <w:p>
      <w:pPr>
        <w:spacing w:after="0" w:line="162" w:lineRule="exact"/>
        <w:rPr>
          <w:sz w:val="20"/>
          <w:szCs w:val="20"/>
          <w:color w:val="auto"/>
        </w:rPr>
      </w:pPr>
    </w:p>
    <w:p>
      <w:pPr>
        <w:ind w:right="1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Fronting Exposure</w:t>
      </w:r>
      <w:r>
        <w:rPr>
          <w:rFonts w:ascii="Arial" w:cs="Arial" w:eastAsia="Arial" w:hAnsi="Arial"/>
          <w:sz w:val="17"/>
          <w:szCs w:val="17"/>
          <w:color w:val="auto"/>
        </w:rPr>
        <w:t>” means, at any time there is a Defaulting Lender, (a) with respect to the Issuing Bank, such Defaulting Lender’s Revolving Commitment Percentage of the outstanding Letter of Credit Liabilities other than Letter of Credit Liabilities as to which such Defaulting Lender’s participation obligation has been reallocated to other Lenders or Cash Collateralized in accordance with the terms hereof, and (b) with respect to the Swingline Lender, such Defaulting Lender’s Revolving Commitment Percentage of outstanding Swingline Loans other than Swingline Loans as to which such Defaulting Lender’s participation obligation has been reallocated to other Lenders.</w:t>
      </w:r>
    </w:p>
    <w:p>
      <w:pPr>
        <w:spacing w:after="0" w:line="168"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62" w:lineRule="exact"/>
        <w:rPr>
          <w:sz w:val="20"/>
          <w:szCs w:val="20"/>
          <w:color w:val="auto"/>
        </w:rPr>
      </w:pPr>
    </w:p>
    <w:p>
      <w:pPr>
        <w:ind w:right="20"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Funds From Operations</w:t>
      </w:r>
      <w:r>
        <w:rPr>
          <w:rFonts w:ascii="Arial" w:cs="Arial" w:eastAsia="Arial" w:hAnsi="Arial"/>
          <w:sz w:val="16"/>
          <w:szCs w:val="16"/>
          <w:color w:val="auto"/>
        </w:rPr>
        <w:t>” means, with respect to a Person and for a given period, (a) net income (loss) of such Person, excluding gains (or losses) from debt restructuring and sales of property, plus (b) depreciation with respect to such Person’s real estate assets and amortization (other than amortization of deferred financing costs), and after adjustments for unconsolidated partnerships and joint ventures. Adjustments for unconsolidated partnership and joint ventures will be calculated to reflect funds from operations on the same basis. For purposes of this Agreement, Funds From Operations shall be calculated consistent with the Funds from Operations White Paper – 2018 Restatement issued by National Association of Real Estate Investment Trusts, Inc., but without giving effect to any supplements, amendments or other modifications promulgated after the Agreement Date.</w:t>
      </w:r>
    </w:p>
    <w:p>
      <w:pPr>
        <w:spacing w:after="0" w:line="156" w:lineRule="exact"/>
        <w:rPr>
          <w:sz w:val="20"/>
          <w:szCs w:val="20"/>
          <w:color w:val="auto"/>
        </w:rPr>
      </w:pPr>
    </w:p>
    <w:p>
      <w:pPr>
        <w:ind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(including Statement of Financial Accounting Standards No. 168, “The FASB Accounting Standards Codification”) or in such other statements by such other entity as may be approved by a significant segment of the accounting profession in the United States of America, which are applicable to the circumstances as of the date of determination.</w:t>
      </w:r>
    </w:p>
    <w:p>
      <w:pPr>
        <w:spacing w:after="0" w:line="184"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Approvals</w:t>
      </w:r>
      <w:r>
        <w:rPr>
          <w:rFonts w:ascii="Arial" w:cs="Arial" w:eastAsia="Arial" w:hAnsi="Arial"/>
          <w:sz w:val="18"/>
          <w:szCs w:val="18"/>
          <w:color w:val="auto"/>
        </w:rPr>
        <w:t>” means all authorizations, consents, approvals, licenses and exemptions of, registrations and filings with, and reports to, all Governmental Authorities.</w:t>
      </w:r>
    </w:p>
    <w:p>
      <w:pPr>
        <w:spacing w:after="0" w:line="162" w:lineRule="exact"/>
        <w:rPr>
          <w:sz w:val="20"/>
          <w:szCs w:val="20"/>
          <w:color w:val="auto"/>
        </w:rPr>
      </w:pPr>
    </w:p>
    <w:p>
      <w:pPr>
        <w:ind w:firstLine="441"/>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Governmental Authority</w:t>
      </w:r>
      <w:r>
        <w:rPr>
          <w:rFonts w:ascii="Arial" w:cs="Arial" w:eastAsia="Arial" w:hAnsi="Arial"/>
          <w:sz w:val="16"/>
          <w:szCs w:val="16"/>
          <w:color w:val="auto"/>
        </w:rPr>
        <w:t>” means any national, state or local government (whether domestic or foreign), any political subdivision thereof or any other governmental, quasi-governmental, judicial, administrative, public or statutory instrumentality, authority, body, agency, bureau, commission, board, department or other entity (including, without limitation, the Federal Deposit Insurance Corporation, the Comptroller of the Currency or the Federal Reserve Board, any central bank or any comparable authority) or any arbitrator with authority to bind a party at law and any group or body charged with setting financial, accounting, or regulatory capital rules or standards (including, without limitation, the Financial Accounting Standards Board, the Bank for International Settlements, or the Basel Committee on Banking Supervision or similar authority to any of the foregoing).</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0980"/>
          </w:cols>
          <w:pgMar w:left="440" w:top="270" w:right="479" w:bottom="1440" w:gutter="0" w:footer="0" w:header="0"/>
        </w:sectPr>
      </w:pPr>
    </w:p>
    <w:bookmarkStart w:id="24" w:name="page25"/>
    <w:bookmarkEnd w:id="24"/>
    <w:p>
      <w:pPr>
        <w:ind w:right="60" w:firstLine="44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Ground Lease</w:t>
      </w:r>
      <w:r>
        <w:rPr>
          <w:rFonts w:ascii="Arial" w:cs="Arial" w:eastAsia="Arial" w:hAnsi="Arial"/>
          <w:sz w:val="17"/>
          <w:szCs w:val="17"/>
          <w:color w:val="auto"/>
        </w:rPr>
        <w:t>” means a ground lease or master lease containing the following terms and conditions: (a) a remaining term (exclusive of any unexercised extension options) of thirty (30) years or more from the Agreement Date; (b) the right of the lessee to mortgage and encumber its interest in the leased property without the consent of the lessor; (c) the obligation of the lessor to give the holder of any mortgage Lien on such leased property written notice of any defaults on the part of the lessee and agreement of such lessor that such lease will not be terminated until such holder has had a reasonable opportunity to cure or complete foreclosures, and fails to do so; (d) reasonable transferability of the lessee’s interest under such lease, including ability to sublease; and (e) such other rights customarily required by mortgagees making a loan secured by the interest of the holder of the leasehold estate demised pursuant to a ground lease or master lease.</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means any Person that is party to the Guaranty as a Guarantor.</w:t>
      </w:r>
    </w:p>
    <w:p>
      <w:pPr>
        <w:spacing w:after="0" w:line="225"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Guaranty</w:t>
      </w:r>
      <w:r>
        <w:rPr>
          <w:rFonts w:ascii="Arial" w:cs="Arial" w:eastAsia="Arial" w:hAnsi="Arial"/>
          <w:sz w:val="16"/>
          <w:szCs w:val="16"/>
          <w:color w:val="auto"/>
        </w:rPr>
        <w:t>”, “</w:t>
      </w:r>
      <w:r>
        <w:rPr>
          <w:rFonts w:ascii="Arial" w:cs="Arial" w:eastAsia="Arial" w:hAnsi="Arial"/>
          <w:sz w:val="16"/>
          <w:szCs w:val="16"/>
          <w:b w:val="1"/>
          <w:bCs w:val="1"/>
          <w:color w:val="auto"/>
        </w:rPr>
        <w:t>Guaranteed</w:t>
      </w:r>
      <w:r>
        <w:rPr>
          <w:rFonts w:ascii="Arial" w:cs="Arial" w:eastAsia="Arial" w:hAnsi="Arial"/>
          <w:sz w:val="16"/>
          <w:szCs w:val="16"/>
          <w:color w:val="auto"/>
        </w:rPr>
        <w:t>”, “</w:t>
      </w:r>
      <w:r>
        <w:rPr>
          <w:rFonts w:ascii="Arial" w:cs="Arial" w:eastAsia="Arial" w:hAnsi="Arial"/>
          <w:sz w:val="16"/>
          <w:szCs w:val="16"/>
          <w:b w:val="1"/>
          <w:bCs w:val="1"/>
          <w:color w:val="auto"/>
        </w:rPr>
        <w:t>Guarantying</w:t>
      </w:r>
      <w:r>
        <w:rPr>
          <w:rFonts w:ascii="Arial" w:cs="Arial" w:eastAsia="Arial" w:hAnsi="Arial"/>
          <w:sz w:val="16"/>
          <w:szCs w:val="16"/>
          <w:color w:val="auto"/>
        </w:rPr>
        <w:t>” or to “</w:t>
      </w:r>
      <w:r>
        <w:rPr>
          <w:rFonts w:ascii="Arial" w:cs="Arial" w:eastAsia="Arial" w:hAnsi="Arial"/>
          <w:sz w:val="16"/>
          <w:szCs w:val="16"/>
          <w:b w:val="1"/>
          <w:bCs w:val="1"/>
          <w:color w:val="auto"/>
        </w:rPr>
        <w:t>Guarantee</w:t>
      </w:r>
      <w:r>
        <w:rPr>
          <w:rFonts w:ascii="Arial" w:cs="Arial" w:eastAsia="Arial" w:hAnsi="Arial"/>
          <w:sz w:val="16"/>
          <w:szCs w:val="16"/>
          <w:color w:val="auto"/>
        </w:rPr>
        <w:t>” as applied to any obligation means and includes: (a) a guaranty (other than by endorsement of negotiable instruments for collection or deposit in the ordinary course of business), directly or indirectly, in any manner, of any part or all of such obligation, or (b) an agreement, direct or indirect, contingent or otherwise, and whether or not constituting a guaranty, the practical effect of which is to assure the payment or performance (or payment of damages in the event of nonperformance) of any part or all of such obligation whether by:</w:t>
      </w:r>
    </w:p>
    <w:p>
      <w:pPr>
        <w:spacing w:after="0" w:line="3" w:lineRule="exact"/>
        <w:rPr>
          <w:sz w:val="20"/>
          <w:szCs w:val="20"/>
          <w:color w:val="auto"/>
        </w:rPr>
      </w:pPr>
    </w:p>
    <w:p>
      <w:pPr>
        <w:ind w:right="40" w:firstLine="4"/>
        <w:spacing w:after="0" w:line="252" w:lineRule="auto"/>
        <w:tabs>
          <w:tab w:leader="none" w:pos="2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purchase of securities or obligations, (ii) the purchase, sale or lease (as lessee or lessor) of property or the purchase or sale of services primarily for the purpose of enabling the obligor with respect to such obligation to make any payment or performance (or payment of damages in the event of nonperformance) of or on account of any part or all of such obligation, or to assure the owner of such obligation against loss, (iii) the supplying of funds to or in any other manner investing in the obligor with respect to such obligation, (iv) repayment of amounts drawn down by beneficiaries of letters of credit (including Letters of Credit), or (v) the supplying of funds to or investing in a Person on account of all or any part of such Person’s obligation under a Guaranty of any obligation or indemnifying or holding harmless, in any way, such Person against any part or all of such obligation. As the context requires, “Guaranty” shall also mean the amended and restated guaranty executed and delivered pursuant to Section 5.1. or 7.14. and substantially in the form of Exhibit D.</w:t>
      </w:r>
    </w:p>
    <w:p>
      <w:pPr>
        <w:spacing w:after="0" w:line="188" w:lineRule="exact"/>
        <w:rPr>
          <w:sz w:val="20"/>
          <w:szCs w:val="20"/>
          <w:color w:val="auto"/>
        </w:rPr>
      </w:pPr>
    </w:p>
    <w:p>
      <w:pPr>
        <w:ind w:right="20" w:firstLine="441"/>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all or any of the following: (a) substances that are defined or listed in, or otherwise classified pursuant to, any applicable Environmental Laws as “hazardous substances”, “hazardous materials”, “hazardous wastes”, “toxic substances” or any other formulation intended to define, list or classify substances by reason of deleterious properties such as ignitability, corrosivity, reactivity, carcinogenicity, reproductive toxicity, “TCLP” toxicity, or “EP toxicity”; (b) oil, petroleum or petroleum derived substances, natural gas, natural gas liquids or synthetic gas and drilling fluids, produced waters and other wastes associated with the exploration, development or production of crude oil, natural gas or geothermal resources; (c) any flammable substances or explosives or any radioactive materials; (d) asbestos in any form; (e) toxic mold; and (f) electrical equipment which contains any oil or dielectric fluid containing levels of polychlorinated biphenyls in excess of fifty parts per million.</w:t>
      </w:r>
    </w:p>
    <w:p>
      <w:pPr>
        <w:spacing w:after="0" w:line="162" w:lineRule="exact"/>
        <w:rPr>
          <w:sz w:val="20"/>
          <w:szCs w:val="20"/>
          <w:color w:val="auto"/>
        </w:rPr>
      </w:pPr>
    </w:p>
    <w:p>
      <w:pPr>
        <w:ind w:right="34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Hotel Property</w:t>
      </w:r>
      <w:r>
        <w:rPr>
          <w:rFonts w:ascii="Arial" w:cs="Arial" w:eastAsia="Arial" w:hAnsi="Arial"/>
          <w:sz w:val="17"/>
          <w:szCs w:val="17"/>
          <w:color w:val="auto"/>
        </w:rPr>
        <w:t>” means any Property, the improvements on which are operated as a hotel, inn or the providing of lodging or leisure services, together with any incidental improvements on such Property operated in connection with such hotel, inn, lodging or leisure facility.</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020"/>
          </w:cols>
          <w:pgMar w:left="440" w:top="270" w:right="439" w:bottom="1440" w:gutter="0" w:footer="0" w:header="0"/>
        </w:sectPr>
      </w:pPr>
    </w:p>
    <w:bookmarkStart w:id="25" w:name="page26"/>
    <w:bookmarkEnd w:id="25"/>
    <w:p>
      <w:pPr>
        <w:ind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Indebtedness</w:t>
      </w:r>
      <w:r>
        <w:rPr>
          <w:rFonts w:ascii="Arial" w:cs="Arial" w:eastAsia="Arial" w:hAnsi="Arial"/>
          <w:sz w:val="16"/>
          <w:szCs w:val="16"/>
          <w:color w:val="auto"/>
        </w:rPr>
        <w:t>” means, with respect to a Person, at the time of computation thereof, all of the following (without duplication): (a) all obligations of such Person in respect of money borrowed; (b) all obligations of such Person (other than trade debt incurred in the ordinary course of business), whether or not for money borrowed (i) represented by notes payable, or drafts accepted, in each case representing extensions of credit, (ii) evidenced by bonds, debentures, notes or similar instruments, or (iii) constituting purchase money indebtedness, conditional sales contracts, title retention debt instruments or other similar instruments, upon which interest charges are customarily paid or that are issued or assumed as full or partial payment for property or services rendered; (c) accounts payable and dividends payable; (d) Capitalized Lease Obligations of such Person (including ground leases to the extent required under GAAP (subject to the provisions of Section 1.2. hereof) to be reported as a liability) and any sale leaseback transactions or other transaction by which such Person shall remain liable as lessee (or the economic equivalent thereof) of any real or personal property that it has sold or leased to another Person; (e) all reimbursement obligations of such Person under any letters of credit or acceptances (whether or not the same have been presented for payment); (f) all Off-Balance Sheet Obligations of such Person; (g) all obligations of such Person to purchase, redeem, retire, defease or otherwise make any payment in respect of any Mandatorily Redeemable Stock issued by such Person or any other Person, valued at the greater of its voluntary or involuntary liquidation preference plus accrued and unpaid dividends; (h) all obligations of such Person in respect of any purchase obligation, repurchase obligation, takeout commitment or forward equity commitment, in each case evidenced by a binding agreement (excluding any such obligation to the extent the obligation can be satisfied by the issuance of Equity Interests (other than Mandatorily Redeemable Stock)); (i) net obligations under any Derivatives Contract not entered into as a hedge against existing Indebtedness (which shall be deemed to have an amount equal to the Derivatives Termination Value thereof at such time but in no event shall be less than zero); (j) all Indebtedness of other Persons which such Person has guaranteed or is otherwise recourse to such Person (except for guaranties of customary exceptions for fraud, misapplication of funds, environmental indemnities and other similar exceptions to recourse liability (but not exceptions relating to bankruptcy, insolvency, receivership or other similar events)); (k) all Indebtedness of another Person secured by (or for which the holder of such Indebtedness has an existing right, contingent or otherwise, to be secured by) any Lien on property or assets owned by such Person, even though such Person has not assumed or become liable for the payment of such Indebtedness or other payment obligation; and (l) such Person’s Ownership Share of the Indebtedness of any Unconsolidated Affiliate of such Person. By way of example only and not in limitation of the preceding sentence, Indebtedness of any Person shall include Indebtedness of any partnership or joint venture in which such Person is a general partner or joint venturer to the extent of such Person’s Ownership Share of such partnership or joint venture (except if such Indebtedness, or any portion thereof, is recourse to such Person, in which case the greater of such Person’s Ownership Share of such Indebtedness or the amount of the recourse portion of the Indebtedness, shall be included as Indebtedness of such Person). All Loans and Letter of Credit Liabilities shall constitute Indebtedness of the Borrower.</w:t>
      </w:r>
    </w:p>
    <w:p>
      <w:pPr>
        <w:spacing w:after="0" w:line="174" w:lineRule="exact"/>
        <w:rPr>
          <w:sz w:val="20"/>
          <w:szCs w:val="20"/>
          <w:color w:val="auto"/>
        </w:rPr>
      </w:pPr>
    </w:p>
    <w:p>
      <w:pPr>
        <w:ind w:right="3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Taxes</w:t>
      </w:r>
      <w:r>
        <w:rPr>
          <w:rFonts w:ascii="Arial" w:cs="Arial" w:eastAsia="Arial" w:hAnsi="Arial"/>
          <w:sz w:val="18"/>
          <w:szCs w:val="18"/>
          <w:color w:val="auto"/>
        </w:rPr>
        <w:t>” means (a) Taxes, other than Excluded Taxes, imposed on or with respect to any payment made by or on account of any obligation of the Borrower or any other Loan Party under any Loan Document and (b) to the extent not otherwise described in the immediately preceding clause (a), Other Taxes.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given that term in Section 6.1.(s).</w:t>
      </w:r>
    </w:p>
    <w:p>
      <w:pPr>
        <w:spacing w:after="0" w:line="225"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Expense</w:t>
      </w:r>
      <w:r>
        <w:rPr>
          <w:rFonts w:ascii="Arial" w:cs="Arial" w:eastAsia="Arial" w:hAnsi="Arial"/>
          <w:sz w:val="18"/>
          <w:szCs w:val="18"/>
          <w:color w:val="auto"/>
        </w:rPr>
        <w:t>” means, for any period, without duplication, (a) total interest expense of the Borrower and its Subsidiaries determined on a consolidated basis in accordance with GAAP for such period, including capitalized interest not funded under a construction loan on a consolidated basis, plus (b) the Borrower’s Ownership Share of total interest expense of Unconsolidated Affiliates determined in accordance with GAAP for such period, including capitalized interest not funded under a construction loan.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000"/>
          </w:cols>
          <w:pgMar w:left="440" w:top="270" w:right="459" w:bottom="1440" w:gutter="0" w:footer="0" w:header="0"/>
        </w:sectPr>
      </w:pPr>
    </w:p>
    <w:bookmarkStart w:id="26" w:name="page27"/>
    <w:bookmarkEnd w:id="2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Interest Period</w:t>
      </w:r>
      <w:r>
        <w:rPr>
          <w:rFonts w:ascii="Arial" w:cs="Arial" w:eastAsia="Arial" w:hAnsi="Arial"/>
          <w:sz w:val="18"/>
          <w:szCs w:val="18"/>
          <w:color w:val="auto"/>
        </w:rPr>
        <w:t>” means:</w:t>
      </w:r>
    </w:p>
    <w:p>
      <w:pPr>
        <w:spacing w:after="0" w:line="121" w:lineRule="exact"/>
        <w:rPr>
          <w:sz w:val="20"/>
          <w:szCs w:val="20"/>
          <w:color w:val="auto"/>
        </w:rPr>
      </w:pPr>
    </w:p>
    <w:p>
      <w:pPr>
        <w:ind w:right="40" w:firstLine="444"/>
        <w:spacing w:after="0" w:line="254" w:lineRule="auto"/>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each LIBOR Loan, each period commencing on the date such LIBOR Loan is made, or in the case of the Continuation of a LIBOR Loan the last day of the preceding Interest Period for such Loan, and ending on the seventh day thereafter or on the numerically corresponding day in the first, third or sixth calendar month thereafter, as the Borrower may select in a Notice of Borrowing, Notice of Continuation or Notice of Conversion, as the case may be, except that each Interest Period that commences on the last Business Day of a calendar month (or on any day for which there is no numerically corresponding day in the appropriate subsequent calendar month) shall end on the last Business Day of the appropriate subsequent calendar month. Notwithstanding the foregoing, each Interest Period that would otherwise end on a day which is not a Business Day shall end on the immediately following Business Day (or, if such immediately following Business Day falls in the next calendar month, on the immediately preceding Business Day); and</w:t>
      </w:r>
    </w:p>
    <w:p>
      <w:pPr>
        <w:spacing w:after="0" w:line="84" w:lineRule="exact"/>
        <w:rPr>
          <w:rFonts w:ascii="Arial" w:cs="Arial" w:eastAsia="Arial" w:hAnsi="Arial"/>
          <w:sz w:val="18"/>
          <w:szCs w:val="18"/>
          <w:color w:val="auto"/>
        </w:rPr>
      </w:pPr>
    </w:p>
    <w:p>
      <w:pPr>
        <w:ind w:right="60" w:firstLine="444"/>
        <w:spacing w:after="0" w:line="277" w:lineRule="auto"/>
        <w:tabs>
          <w:tab w:leader="none" w:pos="696" w:val="left"/>
        </w:tabs>
        <w:numPr>
          <w:ilvl w:val="0"/>
          <w:numId w:val="13"/>
        </w:numPr>
        <w:rPr>
          <w:rFonts w:ascii="Arial" w:cs="Arial" w:eastAsia="Arial" w:hAnsi="Arial"/>
          <w:sz w:val="18"/>
          <w:szCs w:val="18"/>
          <w:color w:val="auto"/>
        </w:rPr>
      </w:pPr>
      <w:r>
        <w:rPr>
          <w:rFonts w:ascii="Arial" w:cs="Arial" w:eastAsia="Arial" w:hAnsi="Arial"/>
          <w:sz w:val="18"/>
          <w:szCs w:val="18"/>
          <w:color w:val="auto"/>
        </w:rPr>
        <w:t>with respect to each Bid Rate Loan, the period commencing on the date such Bid Rate Loan is made and ending on any Business Day not less than 7 nor more than 180 days thereafter, as the Borrower may select as provided in Section 2.2.(b).</w:t>
      </w:r>
    </w:p>
    <w:p>
      <w:pPr>
        <w:spacing w:after="0" w:line="170"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Notwithstanding the foregoing: (i) if any Interest Period would otherwise end after the Revolving Termination Date, such Interest Period shall end on the Revolving Termination Date; and (ii) each Interest Period that would otherwise end on a day which is not a Business Day shall end on the immediately following Business Day (or, if such immediately following Business Day falls in the next calendar month, on the immediately preceding Business Day).</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Internal Revenue 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w:t>
      </w:r>
      <w:r>
        <w:rPr>
          <w:rFonts w:ascii="Arial" w:cs="Arial" w:eastAsia="Arial" w:hAnsi="Arial"/>
          <w:sz w:val="17"/>
          <w:szCs w:val="17"/>
          <w:color w:val="auto"/>
        </w:rPr>
        <w:t>” means, (x)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Guaranty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and (y) with respect to any Property or other asset, the acquisition thereof. Any binding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without adjustment for subsequent increases or decreases in the value of such Investment.</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 Grade Rating</w:t>
      </w:r>
      <w:r>
        <w:rPr>
          <w:rFonts w:ascii="Arial" w:cs="Arial" w:eastAsia="Arial" w:hAnsi="Arial"/>
          <w:sz w:val="18"/>
          <w:szCs w:val="18"/>
          <w:color w:val="auto"/>
        </w:rPr>
        <w:t>” means a Credit Rating of BBB-/Baa3 (or the equivalent) or higher from a Rating Agency.</w:t>
      </w:r>
    </w:p>
    <w:p>
      <w:pPr>
        <w:spacing w:after="0" w:line="225" w:lineRule="exact"/>
        <w:rPr>
          <w:sz w:val="20"/>
          <w:szCs w:val="20"/>
          <w:color w:val="auto"/>
        </w:rPr>
      </w:pPr>
    </w:p>
    <w:p>
      <w:pPr>
        <w:ind w:right="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Issuing Bank</w:t>
      </w:r>
      <w:r>
        <w:rPr>
          <w:rFonts w:ascii="Arial" w:cs="Arial" w:eastAsia="Arial" w:hAnsi="Arial"/>
          <w:sz w:val="18"/>
          <w:szCs w:val="18"/>
          <w:color w:val="auto"/>
        </w:rPr>
        <w:t>” means each of Wells Fargo and PNC Bank, National Association, in its capacity as an issuer of Letters of Credit pursuant to Section 2.3. Any reference to “the Issuing Bank” herein shall be deemed to refer to each Issuing Bank, any Issuing Bank, the applicable Issuing Bank or all Issuing Banks, as the context may require.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w:t>
      </w:r>
      <w:r>
        <w:rPr>
          <w:rFonts w:ascii="Arial" w:cs="Arial" w:eastAsia="Arial" w:hAnsi="Arial"/>
          <w:sz w:val="18"/>
          <w:szCs w:val="18"/>
          <w:color w:val="auto"/>
        </w:rPr>
        <w:t>” has the meaning given to that term in Section 3.9.(b).</w:t>
      </w:r>
    </w:p>
    <w:p>
      <w:pPr>
        <w:spacing w:after="0" w:line="225" w:lineRule="exact"/>
        <w:rPr>
          <w:sz w:val="20"/>
          <w:szCs w:val="20"/>
          <w:color w:val="auto"/>
        </w:rPr>
      </w:pPr>
    </w:p>
    <w:p>
      <w:pPr>
        <w:ind w:right="32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Lender</w:t>
      </w:r>
      <w:r>
        <w:rPr>
          <w:rFonts w:ascii="Arial" w:cs="Arial" w:eastAsia="Arial" w:hAnsi="Arial"/>
          <w:sz w:val="17"/>
          <w:szCs w:val="17"/>
          <w:color w:val="auto"/>
        </w:rPr>
        <w:t>” means each financial institution from time to time party hereto as a “Lender” or a “Designated Lender,” together with its respective successors and permitted assigns, and, as the context requires, includes the Swingline Lender; provided, however, that the term “Lender” (i) shall exclude each Designated Lender when used in reference to any Loan other than a Bid Rate Loan, the Commitments or</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0980"/>
          </w:cols>
          <w:pgMar w:left="440" w:top="270" w:right="479" w:bottom="1440" w:gutter="0" w:footer="0" w:header="0"/>
        </w:sectPr>
      </w:pPr>
    </w:p>
    <w:bookmarkStart w:id="27" w:name="page28"/>
    <w:bookmarkEnd w:id="27"/>
    <w:p>
      <w:pPr>
        <w:ind w:right="1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terms relating to any Loan other than a Bid Rate Loan and shall further exclude each Designated Lender for all other purposes under the Loan Documents except that any Designated Lender which funds a Bid Rate Loan shall, subject to Section 12.6.(d), have only the rights (including the rights given to a Lender contained in Sections 12.2. and 12.10.) and obligations of a Lender associated with holding such Bid Rate Loan and (ii) except as otherwise expressly provided herein, shall exclude any Lender (or its Affiliates) in its capacity as a Specified Derivatives Provider.</w:t>
      </w:r>
    </w:p>
    <w:p>
      <w:pPr>
        <w:spacing w:after="0" w:line="167" w:lineRule="exact"/>
        <w:rPr>
          <w:sz w:val="20"/>
          <w:szCs w:val="20"/>
          <w:color w:val="auto"/>
        </w:rPr>
      </w:pPr>
    </w:p>
    <w:p>
      <w:pPr>
        <w:ind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Lending Office</w:t>
      </w:r>
      <w:r>
        <w:rPr>
          <w:rFonts w:ascii="Arial" w:cs="Arial" w:eastAsia="Arial" w:hAnsi="Arial"/>
          <w:sz w:val="18"/>
          <w:szCs w:val="18"/>
          <w:color w:val="auto"/>
        </w:rPr>
        <w:t>” means, for each Lender and for each Type of Loan, the office of such Lender specified in such Lender’s Administrative Questionnaire or in the applicable Assignment and Assumption, or such other office of such Lender as such Lender may notify the Administrative Agent in writing from time to time.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w:t>
      </w:r>
      <w:r>
        <w:rPr>
          <w:rFonts w:ascii="Arial" w:cs="Arial" w:eastAsia="Arial" w:hAnsi="Arial"/>
          <w:sz w:val="18"/>
          <w:szCs w:val="18"/>
          <w:color w:val="auto"/>
        </w:rPr>
        <w:t>” has the meaning given that term in Section 2.3.(a).</w:t>
      </w:r>
    </w:p>
    <w:p>
      <w:pPr>
        <w:spacing w:after="0" w:line="225" w:lineRule="exact"/>
        <w:rPr>
          <w:sz w:val="20"/>
          <w:szCs w:val="20"/>
          <w:color w:val="auto"/>
        </w:rPr>
      </w:pPr>
    </w:p>
    <w:p>
      <w:pPr>
        <w:ind w:right="8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Collateral Account</w:t>
      </w:r>
      <w:r>
        <w:rPr>
          <w:rFonts w:ascii="Arial" w:cs="Arial" w:eastAsia="Arial" w:hAnsi="Arial"/>
          <w:sz w:val="18"/>
          <w:szCs w:val="18"/>
          <w:color w:val="auto"/>
        </w:rPr>
        <w:t>” means a special deposit account maintained by the Administrative Agent, for the benefit of the Administrative Agent, the Issuing Bank and the Lenders, and under its sole dominion and control.</w:t>
      </w:r>
    </w:p>
    <w:p>
      <w:pPr>
        <w:spacing w:after="0" w:line="162"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Documents</w:t>
      </w:r>
      <w:r>
        <w:rPr>
          <w:rFonts w:ascii="Arial" w:cs="Arial" w:eastAsia="Arial" w:hAnsi="Arial"/>
          <w:sz w:val="18"/>
          <w:szCs w:val="18"/>
          <w:color w:val="auto"/>
        </w:rPr>
        <w:t>” means, with respect to any Letter of Credit, collectively, any application therefor, any certificate or other document presented in connection with a drawing under such Letter of Credit and any other agreement, instrument or other document governing or providing for (a) the rights and obligations of the parties concerned or at risk with respect to such Letter of Credit or (b) any collateral security for any of such obligations.</w:t>
      </w:r>
    </w:p>
    <w:p>
      <w:pPr>
        <w:spacing w:after="0" w:line="180"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Liabilities</w:t>
      </w:r>
      <w:r>
        <w:rPr>
          <w:rFonts w:ascii="Arial" w:cs="Arial" w:eastAsia="Arial" w:hAnsi="Arial"/>
          <w:sz w:val="18"/>
          <w:szCs w:val="18"/>
          <w:color w:val="auto"/>
        </w:rPr>
        <w:t>” means, without duplication, at any time and in respect of any Letter of Credit, the sum of (a) the Stated Amount of such Letter of Credit plus (b) the aggregate unpaid principal amount of all Reimbursement Obligations of the Borrower at such time due and payable in respect of all drawings made under such Letter of Credit. For purposes of this Agreement, a Lender (other than the Lender then acting as Issuing Bank) shall be deemed to hold a Letter of Credit Liability in an amount equal to its participation interest under Section 2.3. in the related Letter of Credit, and the Lender then acting as the Issuing Bank shall be deemed to hold a Letter of Credit Liability in an amount equal to its retained interest in the related Letter of Credit after giving effect to the acquisition by the Lenders (other than the Lender then acting as the Issuing Bank) of their participation interests under such Section.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Level</w:t>
      </w:r>
      <w:r>
        <w:rPr>
          <w:rFonts w:ascii="Arial" w:cs="Arial" w:eastAsia="Arial" w:hAnsi="Arial"/>
          <w:sz w:val="18"/>
          <w:szCs w:val="18"/>
          <w:color w:val="auto"/>
        </w:rPr>
        <w:t>” has the meaning given that term in the definition of the term “Applicable Margin.”</w:t>
      </w:r>
    </w:p>
    <w:p>
      <w:pPr>
        <w:spacing w:after="0" w:line="225"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LIBOR</w:t>
      </w:r>
      <w:r>
        <w:rPr>
          <w:rFonts w:ascii="Arial" w:cs="Arial" w:eastAsia="Arial" w:hAnsi="Arial"/>
          <w:sz w:val="16"/>
          <w:szCs w:val="16"/>
          <w:color w:val="auto"/>
        </w:rPr>
        <w:t xml:space="preserve">” means, subject to implementation of a Benchmark Replacement in accordance with Section 4.2.(b) through (e), with respect to any LIBOR Loan for any Interest Period, the rate of interest obtained by dividing (i) the rate of interest per annum determined on the basis of the rate for deposits in Dollars for a period equal to the applicable Interest Period as published by ICE Benchmark Administration Limited, a United Kingdom Company, or a comparable successor quoting service reasonably approved by the Administrative Agent, at approximately 11:00 a.m. (London time) two Business Days prior to the first day of the applicable Interest Period </w:t>
      </w:r>
      <w:r>
        <w:rPr>
          <w:rFonts w:ascii="Arial" w:cs="Arial" w:eastAsia="Arial" w:hAnsi="Arial"/>
          <w:sz w:val="16"/>
          <w:szCs w:val="16"/>
          <w:u w:val="single" w:color="auto"/>
          <w:color w:val="auto"/>
        </w:rPr>
        <w:t>by</w:t>
      </w:r>
      <w:r>
        <w:rPr>
          <w:rFonts w:ascii="Arial" w:cs="Arial" w:eastAsia="Arial" w:hAnsi="Arial"/>
          <w:sz w:val="16"/>
          <w:szCs w:val="16"/>
          <w:color w:val="auto"/>
        </w:rPr>
        <w:t xml:space="preserve"> (ii) 1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the Eurodollar Reserve Percentage. If, for any reason, the rate referred to in the preceding clause (i) is not so published, then the rate to be used for such clause (i) shall be determined by the Administrative Agent to be the arithmetic average of the rate per annum at which deposits in Dollars would be offered by first class banks in the London interbank market to the Administrative Agent at approximately 11:00 a.m. (London time) two Business Days prior to the first day of the applicable Interest Period for a period equal to such Interest Period. Any change in the maximum rate or reserves described in the preceding clause (ii) shall result in a change in LIBOR on the date on which such change in such maximum rate becomes effective. Notwithstanding the foregoing, (x) in no event shall LIBOR (including, without limitation, any Benchmark Replacement with respect thereto) be less than zero and (y) unless otherwise specified in any amendment to this Agreement entered into in accordance with Section 4.2.(b) through (e), in the event that a Benchmark Replacement with respect to LIBOR is implemented then all references herein to LIBOR shall be deemed references to such Benchmark Replacement.</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020"/>
          </w:cols>
          <w:pgMar w:left="440" w:top="274" w:right="439" w:bottom="1440" w:gutter="0" w:footer="0" w:header="0"/>
        </w:sectPr>
      </w:pPr>
    </w:p>
    <w:bookmarkStart w:id="28" w:name="page29"/>
    <w:bookmarkEnd w:id="28"/>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LIBOR Auction</w:t>
      </w:r>
      <w:r>
        <w:rPr>
          <w:rFonts w:ascii="Arial" w:cs="Arial" w:eastAsia="Arial" w:hAnsi="Arial"/>
          <w:sz w:val="17"/>
          <w:szCs w:val="17"/>
          <w:color w:val="auto"/>
        </w:rPr>
        <w:t>” means a solicitation of Bid Rate Quotes setting forth LIBOR Margin Loans based on LIBOR pursuant to Section 2.2.</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w:t>
      </w:r>
      <w:r>
        <w:rPr>
          <w:rFonts w:ascii="Arial" w:cs="Arial" w:eastAsia="Arial" w:hAnsi="Arial"/>
          <w:sz w:val="18"/>
          <w:szCs w:val="18"/>
          <w:color w:val="auto"/>
        </w:rPr>
        <w:t>” means a Revolving Loan bearing interest at a rate based on LIBOR.</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Margin</w:t>
      </w:r>
      <w:r>
        <w:rPr>
          <w:rFonts w:ascii="Arial" w:cs="Arial" w:eastAsia="Arial" w:hAnsi="Arial"/>
          <w:sz w:val="18"/>
          <w:szCs w:val="18"/>
          <w:color w:val="auto"/>
        </w:rPr>
        <w:t>” has the meaning given that term in Section 2.2.(c)(ii)(D).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LIBOR Margin Loan</w:t>
      </w:r>
      <w:r>
        <w:rPr>
          <w:rFonts w:ascii="Arial" w:cs="Arial" w:eastAsia="Arial" w:hAnsi="Arial"/>
          <w:sz w:val="17"/>
          <w:szCs w:val="17"/>
          <w:color w:val="auto"/>
        </w:rPr>
        <w:t>” means a Bid Rate Loan the interest rate on which is determined on the basis of LIBOR pursuant to a LIBOR Auction.</w:t>
      </w:r>
    </w:p>
    <w:p>
      <w:pPr>
        <w:spacing w:after="0" w:line="237" w:lineRule="exact"/>
        <w:rPr>
          <w:sz w:val="20"/>
          <w:szCs w:val="20"/>
          <w:color w:val="auto"/>
        </w:rPr>
      </w:pPr>
    </w:p>
    <w:p>
      <w:pPr>
        <w:ind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Market Index Rate</w:t>
      </w:r>
      <w:r>
        <w:rPr>
          <w:rFonts w:ascii="Arial" w:cs="Arial" w:eastAsia="Arial" w:hAnsi="Arial"/>
          <w:sz w:val="18"/>
          <w:szCs w:val="18"/>
          <w:color w:val="auto"/>
        </w:rPr>
        <w:t>” means, for any day, LIBOR as of that day that would be applicable for a LIBOR Loan having a one-month Interest Period determined at approximately 10:00 a.m. Central time for such day (rather than 11:00 a.m. (London time) two Business Days prior to the first day of such Interest Period as otherwise provided in the definition of “LIBOR”), or if such day is not a Business Day, the immediately preceding Business Day. The LIBOR Market Index Rate shall be determined on a daily basis.</w:t>
      </w:r>
    </w:p>
    <w:p>
      <w:pPr>
        <w:spacing w:after="0" w:line="180"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Lien</w:t>
      </w:r>
      <w:r>
        <w:rPr>
          <w:rFonts w:ascii="Arial" w:cs="Arial" w:eastAsia="Arial" w:hAnsi="Arial"/>
          <w:sz w:val="17"/>
          <w:szCs w:val="17"/>
          <w:color w:val="auto"/>
        </w:rPr>
        <w:t>” as applied to the property of any Person means: (a) any security interest, encumbrance, mortgage, deed to secure debt, deed of trust, assignment of leases and rents, pledge, lien, hypothecation, assignment, charge or lease constituting a Capitalized Lease Obligation, conditional sale or other title retention agreement, or other security title or encumbrance of any kind in respect of any property of such Person, or upon the income, rents or profits therefrom; (b) any arrangement, express or implied, under which any property of such Person is transferred, sequestered or otherwise identified for the purpose of subjecting the same to the payment of Indebtedness or performance of any other obligation in priority to the payment of the general, unsecured creditors of such Person; and (c) the filing of any financing statement under the UCC or its equivalent in any jurisdiction, other than any precautionary filing not otherwise constituting or giving rise to a Lien, including a financing statement filed (i) in respect of a lease not constituting a Capitalized Lease Obligation pursuant to Section 9-505 (or a successor provision) of the Uniform Commercial Code or its equivalent as in effect in an applicable jurisdiction or (ii) in connection with a sale or other disposition of accounts or other assets not prohibited by this Agreement in a transaction not otherwise constituting or giving rise to a Lien.</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w:t>
      </w:r>
      <w:r>
        <w:rPr>
          <w:rFonts w:ascii="Arial" w:cs="Arial" w:eastAsia="Arial" w:hAnsi="Arial"/>
          <w:sz w:val="18"/>
          <w:szCs w:val="18"/>
          <w:color w:val="auto"/>
        </w:rPr>
        <w:t>” means a Revolving Loan, a Bid Rate Loan or a Swingline Loan.</w:t>
      </w:r>
    </w:p>
    <w:p>
      <w:pPr>
        <w:spacing w:after="0" w:line="225" w:lineRule="exact"/>
        <w:rPr>
          <w:sz w:val="20"/>
          <w:szCs w:val="20"/>
          <w:color w:val="auto"/>
        </w:rPr>
      </w:pPr>
    </w:p>
    <w:p>
      <w:pPr>
        <w:ind w:right="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Document</w:t>
      </w:r>
      <w:r>
        <w:rPr>
          <w:rFonts w:ascii="Arial" w:cs="Arial" w:eastAsia="Arial" w:hAnsi="Arial"/>
          <w:sz w:val="18"/>
          <w:szCs w:val="18"/>
          <w:color w:val="auto"/>
        </w:rPr>
        <w:t>” means this Agreement, each Note, the Guaranty, each Letter of Credit Document and each other document or instrument now or hereafter executed and delivered by a Loan Party in connection with, pursuant to or relating to this Agreement (other than the Fee Letter and any Specified Derivatives Contract).</w:t>
      </w:r>
    </w:p>
    <w:p>
      <w:pPr>
        <w:spacing w:after="0" w:line="176" w:lineRule="exact"/>
        <w:rPr>
          <w:sz w:val="20"/>
          <w:szCs w:val="20"/>
          <w:color w:val="auto"/>
        </w:rPr>
      </w:pPr>
    </w:p>
    <w:p>
      <w:pPr>
        <w:ind w:right="2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Party</w:t>
      </w:r>
      <w:r>
        <w:rPr>
          <w:rFonts w:ascii="Arial" w:cs="Arial" w:eastAsia="Arial" w:hAnsi="Arial"/>
          <w:sz w:val="18"/>
          <w:szCs w:val="18"/>
          <w:color w:val="auto"/>
        </w:rPr>
        <w:t>” means each of the Borrower, each other Person who guarantees all or a portion of the Obligations. Schedule 1.1.(a) sets forth the Loan Parties in addition to the Borrower as of the Agreement Date.</w:t>
      </w:r>
    </w:p>
    <w:p>
      <w:pPr>
        <w:spacing w:after="0" w:line="162" w:lineRule="exact"/>
        <w:rPr>
          <w:sz w:val="20"/>
          <w:szCs w:val="20"/>
          <w:color w:val="auto"/>
        </w:rPr>
      </w:pPr>
    </w:p>
    <w:p>
      <w:pPr>
        <w:ind w:right="9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Major Default</w:t>
      </w:r>
      <w:r>
        <w:rPr>
          <w:rFonts w:ascii="Arial" w:cs="Arial" w:eastAsia="Arial" w:hAnsi="Arial"/>
          <w:sz w:val="18"/>
          <w:szCs w:val="18"/>
          <w:color w:val="auto"/>
        </w:rPr>
        <w:t>” means a Default resulting from the occurrence of any of the events described in Section 10.1.(a), Section 10.1.(e) or Section 10.1.(f).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000"/>
          </w:cols>
          <w:pgMar w:left="440" w:top="270" w:right="459" w:bottom="1440" w:gutter="0" w:footer="0" w:header="0"/>
        </w:sectPr>
      </w:pPr>
    </w:p>
    <w:bookmarkStart w:id="29" w:name="page30"/>
    <w:bookmarkEnd w:id="29"/>
    <w:p>
      <w:pPr>
        <w:ind w:firstLine="441"/>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6"/>
          <w:szCs w:val="16"/>
          <w:b w:val="1"/>
          <w:bCs w:val="1"/>
          <w:color w:val="auto"/>
        </w:rPr>
        <w:t>Mandatorily Redeemable Stock</w:t>
      </w:r>
      <w:r>
        <w:rPr>
          <w:rFonts w:ascii="Arial" w:cs="Arial" w:eastAsia="Arial" w:hAnsi="Arial"/>
          <w:sz w:val="16"/>
          <w:szCs w:val="16"/>
          <w:color w:val="auto"/>
        </w:rPr>
        <w:t>” means, with respect to a Person, any Equity Interest of such Person which by the terms of such Equity Interest (or by the terms of any security into which it is convertible or for which it is exchangeable or exercisable), upon the happening of any event or otherwise</w:t>
      </w:r>
    </w:p>
    <w:p>
      <w:pPr>
        <w:spacing w:after="0" w:line="1" w:lineRule="exact"/>
        <w:rPr>
          <w:sz w:val="20"/>
          <w:szCs w:val="20"/>
          <w:color w:val="auto"/>
        </w:rPr>
      </w:pPr>
    </w:p>
    <w:p>
      <w:pPr>
        <w:ind w:firstLine="4"/>
        <w:spacing w:after="0" w:line="287" w:lineRule="auto"/>
        <w:tabs>
          <w:tab w:leader="none" w:pos="245"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matures or is mandatorily redeemable, pursuant to a sinking fund obligation or otherwise (other than an Equity Interest to the extent redeemable in exchange for common stock or other equivalent common Equity Interests), (b) is convertible into or exchangeable or exercisable for Indebtedness or Mandatorily Redeemable Stock, or (c) is redeemable at the option of the holder thereof, in whole or in part (other than an Equity Interest which is redeemable solely in exchange for common stock or other equivalent common Equity Interests including “downREIT” units that are convertible to common Equity Interest of the Borrower or cash solely at the option of the Borrower); in each case, on or prior to the Revolving Termination Date. For purposes of this definition, Equity Interests in any of the following Subsidiaries which the Borrower is obligated to acquire pursuant to currently existing agreements (as in effect on the Second Amendment Date) with the holders of such Equity Interest shall not be considered to be Mandatorily Redeemable Stock: Congressional Plaza Associates, LLC; NVI-Avenue, LLC; Shrewsbury Commons LP; Route 35 Shrewsbury LP; Sea Girt LP; San Antonio Center II, LLC; FR Montrose Crossing LLC; Rosecrans-Sepulveda Partners 3, LLC; and Federal Realty Partners L.P.</w:t>
      </w:r>
    </w:p>
    <w:p>
      <w:pPr>
        <w:spacing w:after="0" w:line="162"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Acquisition</w:t>
      </w:r>
      <w:r>
        <w:rPr>
          <w:rFonts w:ascii="Arial" w:cs="Arial" w:eastAsia="Arial" w:hAnsi="Arial"/>
          <w:sz w:val="18"/>
          <w:szCs w:val="18"/>
          <w:color w:val="auto"/>
        </w:rPr>
        <w:t>” means any acquisition by the Borrower or any Subsidiary in which the GAAP book value of the assets acquired exceed 10.0% of the consolidated total assets of the Borrower and its Subsidiaries determined under GAAP as of the last day of the most recently ending fiscal quarter of the Borrower for which financial statements are publicly available.</w:t>
      </w:r>
    </w:p>
    <w:p>
      <w:pPr>
        <w:spacing w:after="0" w:line="176" w:lineRule="exact"/>
        <w:rPr>
          <w:sz w:val="20"/>
          <w:szCs w:val="20"/>
          <w:color w:val="auto"/>
        </w:rPr>
      </w:pPr>
    </w:p>
    <w:p>
      <w:pPr>
        <w:ind w:right="1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Material Adverse Effect</w:t>
      </w:r>
      <w:r>
        <w:rPr>
          <w:rFonts w:ascii="Arial" w:cs="Arial" w:eastAsia="Arial" w:hAnsi="Arial"/>
          <w:sz w:val="17"/>
          <w:szCs w:val="17"/>
          <w:color w:val="auto"/>
        </w:rPr>
        <w:t>” means a materially adverse effect on (a) the business, assets, liabilities, financial condition or results of operations of the Borrower and its Subsidiaries taken as a whole, (b) the ability of the Borrower or any other Loan Party to perform its obligations under any Loan Document to which it is a party, (c) the validity or enforceability of any of the Loan Documents, (d) the rights and remedies of the Lenders, the Issuing Bank and the Administrative Agent under any of the Loan Documents or (e) the timely payment of the principal of or interest on the Loans or other amounts payable in connection therewith or the timely payment of all Reimbursement Obligations.</w:t>
      </w:r>
    </w:p>
    <w:p>
      <w:pPr>
        <w:spacing w:after="0" w:line="168" w:lineRule="exact"/>
        <w:rPr>
          <w:sz w:val="20"/>
          <w:szCs w:val="20"/>
          <w:color w:val="auto"/>
        </w:rPr>
      </w:pPr>
    </w:p>
    <w:p>
      <w:pPr>
        <w:jc w:val="both"/>
        <w:ind w:right="80" w:firstLine="441"/>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Contract</w:t>
      </w:r>
      <w:r>
        <w:rPr>
          <w:rFonts w:ascii="Arial" w:cs="Arial" w:eastAsia="Arial" w:hAnsi="Arial"/>
          <w:sz w:val="16"/>
          <w:szCs w:val="16"/>
          <w:color w:val="auto"/>
        </w:rPr>
        <w:t>” means any contract or other arrangement (other than Loan Documents, the Fee Letter and Specified Derivatives Contracts), whether written or oral, to which the Borrower, any Subsidiary or any other Loan Party is a party as to which the breach, nonperformance, cancellation or failure to renew (if renewable by its terms) by any party thereto could reasonably be expected to have a Material Adverse Effect.</w:t>
      </w:r>
    </w:p>
    <w:p>
      <w:pPr>
        <w:spacing w:after="0" w:line="14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Indebtedness</w:t>
      </w:r>
      <w:r>
        <w:rPr>
          <w:rFonts w:ascii="Arial" w:cs="Arial" w:eastAsia="Arial" w:hAnsi="Arial"/>
          <w:sz w:val="18"/>
          <w:szCs w:val="18"/>
          <w:color w:val="auto"/>
        </w:rPr>
        <w:t>” has the meaning given that term in Section 10.1.(d).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“Material Subsidiary” </w:t>
      </w:r>
      <w:r>
        <w:rPr>
          <w:rFonts w:ascii="Arial" w:cs="Arial" w:eastAsia="Arial" w:hAnsi="Arial"/>
          <w:sz w:val="17"/>
          <w:szCs w:val="17"/>
          <w:color w:val="auto"/>
        </w:rPr>
        <w:t>means any Subsidiary to which more than 2% of Adjusted Total Asset Value is attributable on an individual basis.</w:t>
      </w:r>
    </w:p>
    <w:p>
      <w:pPr>
        <w:spacing w:after="0" w:line="237"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Mixed-Use Project</w:t>
      </w:r>
      <w:r>
        <w:rPr>
          <w:rFonts w:ascii="Arial" w:cs="Arial" w:eastAsia="Arial" w:hAnsi="Arial"/>
          <w:sz w:val="18"/>
          <w:szCs w:val="18"/>
          <w:color w:val="auto"/>
        </w:rPr>
        <w:t>” means any mixed-use project that includes or will include a Retail Property and will also include a Multifamily Property and/or an Office Property.</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w:t>
      </w:r>
      <w:r>
        <w:rPr>
          <w:rFonts w:ascii="Arial" w:cs="Arial" w:eastAsia="Arial" w:hAnsi="Arial"/>
          <w:sz w:val="18"/>
          <w:szCs w:val="18"/>
          <w:color w:val="auto"/>
        </w:rPr>
        <w:t>” means a mortgage, deed of trust, deed to secure debt or similar security instrument made by a Person owning an interest in real estate granting a Lien on such interest in real estate as security for the payment of Indebtedness.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020"/>
          </w:cols>
          <w:pgMar w:left="440" w:top="270" w:right="439" w:bottom="1440" w:gutter="0" w:footer="0" w:header="0"/>
        </w:sectPr>
      </w:pPr>
    </w:p>
    <w:bookmarkStart w:id="30" w:name="page31"/>
    <w:bookmarkEnd w:id="30"/>
    <w:p>
      <w:pPr>
        <w:ind w:right="28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Mortgage Receivable</w:t>
      </w:r>
      <w:r>
        <w:rPr>
          <w:rFonts w:ascii="Arial" w:cs="Arial" w:eastAsia="Arial" w:hAnsi="Arial"/>
          <w:sz w:val="18"/>
          <w:szCs w:val="18"/>
          <w:color w:val="auto"/>
        </w:rPr>
        <w:t>” means a promissory note or similarly structured investment secured by a Mortgage of which the Borrower, its Subsidiaries or its Unconsolidated Affiliates is the holder and retains the rights of collection of all payments thereunder including, without limitation, mezzanine debt and preferred equity investments secured by individual or portfolio properties.</w:t>
      </w:r>
    </w:p>
    <w:p>
      <w:pPr>
        <w:spacing w:after="0" w:line="176" w:lineRule="exact"/>
        <w:rPr>
          <w:sz w:val="20"/>
          <w:szCs w:val="20"/>
          <w:color w:val="auto"/>
        </w:rPr>
      </w:pPr>
    </w:p>
    <w:p>
      <w:pPr>
        <w:ind w:right="8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Multiemployer Plan</w:t>
      </w:r>
      <w:r>
        <w:rPr>
          <w:rFonts w:ascii="Arial" w:cs="Arial" w:eastAsia="Arial" w:hAnsi="Arial"/>
          <w:sz w:val="17"/>
          <w:szCs w:val="17"/>
          <w:color w:val="auto"/>
        </w:rPr>
        <w:t>” means at any time a multiemployer plan within the meaning of Section 4001(a)(3) of ERISA to which any member of the ERISA Group is then making or accruing an obligation to make contributions or has within the preceding six plan years made contributions, including for these purposes any Person which ceased to be a member of the ERISA Group during such six-year period.</w:t>
      </w:r>
    </w:p>
    <w:p>
      <w:pPr>
        <w:spacing w:after="0" w:line="158" w:lineRule="exact"/>
        <w:rPr>
          <w:sz w:val="20"/>
          <w:szCs w:val="20"/>
          <w:color w:val="auto"/>
        </w:rPr>
      </w:pPr>
    </w:p>
    <w:p>
      <w:pPr>
        <w:ind w:right="7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Multifamily Property</w:t>
      </w:r>
      <w:r>
        <w:rPr>
          <w:rFonts w:ascii="Arial" w:cs="Arial" w:eastAsia="Arial" w:hAnsi="Arial"/>
          <w:sz w:val="18"/>
          <w:szCs w:val="18"/>
          <w:color w:val="auto"/>
        </w:rPr>
        <w:t>” means a Property improved with, and from which at least 80% of the rental income is derived from, residential apartments, which may include a Property that is a part of a Mixed-Use Project.</w:t>
      </w:r>
    </w:p>
    <w:p>
      <w:pPr>
        <w:spacing w:after="0" w:line="162" w:lineRule="exact"/>
        <w:rPr>
          <w:sz w:val="20"/>
          <w:szCs w:val="20"/>
          <w:color w:val="auto"/>
        </w:rPr>
      </w:pPr>
    </w:p>
    <w:p>
      <w:pPr>
        <w:ind w:right="4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Negative Pledge</w:t>
      </w:r>
      <w:r>
        <w:rPr>
          <w:rFonts w:ascii="Arial" w:cs="Arial" w:eastAsia="Arial" w:hAnsi="Arial"/>
          <w:sz w:val="18"/>
          <w:szCs w:val="18"/>
          <w:color w:val="auto"/>
        </w:rPr>
        <w:t>” means, with respect to a given asset, any provision of a document, instrument or agreement (other than any Loan Document) which prohibits or purports to prohibit the creation or assumption of any Lien on such asset as security for Indebtedness of the Person owning such asset or any other Person; provided, however,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spacing w:after="0" w:line="184" w:lineRule="exact"/>
        <w:rPr>
          <w:sz w:val="20"/>
          <w:szCs w:val="20"/>
          <w:color w:val="auto"/>
        </w:rPr>
      </w:pPr>
    </w:p>
    <w:p>
      <w:pPr>
        <w:ind w:right="20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Net Operating Income</w:t>
      </w:r>
      <w:r>
        <w:rPr>
          <w:rFonts w:ascii="Arial" w:cs="Arial" w:eastAsia="Arial" w:hAnsi="Arial"/>
          <w:sz w:val="16"/>
          <w:szCs w:val="16"/>
          <w:color w:val="auto"/>
        </w:rPr>
        <w:t xml:space="preserve">” means, for any Property and for a given period, the sum of the following (without duplication and determined on a consistent basis with prior periods): (a) rents and other revenues received in the ordinary course from such Property (including proceeds of rent loss insurance but excluding pre-paid rents and revenues and security deposits except to the extent applied in satisfaction of tenants’ obligations for rent)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all expenses paid (excluding interest but including an appropriate accrual for taxes and insurance) related to the ownership, operation or maintenance of such Property, including but not limited to taxes, assessments and the like, insurance, utilities, payroll costs, maintenance, repair and landscaping expenses, marketing expenses, and general and administrative expenses (including an appropriate allocation for legal, accounting, advertising, marketing and other expenses incurred in connection with such Property, but specifically excluding general overhead expenses of the Borrower, its Subsidiaries or, to the extent applicable its Unconsolidated Affiliates and any property management fees)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(c) the Capital Reserves for such Property as of the end of such period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(d) the greater of (i) the actual property management fee paid during such period with respect to such Property and (ii) an imputed management fee in the amount equal to 3.0% of the gross revenues for such Property for such period.</w:t>
      </w:r>
    </w:p>
    <w:p>
      <w:pPr>
        <w:spacing w:after="0" w:line="161" w:lineRule="exact"/>
        <w:rPr>
          <w:sz w:val="20"/>
          <w:szCs w:val="20"/>
          <w:color w:val="auto"/>
        </w:rPr>
      </w:pPr>
    </w:p>
    <w:p>
      <w:pPr>
        <w:ind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Net Proceeds</w:t>
      </w:r>
      <w:r>
        <w:rPr>
          <w:rFonts w:ascii="Arial" w:cs="Arial" w:eastAsia="Arial" w:hAnsi="Arial"/>
          <w:sz w:val="17"/>
          <w:szCs w:val="17"/>
          <w:color w:val="auto"/>
        </w:rPr>
        <w:t>” means with respect to any Equity Issuance by a Person, the aggregate amount of all cash and the Fair Market Value of all other property (other than securities of such Person being converted or exchanged in connection with such Equity Issuance) received by such Person in respect of such Equity Issuance net of investment banking fees, legal fees, accountants’ fees, underwriting discounts and commissions and other customary fees and expenses actually incurred by such Person in connection with such Equity Issuance.</w:t>
      </w:r>
    </w:p>
    <w:p>
      <w:pPr>
        <w:spacing w:after="0" w:line="165" w:lineRule="exact"/>
        <w:rPr>
          <w:sz w:val="20"/>
          <w:szCs w:val="20"/>
          <w:color w:val="auto"/>
        </w:rPr>
      </w:pPr>
    </w:p>
    <w:p>
      <w:pPr>
        <w:ind w:right="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Non-Controlled Property</w:t>
      </w:r>
      <w:r>
        <w:rPr>
          <w:rFonts w:ascii="Arial" w:cs="Arial" w:eastAsia="Arial" w:hAnsi="Arial"/>
          <w:sz w:val="17"/>
          <w:szCs w:val="17"/>
          <w:color w:val="auto"/>
        </w:rPr>
        <w:t>” means an Eligible Property owned in fee simple (or leased under a Ground Lease) by (a) an Unconsolidated Affiliate or (b) a Subsidiary that is not a Wholly Owned Subsidiary but which Property does not otherwise qualify as a Controlled Property.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means, at any time, each Lender that is not a Defaulting Lender at such time.</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020"/>
          </w:cols>
          <w:pgMar w:left="440" w:top="270" w:right="43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Note</w:t>
      </w:r>
      <w:r>
        <w:rPr>
          <w:rFonts w:ascii="Arial" w:cs="Arial" w:eastAsia="Arial" w:hAnsi="Arial"/>
          <w:sz w:val="18"/>
          <w:szCs w:val="18"/>
          <w:color w:val="auto"/>
        </w:rPr>
        <w:t>” means a Revolving Note, a Bid Rate Note or a Swingline Note.</w:t>
      </w:r>
    </w:p>
    <w:p>
      <w:pPr>
        <w:spacing w:after="0" w:line="225" w:lineRule="exact"/>
        <w:rPr>
          <w:sz w:val="20"/>
          <w:szCs w:val="20"/>
          <w:color w:val="auto"/>
        </w:rPr>
      </w:pPr>
    </w:p>
    <w:p>
      <w:pPr>
        <w:ind w:right="24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means a notice substantially in the form of Exhibit E (or such other form reasonably acceptable to the Administrative Agent and containing the information required in such Exhibit) to be delivered to the Administrative Agent pursuant to Section 2.1.(b) evidencing the Borrower’s request for a borrowing of Revolving Loans.</w:t>
      </w:r>
    </w:p>
    <w:p>
      <w:pPr>
        <w:spacing w:after="0" w:line="176"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w:t>
      </w:r>
      <w:r>
        <w:rPr>
          <w:rFonts w:ascii="Arial" w:cs="Arial" w:eastAsia="Arial" w:hAnsi="Arial"/>
          <w:sz w:val="18"/>
          <w:szCs w:val="18"/>
          <w:color w:val="auto"/>
        </w:rPr>
        <w:t>” means a notice substantially in the form of Exhibit F (or such other form reasonably acceptable to the Administrative Agent and containing the information required in such Exhibit) to be delivered to the Administrative Agent pursuant to Section 2.9. evidencing the Borrower’s request for the Continuation of a LIBOR Loan.</w:t>
      </w:r>
    </w:p>
    <w:p>
      <w:pPr>
        <w:spacing w:after="0" w:line="176" w:lineRule="exact"/>
        <w:rPr>
          <w:sz w:val="20"/>
          <w:szCs w:val="20"/>
          <w:color w:val="auto"/>
        </w:rPr>
      </w:pPr>
    </w:p>
    <w:p>
      <w:pPr>
        <w:jc w:val="both"/>
        <w:ind w:right="3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Conversion</w:t>
      </w:r>
      <w:r>
        <w:rPr>
          <w:rFonts w:ascii="Arial" w:cs="Arial" w:eastAsia="Arial" w:hAnsi="Arial"/>
          <w:sz w:val="18"/>
          <w:szCs w:val="18"/>
          <w:color w:val="auto"/>
        </w:rPr>
        <w:t>” means a notice substantially in the form of Exhibit G (or such other form reasonably acceptable to the Administrative Agent and containing the information required in such Exhibit) to be delivered to the Administrative Agent pursuant to Section 2.10. evidencing the Borrower’s request for the Conversion of a Loan from one Type to another Type.</w:t>
      </w:r>
    </w:p>
    <w:p>
      <w:pPr>
        <w:spacing w:after="0" w:line="176" w:lineRule="exact"/>
        <w:rPr>
          <w:sz w:val="20"/>
          <w:szCs w:val="20"/>
          <w:color w:val="auto"/>
        </w:rPr>
      </w:pPr>
    </w:p>
    <w:p>
      <w:pPr>
        <w:ind w:right="4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Swingline Borrowing</w:t>
      </w:r>
      <w:r>
        <w:rPr>
          <w:rFonts w:ascii="Arial" w:cs="Arial" w:eastAsia="Arial" w:hAnsi="Arial"/>
          <w:sz w:val="18"/>
          <w:szCs w:val="18"/>
          <w:color w:val="auto"/>
        </w:rPr>
        <w:t>” means a notice substantially in the form of Exhibit H (or such other form reasonably acceptable to the Administrative Agent and containing the information required in such Exhibit) to be delivered to the Swingline Lender pursuant to Section 2.4.(b) evidencing the Borrower’s request for a Swingline Loan.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Obligations</w:t>
      </w:r>
      <w:r>
        <w:rPr>
          <w:rFonts w:ascii="Arial" w:cs="Arial" w:eastAsia="Arial" w:hAnsi="Arial"/>
          <w:sz w:val="17"/>
          <w:szCs w:val="17"/>
          <w:color w:val="auto"/>
        </w:rPr>
        <w:t>” means, individually and collectively: (a) the aggregate principal balance of, and all accrued and unpaid interest on, all Loans;</w:t>
      </w:r>
    </w:p>
    <w:p>
      <w:pPr>
        <w:spacing w:after="0" w:line="39" w:lineRule="exact"/>
        <w:rPr>
          <w:sz w:val="20"/>
          <w:szCs w:val="20"/>
          <w:color w:val="auto"/>
        </w:rPr>
      </w:pPr>
    </w:p>
    <w:p>
      <w:pPr>
        <w:ind w:firstLine="4"/>
        <w:spacing w:after="0" w:line="271" w:lineRule="auto"/>
        <w:tabs>
          <w:tab w:leader="none" w:pos="255" w:val="left"/>
        </w:tabs>
        <w:numPr>
          <w:ilvl w:val="0"/>
          <w:numId w:val="15"/>
        </w:numPr>
        <w:rPr>
          <w:rFonts w:ascii="Arial" w:cs="Arial" w:eastAsia="Arial" w:hAnsi="Arial"/>
          <w:sz w:val="17"/>
          <w:szCs w:val="17"/>
          <w:color w:val="auto"/>
        </w:rPr>
      </w:pPr>
      <w:r>
        <w:rPr>
          <w:rFonts w:ascii="Arial" w:cs="Arial" w:eastAsia="Arial" w:hAnsi="Arial"/>
          <w:sz w:val="17"/>
          <w:szCs w:val="17"/>
          <w:color w:val="auto"/>
        </w:rPr>
        <w:t>all Reimbursement Obligations and all other Letter of Credit Liabilities; and (c) all other indebtedness, liabilities, obligations, covenants and duties of the Borrower and the other Loan Parties owing to the Administrative Agent, the Issuing Bank or any Lender of every kind, nature and description, under or in respect of this Agreement or any of the other Loan Documents, including, without limitation, the Fees and indemnification obligations, whether direct or indirect, absolute or contingent, due or not due, contractual or tortious, liquidated or unliquidated, and whether or not evidenced by any promissory note. For the avoidance of doubt, “Obligations” shall not include Specified Derivatives Obligations.</w:t>
      </w:r>
    </w:p>
    <w:p>
      <w:pPr>
        <w:spacing w:after="0" w:line="175" w:lineRule="exact"/>
        <w:rPr>
          <w:sz w:val="20"/>
          <w:szCs w:val="20"/>
          <w:color w:val="auto"/>
        </w:rPr>
      </w:pPr>
    </w:p>
    <w:p>
      <w:pPr>
        <w:ind w:right="30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Occupancy Rate</w:t>
      </w:r>
      <w:r>
        <w:rPr>
          <w:rFonts w:ascii="Arial" w:cs="Arial" w:eastAsia="Arial" w:hAnsi="Arial"/>
          <w:sz w:val="17"/>
          <w:szCs w:val="17"/>
          <w:color w:val="auto"/>
        </w:rPr>
        <w:t xml:space="preserve">” means, with respect to a Property at any time, the ratio, expressed as a percentage, of (a) the net rentable square footage of such Property for which the Borrower, a Subsidiary or, to the extent applicable, an Unconsolidated Affiliate, is collecting rent to (b) the total square footage of such Property available for lease; </w:t>
      </w:r>
      <w:r>
        <w:rPr>
          <w:rFonts w:ascii="Arial" w:cs="Arial" w:eastAsia="Arial" w:hAnsi="Arial"/>
          <w:sz w:val="17"/>
          <w:szCs w:val="17"/>
          <w:i w:val="1"/>
          <w:iCs w:val="1"/>
          <w:color w:val="auto"/>
        </w:rPr>
        <w:t>provided</w:t>
      </w:r>
      <w:r>
        <w:rPr>
          <w:rFonts w:ascii="Arial" w:cs="Arial" w:eastAsia="Arial" w:hAnsi="Arial"/>
          <w:sz w:val="17"/>
          <w:szCs w:val="17"/>
          <w:color w:val="auto"/>
        </w:rPr>
        <w:t>, that, in the case of a Multifamily Property, “Occupancy Rate” means the ratio, expressed as a percentage, of (a) the net rentable units of such Multifamily Property for which the Borrower, a Subsidiary or, to the extent applicable, an Unconsolidated Affiliate is collecting rent to (b) the total units of such Multifamily Property available for lease.</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means the U.S. Department of the Treasury’s Office of Foreign Assets Control.</w:t>
      </w:r>
    </w:p>
    <w:p>
      <w:pPr>
        <w:spacing w:after="0" w:line="225" w:lineRule="exact"/>
        <w:rPr>
          <w:sz w:val="20"/>
          <w:szCs w:val="20"/>
          <w:color w:val="auto"/>
        </w:rPr>
      </w:pPr>
    </w:p>
    <w:p>
      <w:pPr>
        <w:ind w:right="4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 Property</w:t>
      </w:r>
      <w:r>
        <w:rPr>
          <w:rFonts w:ascii="Arial" w:cs="Arial" w:eastAsia="Arial" w:hAnsi="Arial"/>
          <w:sz w:val="18"/>
          <w:szCs w:val="18"/>
          <w:color w:val="auto"/>
        </w:rPr>
        <w:t>” means a Property improved with a building or buildings the substantial use of which is office space, which may include a Property that is part of a Mixed-Use Project.</w:t>
      </w:r>
    </w:p>
    <w:p>
      <w:pPr>
        <w:spacing w:after="0" w:line="162" w:lineRule="exact"/>
        <w:rPr>
          <w:sz w:val="20"/>
          <w:szCs w:val="20"/>
          <w:color w:val="auto"/>
        </w:rPr>
      </w:pPr>
    </w:p>
    <w:p>
      <w:pPr>
        <w:jc w:val="both"/>
        <w:ind w:right="20" w:firstLine="44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Off-Balance Sheet Obligations</w:t>
      </w:r>
      <w:r>
        <w:rPr>
          <w:rFonts w:ascii="Arial" w:cs="Arial" w:eastAsia="Arial" w:hAnsi="Arial"/>
          <w:sz w:val="16"/>
          <w:szCs w:val="16"/>
          <w:color w:val="auto"/>
        </w:rPr>
        <w:t>” means liabilities and obligations of the Borrower, any Subsidiary or any other Person in respect of “off-balance sheet arrangements” (as defined in Item 303(a)(4)(ii) of Regulation S-K promulgated under the Securities Act) which the Borrower would be required to disclose in the “Management’s Discussion and Analysis of Financial Condition and Results of Operations” section of the Borrower’s report on Form</w:t>
      </w:r>
    </w:p>
    <w:p>
      <w:pPr>
        <w:spacing w:after="0" w:line="2"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10-Q or Form 10-K (or their equivalents) which the Borrower is required to file with the Securities and Exchange Commission (or any Governmental Authority substituted therefor).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020"/>
          </w:cols>
          <w:pgMar w:left="440" w:top="270" w:right="439" w:bottom="1440" w:gutter="0" w:footer="0" w:header="0"/>
        </w:sectPr>
      </w:pPr>
    </w:p>
    <w:bookmarkStart w:id="32" w:name="page33"/>
    <w:bookmarkEnd w:id="32"/>
    <w:p>
      <w:pPr>
        <w:ind w:right="40" w:firstLine="441"/>
        <w:spacing w:after="0" w:line="28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Other Connection Taxes</w:t>
      </w:r>
      <w:r>
        <w:rPr>
          <w:rFonts w:ascii="Arial" w:cs="Arial" w:eastAsia="Arial" w:hAnsi="Arial"/>
          <w:sz w:val="17"/>
          <w:szCs w:val="17"/>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65" w:lineRule="exact"/>
        <w:rPr>
          <w:sz w:val="20"/>
          <w:szCs w:val="20"/>
          <w:color w:val="auto"/>
        </w:rPr>
      </w:pPr>
    </w:p>
    <w:p>
      <w:pPr>
        <w:ind w:right="8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4.6.).</w:t>
      </w:r>
    </w:p>
    <w:p>
      <w:pPr>
        <w:spacing w:after="0" w:line="180" w:lineRule="exact"/>
        <w:rPr>
          <w:sz w:val="20"/>
          <w:szCs w:val="20"/>
          <w:color w:val="auto"/>
        </w:rPr>
      </w:pPr>
    </w:p>
    <w:p>
      <w:pPr>
        <w:ind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Ownership Share</w:t>
      </w:r>
      <w:r>
        <w:rPr>
          <w:rFonts w:ascii="Arial" w:cs="Arial" w:eastAsia="Arial" w:hAnsi="Arial"/>
          <w:sz w:val="18"/>
          <w:szCs w:val="18"/>
          <w:color w:val="auto"/>
        </w:rPr>
        <w:t>” means, with respect to any Subsidiary of a Person (other than a Wholly Owned Subsidiary) or any Unconsolidated Affiliate of a Person, the greater of (a) such Person’s relative nominal direct and indirect ownership interest (expressed as a percentage) in such Subsidiary or Unconsolidated Affiliate and (b) subject to compliance with Section 8.4.(p), such Person’s relative direct and indirect economic interest (calculated as a percentage) in such Subsidiary or Unconsolidated Affiliate determined in accordance with the applicable provisions of the declaration of trust, articles or certificate of incorporation, articles of organization, partnership agreement, joint venture agreement or other applicable organizational document of such Subsidiary or Unconsolidated Affiliate.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Participant</w:t>
      </w:r>
      <w:r>
        <w:rPr>
          <w:rFonts w:ascii="Arial" w:cs="Arial" w:eastAsia="Arial" w:hAnsi="Arial"/>
          <w:sz w:val="18"/>
          <w:szCs w:val="18"/>
          <w:color w:val="auto"/>
        </w:rPr>
        <w:t>” has the meaning given that term in Section 12.6.(d).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means the USA PATRIOT Act (Title III of Pub. L. 107-56 (signed into law October 26, 2001)).</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means the Pension Benefit Guaranty Corporation and any successor agency.</w:t>
      </w:r>
    </w:p>
    <w:p>
      <w:pPr>
        <w:spacing w:after="0" w:line="225" w:lineRule="exact"/>
        <w:rPr>
          <w:sz w:val="20"/>
          <w:szCs w:val="20"/>
          <w:color w:val="auto"/>
        </w:rPr>
      </w:pPr>
    </w:p>
    <w:p>
      <w:pPr>
        <w:ind w:right="60" w:firstLine="441"/>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with respect to any asset or property of a Person, (a) (i) Liens securing taxes, assessments and other charges or levies imposed by any Governmental Authority (excluding any Lien imposed pursuant to any of the provisions of ERISA or pursuant to any Environmental Laws) or (ii) the claims of materialmen, mechanics, carriers, warehousemen or landlords for labor, materials, supplies or rentals incurred in the ordinary course of business, which, in each case, are not at the time required to be paid or discharged under Section 7.6.; (b) Liens consisting of deposits or pledges made, in the ordinary course of business, in connection with, or to secure payment of, obligations under workmen’s compensation, unemployment insurance or similar Applicable Laws; (c) Liens consisting of encumbrances in the nature of zoning restrictions, easements, and rights or restrictions of record on the use of real property, which do not materially detract from the value of such property or materially impair the use thereof in the business of such Person; (d) the rights of tenants under leases or subleases not interfering with the ordinary conduct of business of such Person;</w:t>
      </w:r>
    </w:p>
    <w:p>
      <w:pPr>
        <w:spacing w:after="0" w:line="5" w:lineRule="exact"/>
        <w:rPr>
          <w:sz w:val="20"/>
          <w:szCs w:val="20"/>
          <w:color w:val="auto"/>
        </w:rPr>
      </w:pPr>
    </w:p>
    <w:p>
      <w:pPr>
        <w:ind w:left="240" w:hanging="236"/>
        <w:spacing w:after="0"/>
        <w:tabs>
          <w:tab w:leader="none" w:pos="2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Liens in favor of the Administrative Agent for its benefit and the benefit of the Lenders, the Issuing Bank, and each Specified Derivatives Provider;</w:t>
      </w:r>
    </w:p>
    <w:p>
      <w:pPr>
        <w:spacing w:after="0" w:line="32" w:lineRule="exact"/>
        <w:rPr>
          <w:rFonts w:ascii="Arial" w:cs="Arial" w:eastAsia="Arial" w:hAnsi="Arial"/>
          <w:sz w:val="16"/>
          <w:szCs w:val="16"/>
          <w:color w:val="auto"/>
        </w:rPr>
      </w:pPr>
    </w:p>
    <w:p>
      <w:pPr>
        <w:ind w:right="120" w:firstLine="4"/>
        <w:spacing w:after="0" w:line="323" w:lineRule="auto"/>
        <w:tabs>
          <w:tab w:leader="none" w:pos="2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Liens in favor of the Borrower or a Subsidiary securing obligations owing by a Subsidiary to the Borrower or a Subsidiary; (g) Liens in existence as of the Agreement Date and set forth on Part II of Schedule 6.1.(f); and (h) Liens securing Indebtedness permitted by the Loan Documents.</w:t>
      </w:r>
    </w:p>
    <w:p>
      <w:pPr>
        <w:spacing w:after="0" w:line="135" w:lineRule="exact"/>
        <w:rPr>
          <w:sz w:val="20"/>
          <w:szCs w:val="20"/>
          <w:color w:val="auto"/>
        </w:rPr>
      </w:pPr>
    </w:p>
    <w:p>
      <w:pPr>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natural person, corporation, limited partnership, general partnership, joint stock company, limited liability company, limited liability partnership, joint venture, association, company, trust, bank, trust company, land trust, business trust or other organization, whether or not a legal entity, or any other nongovernmental entity, or any Governmental Authority.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020"/>
          </w:cols>
          <w:pgMar w:left="440" w:top="270" w:right="439" w:bottom="1440" w:gutter="0" w:footer="0" w:header="0"/>
        </w:sectPr>
      </w:pPr>
    </w:p>
    <w:bookmarkStart w:id="33" w:name="page34"/>
    <w:bookmarkEnd w:id="33"/>
    <w:p>
      <w:pPr>
        <w:ind w:firstLine="44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Plan</w:t>
      </w:r>
      <w:r>
        <w:rPr>
          <w:rFonts w:ascii="Arial" w:cs="Arial" w:eastAsia="Arial" w:hAnsi="Arial"/>
          <w:sz w:val="18"/>
          <w:szCs w:val="18"/>
          <w:color w:val="auto"/>
        </w:rPr>
        <w:t>” means at any time an employee pension benefit plan (other than a Multiemployer Plan) which is covered by Title IV of ERISA or subject to the minimum funding standards under Section 412 of the Internal Revenue Code and either (a) is maintained, or contributed to, by any member of the ERISA Group for employees of any member of the ERISA Group or (b) has at any time within the preceding six years been maintained, or contributed to, by any Person which was at such time a member of the ERISA Group for employees of any Person which was at such time a member of the ERISA Group.</w:t>
      </w:r>
    </w:p>
    <w:p>
      <w:pPr>
        <w:spacing w:after="0" w:line="184" w:lineRule="exact"/>
        <w:rPr>
          <w:sz w:val="20"/>
          <w:szCs w:val="20"/>
          <w:color w:val="auto"/>
        </w:rPr>
      </w:pPr>
    </w:p>
    <w:p>
      <w:pPr>
        <w:ind w:right="3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Post-Default Rate</w:t>
      </w:r>
      <w:r>
        <w:rPr>
          <w:rFonts w:ascii="Arial" w:cs="Arial" w:eastAsia="Arial" w:hAnsi="Arial"/>
          <w:sz w:val="18"/>
          <w:szCs w:val="18"/>
          <w:color w:val="auto"/>
        </w:rPr>
        <w:t xml:space="preserve">” means, in respect of any principal of any Loan or any Reimbursement Obligation, the rate otherwise applicable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 additional four percent (4.0%) per annum and with respect to any other Obligation, a rate per annum equal to the Base Rate as in effect from time to time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Margin for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four percent (4.0%).</w:t>
      </w:r>
    </w:p>
    <w:p>
      <w:pPr>
        <w:spacing w:after="0" w:line="176" w:lineRule="exact"/>
        <w:rPr>
          <w:sz w:val="20"/>
          <w:szCs w:val="20"/>
          <w:color w:val="auto"/>
        </w:rPr>
      </w:pPr>
    </w:p>
    <w:p>
      <w:pPr>
        <w:ind w:right="20" w:firstLine="441"/>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Preferred Dividends</w:t>
      </w:r>
      <w:r>
        <w:rPr>
          <w:rFonts w:ascii="Arial" w:cs="Arial" w:eastAsia="Arial" w:hAnsi="Arial"/>
          <w:sz w:val="16"/>
          <w:szCs w:val="16"/>
          <w:color w:val="auto"/>
        </w:rPr>
        <w:t>” means, for any period and without duplication, all Restricted Payments paid during such period on Preferred Equity issued by the Borrower, a Subsidiary or an Unconsolidated Affiliate. Preferred Dividends shall not include dividends or distributions (a) paid or payable solely in Equity Interests (other than Mandatorily Redeemable Stock) payable to holders of such class of Equity Interests; (b) paid or payable to the Borrower or a Subsidiary; or (c) constituting balloon, bullet or similar redemptions resulting in the redemption of Preferred Equity in full.</w:t>
      </w:r>
    </w:p>
    <w:p>
      <w:pPr>
        <w:spacing w:after="0" w:line="151" w:lineRule="exact"/>
        <w:rPr>
          <w:sz w:val="20"/>
          <w:szCs w:val="20"/>
          <w:color w:val="auto"/>
        </w:rPr>
      </w:pPr>
    </w:p>
    <w:p>
      <w:pPr>
        <w:ind w:right="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Preferred Equity</w:t>
      </w:r>
      <w:r>
        <w:rPr>
          <w:rFonts w:ascii="Arial" w:cs="Arial" w:eastAsia="Arial" w:hAnsi="Arial"/>
          <w:sz w:val="18"/>
          <w:szCs w:val="18"/>
          <w:color w:val="auto"/>
        </w:rPr>
        <w:t>” means, with respect to any Person, Equity Interests in such Person which are entitled to preference or priority over any other Equity Interest in such Person in respect of the payment of dividends or distribution of assets upon liquidation or both.</w:t>
      </w:r>
    </w:p>
    <w:p>
      <w:pPr>
        <w:spacing w:after="0" w:line="162" w:lineRule="exact"/>
        <w:rPr>
          <w:sz w:val="20"/>
          <w:szCs w:val="20"/>
          <w:color w:val="auto"/>
        </w:rPr>
      </w:pPr>
    </w:p>
    <w:p>
      <w:pPr>
        <w:ind w:right="64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 Office</w:t>
      </w:r>
      <w:r>
        <w:rPr>
          <w:rFonts w:ascii="Arial" w:cs="Arial" w:eastAsia="Arial" w:hAnsi="Arial"/>
          <w:sz w:val="16"/>
          <w:szCs w:val="16"/>
          <w:color w:val="auto"/>
        </w:rPr>
        <w:t>” means the office of the Administrative Agent located at 10 S Wacker Drive, Floor 32 Chicago, IL 60606, or any other subsequent office that the Administrative Agent shall have specified as the Principal Office by written notice to the Borrower and the Lenders.</w:t>
      </w:r>
    </w:p>
    <w:p>
      <w:pPr>
        <w:spacing w:after="0" w:line="116" w:lineRule="exact"/>
        <w:rPr>
          <w:sz w:val="20"/>
          <w:szCs w:val="20"/>
          <w:color w:val="auto"/>
        </w:rPr>
      </w:pPr>
    </w:p>
    <w:p>
      <w:pPr>
        <w:ind w:right="780" w:firstLine="441"/>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Property</w:t>
      </w:r>
      <w:r>
        <w:rPr>
          <w:rFonts w:ascii="Arial" w:cs="Arial" w:eastAsia="Arial" w:hAnsi="Arial"/>
          <w:sz w:val="16"/>
          <w:szCs w:val="16"/>
          <w:color w:val="auto"/>
        </w:rPr>
        <w:t>” means any parcel of real property owned or leased (in whole or in part) or operated by the Borrower, any Subsidiary or any Unconsolidated Affiliate of the Borrower and which is located in a state of the United States of America or the District of Columbia.</w:t>
      </w:r>
    </w:p>
    <w:p>
      <w:pPr>
        <w:spacing w:after="0" w:line="116"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 Management Agreement</w:t>
      </w:r>
      <w:r>
        <w:rPr>
          <w:rFonts w:ascii="Arial" w:cs="Arial" w:eastAsia="Arial" w:hAnsi="Arial"/>
          <w:sz w:val="18"/>
          <w:szCs w:val="18"/>
          <w:color w:val="auto"/>
        </w:rPr>
        <w:t>” means an agreement pursuant to which the Borrower or a Subsidiary engages a Person to advise it with respect to the management of an Unencumbered Property or to provide management services with respect to the same.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QFC</w:t>
      </w:r>
      <w:r>
        <w:rPr>
          <w:rFonts w:ascii="Arial" w:cs="Arial" w:eastAsia="Arial" w:hAnsi="Arial"/>
          <w:sz w:val="16"/>
          <w:szCs w:val="16"/>
          <w:color w:val="auto"/>
        </w:rPr>
        <w:t>” has the meaning assigned to the term “qualified financial contract” in, and shall be interpreted in accordance with, 12 U.S.C. 5390(c)(8)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QFC Credit Support</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12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ECP Guarantor</w:t>
      </w:r>
      <w:r>
        <w:rPr>
          <w:rFonts w:ascii="Arial" w:cs="Arial" w:eastAsia="Arial" w:hAnsi="Arial"/>
          <w:sz w:val="18"/>
          <w:szCs w:val="18"/>
          <w:color w:val="auto"/>
        </w:rPr>
        <w:t>” means, in respect of any Swap Obligation, each Loan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0980"/>
          </w:cols>
          <w:pgMar w:left="440" w:top="270" w:right="479" w:bottom="1440" w:gutter="0" w:footer="0" w:header="0"/>
        </w:sectPr>
      </w:pPr>
    </w:p>
    <w:bookmarkStart w:id="34" w:name="page35"/>
    <w:bookmarkEnd w:id="34"/>
    <w:p>
      <w:pPr>
        <w:ind w:left="44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7"/>
          <w:szCs w:val="17"/>
          <w:b w:val="1"/>
          <w:bCs w:val="1"/>
          <w:color w:val="auto"/>
        </w:rPr>
        <w:t>Qualified Plan</w:t>
      </w:r>
      <w:r>
        <w:rPr>
          <w:rFonts w:ascii="Arial" w:cs="Arial" w:eastAsia="Arial" w:hAnsi="Arial"/>
          <w:sz w:val="17"/>
          <w:szCs w:val="17"/>
          <w:color w:val="auto"/>
        </w:rPr>
        <w:t>” means a Benefit Arrangement that is intended to be tax-qualified under Section 401(a) of the Internal Revenue Code.</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Rating Agency</w:t>
      </w:r>
      <w:r>
        <w:rPr>
          <w:rFonts w:ascii="Arial" w:cs="Arial" w:eastAsia="Arial" w:hAnsi="Arial"/>
          <w:sz w:val="18"/>
          <w:szCs w:val="18"/>
          <w:color w:val="auto"/>
        </w:rPr>
        <w:t>” means S&amp;P or Moody’s.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Recipient</w:t>
      </w:r>
      <w:r>
        <w:rPr>
          <w:rFonts w:ascii="Arial" w:cs="Arial" w:eastAsia="Arial" w:hAnsi="Arial"/>
          <w:sz w:val="18"/>
          <w:szCs w:val="18"/>
          <w:color w:val="auto"/>
        </w:rPr>
        <w:t>” means (a) the Administrative Agent, (b) any Lender and (c) the Issuing Bank, as applicable.</w:t>
      </w:r>
    </w:p>
    <w:p>
      <w:pPr>
        <w:spacing w:after="0" w:line="225" w:lineRule="exact"/>
        <w:rPr>
          <w:sz w:val="20"/>
          <w:szCs w:val="20"/>
          <w:color w:val="auto"/>
        </w:rPr>
      </w:pPr>
    </w:p>
    <w:p>
      <w:pPr>
        <w:ind w:right="16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Recourse Indebtedness</w:t>
      </w:r>
      <w:r>
        <w:rPr>
          <w:rFonts w:ascii="Arial" w:cs="Arial" w:eastAsia="Arial" w:hAnsi="Arial"/>
          <w:sz w:val="18"/>
          <w:szCs w:val="18"/>
          <w:color w:val="auto"/>
        </w:rPr>
        <w:t>” means, with respect to a Person, any Indebtedness other than Indebtedness for borrowed money in respect of which recourse for payment (except for customary exceptions for fraud, misapplication of funds, environmental indemnities, voluntary bankruptcy, collusive involuntary bankruptcy and other similar customary exceptions to nonrecourse liability) is contractually limited to specific assets of such Person encumbered by a Lien securing such Indebtedness.</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given that term in Section 12.6.(c).</w:t>
      </w:r>
    </w:p>
    <w:p>
      <w:pPr>
        <w:spacing w:after="0" w:line="225" w:lineRule="exact"/>
        <w:rPr>
          <w:sz w:val="20"/>
          <w:szCs w:val="20"/>
          <w:color w:val="auto"/>
        </w:rPr>
      </w:pPr>
    </w:p>
    <w:p>
      <w:pPr>
        <w:ind w:right="100" w:firstLine="44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Regulatory Change</w:t>
      </w:r>
      <w:r>
        <w:rPr>
          <w:rFonts w:ascii="Arial" w:cs="Arial" w:eastAsia="Arial" w:hAnsi="Arial"/>
          <w:sz w:val="16"/>
          <w:szCs w:val="16"/>
          <w:color w:val="auto"/>
        </w:rPr>
        <w:t>” means, with respect to any Lender, any change effective after the Agreement Date in Applicable Law (including without limitation, Regulation D of the Board of Governors of the Federal Reserve System) or the adoption or making after such date of any interpretation, directive or request applying to a class of banks, including such Lender, of or under any Applicable Law (whether or not having the force of law and whether or not failure to comply therewith would be unlawful) by any Governmental Authority or monetary authority charged with the interpretation, implementation or administration thereof or compliance by any Lender with any request or directive regarding capital adequacy. Notwithstanding anything herein to the contrary, (a) the Dodd-Frank Wall Street Reform and Consumer Protection Act and all requests, rules, regulations, guidelines, interpretations or directives thereunder or issued in connection therewith (whether or not having the force of law and whether or not failure to comply therewith would be unlawful) and (b)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and whether or not failure to comply therewith would be unlawful), in each case pursuant to Basel III, shall in each case be deemed to be a “Regulatory Change”, regardless of the date enacted, adopted, promulgated, implemented or issued.</w:t>
      </w:r>
    </w:p>
    <w:p>
      <w:pPr>
        <w:spacing w:after="0" w:line="164"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Reimbursement Obligation</w:t>
      </w:r>
      <w:r>
        <w:rPr>
          <w:rFonts w:ascii="Arial" w:cs="Arial" w:eastAsia="Arial" w:hAnsi="Arial"/>
          <w:sz w:val="18"/>
          <w:szCs w:val="18"/>
          <w:color w:val="auto"/>
        </w:rPr>
        <w:t>” means the absolute, unconditional and irrevocable obligation of the Borrower to reimburse the Issuing Bank for any drawing honored by the Issuing Bank under a Letter of Credit.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REIT</w:t>
      </w:r>
      <w:r>
        <w:rPr>
          <w:rFonts w:ascii="Arial" w:cs="Arial" w:eastAsia="Arial" w:hAnsi="Arial"/>
          <w:sz w:val="18"/>
          <w:szCs w:val="18"/>
          <w:color w:val="auto"/>
        </w:rPr>
        <w:t>” means a Person qualifying for treatment as a “real estate investment trust” under the Internal Revenue Code.</w:t>
      </w:r>
    </w:p>
    <w:p>
      <w:pPr>
        <w:spacing w:after="0" w:line="225" w:lineRule="exact"/>
        <w:rPr>
          <w:sz w:val="20"/>
          <w:szCs w:val="20"/>
          <w:color w:val="auto"/>
        </w:rPr>
      </w:pPr>
    </w:p>
    <w:p>
      <w:pPr>
        <w:ind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means, with respect to any Person, such Person’s Affiliates and the partners, directors, officers, employees, agents and advisors of such Person and of such Person’s Affiliates.</w:t>
      </w:r>
    </w:p>
    <w:p>
      <w:pPr>
        <w:spacing w:after="0" w:line="162" w:lineRule="exact"/>
        <w:rPr>
          <w:sz w:val="20"/>
          <w:szCs w:val="20"/>
          <w:color w:val="auto"/>
        </w:rPr>
      </w:pPr>
    </w:p>
    <w:p>
      <w:pPr>
        <w:ind w:right="38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Governmental Body</w:t>
      </w:r>
      <w:r>
        <w:rPr>
          <w:rFonts w:ascii="Arial" w:cs="Arial" w:eastAsia="Arial" w:hAnsi="Arial"/>
          <w:sz w:val="17"/>
          <w:szCs w:val="17"/>
          <w:color w:val="auto"/>
        </w:rPr>
        <w:t>” means the Federal Reserve Board and/or the Federal Reserve Bank of New York, or a committee officially endorsed or convened by the Federal Reserve Board and/or the Federal Reserve Bank of New York or any successor thereto.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Requisite Lenders</w:t>
      </w:r>
      <w:r>
        <w:rPr>
          <w:rFonts w:ascii="Arial" w:cs="Arial" w:eastAsia="Arial" w:hAnsi="Arial"/>
          <w:sz w:val="16"/>
          <w:szCs w:val="16"/>
          <w:color w:val="auto"/>
        </w:rPr>
        <w:t>” means, as of any date, (a) Lenders having more than 50.0% of the aggregate amount of the Revolving Commitments or</w:t>
      </w:r>
    </w:p>
    <w:p>
      <w:pPr>
        <w:spacing w:after="0" w:line="50" w:lineRule="exact"/>
        <w:rPr>
          <w:sz w:val="20"/>
          <w:szCs w:val="20"/>
          <w:color w:val="auto"/>
        </w:rPr>
      </w:pPr>
    </w:p>
    <w:p>
      <w:pPr>
        <w:ind w:right="80" w:firstLine="4"/>
        <w:spacing w:after="0" w:line="253" w:lineRule="auto"/>
        <w:tabs>
          <w:tab w:leader="none" w:pos="2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if the Revolving Commitments have been terminated or reduced to zero, Lenders holding more than 50.0% of the principal amount of the aggregate outstanding Loans and Letter of Credit Liabilities; provided that in determining such percentage at any given time, all then existing Defaulting Lenders will be disregarded and excluded. For purposes of this definition, a Lender shall be deemed to hold a Swingline Loan or a Letter of Credit Liability to the extent such Lender has acquired a participation therein under the terms of this Agreement and has not failed to perform its obligations in respect of such participation.</w:t>
      </w:r>
    </w:p>
    <w:p>
      <w:pPr>
        <w:spacing w:after="0" w:line="123" w:lineRule="exact"/>
        <w:rPr>
          <w:rFonts w:ascii="Arial" w:cs="Arial" w:eastAsia="Arial" w:hAnsi="Arial"/>
          <w:sz w:val="18"/>
          <w:szCs w:val="18"/>
          <w:color w:val="auto"/>
        </w:rPr>
      </w:pPr>
    </w:p>
    <w:p>
      <w:pPr>
        <w:ind w:left="5420" w:hanging="101"/>
        <w:spacing w:after="0"/>
        <w:tabs>
          <w:tab w:leader="none" w:pos="54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26 -</w:t>
      </w:r>
    </w:p>
    <w:p>
      <w:pPr>
        <w:sectPr>
          <w:pgSz w:w="11900" w:h="16838" w:orient="portrait"/>
          <w:cols w:equalWidth="0" w:num="1">
            <w:col w:w="10980"/>
          </w:cols>
          <w:pgMar w:left="440" w:top="270" w:right="479" w:bottom="1440" w:gutter="0" w:footer="0" w:header="0"/>
        </w:sectPr>
      </w:pPr>
    </w:p>
    <w:bookmarkStart w:id="35" w:name="page36"/>
    <w:bookmarkEnd w:id="35"/>
    <w:p>
      <w:pPr>
        <w:jc w:val="both"/>
        <w:ind w:right="14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Responsible Officer</w:t>
      </w:r>
      <w:r>
        <w:rPr>
          <w:rFonts w:ascii="Arial" w:cs="Arial" w:eastAsia="Arial" w:hAnsi="Arial"/>
          <w:sz w:val="18"/>
          <w:szCs w:val="18"/>
          <w:color w:val="auto"/>
        </w:rPr>
        <w:t>” means with respect to the Borrower or any Subsidiary, the chief executive officer, the chief financial officer, the treasurer or the chief operating officer of the Borrower or such Subsidiary and, solely in the case of the Borrower, the vice president-chief accounting officer of the Borrower.</w:t>
      </w:r>
    </w:p>
    <w:p>
      <w:pPr>
        <w:spacing w:after="0" w:line="176" w:lineRule="exact"/>
        <w:rPr>
          <w:sz w:val="20"/>
          <w:szCs w:val="20"/>
          <w:color w:val="auto"/>
        </w:rPr>
      </w:pPr>
    </w:p>
    <w:p>
      <w:pPr>
        <w:ind w:right="20" w:firstLine="441"/>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Restricted Payment</w:t>
      </w:r>
      <w:r>
        <w:rPr>
          <w:rFonts w:ascii="Arial" w:cs="Arial" w:eastAsia="Arial" w:hAnsi="Arial"/>
          <w:sz w:val="16"/>
          <w:szCs w:val="16"/>
          <w:color w:val="auto"/>
        </w:rPr>
        <w:t>” means (a) any dividend or other distribution, direct or indirect, on account of any Equity Interest of the Borrower or any of its Subsidiaries now or hereafter outstanding, except a dividend payable solely in shares of that class of Equity Interests to the holders of that class;</w:t>
      </w:r>
    </w:p>
    <w:p>
      <w:pPr>
        <w:spacing w:after="0" w:line="1" w:lineRule="exact"/>
        <w:rPr>
          <w:sz w:val="20"/>
          <w:szCs w:val="20"/>
          <w:color w:val="auto"/>
        </w:rPr>
      </w:pPr>
    </w:p>
    <w:p>
      <w:pPr>
        <w:jc w:val="both"/>
        <w:ind w:firstLine="4"/>
        <w:spacing w:after="0" w:line="254" w:lineRule="auto"/>
        <w:tabs>
          <w:tab w:leader="none" w:pos="2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redemption, conversion, exchange, retirement, sinking fund or similar payment, purchase or other acquisition for value, direct or indirect, of any shares of any Equity Interest of the Borrower or any of its Subsidiaries now or hereafter outstanding; and (c) any payment made to retire, or to obtain the surrender of, any outstanding warrants, options or other rights to acquire any Equity Interests of the Borrower or any of its Subsidiaries now or hereafter outstanding.</w:t>
      </w:r>
    </w:p>
    <w:p>
      <w:pPr>
        <w:spacing w:after="0" w:line="186" w:lineRule="exact"/>
        <w:rPr>
          <w:sz w:val="20"/>
          <w:szCs w:val="20"/>
          <w:color w:val="auto"/>
        </w:rPr>
      </w:pPr>
    </w:p>
    <w:p>
      <w:pPr>
        <w:ind w:right="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Retail Property</w:t>
      </w:r>
      <w:r>
        <w:rPr>
          <w:rFonts w:ascii="Arial" w:cs="Arial" w:eastAsia="Arial" w:hAnsi="Arial"/>
          <w:sz w:val="18"/>
          <w:szCs w:val="18"/>
          <w:color w:val="auto"/>
        </w:rPr>
        <w:t>” means each Property listed on Part I of Schedule 6.1.(f) hereto as a Retail Property and any other Property, a substantial use of which is the retail sale of goods and services, which may include a Property that is part of a Mixed-Use Project.</w:t>
      </w:r>
    </w:p>
    <w:p>
      <w:pPr>
        <w:spacing w:after="0" w:line="162" w:lineRule="exact"/>
        <w:rPr>
          <w:sz w:val="20"/>
          <w:szCs w:val="20"/>
          <w:color w:val="auto"/>
        </w:rPr>
      </w:pPr>
    </w:p>
    <w:p>
      <w:pPr>
        <w:ind w:right="40"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Commitment</w:t>
      </w:r>
      <w:r>
        <w:rPr>
          <w:rFonts w:ascii="Arial" w:cs="Arial" w:eastAsia="Arial" w:hAnsi="Arial"/>
          <w:sz w:val="17"/>
          <w:szCs w:val="17"/>
          <w:color w:val="auto"/>
        </w:rPr>
        <w:t>” means, as to each Lender (other than the Swingline Lender), such Lender’s obligation to make Revolving Loans pursuant to Section 2.1., to issue (in the case of the Issuing Bank) and to participate (in the case of the other Lenders) in Letters of Credit pursuant to Section 2.3.(i), and to participate in Swingline Loans pursuant to Section 2.4.(e), in an amount up to, but not exceeding the amount set forth for such Lender on Schedule I as such Lender’s “Revolving Commitment Amount” or as set forth in any applicable Assignment and Assumption, or agreement executed by a Lender becoming a party hereto in accordance with Section 2.16., as the same may be reduced from time to time pursuant to Section 2.12. or increased or reduced as appropriate to reflect any assignments to or by such Lender effected in accordance with Section 12.6. or increased as appropriate to reflect any increase effected in accordance with Section 2.16.</w:t>
      </w:r>
    </w:p>
    <w:p>
      <w:pPr>
        <w:spacing w:after="0" w:line="172" w:lineRule="exact"/>
        <w:rPr>
          <w:sz w:val="20"/>
          <w:szCs w:val="20"/>
          <w:color w:val="auto"/>
        </w:rPr>
      </w:pPr>
    </w:p>
    <w:p>
      <w:pPr>
        <w:ind w:right="80" w:firstLine="441"/>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Commitment Percentage</w:t>
      </w:r>
      <w:r>
        <w:rPr>
          <w:rFonts w:ascii="Arial" w:cs="Arial" w:eastAsia="Arial" w:hAnsi="Arial"/>
          <w:sz w:val="18"/>
          <w:szCs w:val="18"/>
          <w:color w:val="auto"/>
        </w:rPr>
        <w:t>” means, as to each Lender with a Revolving Commitment, the ratio, expressed as a percentage, of (a) the amount of such Lender’s Revolving Commitment to (b) the aggregate amount of the Revolving Commitments of all Lenders; provided, however, that if at the time of determination the Revolving Commitments have been terminated or been reduced to zero, the “Revolving Commitment Percentage” of each Lender with a Revolving Commitment shall be the “Revolving Commitment Percentage” of such Lender in effect immediately prior to such termination or reduction.</w:t>
      </w:r>
    </w:p>
    <w:p>
      <w:pPr>
        <w:spacing w:after="0" w:line="184" w:lineRule="exact"/>
        <w:rPr>
          <w:sz w:val="20"/>
          <w:szCs w:val="20"/>
          <w:color w:val="auto"/>
        </w:rPr>
      </w:pPr>
    </w:p>
    <w:p>
      <w:pPr>
        <w:ind w:right="36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Letter of Credit Liabilities and Swingline Loans at such time.</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w:t>
      </w:r>
      <w:r>
        <w:rPr>
          <w:rFonts w:ascii="Arial" w:cs="Arial" w:eastAsia="Arial" w:hAnsi="Arial"/>
          <w:sz w:val="18"/>
          <w:szCs w:val="18"/>
          <w:color w:val="auto"/>
        </w:rPr>
        <w:t>” means a loan made by a Lender to the Borrower pursuant to Section 2.1.(a).</w:t>
      </w:r>
    </w:p>
    <w:p>
      <w:pPr>
        <w:spacing w:after="0" w:line="225"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w:t>
      </w:r>
      <w:r>
        <w:rPr>
          <w:rFonts w:ascii="Arial" w:cs="Arial" w:eastAsia="Arial" w:hAnsi="Arial"/>
          <w:sz w:val="18"/>
          <w:szCs w:val="18"/>
          <w:color w:val="auto"/>
        </w:rPr>
        <w:t>” means a promissory note of the Borrower substantially in the form of Exhibit I, payable to the order of a Lender in a principal amount equal to the amount of such Lender’s Revolving Commitment.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020"/>
          </w:cols>
          <w:pgMar w:left="440" w:top="270" w:right="439" w:bottom="1440" w:gutter="0" w:footer="0" w:header="0"/>
        </w:sectPr>
      </w:pPr>
    </w:p>
    <w:bookmarkStart w:id="36" w:name="page37"/>
    <w:bookmarkEnd w:id="36"/>
    <w:p>
      <w:pPr>
        <w:ind w:right="12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Revolving Termination Date</w:t>
      </w:r>
      <w:r>
        <w:rPr>
          <w:rFonts w:ascii="Arial" w:cs="Arial" w:eastAsia="Arial" w:hAnsi="Arial"/>
          <w:sz w:val="18"/>
          <w:szCs w:val="18"/>
          <w:color w:val="auto"/>
        </w:rPr>
        <w:t>” means January 19, 2024, or such later date to which the Revolving Termination Date may be extended pursuant to Section 2.13.</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means S&amp;P Global Ratings, a business unit of Standard &amp; Poor’s Financial Services LLC, and any successor thereto.</w:t>
      </w:r>
    </w:p>
    <w:p>
      <w:pPr>
        <w:spacing w:after="0" w:line="225" w:lineRule="exact"/>
        <w:rPr>
          <w:sz w:val="20"/>
          <w:szCs w:val="20"/>
          <w:color w:val="auto"/>
        </w:rPr>
      </w:pPr>
    </w:p>
    <w:p>
      <w:pPr>
        <w:ind w:right="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Country</w:t>
      </w:r>
      <w:r>
        <w:rPr>
          <w:rFonts w:ascii="Arial" w:cs="Arial" w:eastAsia="Arial" w:hAnsi="Arial"/>
          <w:sz w:val="18"/>
          <w:szCs w:val="18"/>
          <w:color w:val="auto"/>
        </w:rPr>
        <w:t>” means at any time, a country or territory which is itself the subject or target of any Sanctions (including, as of the Closing Date, Cuba, Iran, North Korea, Syria and Crimea).</w:t>
      </w:r>
    </w:p>
    <w:p>
      <w:pPr>
        <w:spacing w:after="0" w:line="162" w:lineRule="exact"/>
        <w:rPr>
          <w:sz w:val="20"/>
          <w:szCs w:val="20"/>
          <w:color w:val="auto"/>
        </w:rPr>
      </w:pPr>
    </w:p>
    <w:p>
      <w:pPr>
        <w:ind w:right="200" w:firstLine="44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Sanctioned Person</w:t>
      </w:r>
      <w:r>
        <w:rPr>
          <w:rFonts w:ascii="Arial" w:cs="Arial" w:eastAsia="Arial" w:hAnsi="Arial"/>
          <w:sz w:val="18"/>
          <w:szCs w:val="18"/>
          <w:color w:val="auto"/>
        </w:rPr>
        <w:t>” means, at any time, (a) any Person listed in any Sanctions-related list of designated Persons maintained by OFAC (including, without limitation, OFAC’s Specially Designated Nationals and Blocked Persons List and OFAC’s Consolidated Non-SDN List), the U.S. Department of State, the United Nations Security Council, the European Union, Her Majesty’s Treasury, or other relevant Sanctions authority, (b) any Person operating, organized or resident in a Sanctioned Country or (c) any Person owned or controlled by any such Person or Persons described in clauses (a) and (b), including a Person that is deemed by OFAC to be a Sanctions target based on the ownership of such legal entity by Sanctioned Peron(s).</w:t>
      </w:r>
    </w:p>
    <w:p>
      <w:pPr>
        <w:spacing w:after="0" w:line="188" w:lineRule="exact"/>
        <w:rPr>
          <w:sz w:val="20"/>
          <w:szCs w:val="20"/>
          <w:color w:val="auto"/>
        </w:rPr>
      </w:pPr>
    </w:p>
    <w:p>
      <w:pPr>
        <w:ind w:right="40" w:firstLine="441"/>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Sanctions</w:t>
      </w:r>
      <w:r>
        <w:rPr>
          <w:rFonts w:ascii="Arial" w:cs="Arial" w:eastAsia="Arial" w:hAnsi="Arial"/>
          <w:sz w:val="17"/>
          <w:szCs w:val="17"/>
          <w:color w:val="auto"/>
        </w:rPr>
        <w:t>” means any and all economic or financial sanctions, sectoral sanctions, secondary sanctions, trade embargoes and anti-terrorism laws, including but not limited to those imposed, administered or enforced from time to time by the U.S. government (including those administered by OFAC or the U.S. Department of State), the United Nations Security Council, the European Union, Her Majesty’s Treasury, or other relevant sanctions authority with jurisdiction over any Lender, the Borrower or any of its Subsidiaries or Affiliates.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Date</w:t>
      </w:r>
      <w:r>
        <w:rPr>
          <w:rFonts w:ascii="Arial" w:cs="Arial" w:eastAsia="Arial" w:hAnsi="Arial"/>
          <w:sz w:val="18"/>
          <w:szCs w:val="18"/>
          <w:color w:val="auto"/>
        </w:rPr>
        <w:t>” means April 20, 2016.</w:t>
      </w:r>
    </w:p>
    <w:p>
      <w:pPr>
        <w:spacing w:after="0" w:line="225" w:lineRule="exact"/>
        <w:rPr>
          <w:sz w:val="20"/>
          <w:szCs w:val="20"/>
          <w:color w:val="auto"/>
        </w:rPr>
      </w:pPr>
    </w:p>
    <w:p>
      <w:pPr>
        <w:ind w:right="20"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Secured Indebtedness</w:t>
      </w:r>
      <w:r>
        <w:rPr>
          <w:rFonts w:ascii="Arial" w:cs="Arial" w:eastAsia="Arial" w:hAnsi="Arial"/>
          <w:sz w:val="17"/>
          <w:szCs w:val="17"/>
          <w:color w:val="auto"/>
        </w:rPr>
        <w:t xml:space="preserve">” means, with respect to any Person, (a) all Indebtedness of such Person that is secured in any manner by any Lien on any property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Ownership Share of the Secured Indebtedness of any of such Person’s Unconsolidated Affiliates.</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Securities Act</w:t>
      </w:r>
      <w:r>
        <w:rPr>
          <w:rFonts w:ascii="Arial" w:cs="Arial" w:eastAsia="Arial" w:hAnsi="Arial"/>
          <w:sz w:val="17"/>
          <w:szCs w:val="17"/>
          <w:color w:val="auto"/>
        </w:rPr>
        <w:t>” means the Securities Act of 1933, as amended from time to time, together with all rules and regulations issued thereunder.</w:t>
      </w:r>
    </w:p>
    <w:p>
      <w:pPr>
        <w:spacing w:after="0" w:line="237" w:lineRule="exact"/>
        <w:rPr>
          <w:sz w:val="20"/>
          <w:szCs w:val="20"/>
          <w:color w:val="auto"/>
        </w:rPr>
      </w:pPr>
    </w:p>
    <w:p>
      <w:pPr>
        <w:ind w:right="28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Exchange Act</w:t>
      </w:r>
      <w:r>
        <w:rPr>
          <w:rFonts w:ascii="Arial" w:cs="Arial" w:eastAsia="Arial" w:hAnsi="Arial"/>
          <w:sz w:val="18"/>
          <w:szCs w:val="18"/>
          <w:color w:val="auto"/>
        </w:rPr>
        <w:t>” means the Securities Exchange Act of 1934, as amended from time to time, together with all rules and regulations issued thereunder.</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Significant Subsidiary</w:t>
      </w:r>
      <w:r>
        <w:rPr>
          <w:rFonts w:ascii="Arial" w:cs="Arial" w:eastAsia="Arial" w:hAnsi="Arial"/>
          <w:sz w:val="17"/>
          <w:szCs w:val="17"/>
          <w:color w:val="auto"/>
        </w:rPr>
        <w:t>” means any Subsidiary to which more than $200,000,000 of Total Asset Value is attributable on an individual basis.</w:t>
      </w:r>
    </w:p>
    <w:p>
      <w:pPr>
        <w:spacing w:after="0" w:line="237" w:lineRule="exact"/>
        <w:rPr>
          <w:sz w:val="20"/>
          <w:szCs w:val="20"/>
          <w:color w:val="auto"/>
        </w:rPr>
      </w:pPr>
    </w:p>
    <w:p>
      <w:pPr>
        <w:ind w:right="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SOFR</w:t>
      </w:r>
      <w:r>
        <w:rPr>
          <w:rFonts w:ascii="Arial" w:cs="Arial" w:eastAsia="Arial" w:hAnsi="Arial"/>
          <w:sz w:val="18"/>
          <w:szCs w:val="18"/>
          <w:color w:val="auto"/>
        </w:rPr>
        <w:t>” with respect to any day means the secured overnight financing rate published for such day by the Federal Reserve Bank of New York, as the administrator of the benchmark, (or a successor administrator) on the Federal Reserve Bank of New York’s Website.</w:t>
      </w:r>
    </w:p>
    <w:p>
      <w:pPr>
        <w:spacing w:after="0" w:line="162"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Solvent</w:t>
      </w:r>
      <w:r>
        <w:rPr>
          <w:rFonts w:ascii="Arial" w:cs="Arial" w:eastAsia="Arial" w:hAnsi="Arial"/>
          <w:sz w:val="17"/>
          <w:szCs w:val="17"/>
          <w:color w:val="auto"/>
        </w:rPr>
        <w:t>” means, when used with respect to any Person, that (a) the fair value and the fair salable value of its assets (excluding any Indebtedness due from any Affiliate of such Person) are each in excess of the fair valuation of its total liabilities (including all contingent liabilities computed at the amount which, in light of all facts and circumstances existing at such time, represents the amount that could reasonably be expected to become an actual and matured liability); (b) such Person is able to pay its debts or other obligations in the ordinary course as they mature; and (c) such Person has capital not unreasonably small to carry on its business and all business in which it proposes to be engaged.</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0980"/>
          </w:cols>
          <w:pgMar w:left="440" w:top="270" w:right="479" w:bottom="1440" w:gutter="0" w:footer="0" w:header="0"/>
        </w:sectPr>
      </w:pPr>
    </w:p>
    <w:bookmarkStart w:id="37" w:name="page38"/>
    <w:bookmarkEnd w:id="37"/>
    <w:p>
      <w:pPr>
        <w:jc w:val="both"/>
        <w:ind w:right="280" w:firstLine="44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Specified Derivatives Contract</w:t>
      </w:r>
      <w:r>
        <w:rPr>
          <w:rFonts w:ascii="Arial" w:cs="Arial" w:eastAsia="Arial" w:hAnsi="Arial"/>
          <w:sz w:val="18"/>
          <w:szCs w:val="18"/>
          <w:color w:val="auto"/>
        </w:rPr>
        <w:t>” means any Derivatives Contract, together with any Derivatives Support Document relating thereto, that is made or entered into at any time, or in effect at any time now or hereafter, whether as a result of an assignment or transfer or otherwise, between the Borrower or any Subsidiary of the Borrower and any Specified Derivatives Provider.</w:t>
      </w:r>
    </w:p>
    <w:p>
      <w:pPr>
        <w:spacing w:after="0" w:line="176" w:lineRule="exact"/>
        <w:rPr>
          <w:sz w:val="20"/>
          <w:szCs w:val="20"/>
          <w:color w:val="auto"/>
        </w:rPr>
      </w:pPr>
    </w:p>
    <w:p>
      <w:pPr>
        <w:ind w:right="1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Obligations</w:t>
      </w:r>
      <w:r>
        <w:rPr>
          <w:rFonts w:ascii="Arial" w:cs="Arial" w:eastAsia="Arial" w:hAnsi="Arial"/>
          <w:sz w:val="18"/>
          <w:szCs w:val="18"/>
          <w:color w:val="auto"/>
        </w:rPr>
        <w:t>” means all indebtedness, liabilities, obligations, covenants and duties of the Borrower or its Subsidiaries under or in respect of any Specified Derivatives Contract, whether direct or indirect, absolute or contingent, due or not due, liquidated or unliquidated, and whether or not evidenced by any written confirmation.</w:t>
      </w:r>
    </w:p>
    <w:p>
      <w:pPr>
        <w:spacing w:after="0" w:line="176" w:lineRule="exact"/>
        <w:rPr>
          <w:sz w:val="20"/>
          <w:szCs w:val="20"/>
          <w:color w:val="auto"/>
        </w:rPr>
      </w:pPr>
    </w:p>
    <w:p>
      <w:pPr>
        <w:ind w:right="6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Derivatives Provider</w:t>
      </w:r>
      <w:r>
        <w:rPr>
          <w:rFonts w:ascii="Arial" w:cs="Arial" w:eastAsia="Arial" w:hAnsi="Arial"/>
          <w:sz w:val="18"/>
          <w:szCs w:val="18"/>
          <w:color w:val="auto"/>
        </w:rPr>
        <w:t>” means any Lender, or any Affiliate of a Lender that is a party to a Derivatives Contract at the time the Derivatives Contract is entered into.</w:t>
      </w:r>
    </w:p>
    <w:p>
      <w:pPr>
        <w:spacing w:after="0" w:line="162" w:lineRule="exact"/>
        <w:rPr>
          <w:sz w:val="20"/>
          <w:szCs w:val="20"/>
          <w:color w:val="auto"/>
        </w:rPr>
      </w:pPr>
    </w:p>
    <w:p>
      <w:pPr>
        <w:ind w:right="2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means the amount available to be drawn by a beneficiary under a Letter of Credit from time to time, as such amount may be increased or reduced from time to time in accordance with the terms of such Letter of Credit.</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Stabilized Property</w:t>
      </w:r>
      <w:r>
        <w:rPr>
          <w:rFonts w:ascii="Arial" w:cs="Arial" w:eastAsia="Arial" w:hAnsi="Arial"/>
          <w:sz w:val="18"/>
          <w:szCs w:val="18"/>
          <w:color w:val="auto"/>
        </w:rPr>
        <w:t>” means a property that is not a Development Property.</w:t>
      </w:r>
    </w:p>
    <w:p>
      <w:pPr>
        <w:spacing w:after="0" w:line="225" w:lineRule="exact"/>
        <w:rPr>
          <w:sz w:val="20"/>
          <w:szCs w:val="20"/>
          <w:color w:val="auto"/>
        </w:rPr>
      </w:pPr>
    </w:p>
    <w:p>
      <w:pPr>
        <w:ind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means, for any Person, any corporation, partnership or other entity of which at least a majority of the securities or other ownership interests having by the terms thereof ordinary voting power to elect a majority of the board of directors or other persons performing similar functions of such corporation, partnership or other entity (without regard to the occurrence of any contingency) is at the time directly or indirectly owned or controlled by such Person or one or more Subsidiaries of such Person or by such Person and one or more Subsidiaries of such Person, and shall include all Persons the accounts of which are consolidated with those of such Person pursuant to GAAP.</w:t>
      </w:r>
    </w:p>
    <w:p>
      <w:pPr>
        <w:spacing w:after="0" w:line="16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Supported QFC</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right="3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ind w:right="18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Commitment</w:t>
      </w:r>
      <w:r>
        <w:rPr>
          <w:rFonts w:ascii="Arial" w:cs="Arial" w:eastAsia="Arial" w:hAnsi="Arial"/>
          <w:sz w:val="18"/>
          <w:szCs w:val="18"/>
          <w:color w:val="auto"/>
        </w:rPr>
        <w:t>” means the Swingline Lender’s obligation to make Swingline Loans pursuant to Section 2.4. in an amount up to, but not exceeding the amount set forth in the first sentence of Section 2.4.(a), as such amount may be reduced from time to time in accordance with the terms hereof.</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Lender</w:t>
      </w:r>
      <w:r>
        <w:rPr>
          <w:rFonts w:ascii="Arial" w:cs="Arial" w:eastAsia="Arial" w:hAnsi="Arial"/>
          <w:sz w:val="18"/>
          <w:szCs w:val="18"/>
          <w:color w:val="auto"/>
        </w:rPr>
        <w:t>” means Wells Fargo.</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Loan</w:t>
      </w:r>
      <w:r>
        <w:rPr>
          <w:rFonts w:ascii="Arial" w:cs="Arial" w:eastAsia="Arial" w:hAnsi="Arial"/>
          <w:sz w:val="18"/>
          <w:szCs w:val="18"/>
          <w:color w:val="auto"/>
        </w:rPr>
        <w:t>” means a loan made by the Swingline Lender to the Borrower pursuant to Section 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Swingline Maturity Date</w:t>
      </w:r>
      <w:r>
        <w:rPr>
          <w:rFonts w:ascii="Arial" w:cs="Arial" w:eastAsia="Arial" w:hAnsi="Arial"/>
          <w:sz w:val="18"/>
          <w:szCs w:val="18"/>
          <w:color w:val="auto"/>
        </w:rPr>
        <w:t>” means the date which is seven (7) Business Days prior to the Revolving Termination Date.</w:t>
      </w:r>
    </w:p>
    <w:p>
      <w:pPr>
        <w:spacing w:after="0" w:line="225" w:lineRule="exact"/>
        <w:rPr>
          <w:sz w:val="20"/>
          <w:szCs w:val="20"/>
          <w:color w:val="auto"/>
        </w:rPr>
      </w:pPr>
    </w:p>
    <w:p>
      <w:pPr>
        <w:ind w:firstLine="441"/>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Swingline Note</w:t>
      </w:r>
      <w:r>
        <w:rPr>
          <w:rFonts w:ascii="Arial" w:cs="Arial" w:eastAsia="Arial" w:hAnsi="Arial"/>
          <w:sz w:val="17"/>
          <w:szCs w:val="17"/>
          <w:color w:val="auto"/>
        </w:rPr>
        <w:t>” means the promissory note of the Borrower substantially in the form of Exhibit J, payable to the order of the Swingline Lender in a principal amount equal to the amount of the Swingline Commitment as originally in effect and otherwise duly completed.</w:t>
      </w:r>
    </w:p>
    <w:p>
      <w:pPr>
        <w:spacing w:after="0" w:line="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0940"/>
          </w:cols>
          <w:pgMar w:left="440" w:top="270" w:right="519" w:bottom="1440" w:gutter="0" w:footer="0" w:header="0"/>
        </w:sectPr>
      </w:pPr>
    </w:p>
    <w:bookmarkStart w:id="38" w:name="page39"/>
    <w:bookmarkEnd w:id="38"/>
    <w:p>
      <w:pPr>
        <w:ind w:right="140" w:firstLine="441"/>
        <w:spacing w:after="0" w:line="31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b w:val="1"/>
          <w:bCs w:val="1"/>
          <w:color w:val="auto"/>
        </w:rPr>
        <w:t>Taxes</w:t>
      </w:r>
      <w:r>
        <w:rPr>
          <w:rFonts w:ascii="Arial" w:cs="Arial" w:eastAsia="Arial" w:hAnsi="Arial"/>
          <w:sz w:val="17"/>
          <w:szCs w:val="17"/>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6"/>
          <w:szCs w:val="16"/>
          <w:b w:val="1"/>
          <w:bCs w:val="1"/>
          <w:color w:val="auto"/>
        </w:rPr>
        <w:t xml:space="preserve">“Term SOFR” </w:t>
      </w:r>
      <w:r>
        <w:rPr>
          <w:rFonts w:ascii="Arial" w:cs="Arial" w:eastAsia="Arial" w:hAnsi="Arial"/>
          <w:sz w:val="16"/>
          <w:szCs w:val="16"/>
          <w:color w:val="auto"/>
        </w:rPr>
        <w:t>means the forward-looking term rate based on SOFR that has been selected or recommended by the Relevant Governmental Body.</w:t>
      </w:r>
    </w:p>
    <w:p>
      <w:pPr>
        <w:spacing w:after="0" w:line="248" w:lineRule="exact"/>
        <w:rPr>
          <w:sz w:val="20"/>
          <w:szCs w:val="20"/>
          <w:color w:val="auto"/>
        </w:rPr>
      </w:pPr>
    </w:p>
    <w:p>
      <w:pPr>
        <w:ind w:right="40" w:firstLine="44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Total Asset Value</w:t>
      </w:r>
      <w:r>
        <w:rPr>
          <w:rFonts w:ascii="Arial" w:cs="Arial" w:eastAsia="Arial" w:hAnsi="Arial"/>
          <w:sz w:val="16"/>
          <w:szCs w:val="16"/>
          <w:color w:val="auto"/>
        </w:rPr>
        <w:t xml:space="preserve">” means the sum of all of the following of the Borrower and its Subsidiaries on a consolidated basis determined in accordance with GAAP applied on a consistent basis: (a) cash and cash equivalents,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with respect to each Stabilized Property owned by the Borrower or any Subsidiary, (i) EBITDA attributable to such Property for the fiscal quarter most recently ended (adjusted for acquisitions and dispositions) times (ii) 4, divided by (iii) the Capitalization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the GAAP book value of Properties acquired during the most recent quarter, </w:t>
      </w:r>
      <w:r>
        <w:rPr>
          <w:rFonts w:ascii="Arial" w:cs="Arial" w:eastAsia="Arial" w:hAnsi="Arial"/>
          <w:sz w:val="16"/>
          <w:szCs w:val="16"/>
          <w:u w:val="single" w:color="auto"/>
          <w:color w:val="auto"/>
        </w:rPr>
        <w:t>plus</w:t>
      </w:r>
    </w:p>
    <w:p>
      <w:pPr>
        <w:spacing w:after="0" w:line="3" w:lineRule="exact"/>
        <w:rPr>
          <w:sz w:val="20"/>
          <w:szCs w:val="20"/>
          <w:color w:val="auto"/>
        </w:rPr>
      </w:pPr>
    </w:p>
    <w:p>
      <w:pPr>
        <w:ind w:right="60" w:firstLine="4"/>
        <w:spacing w:after="0" w:line="281" w:lineRule="auto"/>
        <w:tabs>
          <w:tab w:leader="none" w:pos="255"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Construction-in-Process,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(e) the GAAP book value of accounts receivables from tenants (limited to rent, common area maintenance fees, taxes, insurance and other reimbursable expenses collected in the normal course of business net of bad debt expense and adjusted to exclude the impact of straight lining),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(f) the GAAP book value of Unimproved Land, Mortgage Receivables and other promissory notes. The annualized EBITDA from each Stabilized Property can not be less than zero. Borrower’s Ownership Share of assets held by Unconsolidated Affiliates will be included in Total Asset Value calculations consistent with the above described treatment for wholly owned assets. For purposes of determining Total Asset Value, EBITDA from Properties acquired or disposed of by the Borrower and its Subsidiaries during the period of determination shall be excluded from clause</w:t>
      </w:r>
    </w:p>
    <w:p>
      <w:pPr>
        <w:spacing w:after="0" w:line="4" w:lineRule="exact"/>
        <w:rPr>
          <w:rFonts w:ascii="Arial" w:cs="Arial" w:eastAsia="Arial" w:hAnsi="Arial"/>
          <w:sz w:val="16"/>
          <w:szCs w:val="16"/>
          <w:color w:val="auto"/>
        </w:rPr>
      </w:pPr>
    </w:p>
    <w:p>
      <w:pPr>
        <w:ind w:right="20" w:firstLine="4"/>
        <w:spacing w:after="0" w:line="267" w:lineRule="auto"/>
        <w:tabs>
          <w:tab w:leader="none" w:pos="2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above. In addition, to the extent (A) the amount of Total Asset Value attributable to Investments in Unconsolidated Affiliates and other Persons that are not Subsidiaries and Investments in Subsidiaries that own Non-Controlled Properties would exceed 20.0% of Total Asset Value, such excess shall be excluded from Total Asset Value, (B) the amount of Total Asset Value attributable to Mortgage Receivables would exceed 5.0% of Total Asset Value, such excess shall be excluded from Total Asset Value, (C) the amount of Total Asset Value attributable to Construction-in-Process would exceed 15.0% of Total Asset Value, such excess shall be excluded from Total Asset Value, (D) the amount of Total Asset Value attributable to Unimproved Land (calculated on the basis of acquisition cost) would exceed 5.0% of Total Asset Value, such excess shall be excluded from Total Asset Value, (E) the amount of Total Asset Value attributable to Investments in Persons (other than Investments in Subsidiaries and Unconsolidated Affiliates) would exceed 5.0% of Total Asset Value, such excess shall be excluded from Total Asset Value, (F) the amount of Total Asset Value attributable to Hotel Properties would exceed 2.5% of Total Asset Value, such excess shall be excluded form Total Asset Value and (G) the amount of Total Asset Value attributable to assets of the types referred to in the immediately preceding clauses (B) through (F) would exceed 20.0% of Total Asset Value in the aggregate, such excess shall be excluded from Total Asset Value.</w:t>
      </w:r>
    </w:p>
    <w:p>
      <w:pPr>
        <w:spacing w:after="0" w:line="183" w:lineRule="exact"/>
        <w:rPr>
          <w:sz w:val="20"/>
          <w:szCs w:val="20"/>
          <w:color w:val="auto"/>
        </w:rPr>
      </w:pPr>
    </w:p>
    <w:p>
      <w:pPr>
        <w:ind w:right="20" w:firstLine="441"/>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Total Indebtedness</w:t>
      </w:r>
      <w:r>
        <w:rPr>
          <w:rFonts w:ascii="Arial" w:cs="Arial" w:eastAsia="Arial" w:hAnsi="Arial"/>
          <w:sz w:val="17"/>
          <w:szCs w:val="17"/>
          <w:color w:val="auto"/>
        </w:rPr>
        <w:t xml:space="preserve">” means (a) all Indebtedness of the Borrower and its Subsidiaries determined on a consolidated basis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such Person’s Ownership Share of the Indebtedness of the Borrower’s Unconsolidated Affiliates. Notwithstanding the use of GAAP, the calculation of Total Indebtedness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w:t>
      </w:r>
    </w:p>
    <w:p>
      <w:pPr>
        <w:spacing w:after="0" w:line="168" w:lineRule="exact"/>
        <w:rPr>
          <w:sz w:val="20"/>
          <w:szCs w:val="20"/>
          <w:color w:val="auto"/>
        </w:rPr>
      </w:pPr>
    </w:p>
    <w:p>
      <w:pPr>
        <w:ind w:right="10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with respect to any Revolving Loan, refers to whether such Loan or portion thereof is a LIBOR Loan or a Base Rate Loan, or, in the case of a Bid Rate Loan only, an Absolute Rate Loan or a LIBOR Margin Loan.</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any applicable jurisdiction.</w:t>
      </w:r>
    </w:p>
    <w:p>
      <w:pPr>
        <w:spacing w:after="0" w:line="162"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000"/>
          </w:cols>
          <w:pgMar w:left="440" w:top="270" w:right="459" w:bottom="1440" w:gutter="0" w:footer="0" w:header="0"/>
        </w:sectPr>
      </w:pPr>
    </w:p>
    <w:bookmarkStart w:id="39" w:name="page40"/>
    <w:bookmarkEnd w:id="3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Unadjusted Benchmark Replacement</w:t>
      </w:r>
      <w:r>
        <w:rPr>
          <w:rFonts w:ascii="Arial" w:cs="Arial" w:eastAsia="Arial" w:hAnsi="Arial"/>
          <w:sz w:val="18"/>
          <w:szCs w:val="18"/>
          <w:color w:val="auto"/>
        </w:rPr>
        <w:t>” means the Benchmark Replacement excluding the Benchmark Replacement Adjustment.</w:t>
      </w:r>
    </w:p>
    <w:p>
      <w:pPr>
        <w:spacing w:after="0" w:line="225" w:lineRule="exact"/>
        <w:rPr>
          <w:sz w:val="20"/>
          <w:szCs w:val="20"/>
          <w:color w:val="auto"/>
        </w:rPr>
      </w:pPr>
    </w:p>
    <w:p>
      <w:pPr>
        <w:ind w:right="100" w:firstLine="441"/>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Unconsolidated Affiliate</w:t>
      </w:r>
      <w:r>
        <w:rPr>
          <w:rFonts w:ascii="Arial" w:cs="Arial" w:eastAsia="Arial" w:hAnsi="Arial"/>
          <w:sz w:val="18"/>
          <w:szCs w:val="18"/>
          <w:color w:val="auto"/>
        </w:rPr>
        <w:t>” means, with respect to any Person, any other Person in whom such Person holds, either directly or indirectly through any of such Person’s Subsidiaries, an Investment, which Investment is accounted for in the financial statements of such Person on an equity basis of accounting and whose financial results would not be consolidated under GAAP with the financial results of such Person on the consolidated financial statements of such Person.</w:t>
      </w:r>
    </w:p>
    <w:p>
      <w:pPr>
        <w:spacing w:after="0" w:line="180" w:lineRule="exact"/>
        <w:rPr>
          <w:sz w:val="20"/>
          <w:szCs w:val="20"/>
          <w:color w:val="auto"/>
        </w:rPr>
      </w:pPr>
    </w:p>
    <w:p>
      <w:pPr>
        <w:ind w:right="60" w:firstLine="441"/>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Unencumbered Adjusted NOI</w:t>
      </w:r>
      <w:r>
        <w:rPr>
          <w:rFonts w:ascii="Arial" w:cs="Arial" w:eastAsia="Arial" w:hAnsi="Arial"/>
          <w:sz w:val="17"/>
          <w:szCs w:val="17"/>
          <w:color w:val="auto"/>
        </w:rPr>
        <w:t>” means the aggregate Net Operating Income from each (i) Wholly Owned Property; (ii) Controlled Property; and (iii) Non-Controlled Property all of which are Stabilized Properties and have been owned for the entire period and as adjusted for any non-recurring items during the reporting period. The Unencumbered Adjusted NOI for each Property cannot be less than zero.</w:t>
      </w:r>
    </w:p>
    <w:p>
      <w:pPr>
        <w:spacing w:after="0" w:line="158"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Unencumbered Asset Value</w:t>
      </w:r>
      <w:r>
        <w:rPr>
          <w:rFonts w:ascii="Arial" w:cs="Arial" w:eastAsia="Arial" w:hAnsi="Arial"/>
          <w:sz w:val="17"/>
          <w:szCs w:val="17"/>
          <w:color w:val="auto"/>
        </w:rPr>
        <w:t>” means (a) the annualized most recent reporting period Unencumbered Adjusted NOI divided by the Capitalization Rate, plus (b) the GAAP book value of all assets acquired during the most recent quarter which assets are not subject to any Liens other than Permitted Liens (excluding Permitted Liens of the type described in clauses (g) and (h) of the definition thereof) or subject to any Negative Pledge, plus (c) the GAAP book value of Development Properties that satisfy the requirements of clauses (b) through (d) of the definition of the term “Eligible Property”. For purposes of this definition, (A) to the extent that more than 20% of Unencumbered Asset Value would be attributable to Controlled Properties, Non-Controlled Properties and Development Properties such excess shall be excluded and (B) to the extent that more than 2.5% of Unencumbered Asset Value would be attributable to Hotel Properties, such excess shall be excluded.</w:t>
      </w:r>
    </w:p>
    <w:p>
      <w:pPr>
        <w:spacing w:after="0" w:line="172" w:lineRule="exact"/>
        <w:rPr>
          <w:sz w:val="20"/>
          <w:szCs w:val="20"/>
          <w:color w:val="auto"/>
        </w:rPr>
      </w:pPr>
    </w:p>
    <w:p>
      <w:pPr>
        <w:ind w:right="1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Unimproved Land</w:t>
      </w:r>
      <w:r>
        <w:rPr>
          <w:rFonts w:ascii="Arial" w:cs="Arial" w:eastAsia="Arial" w:hAnsi="Arial"/>
          <w:sz w:val="18"/>
          <w:szCs w:val="18"/>
          <w:color w:val="auto"/>
        </w:rPr>
        <w:t>” means land on which no development (other than paving or other improvements that are not material and are temporary in nature) has occurred and for which no development is planned in the following 12 months.</w:t>
      </w:r>
    </w:p>
    <w:p>
      <w:pPr>
        <w:spacing w:after="0" w:line="162" w:lineRule="exact"/>
        <w:rPr>
          <w:sz w:val="20"/>
          <w:szCs w:val="20"/>
          <w:color w:val="auto"/>
        </w:rPr>
      </w:pPr>
    </w:p>
    <w:p>
      <w:pPr>
        <w:ind w:right="12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Unsecured Indebtedness</w:t>
      </w:r>
      <w:r>
        <w:rPr>
          <w:rFonts w:ascii="Arial" w:cs="Arial" w:eastAsia="Arial" w:hAnsi="Arial"/>
          <w:sz w:val="18"/>
          <w:szCs w:val="18"/>
          <w:color w:val="auto"/>
        </w:rPr>
        <w:t>” means Total Indebtedness which is not Secured Indebtedness. Indebtedness that is secured solely by Equity Interests and is recourse to the Borrower or its Subsidiaries shall be considered to be Unsecured Indebtedness.</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means any Person that is a “United States Person” as defined in Section 7701(a)(30) of the Internal Revenue Code.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Special Resolution Regimes</w:t>
      </w:r>
      <w:r>
        <w:rPr>
          <w:rFonts w:ascii="Arial" w:cs="Arial" w:eastAsia="Arial" w:hAnsi="Arial"/>
          <w:sz w:val="18"/>
          <w:szCs w:val="18"/>
          <w:color w:val="auto"/>
        </w:rPr>
        <w:t>” has the meaning given that term in Section 12.24.</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assigned to such term in Section 3.10.(g)(ii)(B)(III).</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Wells Fargo</w:t>
      </w:r>
      <w:r>
        <w:rPr>
          <w:rFonts w:ascii="Arial" w:cs="Arial" w:eastAsia="Arial" w:hAnsi="Arial"/>
          <w:sz w:val="18"/>
          <w:szCs w:val="18"/>
          <w:color w:val="auto"/>
        </w:rPr>
        <w:t>” means Wells Fargo Bank, National Association, and its successors and permitted assigns.</w:t>
      </w:r>
    </w:p>
    <w:p>
      <w:pPr>
        <w:spacing w:after="0" w:line="225" w:lineRule="exact"/>
        <w:rPr>
          <w:sz w:val="20"/>
          <w:szCs w:val="20"/>
          <w:color w:val="auto"/>
        </w:rPr>
      </w:pPr>
    </w:p>
    <w:p>
      <w:pPr>
        <w:ind w:right="540" w:firstLine="441"/>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Property</w:t>
      </w:r>
      <w:r>
        <w:rPr>
          <w:rFonts w:ascii="Arial" w:cs="Arial" w:eastAsia="Arial" w:hAnsi="Arial"/>
          <w:sz w:val="18"/>
          <w:szCs w:val="18"/>
          <w:color w:val="auto"/>
        </w:rPr>
        <w:t>” means an Eligible Property which is wholly owned in fee simple (or leased under a Ground Lease) by only the Borrower or a Wholly Owned Subsidiary.</w:t>
      </w:r>
    </w:p>
    <w:p>
      <w:pPr>
        <w:spacing w:after="0" w:line="162" w:lineRule="exact"/>
        <w:rPr>
          <w:sz w:val="20"/>
          <w:szCs w:val="20"/>
          <w:color w:val="auto"/>
        </w:rPr>
      </w:pPr>
    </w:p>
    <w:p>
      <w:pPr>
        <w:ind w:right="20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Subsidiary</w:t>
      </w:r>
      <w:r>
        <w:rPr>
          <w:rFonts w:ascii="Arial" w:cs="Arial" w:eastAsia="Arial" w:hAnsi="Arial"/>
          <w:sz w:val="18"/>
          <w:szCs w:val="18"/>
          <w:color w:val="auto"/>
        </w:rPr>
        <w:t>” means any Subsidiary of a Person in respect of which all of the Equity Interests (other than, in the case of a corporation, directors’ qualifying shares) are at the time directly or indirectly owned or controlled by such Person or one or more other Subsidiaries of such Person or by such Person and one or more other Subsidiaries of such Person.</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020"/>
          </w:cols>
          <w:pgMar w:left="440" w:top="270" w:right="439" w:bottom="1440" w:gutter="0" w:footer="0" w:header="0"/>
        </w:sectPr>
      </w:pPr>
    </w:p>
    <w:bookmarkStart w:id="40" w:name="page41"/>
    <w:bookmarkEnd w:id="40"/>
    <w:p>
      <w:pPr>
        <w:jc w:val="both"/>
        <w:ind w:right="140" w:firstLine="44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Withdrawal Liability</w:t>
      </w:r>
      <w:r>
        <w:rPr>
          <w:rFonts w:ascii="Arial" w:cs="Arial" w:eastAsia="Arial" w:hAnsi="Arial"/>
          <w:sz w:val="18"/>
          <w:szCs w:val="18"/>
          <w:color w:val="auto"/>
        </w:rPr>
        <w:t>” means any liability as a result of a complete or partial withdrawal from a Multiemployer Plan as such terms are defined in Part I of Subtitle E of Title IV of ERISA.</w:t>
      </w:r>
    </w:p>
    <w:p>
      <w:pPr>
        <w:spacing w:after="0" w:line="1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Withholding Agent</w:t>
      </w:r>
      <w:r>
        <w:rPr>
          <w:rFonts w:ascii="Arial" w:cs="Arial" w:eastAsia="Arial" w:hAnsi="Arial"/>
          <w:sz w:val="18"/>
          <w:szCs w:val="18"/>
          <w:color w:val="auto"/>
        </w:rPr>
        <w:t>” means (a) the Borrower, (b) any other Loan Party and (c) the Administrative Agent, as applicable.</w:t>
      </w:r>
    </w:p>
    <w:p>
      <w:pPr>
        <w:spacing w:after="0" w:line="225" w:lineRule="exact"/>
        <w:rPr>
          <w:sz w:val="20"/>
          <w:szCs w:val="20"/>
          <w:color w:val="auto"/>
        </w:rPr>
      </w:pPr>
    </w:p>
    <w:p>
      <w:pPr>
        <w:jc w:val="both"/>
        <w:ind w:right="120" w:firstLine="44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Write-Down and Conversion Powers</w:t>
      </w:r>
      <w:r>
        <w:rPr>
          <w:rFonts w:ascii="Arial" w:cs="Arial" w:eastAsia="Arial" w:hAnsi="Arial"/>
          <w:sz w:val="18"/>
          <w:szCs w:val="18"/>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 General; References to Pacific Time.</w:t>
      </w:r>
    </w:p>
    <w:p>
      <w:pPr>
        <w:spacing w:after="0" w:line="121" w:lineRule="exact"/>
        <w:rPr>
          <w:sz w:val="20"/>
          <w:szCs w:val="20"/>
          <w:color w:val="auto"/>
        </w:rPr>
      </w:pPr>
    </w:p>
    <w:p>
      <w:pPr>
        <w:ind w:firstLine="441"/>
        <w:spacing w:after="0" w:line="266" w:lineRule="auto"/>
        <w:rPr>
          <w:sz w:val="20"/>
          <w:szCs w:val="20"/>
          <w:color w:val="auto"/>
        </w:rPr>
      </w:pPr>
      <w:r>
        <w:rPr>
          <w:rFonts w:ascii="Arial" w:cs="Arial" w:eastAsia="Arial" w:hAnsi="Arial"/>
          <w:sz w:val="17"/>
          <w:szCs w:val="17"/>
          <w:color w:val="auto"/>
        </w:rPr>
        <w:t>Unless otherwise indicated, all accounting terms, ratios and measurements shall be interpreted or determined in accordance with GAAP from time to time; provided that, if at any time any change in GAAP would affect the computation of any financial ratio or requirement set forth in any Loan Document, and either the Borrower or the Requisite Lenders shall so request, the Administrative Agent, the Lenders and the Borrower shall negotiate in good faith to amend such ratio or requirement to preserve the original intent thereof in light of such change in GAAP (subject to the approval of the Requisite Lenders); provided further that,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Notwithstanding the preceding sentence, (i) the calculation of liabilities shall not include any fair value adjustments to the carrying value of liabilities to record such liabilities at fair value pursuant to electing the fair value option election under FASB ASC 825-10-25 (formerly known as FAS 159, The Fair Value Option for Financial Assets and Financial Liabilities) or other FASB standards allowing entities to elect fair value option for financial liabilities and (ii) all accounting terms, ratios and calculations shall be determined without giving effect to Accounting Standards Codification 842 (or any other Accounting Standards Codification or Financial Accounting Standard having a similar result or effect) (and related interpretations) to the extent any lease where the Borrower or a Subsidiary is the lessee (or similar arrangement conveying the right to use) would be required to be treated as a finance or operating lease thereunder where such lease (or similar arrangement) would have been treated as an operating lease under GAAP as in effect immediately prior to the effectiveness of the Accounting Standards Codification 842, provided that the Borrower shall provide to the Administrative Agent and the Lenders financial statements and other documents required under this Agreement or as reasonably requested hereunder setting forth a reconciliation between calculations of such ratio or requirement made in accordance with GAAP and made without giving effect to Accounting Standards Codification 842. References in this Agreement to “Sections”, “Articles”, “Exhibits” and “Schedules” are to sections, articles, exhibits and schedules herein and hereto unless otherwise indicated. Any definition or reference to any Applicable Law, including, without limitation, Anti-Corruption Laws, Anti-Money Laundering Laws, the Bankruptcy Code, the Code, the Commodity Exchange Act, ERISA, the Exchange Act, the PATRIOT Act, the Securities Act, the UCC, the Investment Company Act, the Interstate Commerce Act or any of the foreign assets control regulations of the United States Treasury Department, shall include all statutory and regulatory provisions consolidating, amending, replacing, supplementing or interpreting such Applicable Law. References in this Agreement to any document, instrument or agreement (a) shall include all exhibits, schedules and other attachments thereto, (b) shall include all documents, instruments or agreements issued or executed in replacement thereof, to the extent permitted hereby and (c) shall mean such document, instrument or agreement, or replacement or predecessor thereto, as amended, supplemented, restated or otherwise modified from time to time to the extent not otherwise stated herein or</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000"/>
          </w:cols>
          <w:pgMar w:left="440" w:top="270" w:right="459" w:bottom="1440" w:gutter="0" w:footer="0" w:header="0"/>
        </w:sectPr>
      </w:pPr>
    </w:p>
    <w:bookmarkStart w:id="41" w:name="page42"/>
    <w:bookmarkEnd w:id="41"/>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prohibited hereby and in effect at any given time. Wherever from the context it appears appropriate, each term stated in either the singular or plural shall include the singular and plural, and pronouns stated in the masculine, feminine or neuter gender shall include the masculine, the feminine and the neuter. Whenever reference is made to Borrower’s knowledge or awareness, or a similar qualification, knowledge or awareness means the actual knowledge of Borrower’s Responsible Officers after reasonable investigation and consultation with Borrower’s regional chief operating officers. Unless explicitly set forth to the contrary, a reference to “Subsidiary” means a Subsidiary of the Borrower or a Subsidiary of such Subsidiary, a reference to an “Affiliate” means a reference to an Affiliate of the Borrower and a reference to an “Unconsolidated Affiliate” means an Unconsolidated Affiliate of the Borrower. Titles and captions of Articles, Sections, subsections and clauses in this Agreement are for convenience only, and neither limit nor amplify the provisions of this Agreement. Unless otherwise indicated, all references to time are references to Pacific time.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1.3. Financial Attributes of Non-Wholly Owned Subsidiaries.</w:t>
      </w:r>
    </w:p>
    <w:p>
      <w:pPr>
        <w:spacing w:after="0" w:line="121" w:lineRule="exact"/>
        <w:rPr>
          <w:sz w:val="20"/>
          <w:szCs w:val="20"/>
          <w:color w:val="auto"/>
        </w:rPr>
      </w:pPr>
    </w:p>
    <w:p>
      <w:pPr>
        <w:ind w:right="360" w:firstLine="441"/>
        <w:spacing w:after="0" w:line="264" w:lineRule="auto"/>
        <w:rPr>
          <w:sz w:val="20"/>
          <w:szCs w:val="20"/>
          <w:color w:val="auto"/>
        </w:rPr>
      </w:pPr>
      <w:r>
        <w:rPr>
          <w:rFonts w:ascii="Arial" w:cs="Arial" w:eastAsia="Arial" w:hAnsi="Arial"/>
          <w:sz w:val="18"/>
          <w:szCs w:val="18"/>
          <w:color w:val="auto"/>
        </w:rPr>
        <w:t>Except as expressly set forth herein, when determining compliance by the Borrower with any financial covenant contained in any of the Loan Documents only the Ownership Share of the Borrower of the financial attributes of a Subsidiary that is not a Wholly Owned Subsidiary shall be included.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1.4. Rates.</w:t>
      </w:r>
    </w:p>
    <w:p>
      <w:pPr>
        <w:spacing w:after="0" w:line="121" w:lineRule="exact"/>
        <w:rPr>
          <w:sz w:val="20"/>
          <w:szCs w:val="20"/>
          <w:color w:val="auto"/>
        </w:rPr>
      </w:pPr>
    </w:p>
    <w:p>
      <w:pPr>
        <w:ind w:right="620" w:firstLine="441"/>
        <w:spacing w:after="0" w:line="277" w:lineRule="auto"/>
        <w:rPr>
          <w:sz w:val="20"/>
          <w:szCs w:val="20"/>
          <w:color w:val="auto"/>
        </w:rPr>
      </w:pPr>
      <w:r>
        <w:rPr>
          <w:rFonts w:ascii="Arial" w:cs="Arial" w:eastAsia="Arial" w:hAnsi="Arial"/>
          <w:sz w:val="18"/>
          <w:szCs w:val="18"/>
          <w:color w:val="auto"/>
        </w:rPr>
        <w:t>The Administrative Agent does not warrant or accept responsibility for, and shall not have any liability with respect to, the administration, submission or any other matter related to the rates in the definition of “LIBOR”.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1.5. Divisions.</w:t>
      </w:r>
    </w:p>
    <w:p>
      <w:pPr>
        <w:spacing w:after="0" w:line="121" w:lineRule="exact"/>
        <w:rPr>
          <w:sz w:val="20"/>
          <w:szCs w:val="20"/>
          <w:color w:val="auto"/>
        </w:rPr>
      </w:pPr>
    </w:p>
    <w:p>
      <w:pPr>
        <w:ind w:right="240" w:firstLine="441"/>
        <w:spacing w:after="0" w:line="257" w:lineRule="auto"/>
        <w:rPr>
          <w:sz w:val="20"/>
          <w:szCs w:val="20"/>
          <w:color w:val="auto"/>
        </w:rPr>
      </w:pPr>
      <w:r>
        <w:rPr>
          <w:rFonts w:ascii="Arial" w:cs="Arial" w:eastAsia="Arial" w:hAnsi="Arial"/>
          <w:sz w:val="18"/>
          <w:szCs w:val="18"/>
          <w:color w:val="auto"/>
        </w:rPr>
        <w:t>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II. C</w:t>
      </w:r>
      <w:r>
        <w:rPr>
          <w:rFonts w:ascii="Arial" w:cs="Arial" w:eastAsia="Arial" w:hAnsi="Arial"/>
          <w:sz w:val="15"/>
          <w:szCs w:val="15"/>
          <w:b w:val="1"/>
          <w:bCs w:val="1"/>
          <w:color w:val="auto"/>
        </w:rPr>
        <w:t>REDIT</w:t>
      </w:r>
      <w:r>
        <w:rPr>
          <w:rFonts w:ascii="Arial" w:cs="Arial" w:eastAsia="Arial" w:hAnsi="Arial"/>
          <w:sz w:val="18"/>
          <w:szCs w:val="18"/>
          <w:b w:val="1"/>
          <w:bCs w:val="1"/>
          <w:color w:val="auto"/>
        </w:rPr>
        <w:t xml:space="preserve"> F</w:t>
      </w:r>
      <w:r>
        <w:rPr>
          <w:rFonts w:ascii="Arial" w:cs="Arial" w:eastAsia="Arial" w:hAnsi="Arial"/>
          <w:sz w:val="15"/>
          <w:szCs w:val="15"/>
          <w:b w:val="1"/>
          <w:bCs w:val="1"/>
          <w:color w:val="auto"/>
        </w:rPr>
        <w:t>ACILITY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 Revolving Loans.</w:t>
      </w:r>
    </w:p>
    <w:p>
      <w:pPr>
        <w:spacing w:after="0" w:line="121" w:lineRule="exact"/>
        <w:rPr>
          <w:sz w:val="20"/>
          <w:szCs w:val="20"/>
          <w:color w:val="auto"/>
        </w:rPr>
      </w:pPr>
    </w:p>
    <w:p>
      <w:pPr>
        <w:ind w:right="100" w:firstLine="444"/>
        <w:spacing w:after="0" w:line="270" w:lineRule="auto"/>
        <w:tabs>
          <w:tab w:leader="none" w:pos="685"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Making of Revolving Loans</w:t>
      </w:r>
      <w:r>
        <w:rPr>
          <w:rFonts w:ascii="Arial" w:cs="Arial" w:eastAsia="Arial" w:hAnsi="Arial"/>
          <w:sz w:val="17"/>
          <w:szCs w:val="17"/>
          <w:color w:val="auto"/>
        </w:rPr>
        <w:t>. Subject to the terms and conditions set forth in this Agreement, including without limitation, Section 2.15., each Lender severally and not jointly agrees to make Revolving Loans in Dollars to the Borrower during the period from and including the Effective Date to but excluding the Revolving Termination Date, in an aggregate principal amount at any one time outstanding up to, but not exceeding, such Lender’s Revolving Commitment. Each borrowing of Base Rate Loans shall be in an aggregate minimum amount of $1,000,000 and integral multiples of $500,000 in excess thereof. Each borrowing and Continuation under Section 2.9. of, and each Conversion under Section 2.10. of Base Rate Loans into, LIBOR Loans shall be in an aggregate minimum of $1,000,000 and integral multiples of $1,000,000 in excess of that amount. Notwithstanding the immediately preceding two sentences but subject to Section 2.15., a borrowing of Revolving Loans may be in the aggregate amount of the unused Revolving Commitments. Within the foregoing limits and subject to the terms and conditions of this Agreement, the Borrower may borrow, repay and reborrow Revolving Loans.</w:t>
      </w:r>
    </w:p>
    <w:p>
      <w:pPr>
        <w:spacing w:after="0" w:line="114" w:lineRule="exact"/>
        <w:rPr>
          <w:rFonts w:ascii="Arial" w:cs="Arial" w:eastAsia="Arial" w:hAnsi="Arial"/>
          <w:sz w:val="17"/>
          <w:szCs w:val="17"/>
          <w:color w:val="auto"/>
        </w:rPr>
      </w:pPr>
    </w:p>
    <w:p>
      <w:pPr>
        <w:ind w:left="5420" w:hanging="101"/>
        <w:spacing w:after="0"/>
        <w:tabs>
          <w:tab w:leader="none" w:pos="5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33 -</w:t>
      </w:r>
    </w:p>
    <w:p>
      <w:pPr>
        <w:sectPr>
          <w:pgSz w:w="11900" w:h="16838" w:orient="portrait"/>
          <w:cols w:equalWidth="0" w:num="1">
            <w:col w:w="11000"/>
          </w:cols>
          <w:pgMar w:left="440" w:top="274" w:right="459" w:bottom="1440" w:gutter="0" w:footer="0" w:header="0"/>
        </w:sectPr>
      </w:pPr>
    </w:p>
    <w:bookmarkStart w:id="42" w:name="page43"/>
    <w:bookmarkEnd w:id="42"/>
    <w:p>
      <w:pPr>
        <w:ind w:left="-444" w:firstLine="444"/>
        <w:spacing w:after="0" w:line="269" w:lineRule="auto"/>
        <w:tabs>
          <w:tab w:leader="none" w:pos="25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Requests for Revolving Loans</w:t>
      </w:r>
      <w:r>
        <w:rPr>
          <w:rFonts w:ascii="Arial" w:cs="Arial" w:eastAsia="Arial" w:hAnsi="Arial"/>
          <w:sz w:val="17"/>
          <w:szCs w:val="17"/>
          <w:color w:val="auto"/>
        </w:rPr>
        <w:t>. Not later than 11:00 a.m. Pacific time at least one (1) Business Day prior to a borrowing of Revolving Loans that are to be Base Rate Loans and not later than 11:00 a.m. Pacific time at least three (3) Business Days prior to a borrowing of Revolving Loans that are to be LIBOR Loans, the Borrower shall deliver to the Administrative Agent a Notice of Borrowing or telephone notice thereof. Each Notice of Borrowing shall specify the aggregate principal amount of the Revolving Loans to be borrowed, the date such Revolving Loans are to be borrowed (which must be a Business Day), the use of the proceeds of such Revolving Loans, the Type of the requested Revolving Loans, and if such Revolving Loans are to be LIBOR Loans, the initial Interest Period for such Revolving Loans. Any telephone notice shall include all information to be specified in a written Notice of Borrowing and shall be promptly confirmed in writing by the Borrower pursuant to a Notice of Borrowing sent to the Administrative Agent by electronic mail on the same day of the giving of such telephonic notice. Each Notice of Borrowing or any telephone notice of a borrowing shall be irrevocable once given and binding on the Borrower. Prior to delivering a Notice of Borrowing, the Borrower may (without specifying whether a Revolving Loan will be a Base Rate Loan or a LIBOR Loan) request that the Administrative Agent provide the Borrower with the most recent LIBOR available to the Administrative Agent. The Administrative Agent shall provide such quoted rate to the Borrower on the date of such request or as soon as possible thereafter.</w:t>
      </w:r>
    </w:p>
    <w:p>
      <w:pPr>
        <w:spacing w:after="0" w:line="71" w:lineRule="exact"/>
        <w:rPr>
          <w:rFonts w:ascii="Arial" w:cs="Arial" w:eastAsia="Arial" w:hAnsi="Arial"/>
          <w:sz w:val="17"/>
          <w:szCs w:val="17"/>
          <w:color w:val="auto"/>
        </w:rPr>
      </w:pPr>
    </w:p>
    <w:p>
      <w:pPr>
        <w:ind w:left="-444" w:right="20" w:firstLine="444"/>
        <w:spacing w:after="0" w:line="273" w:lineRule="auto"/>
        <w:tabs>
          <w:tab w:leader="none" w:pos="241"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Funding of Revolving Loans</w:t>
      </w:r>
      <w:r>
        <w:rPr>
          <w:rFonts w:ascii="Arial" w:cs="Arial" w:eastAsia="Arial" w:hAnsi="Arial"/>
          <w:sz w:val="17"/>
          <w:szCs w:val="17"/>
          <w:color w:val="auto"/>
        </w:rPr>
        <w:t>. Promptly after receipt of a Notice of Borrowing under the immediately preceding subsection (b), the Administrative Agent shall notify each Lender of the proposed borrowing. Each Lender shall deposit an amount equal to the Revolving Loan to be made by such Lender to the Borrower with the Administrative Agent at the Principal Office, in immediately available funds not later than 8:00 a.m. Pacific time on the date of such proposed Revolving Loans. Subject to fulfillment of the conditions set forth in Section 5.2., the Administrative Agent shall make available to the Borrower in the account specified in the Disbursement Instruction Agreement, not later than 9:00 a.m. Pacific time on the date of the requested borrowing of Revolving Loans, the proceeds of such amounts received by the Administrative Agent.</w:t>
      </w:r>
    </w:p>
    <w:p>
      <w:pPr>
        <w:spacing w:after="0" w:line="70" w:lineRule="exact"/>
        <w:rPr>
          <w:rFonts w:ascii="Arial" w:cs="Arial" w:eastAsia="Arial" w:hAnsi="Arial"/>
          <w:sz w:val="17"/>
          <w:szCs w:val="17"/>
          <w:color w:val="auto"/>
        </w:rPr>
      </w:pPr>
    </w:p>
    <w:p>
      <w:pPr>
        <w:ind w:left="-444" w:firstLine="444"/>
        <w:spacing w:after="0" w:line="285" w:lineRule="auto"/>
        <w:tabs>
          <w:tab w:leader="none" w:pos="251"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Assumptions Regarding Funding by Lenders</w:t>
      </w:r>
      <w:r>
        <w:rPr>
          <w:rFonts w:ascii="Arial" w:cs="Arial" w:eastAsia="Arial" w:hAnsi="Arial"/>
          <w:sz w:val="16"/>
          <w:szCs w:val="16"/>
          <w:color w:val="auto"/>
        </w:rPr>
        <w:t>. With respect to Revolving Loans to be made after the Effective Date, unless the Administrative Agent shall have been notified by any Lender that such Lender will not make available to the Administrative Agent a Revolving Loan to be made by such Lender in connection with any borrowing, the Administrative Agent may assume that such Lender will make the proceeds of such Revolving Loan available to the Administrative Agent in accordance with this Section, and the Administrative Agent may (but shall not be obligated to), in reliance upon such assumption, make available to the Borrower the amount of such Revolving Loan to be provided by such Lender. If the Administrative Agent makes the amount of such Revolving Loan available to the Borrower prior to its receipt of any proceeds of Revolving Loans by any Lender, then if such Lender has not funded its Revolving Loans prior to the time set forth therefor in clause (c) above, the Administrative Agent shall use reasonable efforts to notify the Borrower that such Lender has failed to fund by the time required therefore; provided, however, that the Administrative Agent’s failure to provide such notice shall not result in any liability to the Administrative Agent and shall not affect any other provision set forth herein. In such event, if such Lender does not make available to the Administrative Agent the proceeds of such Revolving Loan, then such Lender and the Borrower severally agree to pay to the Administrative Agent on demand the amount of such Revolving Loan with interest thereon, for each day from and including the date such Revolving Loan is made available to the Borrower but excluding the date of payment to the Administrative Agent, at (i) in the case of a payment to be made by such Lender, the Federal Funds Rate and (ii) in the case of a payment to be made by the Borrower, the interest rate applicable to Base Rate Loans. Notwithstanding the prior sentence, if any Lender shall fail to make available to the Administrative Agent the proceeds of a Revolving Loan on the date and at the time specified in Section 2.1.(c) but shall make such proceeds available to the Administrative Agent at a later time on such date, such Lender shall pay to the Administrative Agent one day’s worth of interest computed in accordance with clause (i) of the immediately</w:t>
      </w:r>
    </w:p>
    <w:p>
      <w:pPr>
        <w:spacing w:after="0" w:line="110" w:lineRule="exact"/>
        <w:rPr>
          <w:rFonts w:ascii="Arial" w:cs="Arial" w:eastAsia="Arial" w:hAnsi="Arial"/>
          <w:sz w:val="16"/>
          <w:szCs w:val="16"/>
          <w:color w:val="auto"/>
        </w:rPr>
      </w:pPr>
    </w:p>
    <w:p>
      <w:pPr>
        <w:ind w:left="4976" w:hanging="101"/>
        <w:spacing w:after="0"/>
        <w:tabs>
          <w:tab w:leader="none" w:pos="4976" w:val="left"/>
        </w:tabs>
        <w:numPr>
          <w:ilvl w:val="1"/>
          <w:numId w:val="22"/>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0576"/>
          </w:cols>
          <w:pgMar w:left="884" w:top="274" w:right="439" w:bottom="1440" w:gutter="0" w:footer="0" w:header="0"/>
        </w:sectPr>
      </w:pPr>
    </w:p>
    <w:bookmarkStart w:id="43" w:name="page44"/>
    <w:bookmarkEnd w:id="43"/>
    <w:p>
      <w:pPr>
        <w:ind w:right="10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preceding sentence, unless such Lender can provide evidence reasonably satisfactory to the Administrative Agent that such Lender has timely made such proceeds available to the Administrative Agent, including, without limitation, a Fed Reference Number screen shot evidencing the date and time such Lender’s wire was sent. If the Borrower and such Lender shall pay the amount of such interest to the Administrative Agent for the same or overlapping period, the Administrative Agent shall promptly remit to the Borrower the amount of such interest paid by the Borrower for such period. If such Lender pays to the Administrative Agent the amount of such Revolving Loan, the amount so paid shall constitute such Lender’s Revolving Loan included in the borrowing. Any payment by the Borrower shall be without prejudice to any claim the Borrower may have against a Lender that shall have failed to make available the proceeds of a Revolving Loan to be made by such Lender.</w:t>
      </w:r>
    </w:p>
    <w:p>
      <w:pPr>
        <w:spacing w:after="0" w:line="70" w:lineRule="exact"/>
        <w:rPr>
          <w:sz w:val="20"/>
          <w:szCs w:val="20"/>
          <w:color w:val="auto"/>
        </w:rPr>
      </w:pPr>
    </w:p>
    <w:p>
      <w:pPr>
        <w:ind w:right="100" w:firstLine="444"/>
        <w:spacing w:after="0" w:line="287" w:lineRule="auto"/>
        <w:tabs>
          <w:tab w:leader="none" w:pos="685" w:val="left"/>
        </w:tabs>
        <w:numPr>
          <w:ilvl w:val="0"/>
          <w:numId w:val="23"/>
        </w:numPr>
        <w:rPr>
          <w:rFonts w:ascii="Arial" w:cs="Arial" w:eastAsia="Arial" w:hAnsi="Arial"/>
          <w:sz w:val="16"/>
          <w:szCs w:val="16"/>
          <w:color w:val="auto"/>
        </w:rPr>
      </w:pPr>
      <w:r>
        <w:rPr>
          <w:rFonts w:ascii="Arial" w:cs="Arial" w:eastAsia="Arial" w:hAnsi="Arial"/>
          <w:sz w:val="16"/>
          <w:szCs w:val="16"/>
          <w:u w:val="single" w:color="auto"/>
          <w:color w:val="auto"/>
        </w:rPr>
        <w:t>Reallocations</w:t>
      </w:r>
      <w:r>
        <w:rPr>
          <w:rFonts w:ascii="Arial" w:cs="Arial" w:eastAsia="Arial" w:hAnsi="Arial"/>
          <w:sz w:val="16"/>
          <w:szCs w:val="16"/>
          <w:color w:val="auto"/>
        </w:rPr>
        <w:t>. Simultaneously with the Effective Date, the outstanding amounts of all “Revolving Loans” (as defined in the Existing Credit Agreement) of the “Lenders” (as defined in the Existing Credit Agreement) having a “Revolving Commitment” (as defined in the Existing Credit Agreement) (the “</w:t>
      </w:r>
      <w:r>
        <w:rPr>
          <w:rFonts w:ascii="Arial" w:cs="Arial" w:eastAsia="Arial" w:hAnsi="Arial"/>
          <w:sz w:val="16"/>
          <w:szCs w:val="16"/>
          <w:b w:val="1"/>
          <w:bCs w:val="1"/>
          <w:color w:val="auto"/>
        </w:rPr>
        <w:t>Existing Lenders</w:t>
      </w:r>
      <w:r>
        <w:rPr>
          <w:rFonts w:ascii="Arial" w:cs="Arial" w:eastAsia="Arial" w:hAnsi="Arial"/>
          <w:sz w:val="16"/>
          <w:szCs w:val="16"/>
          <w:color w:val="auto"/>
        </w:rPr>
        <w:t>”) previously made to the Borrower under the Existing Credit Agreement and participations in Existing Letters of Credit of the Existing Lenders shall be reallocated among the Lenders in accordance with their respective Revolving Commitment Percentages (determined in accordance with the amount of each Lender’s Revolving Commitment set forth on Schedule I), and in order to effect such reallocations, the requisite assignments shall be deemed to be made in amounts from each Existing Lender to each Lender, with the same force and effect as if such assignments were evidenced by the applicable Assignment and Assumptions (as defined in the Existing Credit Agreement) under the Existing Credit Agreement and without the payment of any related assignment fee, and no other documents or instruments shall be, or shall be required to be, executed in connection with such assignments (all of which are hereby waived) and (ii) each assignee Lender shall make full cash settlement with each corresponding assignor Existing Lender, through the Administrative Agent, as the Administrative Agent may direct (after giving effect to any netting effected by the Administrative Agent) with respect to such reallocations and assignments.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2.2. Bid Rate Loans.</w:t>
      </w:r>
    </w:p>
    <w:p>
      <w:pPr>
        <w:spacing w:after="0" w:line="121" w:lineRule="exact"/>
        <w:rPr>
          <w:sz w:val="20"/>
          <w:szCs w:val="20"/>
          <w:color w:val="auto"/>
        </w:rPr>
      </w:pPr>
    </w:p>
    <w:p>
      <w:pPr>
        <w:ind w:right="40" w:firstLine="444"/>
        <w:spacing w:after="0" w:line="259" w:lineRule="auto"/>
        <w:tabs>
          <w:tab w:leader="none" w:pos="685" w:val="left"/>
        </w:tabs>
        <w:numPr>
          <w:ilvl w:val="1"/>
          <w:numId w:val="24"/>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At any time during the period from the Effective Date to but excluding the Revolving Termination Date, and so long as the Borrower continues to maintain an Investment Grade Rating, the Borrower may, as set forth in this Section, request the Lenders to make offers to make Bid Rate Loans to the Borrower in Dollars. The Lenders may, but shall have no obligation to, make such offers and the Borrower may, but shall have no obligation to, accept any such offers in the manner set forth in this Section.</w:t>
      </w:r>
    </w:p>
    <w:p>
      <w:pPr>
        <w:spacing w:after="0" w:line="78" w:lineRule="exact"/>
        <w:rPr>
          <w:rFonts w:ascii="Arial" w:cs="Arial" w:eastAsia="Arial" w:hAnsi="Arial"/>
          <w:sz w:val="18"/>
          <w:szCs w:val="18"/>
          <w:color w:val="auto"/>
        </w:rPr>
      </w:pPr>
    </w:p>
    <w:p>
      <w:pPr>
        <w:jc w:val="both"/>
        <w:ind w:right="80" w:firstLine="444"/>
        <w:spacing w:after="0" w:line="285" w:lineRule="auto"/>
        <w:tabs>
          <w:tab w:leader="none" w:pos="695" w:val="left"/>
        </w:tabs>
        <w:numPr>
          <w:ilvl w:val="1"/>
          <w:numId w:val="24"/>
        </w:numPr>
        <w:rPr>
          <w:rFonts w:ascii="Arial" w:cs="Arial" w:eastAsia="Arial" w:hAnsi="Arial"/>
          <w:sz w:val="16"/>
          <w:szCs w:val="16"/>
          <w:color w:val="auto"/>
        </w:rPr>
      </w:pPr>
      <w:r>
        <w:rPr>
          <w:rFonts w:ascii="Arial" w:cs="Arial" w:eastAsia="Arial" w:hAnsi="Arial"/>
          <w:sz w:val="16"/>
          <w:szCs w:val="16"/>
          <w:u w:val="single" w:color="auto"/>
          <w:color w:val="auto"/>
        </w:rPr>
        <w:t>Requests for Bid Rate Loans</w:t>
      </w:r>
      <w:r>
        <w:rPr>
          <w:rFonts w:ascii="Arial" w:cs="Arial" w:eastAsia="Arial" w:hAnsi="Arial"/>
          <w:sz w:val="16"/>
          <w:szCs w:val="16"/>
          <w:color w:val="auto"/>
        </w:rPr>
        <w:t>. When the Borrower wishes to request from the Lenders offers to make Bid Rate Loans, it shall give the Administrative Agent notice (a “</w:t>
      </w:r>
      <w:r>
        <w:rPr>
          <w:rFonts w:ascii="Arial" w:cs="Arial" w:eastAsia="Arial" w:hAnsi="Arial"/>
          <w:sz w:val="16"/>
          <w:szCs w:val="16"/>
          <w:b w:val="1"/>
          <w:bCs w:val="1"/>
          <w:color w:val="auto"/>
        </w:rPr>
        <w:t>Bid Rate Quote Request</w:t>
      </w:r>
      <w:r>
        <w:rPr>
          <w:rFonts w:ascii="Arial" w:cs="Arial" w:eastAsia="Arial" w:hAnsi="Arial"/>
          <w:sz w:val="16"/>
          <w:szCs w:val="16"/>
          <w:color w:val="auto"/>
        </w:rPr>
        <w:t>”) so as to be received no later than 11:00 a.m. Pacific time on (x) the Business Day immediately preceding the date of borrowing proposed therein, in the case of an Absolute Rate Auction and (y) the date four (4) Business Days prior to the proposed date of borrowing, in the case of a LIBOR Auction. The Administrative Agent shall deliver to each Lender a copy of each Bid Rate Quote Request promptly upon receipt thereof by the Administrative Agent. The Borrower may request offers to make Bid Rate Loans for up to four</w:t>
      </w:r>
    </w:p>
    <w:p>
      <w:pPr>
        <w:spacing w:after="0" w:line="2" w:lineRule="exact"/>
        <w:rPr>
          <w:rFonts w:ascii="Arial" w:cs="Arial" w:eastAsia="Arial" w:hAnsi="Arial"/>
          <w:sz w:val="16"/>
          <w:szCs w:val="16"/>
          <w:color w:val="auto"/>
        </w:rPr>
      </w:pPr>
    </w:p>
    <w:p>
      <w:pPr>
        <w:ind w:firstLine="4"/>
        <w:spacing w:after="0" w:line="255"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different Interest Periods in any one Bid Rate Quote Request; provided that if granted each separate Interest Period shall be deemed to be a separate borrowing (a “</w:t>
      </w:r>
      <w:r>
        <w:rPr>
          <w:rFonts w:ascii="Arial" w:cs="Arial" w:eastAsia="Arial" w:hAnsi="Arial"/>
          <w:sz w:val="18"/>
          <w:szCs w:val="18"/>
          <w:b w:val="1"/>
          <w:bCs w:val="1"/>
          <w:color w:val="auto"/>
        </w:rPr>
        <w:t>Bid Rate Borrowing</w:t>
      </w:r>
      <w:r>
        <w:rPr>
          <w:rFonts w:ascii="Arial" w:cs="Arial" w:eastAsia="Arial" w:hAnsi="Arial"/>
          <w:sz w:val="18"/>
          <w:szCs w:val="18"/>
          <w:color w:val="auto"/>
        </w:rPr>
        <w:t>”). Each Bid Rate Quote Request shall be substantially in the form of Exhibit L and shall specify as to each Bid Rate Borrowing all of the following:</w:t>
      </w:r>
    </w:p>
    <w:p>
      <w:pPr>
        <w:spacing w:after="0" w:line="82" w:lineRule="exact"/>
        <w:rPr>
          <w:rFonts w:ascii="Arial" w:cs="Arial" w:eastAsia="Arial" w:hAnsi="Arial"/>
          <w:sz w:val="18"/>
          <w:szCs w:val="18"/>
          <w:color w:val="auto"/>
        </w:rPr>
      </w:pPr>
    </w:p>
    <w:p>
      <w:pPr>
        <w:ind w:left="1080" w:hanging="212"/>
        <w:spacing w:after="0"/>
        <w:tabs>
          <w:tab w:leader="none" w:pos="108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the proposed date of such Bid Rate Borrowing, which shall be a Business Day;</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3"/>
          <w:numId w:val="25"/>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000"/>
          </w:cols>
          <w:pgMar w:left="440" w:top="274" w:right="459" w:bottom="1440" w:gutter="0" w:footer="0" w:header="0"/>
        </w:sectPr>
      </w:pPr>
    </w:p>
    <w:bookmarkStart w:id="44" w:name="page45"/>
    <w:bookmarkEnd w:id="44"/>
    <w:p>
      <w:pPr>
        <w:ind w:left="440" w:right="660" w:firstLine="428"/>
        <w:spacing w:after="0" w:line="277" w:lineRule="auto"/>
        <w:tabs>
          <w:tab w:leader="none" w:pos="1128"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aggregate amount of such Bid Rate Borrowing which shall be in a minimum amount of $5,000,000 and integral multiples of $1,000,000 in excess thereof which shall not cause any of the limits specified in Section 2.15. to be violated;</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whether the Bid Rate Quote Request is for LIBOR Margin Loans or Absolute Rate Loans; and</w:t>
      </w:r>
    </w:p>
    <w:p>
      <w:pPr>
        <w:spacing w:after="0" w:line="117" w:lineRule="exact"/>
        <w:rPr>
          <w:rFonts w:ascii="Arial" w:cs="Arial" w:eastAsia="Arial" w:hAnsi="Arial"/>
          <w:sz w:val="18"/>
          <w:szCs w:val="18"/>
          <w:color w:val="auto"/>
        </w:rPr>
      </w:pPr>
    </w:p>
    <w:p>
      <w:pPr>
        <w:ind w:left="1180" w:hanging="312"/>
        <w:spacing w:after="0"/>
        <w:tabs>
          <w:tab w:leader="none" w:pos="11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duration of the Interest Period applicable thereto, which shall not extend beyond the Revolving Termination Date.</w:t>
      </w:r>
    </w:p>
    <w:p>
      <w:pPr>
        <w:spacing w:after="0" w:line="225" w:lineRule="exact"/>
        <w:rPr>
          <w:sz w:val="20"/>
          <w:szCs w:val="20"/>
          <w:color w:val="auto"/>
        </w:rPr>
      </w:pPr>
    </w:p>
    <w:p>
      <w:pPr>
        <w:ind w:right="120" w:firstLine="441"/>
        <w:spacing w:after="0" w:line="264" w:lineRule="auto"/>
        <w:rPr>
          <w:sz w:val="20"/>
          <w:szCs w:val="20"/>
          <w:color w:val="auto"/>
        </w:rPr>
      </w:pPr>
      <w:r>
        <w:rPr>
          <w:rFonts w:ascii="Arial" w:cs="Arial" w:eastAsia="Arial" w:hAnsi="Arial"/>
          <w:sz w:val="18"/>
          <w:szCs w:val="18"/>
          <w:color w:val="auto"/>
        </w:rPr>
        <w:t>The Borrower shall not deliver any Bid Rate Quote Request within five Business Days (or such other number of days as the Borrower and the Administrative Agent may agree) of the giving of any other Bid Rate Quote Request and the Borrower shall not deliver more than four Bid Rate Quote Requests in any calendar month.</w:t>
      </w:r>
    </w:p>
    <w:p>
      <w:pPr>
        <w:spacing w:after="0" w:line="177" w:lineRule="exact"/>
        <w:rPr>
          <w:sz w:val="20"/>
          <w:szCs w:val="20"/>
          <w:color w:val="auto"/>
        </w:rPr>
      </w:pPr>
    </w:p>
    <w:p>
      <w:pPr>
        <w:ind w:left="680" w:hanging="236"/>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b w:val="1"/>
          <w:bCs w:val="1"/>
          <w:u w:val="single" w:color="auto"/>
          <w:color w:val="auto"/>
        </w:rPr>
        <w:t>Bid Rate Quotes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0" w:right="220" w:firstLine="428"/>
        <w:spacing w:after="0" w:line="286" w:lineRule="auto"/>
        <w:tabs>
          <w:tab w:leader="none" w:pos="1078" w:val="left"/>
        </w:tabs>
        <w:numPr>
          <w:ilvl w:val="1"/>
          <w:numId w:val="27"/>
        </w:numPr>
        <w:rPr>
          <w:rFonts w:ascii="Arial" w:cs="Arial" w:eastAsia="Arial" w:hAnsi="Arial"/>
          <w:sz w:val="16"/>
          <w:szCs w:val="16"/>
          <w:color w:val="auto"/>
        </w:rPr>
      </w:pPr>
      <w:r>
        <w:rPr>
          <w:rFonts w:ascii="Arial" w:cs="Arial" w:eastAsia="Arial" w:hAnsi="Arial"/>
          <w:sz w:val="16"/>
          <w:szCs w:val="16"/>
          <w:color w:val="auto"/>
        </w:rPr>
        <w:t>Each Lender may submit one or more Bid Rate Quotes, each containing an offer to make a Bid Rate Loan in response to any Bid Rate Quote Request; provided that, if the Borrower’s request under Section 2.2.(b) specified more than one Interest Period, such Lender may make a single submission containing only one Bid Rate Quote for each such Interest Period. Each Bid Rate Quote must be submitted to the Administrative Agent not later than 8:30 a.m. Pacific time (x) on the proposed date of borrowing, in the case of an Absolute Rate Auction and</w:t>
      </w:r>
    </w:p>
    <w:p>
      <w:pPr>
        <w:spacing w:after="0" w:line="1" w:lineRule="exact"/>
        <w:rPr>
          <w:rFonts w:ascii="Arial" w:cs="Arial" w:eastAsia="Arial" w:hAnsi="Arial"/>
          <w:sz w:val="16"/>
          <w:szCs w:val="16"/>
          <w:color w:val="auto"/>
        </w:rPr>
      </w:pPr>
    </w:p>
    <w:p>
      <w:pPr>
        <w:ind w:left="440" w:right="140" w:firstLine="4"/>
        <w:spacing w:after="0" w:line="252" w:lineRule="auto"/>
        <w:tabs>
          <w:tab w:leader="none" w:pos="695"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the date three (3) Business Days prior to the proposed date of borrowing, in the case of a LIBOR Auction, and in either case the Administrative Agent shall disregard any Bid Rate Quote received after such time; provided that the Lender then acting as the Administrative Agent may submit a Bid Rate Quote only if it notifies the Borrower of the terms of the offer contained therein not later than 30 minutes prior to the latest time by which the Lenders must submit applicable Bid Rate Quotes. Any Bid Rate Quote so made shall be irrevocable except with the consent of the Administrative Agent given at the request of the Borrower. Such Bid Rate Loans may be funded by a Lender’s Designated Lender (if any) as provided in Section 12.6.(d); however, such Lender shall not be required to specify in its Bid Rate Quote whether such Bid Rate Loan will be funded by such Designated Lender.</w:t>
      </w:r>
    </w:p>
    <w:p>
      <w:pPr>
        <w:spacing w:after="0" w:line="85" w:lineRule="exact"/>
        <w:rPr>
          <w:sz w:val="20"/>
          <w:szCs w:val="20"/>
          <w:color w:val="auto"/>
        </w:rPr>
      </w:pPr>
    </w:p>
    <w:p>
      <w:pPr>
        <w:ind w:left="1140" w:hanging="272"/>
        <w:spacing w:after="0"/>
        <w:tabs>
          <w:tab w:leader="none" w:pos="11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Each Bid Rate Quote shall be substantially in the form of Exhibit M and shall specify:</w:t>
      </w:r>
    </w:p>
    <w:p>
      <w:pPr>
        <w:spacing w:after="0" w:line="117" w:lineRule="exact"/>
        <w:rPr>
          <w:rFonts w:ascii="Arial" w:cs="Arial" w:eastAsia="Arial" w:hAnsi="Arial"/>
          <w:sz w:val="18"/>
          <w:szCs w:val="18"/>
          <w:color w:val="auto"/>
        </w:rPr>
      </w:pPr>
    </w:p>
    <w:p>
      <w:pPr>
        <w:ind w:left="1700" w:hanging="303"/>
        <w:spacing w:after="0"/>
        <w:tabs>
          <w:tab w:leader="none" w:pos="17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proposed date of borrowing and the Interest Period therefor;</w:t>
      </w:r>
    </w:p>
    <w:p>
      <w:pPr>
        <w:spacing w:after="0" w:line="117" w:lineRule="exact"/>
        <w:rPr>
          <w:rFonts w:ascii="Arial" w:cs="Arial" w:eastAsia="Arial" w:hAnsi="Arial"/>
          <w:sz w:val="18"/>
          <w:szCs w:val="18"/>
          <w:color w:val="auto"/>
        </w:rPr>
      </w:pPr>
    </w:p>
    <w:p>
      <w:pPr>
        <w:ind w:left="1000" w:right="20" w:firstLine="397"/>
        <w:spacing w:after="0" w:line="257" w:lineRule="auto"/>
        <w:tabs>
          <w:tab w:leader="none" w:pos="16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principal amount of the Bid Rate Loan for which each such offer is being made; provided that the aggregate principal amount of all Bid Rate Loans for which a Lender submits Bid Rate Quotes (x) may be greater or less than the Revolving Commitment of such Lender but (y) shall not exceed the principal amount of the Bid Rate Borrowing for a particular Interest Period for which offers were requested; provided further that any Bid Rate Quote shall be in a minimum amount of $1,000,000 and integral multiples of $500,000 in excess thereof;</w:t>
      </w:r>
    </w:p>
    <w:p>
      <w:pPr>
        <w:spacing w:after="0" w:line="80" w:lineRule="exact"/>
        <w:rPr>
          <w:rFonts w:ascii="Arial" w:cs="Arial" w:eastAsia="Arial" w:hAnsi="Arial"/>
          <w:sz w:val="18"/>
          <w:szCs w:val="18"/>
          <w:color w:val="auto"/>
        </w:rPr>
      </w:pPr>
    </w:p>
    <w:p>
      <w:pPr>
        <w:ind w:left="1000" w:firstLine="397"/>
        <w:spacing w:after="0" w:line="277" w:lineRule="auto"/>
        <w:tabs>
          <w:tab w:leader="none" w:pos="1686"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the case of an Absolute Rate Auction, the rate of interest per annum (rounded upwards, if necessary, to the nearest 1/1,000th of 1%) offered for each such Absolute Rate Loan (the “</w:t>
      </w:r>
      <w:r>
        <w:rPr>
          <w:rFonts w:ascii="Arial" w:cs="Arial" w:eastAsia="Arial" w:hAnsi="Arial"/>
          <w:sz w:val="18"/>
          <w:szCs w:val="18"/>
          <w:b w:val="1"/>
          <w:bCs w:val="1"/>
          <w:color w:val="auto"/>
        </w:rPr>
        <w:t>Absolute Rate</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2"/>
          <w:numId w:val="29"/>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000"/>
          </w:cols>
          <w:pgMar w:left="440" w:top="274" w:right="459" w:bottom="1440" w:gutter="0" w:footer="0" w:header="0"/>
        </w:sectPr>
      </w:pPr>
    </w:p>
    <w:bookmarkStart w:id="45" w:name="page46"/>
    <w:bookmarkEnd w:id="45"/>
    <w:p>
      <w:pPr>
        <w:ind w:left="996" w:right="240" w:firstLine="397"/>
        <w:spacing w:after="0" w:line="266" w:lineRule="auto"/>
        <w:tabs>
          <w:tab w:leader="none" w:pos="1692"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case of a LIBOR Auction, the margin above or below applicable LIBOR (the “</w:t>
      </w:r>
      <w:r>
        <w:rPr>
          <w:rFonts w:ascii="Arial" w:cs="Arial" w:eastAsia="Arial" w:hAnsi="Arial"/>
          <w:sz w:val="18"/>
          <w:szCs w:val="18"/>
          <w:b w:val="1"/>
          <w:bCs w:val="1"/>
          <w:color w:val="auto"/>
        </w:rPr>
        <w:t>LIBOR Margin</w:t>
      </w:r>
      <w:r>
        <w:rPr>
          <w:rFonts w:ascii="Arial" w:cs="Arial" w:eastAsia="Arial" w:hAnsi="Arial"/>
          <w:sz w:val="18"/>
          <w:szCs w:val="18"/>
          <w:color w:val="auto"/>
        </w:rPr>
        <w:t>”) offered for each such LIBOR Margin Loan, expressed as a percentage (rounded upwards, if necessary, to the nearest 1/1,000th of 1%) to be added to (or subtracted from) the applicable LIBOR; and</w:t>
      </w:r>
    </w:p>
    <w:p>
      <w:pPr>
        <w:spacing w:after="0" w:line="72" w:lineRule="exact"/>
        <w:rPr>
          <w:rFonts w:ascii="Arial" w:cs="Arial" w:eastAsia="Arial" w:hAnsi="Arial"/>
          <w:sz w:val="18"/>
          <w:szCs w:val="18"/>
          <w:color w:val="auto"/>
        </w:rPr>
      </w:pPr>
    </w:p>
    <w:p>
      <w:pPr>
        <w:ind w:left="1676" w:hanging="283"/>
        <w:spacing w:after="0"/>
        <w:tabs>
          <w:tab w:leader="none" w:pos="16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identity of the quoting Lender.</w:t>
      </w:r>
    </w:p>
    <w:p>
      <w:pPr>
        <w:spacing w:after="0" w:line="117" w:lineRule="exact"/>
        <w:rPr>
          <w:sz w:val="20"/>
          <w:szCs w:val="20"/>
          <w:color w:val="auto"/>
        </w:rPr>
      </w:pPr>
    </w:p>
    <w:p>
      <w:pPr>
        <w:ind w:left="436"/>
        <w:spacing w:after="0" w:line="259" w:lineRule="auto"/>
        <w:rPr>
          <w:sz w:val="20"/>
          <w:szCs w:val="20"/>
          <w:color w:val="auto"/>
        </w:rPr>
      </w:pPr>
      <w:r>
        <w:rPr>
          <w:rFonts w:ascii="Arial" w:cs="Arial" w:eastAsia="Arial" w:hAnsi="Arial"/>
          <w:sz w:val="18"/>
          <w:szCs w:val="18"/>
          <w:color w:val="auto"/>
        </w:rPr>
        <w:t>Unless otherwise agreed by the Administrative Agent and the Borrower, no Bid Rate Quote shall contain qualifying, conditional or similar language or propose terms other than or in addition to those set forth in the applicable Bid Rate Quote Request and, in particular, no Bid Rate Quote may be conditioned upon acceptance by the Borrower of all (or some specified minimum) of the principal amount of the Bid Rate Loan for which such Bid Rate Quote is being made.</w:t>
      </w:r>
    </w:p>
    <w:p>
      <w:pPr>
        <w:spacing w:after="0" w:line="79" w:lineRule="exact"/>
        <w:rPr>
          <w:sz w:val="20"/>
          <w:szCs w:val="20"/>
          <w:color w:val="auto"/>
        </w:rPr>
      </w:pPr>
    </w:p>
    <w:p>
      <w:pPr>
        <w:jc w:val="both"/>
        <w:ind w:left="-4" w:firstLine="444"/>
        <w:spacing w:after="0" w:line="291" w:lineRule="auto"/>
        <w:tabs>
          <w:tab w:leader="none" w:pos="692"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Notification by Administrative Agent</w:t>
      </w:r>
      <w:r>
        <w:rPr>
          <w:rFonts w:ascii="Arial" w:cs="Arial" w:eastAsia="Arial" w:hAnsi="Arial"/>
          <w:sz w:val="16"/>
          <w:szCs w:val="16"/>
          <w:color w:val="auto"/>
        </w:rPr>
        <w:t>. The Administrative Agent shall, as promptly as practicable after the Bid Rate Quotes are submitted (but in any event not later than 9:30 a.m. Pacific time (x) on the proposed date of borrowing, in the case of an Absolute Rate Auction or (y) on the date three</w:t>
      </w:r>
    </w:p>
    <w:p>
      <w:pPr>
        <w:ind w:left="-4" w:firstLine="4"/>
        <w:spacing w:after="0" w:line="252" w:lineRule="auto"/>
        <w:tabs>
          <w:tab w:leader="none" w:pos="251"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Days prior to the proposed date of borrowing, in the case of a LIBOR Auction), notify the Borrower of the terms (i) of any Bid Rate Quote submitted by a Lender that is in accordance with Section 2.2.(c) and (ii) of any Bid Rate Quote that amends, modifies or is otherwise inconsistent with a previous Bid Rate Quote submitted by such Lender with respect to the same Bid Rate Quote Request. Any such subsequent Bid Rate Quote shall be disregarded by the Administrative Agent unless such subsequent Bid Rate Quote is submitted solely to correct a manifest error in such former Bid Rate Quote. The Administrative Agent’s notice to the Borrower shall specify (A) the aggregate principal amount of the Bid Rate Borrowing for which offers have been received and (B) the principal amounts and Absolute Rates or LIBOR Margins, as applicable, so offered by each Lender (identifying the Lender that made such Bid Rate Quote).</w:t>
      </w:r>
    </w:p>
    <w:p>
      <w:pPr>
        <w:spacing w:after="0" w:line="189" w:lineRule="exact"/>
        <w:rPr>
          <w:sz w:val="20"/>
          <w:szCs w:val="20"/>
          <w:color w:val="auto"/>
        </w:rPr>
      </w:pPr>
    </w:p>
    <w:p>
      <w:pPr>
        <w:ind w:left="236" w:hanging="236"/>
        <w:spacing w:after="0"/>
        <w:tabs>
          <w:tab w:leader="none" w:pos="236"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 by Borrower</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36" w:right="40" w:firstLine="428"/>
        <w:spacing w:after="0" w:line="255" w:lineRule="auto"/>
        <w:tabs>
          <w:tab w:leader="none" w:pos="1074"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 later than 10:30 a.m. Pacific time (x) on the proposed date of borrowing, in the case of an Absolute Rate Auction and (y) on the date three (3) Business Days prior to the proposed date of borrowing, in the case of a LIBOR Auction, the Borrower shall notify the Administrative Agent of its acceptance or nonacceptance of the Bid Rate Quotes so notified to it pursuant to Section 2.2.(d). which notice shall be in the form of Exhibit N. In the case of acceptance, such notice shall specify the aggregate principal amount of Bid Rate Quotes for each Interest Period that are accepted. The failure of the Borrower to give such notice by such time shall constitute nonacceptance. The Borrower may accept any Bid Rate Quote in whole or in part; provided that:</w:t>
      </w:r>
    </w:p>
    <w:p>
      <w:pPr>
        <w:spacing w:after="0" w:line="85" w:lineRule="exact"/>
        <w:rPr>
          <w:rFonts w:ascii="Arial" w:cs="Arial" w:eastAsia="Arial" w:hAnsi="Arial"/>
          <w:sz w:val="18"/>
          <w:szCs w:val="18"/>
          <w:color w:val="auto"/>
        </w:rPr>
      </w:pPr>
    </w:p>
    <w:p>
      <w:pPr>
        <w:ind w:left="996" w:right="220" w:firstLine="397"/>
        <w:spacing w:after="0" w:line="277" w:lineRule="auto"/>
        <w:tabs>
          <w:tab w:leader="none" w:pos="1692"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aggregate principal amount of each Bid Rate Borrowing may not exceed the applicable amount set forth in the related Bid Rate Quote Request;</w:t>
      </w:r>
    </w:p>
    <w:p>
      <w:pPr>
        <w:spacing w:after="0" w:line="62" w:lineRule="exact"/>
        <w:rPr>
          <w:rFonts w:ascii="Arial" w:cs="Arial" w:eastAsia="Arial" w:hAnsi="Arial"/>
          <w:sz w:val="18"/>
          <w:szCs w:val="18"/>
          <w:color w:val="auto"/>
        </w:rPr>
      </w:pPr>
    </w:p>
    <w:p>
      <w:pPr>
        <w:ind w:left="996" w:right="120" w:firstLine="397"/>
        <w:spacing w:after="0" w:line="308" w:lineRule="auto"/>
        <w:tabs>
          <w:tab w:leader="none" w:pos="1682" w:val="left"/>
        </w:tabs>
        <w:numPr>
          <w:ilvl w:val="2"/>
          <w:numId w:val="33"/>
        </w:numPr>
        <w:rPr>
          <w:rFonts w:ascii="Arial" w:cs="Arial" w:eastAsia="Arial" w:hAnsi="Arial"/>
          <w:sz w:val="17"/>
          <w:szCs w:val="17"/>
          <w:color w:val="auto"/>
        </w:rPr>
      </w:pPr>
      <w:r>
        <w:rPr>
          <w:rFonts w:ascii="Arial" w:cs="Arial" w:eastAsia="Arial" w:hAnsi="Arial"/>
          <w:sz w:val="17"/>
          <w:szCs w:val="17"/>
          <w:color w:val="auto"/>
        </w:rPr>
        <w:t>the aggregate principal amount of each Bid Rate Borrowing shall comply with the provisions of Section 2.2.(b)(ii) and together with all other Bid Rate Loans then outstanding shall not cause the limits specified in Section 2.15. to be violated;</w:t>
      </w:r>
    </w:p>
    <w:p>
      <w:pPr>
        <w:spacing w:after="0" w:line="38" w:lineRule="exact"/>
        <w:rPr>
          <w:rFonts w:ascii="Arial" w:cs="Arial" w:eastAsia="Arial" w:hAnsi="Arial"/>
          <w:sz w:val="17"/>
          <w:szCs w:val="17"/>
          <w:color w:val="auto"/>
        </w:rPr>
      </w:pPr>
    </w:p>
    <w:p>
      <w:pPr>
        <w:ind w:left="996" w:right="300" w:firstLine="397"/>
        <w:spacing w:after="0" w:line="277" w:lineRule="auto"/>
        <w:tabs>
          <w:tab w:leader="none" w:pos="1682" w:val="left"/>
        </w:tabs>
        <w:numPr>
          <w:ilvl w:val="2"/>
          <w:numId w:val="33"/>
        </w:numPr>
        <w:rPr>
          <w:rFonts w:ascii="Arial" w:cs="Arial" w:eastAsia="Arial" w:hAnsi="Arial"/>
          <w:sz w:val="18"/>
          <w:szCs w:val="18"/>
          <w:color w:val="auto"/>
        </w:rPr>
      </w:pPr>
      <w:r>
        <w:rPr>
          <w:rFonts w:ascii="Arial" w:cs="Arial" w:eastAsia="Arial" w:hAnsi="Arial"/>
          <w:sz w:val="18"/>
          <w:szCs w:val="18"/>
          <w:color w:val="auto"/>
        </w:rPr>
        <w:t>acceptance of Bid Rate Quotes may be made only in ascending order of Absolute Rates or LIBOR Margins, as applicable, in each case beginning with the lowest rate so offered;</w:t>
      </w:r>
    </w:p>
    <w:p>
      <w:pPr>
        <w:spacing w:after="0" w:line="102" w:lineRule="exact"/>
        <w:rPr>
          <w:rFonts w:ascii="Arial" w:cs="Arial" w:eastAsia="Arial" w:hAnsi="Arial"/>
          <w:sz w:val="18"/>
          <w:szCs w:val="18"/>
          <w:color w:val="auto"/>
        </w:rPr>
      </w:pPr>
    </w:p>
    <w:p>
      <w:pPr>
        <w:ind w:left="5416" w:hanging="101"/>
        <w:spacing w:after="0"/>
        <w:tabs>
          <w:tab w:leader="none" w:pos="5416" w:val="left"/>
        </w:tabs>
        <w:numPr>
          <w:ilvl w:val="3"/>
          <w:numId w:val="33"/>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0956"/>
          </w:cols>
          <w:pgMar w:left="444" w:top="270" w:right="499" w:bottom="1440" w:gutter="0" w:footer="0" w:header="0"/>
        </w:sectPr>
      </w:pPr>
    </w:p>
    <w:bookmarkStart w:id="46" w:name="page47"/>
    <w:bookmarkEnd w:id="46"/>
    <w:p>
      <w:pPr>
        <w:ind w:left="1000" w:right="500" w:firstLine="397"/>
        <w:spacing w:after="0" w:line="277" w:lineRule="auto"/>
        <w:tabs>
          <w:tab w:leader="none" w:pos="1696" w:val="left"/>
        </w:tabs>
        <w:numPr>
          <w:ilvl w:val="2"/>
          <w:numId w:val="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acceptance in part by the Borrower shall be in a minimum amount of $1,000,000 and integral multiples of $500,000 in excess thereof; and</w:t>
      </w:r>
    </w:p>
    <w:p>
      <w:pPr>
        <w:spacing w:after="0" w:line="62" w:lineRule="exact"/>
        <w:rPr>
          <w:rFonts w:ascii="Arial" w:cs="Arial" w:eastAsia="Arial" w:hAnsi="Arial"/>
          <w:sz w:val="18"/>
          <w:szCs w:val="18"/>
          <w:color w:val="auto"/>
        </w:rPr>
      </w:pPr>
    </w:p>
    <w:p>
      <w:pPr>
        <w:ind w:left="1000" w:right="200" w:firstLine="397"/>
        <w:spacing w:after="0" w:line="277" w:lineRule="auto"/>
        <w:tabs>
          <w:tab w:leader="none" w:pos="1676" w:val="left"/>
        </w:tabs>
        <w:numPr>
          <w:ilvl w:val="2"/>
          <w:numId w:val="34"/>
        </w:numPr>
        <w:rPr>
          <w:rFonts w:ascii="Arial" w:cs="Arial" w:eastAsia="Arial" w:hAnsi="Arial"/>
          <w:sz w:val="18"/>
          <w:szCs w:val="18"/>
          <w:color w:val="auto"/>
        </w:rPr>
      </w:pPr>
      <w:r>
        <w:rPr>
          <w:rFonts w:ascii="Arial" w:cs="Arial" w:eastAsia="Arial" w:hAnsi="Arial"/>
          <w:sz w:val="18"/>
          <w:szCs w:val="18"/>
          <w:color w:val="auto"/>
        </w:rPr>
        <w:t>the Borrower may not accept any Bid Rate Quote that fails to comply with Section 2.2.(c) or otherwise fails to comply with the requirements of this Agreement.</w:t>
      </w:r>
    </w:p>
    <w:p>
      <w:pPr>
        <w:spacing w:after="0" w:line="62" w:lineRule="exact"/>
        <w:rPr>
          <w:rFonts w:ascii="Arial" w:cs="Arial" w:eastAsia="Arial" w:hAnsi="Arial"/>
          <w:sz w:val="18"/>
          <w:szCs w:val="18"/>
          <w:color w:val="auto"/>
        </w:rPr>
      </w:pPr>
    </w:p>
    <w:p>
      <w:pPr>
        <w:ind w:left="440" w:right="100" w:firstLine="428"/>
        <w:spacing w:after="0" w:line="276" w:lineRule="auto"/>
        <w:tabs>
          <w:tab w:leader="none" w:pos="1128" w:val="left"/>
        </w:tabs>
        <w:numPr>
          <w:ilvl w:val="1"/>
          <w:numId w:val="35"/>
        </w:numPr>
        <w:rPr>
          <w:rFonts w:ascii="Arial" w:cs="Arial" w:eastAsia="Arial" w:hAnsi="Arial"/>
          <w:sz w:val="17"/>
          <w:szCs w:val="17"/>
          <w:color w:val="auto"/>
        </w:rPr>
      </w:pPr>
      <w:r>
        <w:rPr>
          <w:rFonts w:ascii="Arial" w:cs="Arial" w:eastAsia="Arial" w:hAnsi="Arial"/>
          <w:sz w:val="17"/>
          <w:szCs w:val="17"/>
          <w:color w:val="auto"/>
        </w:rPr>
        <w:t>If Bid Rate Quotes are made by two or more Lenders with the same Absolute Rates or LIBOR Margins, as applicable, for a greater aggregate principal amount than the amount in respect of which Bid Rate Quotes are permitted to be accepted for the related Interest Period, the principal amount of Bid Rate Loans in respect of which such Bid Rate Quotes are accepted shall be allocated by the Administrative Agent among such Lenders in proportion to the aggregate principal amount of such Bid Rate Quotes. Determinations by the Administrative Agent of the amounts of Bid Rate Loans shall be conclusive in the absence of manifest error.</w:t>
      </w:r>
    </w:p>
    <w:p>
      <w:pPr>
        <w:spacing w:after="0" w:line="64" w:lineRule="exact"/>
        <w:rPr>
          <w:rFonts w:ascii="Arial" w:cs="Arial" w:eastAsia="Arial" w:hAnsi="Arial"/>
          <w:sz w:val="17"/>
          <w:szCs w:val="17"/>
          <w:color w:val="auto"/>
        </w:rPr>
      </w:pPr>
    </w:p>
    <w:p>
      <w:pPr>
        <w:ind w:right="60" w:firstLine="444"/>
        <w:spacing w:after="0" w:line="287" w:lineRule="auto"/>
        <w:tabs>
          <w:tab w:leader="none" w:pos="665"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Obligation to Make Bid Rate Loans</w:t>
      </w:r>
      <w:r>
        <w:rPr>
          <w:rFonts w:ascii="Arial" w:cs="Arial" w:eastAsia="Arial" w:hAnsi="Arial"/>
          <w:sz w:val="16"/>
          <w:szCs w:val="16"/>
          <w:color w:val="auto"/>
        </w:rPr>
        <w:t>. The Administrative Agent shall promptly (and in any event not later than (x) 11:30 a.m. Pacific time on the proposed date of borrowing of Absolute Rate Loans and (y) on the date three (3) Business Days prior to the proposed date of borrowing of LIBOR Margin Loans) notify each Lender as to whose Bid Rate Quote has been accepted and the amount and rate thereof. A Lender who is notified that it has been selected to make a Bid Rate Loan may designate its Designated Lender (if any) to fund such Bid Rate Loan on its behalf, as described in Section 12.6.(d). Any Designated Lender which funds a Bid Rate Loan shall on and after the time of such funding become the obligee in respect of such Bid Rate Loan and be entitled to receive payment thereof when due. No Lender shall be relieved of its obligation to fund a Bid Rate Loan, and no Designated Lender shall assume such obligation, prior to the time the applicable Bid Rate Loan is funded. Any Lender whose offer to make any Bid Rate Loan has been accepted shall, not later than 12:30 p.m. Pacific time on the date specified for the making of such Loan, make the amount of such Loan available to the Administrative Agent at its Principal Office in immediately available funds, for the account of the Borrower. The amount so received by the Administrative Agent shall, subject to the terms and conditions of this Agreement, be made available to the Borrower not later than 1:30 p.m. Pacific time on such date by depositing the same, in immediately available funds, in an account of the Borrower designated by the Borrower.</w:t>
      </w:r>
    </w:p>
    <w:p>
      <w:pPr>
        <w:spacing w:after="0" w:line="64" w:lineRule="exact"/>
        <w:rPr>
          <w:rFonts w:ascii="Arial" w:cs="Arial" w:eastAsia="Arial" w:hAnsi="Arial"/>
          <w:sz w:val="16"/>
          <w:szCs w:val="16"/>
          <w:color w:val="auto"/>
        </w:rPr>
      </w:pPr>
    </w:p>
    <w:p>
      <w:pPr>
        <w:ind w:right="180" w:firstLine="444"/>
        <w:spacing w:after="0" w:line="277" w:lineRule="auto"/>
        <w:tabs>
          <w:tab w:leader="none" w:pos="695"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 Effect on Revolving Commitment</w:t>
      </w:r>
      <w:r>
        <w:rPr>
          <w:rFonts w:ascii="Arial" w:cs="Arial" w:eastAsia="Arial" w:hAnsi="Arial"/>
          <w:sz w:val="18"/>
          <w:szCs w:val="18"/>
          <w:color w:val="auto"/>
        </w:rPr>
        <w:t>. Except for the purpose and to the extent expressly stated in Section 2.12. and 2.15., the amount of any Bid Rate Loan made by any Lender shall not constitute a utilization of such Lender’s Revolving Commitment.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2.3. Letters of Credit.</w:t>
      </w:r>
    </w:p>
    <w:p>
      <w:pPr>
        <w:spacing w:after="0" w:line="121" w:lineRule="exact"/>
        <w:rPr>
          <w:sz w:val="20"/>
          <w:szCs w:val="20"/>
          <w:color w:val="auto"/>
        </w:rPr>
      </w:pPr>
    </w:p>
    <w:p>
      <w:pPr>
        <w:ind w:firstLine="444"/>
        <w:spacing w:after="0" w:line="272" w:lineRule="auto"/>
        <w:tabs>
          <w:tab w:leader="none" w:pos="685"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Letters of Credit</w:t>
      </w:r>
      <w:r>
        <w:rPr>
          <w:rFonts w:ascii="Arial" w:cs="Arial" w:eastAsia="Arial" w:hAnsi="Arial"/>
          <w:sz w:val="17"/>
          <w:szCs w:val="17"/>
          <w:color w:val="auto"/>
        </w:rPr>
        <w:t>. Subject to the terms and conditions of this Agreement, including without limitation, Section 2.15., each Issuing Bank, on behalf of the Lenders, agrees to issue for the account of the Borrower during the period from and including the Effective Date to, but excluding, the date thirty (30) days prior to the Revolving Termination Date, one or more standby letters of credit in Dollars (each a “</w:t>
      </w:r>
      <w:r>
        <w:rPr>
          <w:rFonts w:ascii="Arial" w:cs="Arial" w:eastAsia="Arial" w:hAnsi="Arial"/>
          <w:sz w:val="17"/>
          <w:szCs w:val="17"/>
          <w:b w:val="1"/>
          <w:bCs w:val="1"/>
          <w:color w:val="auto"/>
        </w:rPr>
        <w:t>Letter of Credit</w:t>
      </w:r>
      <w:r>
        <w:rPr>
          <w:rFonts w:ascii="Arial" w:cs="Arial" w:eastAsia="Arial" w:hAnsi="Arial"/>
          <w:sz w:val="17"/>
          <w:szCs w:val="17"/>
          <w:color w:val="auto"/>
        </w:rPr>
        <w:t>”) up to a maximum aggregate Stated Amount at any one time outstanding not to exceed $50,000,000 as such amount may be reduced from time to time in accordance with the terms hereof (the “L/C Commitment Amount”); provided, that an Issuing Bank shall not be obligated to issue any Letter of Credit if, after giving effect to such issuance, the aggregate Stated Amount of the outstanding Letters of Credit issued by such Issuing Bank would exceed the lesser of (i) 50% of the L/C Commitment Amount and (ii) the Revolving Commitment of such Issuing Bank in its capacity as a Lender.</w:t>
      </w:r>
    </w:p>
    <w:p>
      <w:pPr>
        <w:spacing w:after="0" w:line="69" w:lineRule="exact"/>
        <w:rPr>
          <w:rFonts w:ascii="Arial" w:cs="Arial" w:eastAsia="Arial" w:hAnsi="Arial"/>
          <w:sz w:val="17"/>
          <w:szCs w:val="17"/>
          <w:color w:val="auto"/>
        </w:rPr>
      </w:pPr>
    </w:p>
    <w:p>
      <w:pPr>
        <w:ind w:right="80" w:firstLine="444"/>
        <w:spacing w:after="0" w:line="264" w:lineRule="auto"/>
        <w:tabs>
          <w:tab w:leader="none" w:pos="695"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Terms of Letters of Credit</w:t>
      </w:r>
      <w:r>
        <w:rPr>
          <w:rFonts w:ascii="Arial" w:cs="Arial" w:eastAsia="Arial" w:hAnsi="Arial"/>
          <w:sz w:val="18"/>
          <w:szCs w:val="18"/>
          <w:color w:val="auto"/>
        </w:rPr>
        <w:t>. At the time of issuance, the amount, form, terms and conditions of each Letter of Credit, and of any drafts or acceptances thereunder, shall be subject to approval by the applicable Issuing Bank and the Borrower (which approval, in the case of the Borrower shall not be</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020"/>
          </w:cols>
          <w:pgMar w:left="440" w:top="274" w:right="439" w:bottom="1440" w:gutter="0" w:footer="0" w:header="0"/>
        </w:sectPr>
      </w:pPr>
    </w:p>
    <w:bookmarkStart w:id="47" w:name="page48"/>
    <w:bookmarkEnd w:id="47"/>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unreasonably withheld). Notwithstanding the foregoing, in no event may (i) the expiration date of any Letter of Credit extend beyond the date that is thirty (30) days prior to the Revolving Termination Date, or (ii) any Letter of Credit have an initial duration in excess of one year; provided, however, a Letter of Credit may contain a provision providing for the automatic extension of the expiration date in the absence of a notice of non-renewal from the applicable Issuing Bank but in no event shall any such provision permit the extension of the expiration date of such Letter of Credit beyond the date that is thirty (30) days prior to the Revolving Termination Date. Notwithstanding the foregoing, a Letter of Credit may, as a result of its express terms or as the result of the effect of an automatic extension provision, have an expiration date of not more than one year beyond the Revolving Termination Date (any such Letter of Credit being referred to as an “</w:t>
      </w:r>
      <w:r>
        <w:rPr>
          <w:rFonts w:ascii="Arial" w:cs="Arial" w:eastAsia="Arial" w:hAnsi="Arial"/>
          <w:sz w:val="16"/>
          <w:szCs w:val="16"/>
          <w:b w:val="1"/>
          <w:bCs w:val="1"/>
          <w:color w:val="auto"/>
        </w:rPr>
        <w:t>Extended Letter of Credit</w:t>
      </w:r>
      <w:r>
        <w:rPr>
          <w:rFonts w:ascii="Arial" w:cs="Arial" w:eastAsia="Arial" w:hAnsi="Arial"/>
          <w:sz w:val="16"/>
          <w:szCs w:val="16"/>
          <w:color w:val="auto"/>
        </w:rPr>
        <w:t>”), so long as the Borrower delivers to the Administrative Agent for its benefit and the benefit of the applicable Issuing Bank and the Lenders no later than 30 days prior to the Revolving Termination Date, Cash Collateral for such Letter of Credit for deposit into the Letter of Credit Collateral Account in an amount equal to the Stated Amount of such Letter of Credit; provided, that the obligations of the Borrower under this Section in respect of such Extended Letters of Credit shall survive the termination of this Agreement and shall remain in effect until no such Extended Letters of Credit remain outstanding. If the Borrower fails to provide Cash Collateral with respect to any Extended Letter of Credit by the date 30 days prior to the Revolving Termination Date, such failure shall be treated as a drawing under such Extended Letter of Credit (in an amount equal to the maximum Stated Amount of such Letter of Credit), which shall be reimbursed (or participations therein funded) by the Revolving Lenders in accordance with the immediately following subsections (i) and (j), with the proceeds being utilized to provide Cash Collateral for such Letter of Credit. The initial Stated Amount of each Letter of Credit shall be at least $50,000 (or such lesser amount as may be acceptable to the applicable Issuing Bank, the Administrative Agent and the Borrower).</w:t>
      </w:r>
    </w:p>
    <w:p>
      <w:pPr>
        <w:spacing w:after="0" w:line="70" w:lineRule="exact"/>
        <w:rPr>
          <w:sz w:val="20"/>
          <w:szCs w:val="20"/>
          <w:color w:val="auto"/>
        </w:rPr>
      </w:pPr>
    </w:p>
    <w:p>
      <w:pPr>
        <w:ind w:right="20" w:firstLine="444"/>
        <w:spacing w:after="0" w:line="267" w:lineRule="auto"/>
        <w:tabs>
          <w:tab w:leader="none" w:pos="685" w:val="left"/>
        </w:tabs>
        <w:numPr>
          <w:ilvl w:val="0"/>
          <w:numId w:val="38"/>
        </w:numPr>
        <w:rPr>
          <w:rFonts w:ascii="Arial" w:cs="Arial" w:eastAsia="Arial" w:hAnsi="Arial"/>
          <w:sz w:val="17"/>
          <w:szCs w:val="17"/>
          <w:color w:val="auto"/>
        </w:rPr>
      </w:pPr>
      <w:r>
        <w:rPr>
          <w:rFonts w:ascii="Arial" w:cs="Arial" w:eastAsia="Arial" w:hAnsi="Arial"/>
          <w:sz w:val="17"/>
          <w:szCs w:val="17"/>
          <w:u w:val="single" w:color="auto"/>
          <w:color w:val="auto"/>
        </w:rPr>
        <w:t>Requests for Issuance of Letters of Credit</w:t>
      </w:r>
      <w:r>
        <w:rPr>
          <w:rFonts w:ascii="Arial" w:cs="Arial" w:eastAsia="Arial" w:hAnsi="Arial"/>
          <w:sz w:val="17"/>
          <w:szCs w:val="17"/>
          <w:color w:val="auto"/>
        </w:rPr>
        <w:t>. The Borrower shall give the applicable Issuing Bank and the Administrative Agent written notice (or telephonic notice which shall specify the information to be included in a written notice and shall be promptly confirmed in writing by the Borrower pursuant to a written notice sent to the Administrative Agent on the same day of the giving of such telephonic notice) at least five (5) Business Days prior to the requested date of issuance of a Letter of Credit, such notice to describe in reasonable detail the proposed terms of such Letter of Credit and the nature of the transactions or obligations proposed to be supported by such Letter of Credit, and in any event shall set forth with respect to such Letter of Credit the proposed (i) initial Stated Amount, (ii) beneficiary, and (iii) expiration date. The Borrower shall also execute and deliver such customary applications and agreements for standby letters of credit, and other forms as requested from time to time by the applicable Issuing Bank. Provided the Borrower has given the notice prescribed by the first sentence of this subsection and delivered such applications and agreements referred to in the preceding sentence, subject to the other terms and conditions of this Agreement, including the satisfaction of any applicable conditions precedent set forth in Article 5.2., the applicable Issuing Bank shall issue the requested Letter of Credit on the requested date of issuance for the benefit of the stipulated beneficiary but in no event prior to the date five (5) Business Days following the date after which such Issuing Bank has received all of the items required to be delivered to it under this subsection. An Issuing Bank shall not at any time be obligated to issue any Letter of Credit if (A) such issuance would conflict with, or cause the Administrative Agent or any Lender to exceed any limits imposed by, any Applicable Law or (B) the beneficiary of such Letter of Credit is a Sanctioned Person. References herein to “issue” and derivations thereof with respect to Letters of Credit shall also include extensions or modifications of any outstanding Letters of Credit, unless the context otherwise requires. Upon the written request of the Borrower, the applicable Issuing Bank shall deliver to the Borrower a copy of each Letter of Credit issued by it within a reasonable time after the date of issuance thereof. To the extent any term of a Letter of Credit Document is inconsistent with a term of any Loan Document, the term of such Loan Document shall control.</w:t>
      </w:r>
    </w:p>
    <w:p>
      <w:pPr>
        <w:spacing w:after="0" w:line="123" w:lineRule="exact"/>
        <w:rPr>
          <w:rFonts w:ascii="Arial" w:cs="Arial" w:eastAsia="Arial" w:hAnsi="Arial"/>
          <w:sz w:val="17"/>
          <w:szCs w:val="17"/>
          <w:color w:val="auto"/>
        </w:rPr>
      </w:pPr>
    </w:p>
    <w:p>
      <w:pPr>
        <w:ind w:left="5420" w:hanging="101"/>
        <w:spacing w:after="0"/>
        <w:tabs>
          <w:tab w:leader="none" w:pos="54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39 -</w:t>
      </w:r>
    </w:p>
    <w:p>
      <w:pPr>
        <w:sectPr>
          <w:pgSz w:w="11900" w:h="16838" w:orient="portrait"/>
          <w:cols w:equalWidth="0" w:num="1">
            <w:col w:w="11020"/>
          </w:cols>
          <w:pgMar w:left="440" w:top="274" w:right="439" w:bottom="1440" w:gutter="0" w:footer="0" w:header="0"/>
        </w:sectPr>
      </w:pPr>
    </w:p>
    <w:bookmarkStart w:id="48" w:name="page49"/>
    <w:bookmarkEnd w:id="48"/>
    <w:p>
      <w:pPr>
        <w:ind w:left="-444" w:right="40" w:firstLine="444"/>
        <w:spacing w:after="0" w:line="287" w:lineRule="auto"/>
        <w:tabs>
          <w:tab w:leader="none" w:pos="25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Reimbursement Obligations</w:t>
      </w:r>
      <w:r>
        <w:rPr>
          <w:rFonts w:ascii="Arial" w:cs="Arial" w:eastAsia="Arial" w:hAnsi="Arial"/>
          <w:sz w:val="16"/>
          <w:szCs w:val="16"/>
          <w:color w:val="auto"/>
        </w:rPr>
        <w:t>. Upon receipt by an Issuing Bank from the beneficiary of a Letter of Credit issued by such Issuing Bank of any demand for payment under such Letter of Credit and such Issuing Bank’s determination that such demand for payment complies with the requirements of such Letter of Credit, such Issuing Bank shall promptly notify the Borrower and the Administrative Agent of the amount to be paid by such Issuing Bank as a result of such demand and the date on which payment is to be made by such Issuing Bank to such beneficiary in respect of such demand; provided, however, that an Issuing Bank’s failure to give, or delay in giving, such notice shall not discharge the Borrower in any respect from the applicable Reimbursement Obligation. The Borrower hereby absolutely, unconditionally and irrevocably agrees to pay and reimburse each Issuing Bank for the amount of each demand for payment under each Letter of Credit issued by such Issuing Bank at or prior to the date on which payment is to be made by such Issuing Bank to the beneficiary thereunder, without presentment, demand, protest or other formalities of any kind (other than notice of such payment as expressly provided in this subsection). Upon receipt by an Issuing Bank of any payment in respect of any Reimbursement Obligation, such Issuing Bank shall promptly pay to the Administrative Agent for the account of each Lender that has acquired a participation therein under the second sentence of the immediately following subsection (i) such Lender’s Revolving Commitment Percentage of such payment.</w:t>
      </w:r>
    </w:p>
    <w:p>
      <w:pPr>
        <w:spacing w:after="0" w:line="64" w:lineRule="exact"/>
        <w:rPr>
          <w:rFonts w:ascii="Arial" w:cs="Arial" w:eastAsia="Arial" w:hAnsi="Arial"/>
          <w:sz w:val="16"/>
          <w:szCs w:val="16"/>
          <w:color w:val="auto"/>
        </w:rPr>
      </w:pPr>
    </w:p>
    <w:p>
      <w:pPr>
        <w:ind w:left="-444" w:firstLine="444"/>
        <w:spacing w:after="0" w:line="269" w:lineRule="auto"/>
        <w:tabs>
          <w:tab w:leader="none" w:pos="241"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Manner of Reimbursement</w:t>
      </w:r>
      <w:r>
        <w:rPr>
          <w:rFonts w:ascii="Arial" w:cs="Arial" w:eastAsia="Arial" w:hAnsi="Arial"/>
          <w:sz w:val="17"/>
          <w:szCs w:val="17"/>
          <w:color w:val="auto"/>
        </w:rPr>
        <w:t>. Upon its receipt of a notice referred to in the immediately preceding subsection (d), the Borrower shall advise the Administrative Agent and the applicable Issuing Bank whether or not the Borrower intends to borrow hereunder to finance its obligation to reimburse such Issuing Bank for the amount of the related demand for payment and, if it does, the Borrower shall submit a timely request for such borrowing as provided in the applicable provisions of this Agreement. If the Borrower fails to so advise the Administrative Agent and the applicable Issuing Bank, or if the Borrower fails to reimburse the applicable Issuing Bank for a demand for payment under a Letter of Credit by the date of such payment, the failure of which the applicable Issuing Bank shall promptly notify the Administrative Agent, then (i) if the applicable conditions contained in Article V. would permit the making of Revolving Loans, the Borrower shall be deemed to have requested a borrowing of Revolving Loans (which shall be Base Rate Loans) in an amount equal to the unpaid Reimbursement Obligation and the Administrative Agent shall give each Lender prompt notice of the amount of the Revolving Loan to be made available to the Administrative Agent not later than 10:00 a.m. Pacific time and (ii) if such conditions would not permit the making of Revolving Loans, the provisions of subsection (j) of this Section shall apply. The limitations set forth in the second sentence of Section 2.1.(a) shall not apply to any borrowing of Base Rate Loans under this subsection.</w:t>
      </w:r>
    </w:p>
    <w:p>
      <w:pPr>
        <w:spacing w:after="0" w:line="74" w:lineRule="exact"/>
        <w:rPr>
          <w:rFonts w:ascii="Arial" w:cs="Arial" w:eastAsia="Arial" w:hAnsi="Arial"/>
          <w:sz w:val="17"/>
          <w:szCs w:val="17"/>
          <w:color w:val="auto"/>
        </w:rPr>
      </w:pPr>
    </w:p>
    <w:p>
      <w:pPr>
        <w:ind w:left="-444" w:right="20" w:firstLine="444"/>
        <w:spacing w:after="0" w:line="259" w:lineRule="auto"/>
        <w:tabs>
          <w:tab w:leader="none" w:pos="221"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Effect of Letters of Credit on Revolving Commitments</w:t>
      </w:r>
      <w:r>
        <w:rPr>
          <w:rFonts w:ascii="Arial" w:cs="Arial" w:eastAsia="Arial" w:hAnsi="Arial"/>
          <w:sz w:val="18"/>
          <w:szCs w:val="18"/>
          <w:color w:val="auto"/>
        </w:rPr>
        <w:t>. Upon the issuance by an Issuing Bank of a Letter of Credit and until such Letter of Credit shall have expired or been cancelled, the Revolving Commitment of each Lender shall be deemed to be utilized for all purposes of this Agreement in an amount equal to the product of (i) such Lender’s Revolving Commitment Percentage and (ii) the sum of (A) the Stated Amount of such Letter of Credit plus (B) any related Reimbursement Obligations then outstanding.</w:t>
      </w:r>
    </w:p>
    <w:p>
      <w:pPr>
        <w:spacing w:after="0" w:line="78" w:lineRule="exact"/>
        <w:rPr>
          <w:rFonts w:ascii="Arial" w:cs="Arial" w:eastAsia="Arial" w:hAnsi="Arial"/>
          <w:sz w:val="18"/>
          <w:szCs w:val="18"/>
          <w:color w:val="auto"/>
        </w:rPr>
      </w:pPr>
    </w:p>
    <w:p>
      <w:pPr>
        <w:ind w:left="-444" w:right="40" w:firstLine="444"/>
        <w:spacing w:after="0" w:line="290" w:lineRule="auto"/>
        <w:tabs>
          <w:tab w:leader="none" w:pos="251"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Issuing Banks’ Duties Regarding Letters of Credit; Unconditional Nature of Reimbursement Obligations</w:t>
      </w:r>
      <w:r>
        <w:rPr>
          <w:rFonts w:ascii="Arial" w:cs="Arial" w:eastAsia="Arial" w:hAnsi="Arial"/>
          <w:sz w:val="16"/>
          <w:szCs w:val="16"/>
          <w:color w:val="auto"/>
        </w:rPr>
        <w:t>. In examining documents presented in connection with drawings under Letters of Credit and making payments under Letters of Credit issued by an Issuing Bank against such documents, such Issuing Bank shall only be required to use the same standard of care as it uses in connection with examining documents presented in connection with drawings under letters of credit in which it has not sold participations and making payments under such letters of credit. The Borrower assumes all risks of the acts and omissions of, or misuse of the Letters of Credit by, the respective beneficiaries of such Letters of Credit. In furtherance and not in limitation of the foregoing, none of the Issuing Banks, the Administrative Agent or any of the Lenders shall be responsible for, and the Borrower’s obligations in respect of Letters of Credit shall not be affected in any manner by, (i) the form, validity, sufficiency, accuracy, genuineness or legal effects of any document submitted by any party in connection with the application for and issuance of or</w:t>
      </w:r>
    </w:p>
    <w:p>
      <w:pPr>
        <w:spacing w:after="0" w:line="98" w:lineRule="exact"/>
        <w:rPr>
          <w:rFonts w:ascii="Arial" w:cs="Arial" w:eastAsia="Arial" w:hAnsi="Arial"/>
          <w:sz w:val="16"/>
          <w:szCs w:val="16"/>
          <w:color w:val="auto"/>
        </w:rPr>
      </w:pPr>
    </w:p>
    <w:p>
      <w:pPr>
        <w:ind w:left="4976" w:hanging="101"/>
        <w:spacing w:after="0"/>
        <w:tabs>
          <w:tab w:leader="none" w:pos="4976" w:val="left"/>
        </w:tabs>
        <w:numPr>
          <w:ilvl w:val="1"/>
          <w:numId w:val="39"/>
        </w:numPr>
        <w:rPr>
          <w:rFonts w:ascii="Arial" w:cs="Arial" w:eastAsia="Arial" w:hAnsi="Arial"/>
          <w:sz w:val="18"/>
          <w:szCs w:val="18"/>
          <w:color w:val="auto"/>
        </w:rPr>
      </w:pPr>
      <w:r>
        <w:rPr>
          <w:rFonts w:ascii="Arial" w:cs="Arial" w:eastAsia="Arial" w:hAnsi="Arial"/>
          <w:sz w:val="18"/>
          <w:szCs w:val="18"/>
          <w:color w:val="auto"/>
        </w:rPr>
        <w:t>40 -</w:t>
      </w:r>
    </w:p>
    <w:p>
      <w:pPr>
        <w:sectPr>
          <w:pgSz w:w="11900" w:h="16838" w:orient="portrait"/>
          <w:cols w:equalWidth="0" w:num="1">
            <w:col w:w="10576"/>
          </w:cols>
          <w:pgMar w:left="884" w:top="274" w:right="439" w:bottom="1440" w:gutter="0" w:footer="0" w:header="0"/>
        </w:sectPr>
      </w:pPr>
    </w:p>
    <w:bookmarkStart w:id="49" w:name="page50"/>
    <w:bookmarkEnd w:id="4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drawing honored under any Letter of Credit even if such document should in fact prove to be in any or all respects invalid, insufficient, inaccurate, fraudulent or forged; (ii) the validity or sufficiency of any instrument transferring or assigning or purporting to transfer or assign any Letter of Credit, or the rights or benefits thereunder or proceeds thereof, in whole or in part, which may prove to be invalid or ineffective for any reason; (iii) failure of the beneficiary of any Letter of Credit to comply fully with conditions required in order to draw upon such Letter of Credit; (iv) errors, omissions, interruptions or delays in transmission or delivery of any messages, by mail, cable, facsimile, electronic mail, or otherwise, whether or not they be in cipher; (v) errors in interpretation of technical terms; (vi) any loss or delay in the transmission or otherwise of any document required in order to make a drawing under any Letter of Credit, or of the proceeds thereof; (vii) the misapplication by the beneficiary of any Letter of Credit, or of the proceeds of any drawing under any Letter of Credit; or (viii) any consequences arising from causes beyond the control of the Issuing Banks, the Administrative Agent or the Lenders. None of the above shall affect, impair or prevent the vesting of any Issuing Bank’s or Administrative Agent’s rights or powers hereunder. Any action taken or omitted to be taken by an Issuing Bank under or in connection with any Letter of Credit issued by such Issuing Bank, if taken or omitted in the absence of gross negligence or willful misconduct (as determined by a court of competent jurisdiction in a final, non-appealable judgment), shall not create against such Issuing Bank any liability to the Borrower, the Administrative Agent or any Lender. In this connection, the obligation of the Borrower to reimburse an Issuing Bank for any drawing made under any Letter of Credit issued by such Issuing Bank, and to repay any Revolving Loan made pursuant to the second sentence of the immediately preceding subsection (e), shall be absolute, unconditional and irrevocable and shall be paid strictly in accordance with the terms of this Agreement and any other applicable Letter of Credit Document under all circumstances whatsoever, including without limitation, the following circumstances: (A) any lack of validity or enforceability of any Letter of Credit Document or any term or provisions therein; (B) any amendment or waiver of or any consent to departure from all or any of the Letter of Credit Documents; (C) the existence of any claim, setoff, defense or other right which the Borrower may have at any time against such Issuing Bank, any other Issuing Bank, the Administrative Agent, any Lender, any beneficiary of a Letter of Credit or any other Person, whether in connection with this Agreement, the transactions contemplated hereby or in the Letter of Credit Documents or any unrelated transaction; (D) any breach of contract or dispute between the Borrower, such Issuing Bank, any other Issuing Bank, the Administrative Agent, any Lender or any other Person; (E) any demand, statement or any other document presented under a Letter of Credit proving to be forged, fraudulent, invalid or insufficient in any respect or any statement therein or made in connection therewith being untrue or inaccurate in any respect whatsoever; (F) any non-application or misapplication by the beneficiary of a Letter of Credit or of the proceeds of any drawing under such Letter of Credit; (G) payment by such Issuing Bank under any Letter of Credit against presentation of a draft or certificate which does not strictly comply with the terms of such Letter of Credit; and (H) any other act, omission to act, delay or circumstance whatsoever that might, but for the provisions of this Section, constitute a legal or equitable defense to or discharge of the Borrower’s Reimbursement Obligations. Notwithstanding anything to the contrary contained in this Section or Section 12.10., but not in limitation of the Borrower’s unconditional obligation to reimburse an Issuing Bank for any drawing made under a Letter of Credit as provided in this Section and to repay any Revolving Loan made pursuant to the second sentence of the immediately preceding subsection (e), the Borrower shall have no obligation to indemnify the Administrative Agent, an Issuing Bank or any Lender in respect of any liability incurred by the Administrative Agent, an Issuing Bank or such Lender arising solely out of the gross negligence or willful misconduct of the Administrative Agent, such Issuing Bank or such Lender in respect of a Letter of Credit as determined by a court of competent jurisdiction in a final, non-appealable judgment. Except as otherwise provided in this Section, nothing in this Section shall affect any rights the Borrower may have with respect to the gross negligence or willful misconduct of the Administrative Agent, an Issuing Bank or any Lender with respect to any Letter of Credit.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020"/>
          </w:cols>
          <w:pgMar w:left="440" w:top="274" w:right="439" w:bottom="1440" w:gutter="0" w:footer="0" w:header="0"/>
        </w:sectPr>
      </w:pPr>
    </w:p>
    <w:bookmarkStart w:id="50" w:name="page51"/>
    <w:bookmarkEnd w:id="50"/>
    <w:p>
      <w:pPr>
        <w:ind w:left="-444" w:firstLine="444"/>
        <w:spacing w:after="0" w:line="272" w:lineRule="auto"/>
        <w:tabs>
          <w:tab w:leader="none" w:pos="25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Amendments, Etc</w:t>
      </w:r>
      <w:r>
        <w:rPr>
          <w:rFonts w:ascii="Arial" w:cs="Arial" w:eastAsia="Arial" w:hAnsi="Arial"/>
          <w:sz w:val="17"/>
          <w:szCs w:val="17"/>
          <w:color w:val="auto"/>
        </w:rPr>
        <w:t>. The issuance by an Issuing Bank of any amendment, supplement or other modification to any Letter of Credit issued by such Issuing Bank shall be subject to the same conditions applicable under this Agreement to the issuance of new Letters of Credit (including, without limitation, that the request therefor be made through the applicable Issuing Bank and the Administrative Agent), and no such amendment, supplement or other modification shall be issued unless either (i) the respective Letter of Credit affected thereby would have complied with such conditions had it originally been issued hereunder in such amended, supplemented or modified form or (ii) the Administrative Agent and Requisite Lenders (or all of the Lenders if required by Section 12.7.) shall have consented thereto. In connection with any such amendment, supplement or other modification, the Borrower shall pay the fees, if any, payable under the last sentence of Section 3.5.(c).</w:t>
      </w:r>
    </w:p>
    <w:p>
      <w:pPr>
        <w:spacing w:after="0" w:line="69" w:lineRule="exact"/>
        <w:rPr>
          <w:rFonts w:ascii="Arial" w:cs="Arial" w:eastAsia="Arial" w:hAnsi="Arial"/>
          <w:sz w:val="17"/>
          <w:szCs w:val="17"/>
          <w:color w:val="auto"/>
        </w:rPr>
      </w:pPr>
    </w:p>
    <w:p>
      <w:pPr>
        <w:ind w:left="-444" w:right="60" w:firstLine="444"/>
        <w:spacing w:after="0" w:line="287" w:lineRule="auto"/>
        <w:tabs>
          <w:tab w:leader="none" w:pos="211"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Lenders’ Participation in Letters of Credit</w:t>
      </w:r>
      <w:r>
        <w:rPr>
          <w:rFonts w:ascii="Arial" w:cs="Arial" w:eastAsia="Arial" w:hAnsi="Arial"/>
          <w:sz w:val="16"/>
          <w:szCs w:val="16"/>
          <w:color w:val="auto"/>
        </w:rPr>
        <w:t>. Immediately upon (i) the Effective Date with respect to all Existing Letters of Credit and (ii) the date of issuance by an Issuing Bank of any Letter of Credit, each Lender shall be deemed to have absolutely, irrevocably and unconditionally purchased and received from the applicable Issuing Bank, without recourse or warranty, an undivided interest and participation to the extent of such Lender’s Revolving Commitment Percentage of the liability of such Issuing Bank with respect to such Letter of Credit and each Lender thereby shall absolutely, unconditionally and irrevocably assume, as primary obligor and not as surety, and shall be unconditionally obligated to such Issuing Bank to pay and discharge when due, such Lender’s Revolving Commitment Percentage of such Issuing Bank’s liability under such Letter of Credit. In addition, upon the making of each payment by a Lender to the Administrative Agent for the account of an Issuing Bank in respect of any Letter of Credit issued by it pursuant to the immediately following subsection (j), such Lender shall, automatically and without any further action on the part of such Issuing Bank, Administrative Agent or such Lender, acquire (i) a participation in an amount equal to such payment in the Reimbursement Obligation owing to such Issuing Bank by the Borrower in respect of such Letter of Credit and (ii) a participation in a percentage equal to such Lender’s Revolving Commitment Percentage in any interest or other amounts payable by the Borrower in respect of such Reimbursement Obligation (other than the Fees payable to such Issuing Bank pursuant to the second and the last sentences of Section 3.5.(c)).</w:t>
      </w:r>
    </w:p>
    <w:p>
      <w:pPr>
        <w:spacing w:after="0" w:line="60" w:lineRule="exact"/>
        <w:rPr>
          <w:rFonts w:ascii="Arial" w:cs="Arial" w:eastAsia="Arial" w:hAnsi="Arial"/>
          <w:sz w:val="16"/>
          <w:szCs w:val="16"/>
          <w:color w:val="auto"/>
        </w:rPr>
      </w:pPr>
    </w:p>
    <w:p>
      <w:pPr>
        <w:ind w:left="-444" w:right="20" w:firstLine="444"/>
        <w:spacing w:after="0" w:line="268" w:lineRule="auto"/>
        <w:tabs>
          <w:tab w:leader="none" w:pos="211" w:val="left"/>
        </w:tabs>
        <w:numPr>
          <w:ilvl w:val="0"/>
          <w:numId w:val="40"/>
        </w:numPr>
        <w:rPr>
          <w:rFonts w:ascii="Arial" w:cs="Arial" w:eastAsia="Arial" w:hAnsi="Arial"/>
          <w:sz w:val="17"/>
          <w:szCs w:val="17"/>
          <w:color w:val="auto"/>
        </w:rPr>
      </w:pPr>
      <w:r>
        <w:rPr>
          <w:rFonts w:ascii="Arial" w:cs="Arial" w:eastAsia="Arial" w:hAnsi="Arial"/>
          <w:sz w:val="17"/>
          <w:szCs w:val="17"/>
          <w:u w:val="single" w:color="auto"/>
          <w:color w:val="auto"/>
        </w:rPr>
        <w:t>Payment Obligation of Lenders</w:t>
      </w:r>
      <w:r>
        <w:rPr>
          <w:rFonts w:ascii="Arial" w:cs="Arial" w:eastAsia="Arial" w:hAnsi="Arial"/>
          <w:sz w:val="17"/>
          <w:szCs w:val="17"/>
          <w:color w:val="auto"/>
        </w:rPr>
        <w:t>. Each Lender severally agrees to pay to the Administrative Agent, for the account of each Issuing Bank, on demand in immediately available funds in Dollars the amount of such Lender’s Revolving Commitment Percentage of each drawing paid by such Issuing Bank under each Letter of Credit issued by it to the extent such amount is not reimbursed by the Borrower pursuant to the immediately preceding subsection (d); provided, however, that with respect to any drawing under any Letter of Credit, the maximum amount that any Lender shall be required to fund, whether as a Revolving Loan or as a participation, shall not exceed such Lender’s Revolving Commitment Percentage of such drawing except as otherwise provided in Section 3.9.(d). If the notice referenced in the second sentence of Section 2.3.(e) is received by a Lender not later than 9:00 a.m. Pacific time, then such Lender shall make such payment available to the Administrative Agent not later than 12:00 p.m. Pacific time on the date of demand therefor; otherwise, such payment shall be made available to the Administrative Agent not later than 11:00 a.m. Pacific time on the next succeeding Business Day. Each Lender’s obligation to make such payments to the Administrative Agent under this subsection, and the Administrative Agent’s right to receive the same for the account of the applicable Issuing Bank, shall be absolute, irrevocable and unconditional and shall not be affected in any way by any circumstance whatsoever, including without limitation, (i) the failure of any other Lender to make its payment under this subsection, (ii) the financial condition of the Borrower or any other Loan Party, (iii) the existence of any Default or Event of Default, including any Event of Default described in Section 10.1.(e) or (f), (iv) the termination of the Revolving Commitments or (v) the delivery of Cash Collateral in respect of any Extended Letter of Credit. Each such payment to the Administrative Agent for the account of an Issuing Bank shall be made without any offset, abatement, withholding or deduction whatsoever.</w:t>
      </w:r>
    </w:p>
    <w:p>
      <w:pPr>
        <w:spacing w:after="0" w:line="115" w:lineRule="exact"/>
        <w:rPr>
          <w:rFonts w:ascii="Arial" w:cs="Arial" w:eastAsia="Arial" w:hAnsi="Arial"/>
          <w:sz w:val="17"/>
          <w:szCs w:val="17"/>
          <w:color w:val="auto"/>
        </w:rPr>
      </w:pPr>
    </w:p>
    <w:p>
      <w:pPr>
        <w:ind w:left="4976" w:hanging="101"/>
        <w:spacing w:after="0"/>
        <w:tabs>
          <w:tab w:leader="none" w:pos="4976" w:val="left"/>
        </w:tabs>
        <w:numPr>
          <w:ilvl w:val="1"/>
          <w:numId w:val="40"/>
        </w:numPr>
        <w:rPr>
          <w:rFonts w:ascii="Arial" w:cs="Arial" w:eastAsia="Arial" w:hAnsi="Arial"/>
          <w:sz w:val="18"/>
          <w:szCs w:val="18"/>
          <w:color w:val="auto"/>
        </w:rPr>
      </w:pPr>
      <w:r>
        <w:rPr>
          <w:rFonts w:ascii="Arial" w:cs="Arial" w:eastAsia="Arial" w:hAnsi="Arial"/>
          <w:sz w:val="18"/>
          <w:szCs w:val="18"/>
          <w:color w:val="auto"/>
        </w:rPr>
        <w:t>42 -</w:t>
      </w:r>
    </w:p>
    <w:p>
      <w:pPr>
        <w:sectPr>
          <w:pgSz w:w="11900" w:h="16838" w:orient="portrait"/>
          <w:cols w:equalWidth="0" w:num="1">
            <w:col w:w="10556"/>
          </w:cols>
          <w:pgMar w:left="884" w:top="274" w:right="459" w:bottom="1440" w:gutter="0" w:footer="0" w:header="0"/>
        </w:sectPr>
      </w:pPr>
    </w:p>
    <w:bookmarkStart w:id="51" w:name="page52"/>
    <w:bookmarkEnd w:id="51"/>
    <w:p>
      <w:pPr>
        <w:ind w:right="40" w:firstLine="444"/>
        <w:spacing w:after="0" w:line="272" w:lineRule="auto"/>
        <w:tabs>
          <w:tab w:leader="none" w:pos="695" w:val="left"/>
        </w:tabs>
        <w:numPr>
          <w:ilvl w:val="0"/>
          <w:numId w:val="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Information to Lenders</w:t>
      </w:r>
      <w:r>
        <w:rPr>
          <w:rFonts w:ascii="Arial" w:cs="Arial" w:eastAsia="Arial" w:hAnsi="Arial"/>
          <w:sz w:val="17"/>
          <w:szCs w:val="17"/>
          <w:color w:val="auto"/>
        </w:rPr>
        <w:t>. Promptly following any change in Letters of Credit outstanding, the applicable Issuing Bank shall deliver to the Administrative Agent, who shall promptly deliver the same to each Lender and the Borrower, a notice describing the aggregate amount of all Letters of Credit issued by such Issuing Bank outstanding at such time. Upon the request of any Lender from time to time, an Issuing Bank shall deliver any other information reasonably requested by such Lender with respect to such Letter of Credit then outstanding. Other than as set forth in this subsection, the Issuing Banks and the Administrative Agent shall have no duty to notify the Lenders regarding the issuance or other matters regarding Letters of Credit issued hereunder. The failure of any Issuing Bank or the Administrative Agent to perform its requirements under this subsection shall not relieve any Lender from its obligations under the immediately preceding subsection (j).</w:t>
      </w:r>
    </w:p>
    <w:p>
      <w:pPr>
        <w:spacing w:after="0" w:line="69" w:lineRule="exact"/>
        <w:rPr>
          <w:rFonts w:ascii="Arial" w:cs="Arial" w:eastAsia="Arial" w:hAnsi="Arial"/>
          <w:sz w:val="17"/>
          <w:szCs w:val="17"/>
          <w:color w:val="auto"/>
        </w:rPr>
      </w:pPr>
    </w:p>
    <w:p>
      <w:pPr>
        <w:ind w:right="300" w:firstLine="444"/>
        <w:spacing w:after="0" w:line="264" w:lineRule="auto"/>
        <w:tabs>
          <w:tab w:leader="none" w:pos="65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Existing Letters of Credit</w:t>
      </w:r>
      <w:r>
        <w:rPr>
          <w:rFonts w:ascii="Arial" w:cs="Arial" w:eastAsia="Arial" w:hAnsi="Arial"/>
          <w:sz w:val="18"/>
          <w:szCs w:val="18"/>
          <w:color w:val="auto"/>
        </w:rPr>
        <w:t>. The parties agree that each Existing Letter of Credit shall, from and after the Effective Date, be deemed to be a Letter of Credit issued under this Agreement and shall be subject to and governed by the terms and conditions of this Agreement and the other Loan Documents.</w:t>
      </w:r>
    </w:p>
    <w:p>
      <w:pPr>
        <w:spacing w:after="0" w:line="73" w:lineRule="exact"/>
        <w:rPr>
          <w:rFonts w:ascii="Arial" w:cs="Arial" w:eastAsia="Arial" w:hAnsi="Arial"/>
          <w:sz w:val="18"/>
          <w:szCs w:val="18"/>
          <w:color w:val="auto"/>
        </w:rPr>
      </w:pPr>
    </w:p>
    <w:p>
      <w:pPr>
        <w:ind w:firstLine="444"/>
        <w:spacing w:after="0" w:line="259" w:lineRule="auto"/>
        <w:tabs>
          <w:tab w:leader="none" w:pos="745"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Extended Letters of Credit</w:t>
      </w:r>
      <w:r>
        <w:rPr>
          <w:rFonts w:ascii="Arial" w:cs="Arial" w:eastAsia="Arial" w:hAnsi="Arial"/>
          <w:sz w:val="18"/>
          <w:szCs w:val="18"/>
          <w:color w:val="auto"/>
        </w:rPr>
        <w:t>. Each Lender confirms that its obligations under the immediately preceding subsections (i) and (j) shall be reinstated in full and apply if the delivery of any Cash Collateral in respect of an Extended Letter of Credit is subsequently invalidated, declared to be fraudulent or preferential, set aside or required to be repaid to a trustee, receiver or any other party, in connection with any proceeding under any Debtor Relief Law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2.4. Swingline Loans.</w:t>
      </w:r>
    </w:p>
    <w:p>
      <w:pPr>
        <w:spacing w:after="0" w:line="121" w:lineRule="exact"/>
        <w:rPr>
          <w:sz w:val="20"/>
          <w:szCs w:val="20"/>
          <w:color w:val="auto"/>
        </w:rPr>
      </w:pPr>
    </w:p>
    <w:p>
      <w:pPr>
        <w:ind w:right="60" w:firstLine="444"/>
        <w:spacing w:after="0" w:line="253"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Subject to the terms and conditions hereof, including without limitation Section 2.15., the Swingline Lender agrees to make Swingline Loans to the Borrower, during the period from the Effective Date to but excluding the Swingline Maturity Date, in an aggregate principal amount at any one time outstanding up to, but not exceeding, the lesser (such lesser amount being referred to as the “Swingline Availability”) of (i) $50,000,000, as such amount may be reduced from time to time in accordance with the terms hereof and (ii) the Revolving Commitment of the Swingline Lender in its capacity as a Lender minus the aggregate outstanding principal amount of the Revolving Loans owing to the Swingline Lender in its capacity as a Lender. If at any time the aggregate principal amount of the Swingline Loans outstanding at such time exceeds the Swingline Availability at such time, the Borrower shall immediately pay the Administrative Agent for the account of the Swingline Lender the amount of such excess. Subject to the terms and conditions of this Agreement, the Borrower may borrow, repay and reborrow Swingline Loans hereunder. The borrowing of a Swingline Loan shall not constitute usage of any Lender’s Revolving Commitment for purposes of calculation of the fee payable under Section 3.5.(b).</w:t>
      </w:r>
    </w:p>
    <w:p>
      <w:pPr>
        <w:spacing w:after="0" w:line="86" w:lineRule="exact"/>
        <w:rPr>
          <w:rFonts w:ascii="Arial" w:cs="Arial" w:eastAsia="Arial" w:hAnsi="Arial"/>
          <w:sz w:val="18"/>
          <w:szCs w:val="18"/>
          <w:color w:val="auto"/>
        </w:rPr>
      </w:pPr>
    </w:p>
    <w:p>
      <w:pPr>
        <w:ind w:right="60" w:firstLine="444"/>
        <w:spacing w:after="0" w:line="271" w:lineRule="auto"/>
        <w:tabs>
          <w:tab w:leader="none" w:pos="695"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Procedure for Borrowing Swingline Loans</w:t>
      </w:r>
      <w:r>
        <w:rPr>
          <w:rFonts w:ascii="Arial" w:cs="Arial" w:eastAsia="Arial" w:hAnsi="Arial"/>
          <w:sz w:val="17"/>
          <w:szCs w:val="17"/>
          <w:color w:val="auto"/>
        </w:rPr>
        <w:t>. The Borrower shall give the Administrative Agent and the Swingline Lender notice pursuant to a Notice of Swingline Borrowing or telephonic notice of each borrowing of a Swingline Loan. Each Notice of Swingline Borrowing shall be delivered to the Swingline Lender no later than 11:00 a.m. Pacific time on the proposed date of such borrowing. Any telephonic notice shall include all information to be specified in a written Notice of Swingline Borrowing and shall be promptly confirmed in writing by the Borrower pursuant to a Notice of Swingline Borrowing sent to the Swingline Lender by electronic mail on the same day of the giving of such telephonic notice. Not later than 1:00 p.m. Pacific time on the date of the requested Swingline Loan and subject to satisfaction of the applicable conditions set forth in Article 5.2. for such borrowing, the Swingline Lender will make the proceeds of such Swingline Loan available to the Borrower in Dollars, in immediately available funds, at the account specified by the Borrower in the Notice of Swingline Borrowing.</w:t>
      </w:r>
    </w:p>
    <w:p>
      <w:pPr>
        <w:spacing w:after="0" w:line="70" w:lineRule="exact"/>
        <w:rPr>
          <w:rFonts w:ascii="Arial" w:cs="Arial" w:eastAsia="Arial" w:hAnsi="Arial"/>
          <w:sz w:val="17"/>
          <w:szCs w:val="17"/>
          <w:color w:val="auto"/>
        </w:rPr>
      </w:pPr>
    </w:p>
    <w:p>
      <w:pPr>
        <w:ind w:right="60" w:firstLine="444"/>
        <w:spacing w:after="0" w:line="264" w:lineRule="auto"/>
        <w:tabs>
          <w:tab w:leader="none" w:pos="68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Swingline Loans shall bear interest at a per annum rate equal to the Base Rate as in effect from time to time plus the Applicable Margin for Base Rate Loans or at such other rate or rates as the Borrower and the Swingline Lender may agree from time to time in writing. Interest on Swingline Loans is solely for the account of the Swingline Lender (except to the extent a Lender acquires a</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42"/>
        </w:numPr>
        <w:rPr>
          <w:rFonts w:ascii="Arial" w:cs="Arial" w:eastAsia="Arial" w:hAnsi="Arial"/>
          <w:sz w:val="18"/>
          <w:szCs w:val="18"/>
          <w:color w:val="auto"/>
        </w:rPr>
      </w:pPr>
      <w:r>
        <w:rPr>
          <w:rFonts w:ascii="Arial" w:cs="Arial" w:eastAsia="Arial" w:hAnsi="Arial"/>
          <w:sz w:val="18"/>
          <w:szCs w:val="18"/>
          <w:color w:val="auto"/>
        </w:rPr>
        <w:t>43 -</w:t>
      </w:r>
    </w:p>
    <w:p>
      <w:pPr>
        <w:sectPr>
          <w:pgSz w:w="11900" w:h="16838" w:orient="portrait"/>
          <w:cols w:equalWidth="0" w:num="1">
            <w:col w:w="10960"/>
          </w:cols>
          <w:pgMar w:left="440" w:top="274" w:right="499" w:bottom="1440" w:gutter="0" w:footer="0" w:header="0"/>
        </w:sectPr>
      </w:pPr>
    </w:p>
    <w:bookmarkStart w:id="52" w:name="page53"/>
    <w:bookmarkEnd w:id="52"/>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participating interest in a Swingline Loan pursuant to the immediately following subsection (e)). All accrued and unpaid interest on Swingline Loans shall be payable on the dates and in the manner provided in Section 2.5. with respect to interest on Base Rate Loans (except as the Swingline Lender and the Borrower may otherwise agree in writing in connection with any particular Swingline Loan).</w:t>
      </w:r>
    </w:p>
    <w:p>
      <w:pPr>
        <w:spacing w:after="0" w:line="73" w:lineRule="exact"/>
        <w:rPr>
          <w:sz w:val="20"/>
          <w:szCs w:val="20"/>
          <w:color w:val="auto"/>
        </w:rPr>
      </w:pPr>
    </w:p>
    <w:p>
      <w:pPr>
        <w:ind w:right="100" w:firstLine="444"/>
        <w:spacing w:after="0" w:line="273" w:lineRule="auto"/>
        <w:tabs>
          <w:tab w:leader="none" w:pos="695" w:val="left"/>
        </w:tabs>
        <w:numPr>
          <w:ilvl w:val="1"/>
          <w:numId w:val="43"/>
        </w:numPr>
        <w:rPr>
          <w:rFonts w:ascii="Arial" w:cs="Arial" w:eastAsia="Arial" w:hAnsi="Arial"/>
          <w:sz w:val="17"/>
          <w:szCs w:val="17"/>
          <w:color w:val="auto"/>
        </w:rPr>
      </w:pPr>
      <w:r>
        <w:rPr>
          <w:rFonts w:ascii="Arial" w:cs="Arial" w:eastAsia="Arial" w:hAnsi="Arial"/>
          <w:sz w:val="17"/>
          <w:szCs w:val="17"/>
          <w:u w:val="single" w:color="auto"/>
          <w:color w:val="auto"/>
        </w:rPr>
        <w:t>Swingline Loan Amounts, Etc</w:t>
      </w:r>
      <w:r>
        <w:rPr>
          <w:rFonts w:ascii="Arial" w:cs="Arial" w:eastAsia="Arial" w:hAnsi="Arial"/>
          <w:sz w:val="17"/>
          <w:szCs w:val="17"/>
          <w:color w:val="auto"/>
        </w:rPr>
        <w:t>. Each Swingline Loan shall be in the minimum amount of $50,000 and integral multiples of $50,000 in excess thereof, or such other minimum amounts agreed to by the Swingline Lender and the Borrower. Any voluntary prepayment of a Swingline Loan must be in integral multiples of $50,000 or the aggregate principal amount of all outstanding Swingline Loans (or such other minimum amounts upon which the Swingline Lender and the Borrower may agree) and in connection with any such prepayment, the Borrower must give the Swingline Lender and the Administrative Agent prior written notice thereof no later than 10:00 a.m. Pacific time on the day prior to the date of such prepayment. The Swingline Loans shall, in addition to this Agreement, be evidenced by the Swingline Note.</w:t>
      </w:r>
    </w:p>
    <w:p>
      <w:pPr>
        <w:spacing w:after="0" w:line="70" w:lineRule="exact"/>
        <w:rPr>
          <w:rFonts w:ascii="Arial" w:cs="Arial" w:eastAsia="Arial" w:hAnsi="Arial"/>
          <w:sz w:val="17"/>
          <w:szCs w:val="17"/>
          <w:color w:val="auto"/>
        </w:rPr>
      </w:pPr>
    </w:p>
    <w:p>
      <w:pPr>
        <w:ind w:firstLine="444"/>
        <w:spacing w:after="0" w:line="282" w:lineRule="auto"/>
        <w:tabs>
          <w:tab w:leader="none" w:pos="685" w:val="left"/>
        </w:tabs>
        <w:numPr>
          <w:ilvl w:val="1"/>
          <w:numId w:val="43"/>
        </w:numPr>
        <w:rPr>
          <w:rFonts w:ascii="Arial" w:cs="Arial" w:eastAsia="Arial" w:hAnsi="Arial"/>
          <w:sz w:val="16"/>
          <w:szCs w:val="16"/>
          <w:color w:val="auto"/>
        </w:rPr>
      </w:pPr>
      <w:r>
        <w:rPr>
          <w:rFonts w:ascii="Arial" w:cs="Arial" w:eastAsia="Arial" w:hAnsi="Arial"/>
          <w:sz w:val="16"/>
          <w:szCs w:val="16"/>
          <w:u w:val="single" w:color="auto"/>
          <w:color w:val="auto"/>
        </w:rPr>
        <w:t>Repayment and Participations of Swingline Loans</w:t>
      </w:r>
      <w:r>
        <w:rPr>
          <w:rFonts w:ascii="Arial" w:cs="Arial" w:eastAsia="Arial" w:hAnsi="Arial"/>
          <w:sz w:val="16"/>
          <w:szCs w:val="16"/>
          <w:color w:val="auto"/>
        </w:rPr>
        <w:t>. The Borrower agrees to repay each Swingline Loan within one Business Day of demand therefor by the Swingline Lender and, in any event, within five (5) Business Days after the date such Swingline Loan was made; provided, that the proceeds of a Swingline Loan may not be used to pay a Swingline Loan. Notwithstanding the foregoing, the Borrower shall repay the entire outstanding principal amount of, and all accrued but unpaid interest on, the Swingline Loans on the Swingline Maturity Date (or such earlier date as the Swingline Lender and the Borrower may agree in writing). In lieu of demanding repayment of any outstanding Swingline Loan from the Borrower, the Swingline Lender may, on behalf of the Borrower (which hereby irrevocably directs the Swingline Lender to act on its behalf), request a borrowing of Revolving Loans that are Base Rate Loans from the Lenders in an amount equal to the principal balance of such Swingline Loan. The amount limitations contained in the second sentence of Section 2.1.(a) shall not apply to any borrowing of such Revolving Loans made pursuant to this subsection. The Swingline Lender shall give notice to the Administrative Agent of any such borrowing of Revolving Loans not later than 9:00 a.m. Pacific time at least one Business Day prior to the proposed date of such borrowing. Promptly after receipt of such notice of borrowing of Revolving Loans from the Swingline Lender under the immediately preceding sentence, the Administrative Agent shall notify each Lender of the proposed borrowing. Not later than 9:00 a.m. Pacific time on the proposed date of such borrowing, each Lender will make available to the Administrative Agent at the Principal Office for the account of the Swingline Lender, in immediately available funds, the proceeds of the Revolving Loan to be made by such Lender. The Administrative Agent shall pay the proceeds of such Revolving Loans to the Swingline Lender, which shall apply such proceeds to repay such Swingline Loan. If the Lenders are prohibited from making Revolving Loans required to be made under this subsection for any reason whatsoever, including without limitation, the occurrence of any of the Defaults or Events of Default described in Sections 10.1.(e) or (f)), each Lender shall purchase from the Swingline Lender, without recourse or warranty, an undivided interest and participation to the extent of such Lender’s Revolving Commitment Percentage of such Swingline Loan, by directly purchasing a participation in such Swingline Loan in such amount and paying the proceeds thereof to the Administrative Agent for the account of the Swingline Lender in Dollars and in immediately available funds. A Lender’s obligation to purchase such a participation in a Swingline Loan shall be absolute and unconditional and shall not be affected by any circumstance whatsoever, including without limitation, (i) any claim of setoff, counterclaim, recoupment, defense or other right which such Lender or any other Person may have or claim against the Administrative Agent, the Swingline Lender or any other Person whatsoever, (ii) the occurrence or continuation of a Default or Event of Default (including without limitation, any of the Defaults or Events of Default described in Sections 10.1. (e) or (f)), or the termination of any Lender’s Revolving Commitment,</w:t>
      </w:r>
    </w:p>
    <w:p>
      <w:pPr>
        <w:spacing w:after="0" w:line="12" w:lineRule="exact"/>
        <w:rPr>
          <w:rFonts w:ascii="Arial" w:cs="Arial" w:eastAsia="Arial" w:hAnsi="Arial"/>
          <w:sz w:val="16"/>
          <w:szCs w:val="16"/>
          <w:color w:val="auto"/>
        </w:rPr>
      </w:pPr>
    </w:p>
    <w:p>
      <w:pPr>
        <w:ind w:right="300" w:firstLine="4"/>
        <w:spacing w:after="0" w:line="277" w:lineRule="auto"/>
        <w:tabs>
          <w:tab w:leader="none" w:pos="315"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existence (or alleged existence) of an event or condition which has had or could have a Material Adverse Effect, (iv) any breach of any Loan Document by the Administrative Agent, any Lender, the Borrower or any other Loan Party, or (v) any other circumstance, happening or event whatsoever, whether or not similar to any of the foregoing. If such amount is not in fact made available to the Swingline</w:t>
      </w:r>
    </w:p>
    <w:p>
      <w:pPr>
        <w:spacing w:after="0" w:line="105" w:lineRule="exact"/>
        <w:rPr>
          <w:rFonts w:ascii="Arial" w:cs="Arial" w:eastAsia="Arial" w:hAnsi="Arial"/>
          <w:sz w:val="17"/>
          <w:szCs w:val="17"/>
          <w:color w:val="auto"/>
        </w:rPr>
      </w:pPr>
    </w:p>
    <w:p>
      <w:pPr>
        <w:ind w:left="5420" w:hanging="101"/>
        <w:spacing w:after="0"/>
        <w:tabs>
          <w:tab w:leader="none" w:pos="5420" w:val="left"/>
        </w:tabs>
        <w:numPr>
          <w:ilvl w:val="2"/>
          <w:numId w:val="44"/>
        </w:numPr>
        <w:rPr>
          <w:rFonts w:ascii="Arial" w:cs="Arial" w:eastAsia="Arial" w:hAnsi="Arial"/>
          <w:sz w:val="18"/>
          <w:szCs w:val="18"/>
          <w:color w:val="auto"/>
        </w:rPr>
      </w:pPr>
      <w:r>
        <w:rPr>
          <w:rFonts w:ascii="Arial" w:cs="Arial" w:eastAsia="Arial" w:hAnsi="Arial"/>
          <w:sz w:val="18"/>
          <w:szCs w:val="18"/>
          <w:color w:val="auto"/>
        </w:rPr>
        <w:t>44 -</w:t>
      </w:r>
    </w:p>
    <w:p>
      <w:pPr>
        <w:sectPr>
          <w:pgSz w:w="11900" w:h="16838" w:orient="portrait"/>
          <w:cols w:equalWidth="0" w:num="1">
            <w:col w:w="11020"/>
          </w:cols>
          <w:pgMar w:left="440" w:top="274" w:right="439" w:bottom="1440" w:gutter="0" w:footer="0" w:header="0"/>
        </w:sectPr>
      </w:pPr>
    </w:p>
    <w:bookmarkStart w:id="53" w:name="page54"/>
    <w:bookmarkEnd w:id="53"/>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 by any Lender, the Swingline Lender shall be entitled to recover such amount on demand from such Lender, together with accrued interest thereon for each day from the date of demand thereof, at the Federal Funds Rate. If such Lender does not pay such amount forthwith upon the Swingline Lender’s demand therefor, and until such time as such Lender makes the required payment, the Swingline Lender shall be deemed to continue to have outstanding Swingline Loans in the amount of such unpaid participation obligation for all purposes of the Loan Documents (other than those provisions requiring the other Lenders to purchase a participation therein). Further, such Lender shall be deemed to have assigned any and all payments made of principal and interest on its Revolving Loans, and any other amounts due it hereunder, to the Swingline Lender to fund Swingline Loans in the amount of the participation in Swingline Loans that such Lender failed to purchase pursuant to this Section until such amount has been purchased (as a result of such assignment or otherwise).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2.5. Rates and Payment of Interest on Loans.</w:t>
      </w:r>
    </w:p>
    <w:p>
      <w:pPr>
        <w:spacing w:after="0" w:line="121" w:lineRule="exact"/>
        <w:rPr>
          <w:sz w:val="20"/>
          <w:szCs w:val="20"/>
          <w:color w:val="auto"/>
        </w:rPr>
      </w:pPr>
    </w:p>
    <w:p>
      <w:pPr>
        <w:ind w:right="200" w:firstLine="4"/>
        <w:spacing w:after="0" w:line="264" w:lineRule="auto"/>
        <w:tabs>
          <w:tab w:leader="none" w:pos="24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Rates</w:t>
      </w:r>
      <w:r>
        <w:rPr>
          <w:rFonts w:ascii="Arial" w:cs="Arial" w:eastAsia="Arial" w:hAnsi="Arial"/>
          <w:sz w:val="18"/>
          <w:szCs w:val="18"/>
          <w:color w:val="auto"/>
        </w:rPr>
        <w:t>. The Borrower promises to pay to the Administrative Agent for the account of each Lender interest on the unpaid principal amount of each Loan made by such Lender for the period from and including the date of the making of such Loan to but excluding the date such Loan shall be paid in full, at the following per annum rates:</w:t>
      </w:r>
    </w:p>
    <w:p>
      <w:pPr>
        <w:spacing w:after="0" w:line="73" w:lineRule="exact"/>
        <w:rPr>
          <w:rFonts w:ascii="Arial" w:cs="Arial" w:eastAsia="Arial" w:hAnsi="Arial"/>
          <w:sz w:val="18"/>
          <w:szCs w:val="18"/>
          <w:color w:val="auto"/>
        </w:rPr>
      </w:pPr>
    </w:p>
    <w:p>
      <w:pPr>
        <w:ind w:left="440" w:right="220" w:firstLine="428"/>
        <w:spacing w:after="0" w:line="277" w:lineRule="auto"/>
        <w:tabs>
          <w:tab w:leader="none" w:pos="10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during such periods as such Loan is a Base Rate Loan, at the Base Rate (as in effect from time to time), plus the Applicable Margin for Base Rate Loans;</w:t>
      </w:r>
    </w:p>
    <w:p>
      <w:pPr>
        <w:spacing w:after="0" w:line="62" w:lineRule="exact"/>
        <w:rPr>
          <w:rFonts w:ascii="Arial" w:cs="Arial" w:eastAsia="Arial" w:hAnsi="Arial"/>
          <w:sz w:val="18"/>
          <w:szCs w:val="18"/>
          <w:color w:val="auto"/>
        </w:rPr>
      </w:pPr>
    </w:p>
    <w:p>
      <w:pPr>
        <w:ind w:left="440" w:right="40" w:firstLine="428"/>
        <w:spacing w:after="0" w:line="277" w:lineRule="auto"/>
        <w:tabs>
          <w:tab w:leader="none" w:pos="1128" w:val="left"/>
        </w:tabs>
        <w:numPr>
          <w:ilvl w:val="1"/>
          <w:numId w:val="45"/>
        </w:numPr>
        <w:rPr>
          <w:rFonts w:ascii="Arial" w:cs="Arial" w:eastAsia="Arial" w:hAnsi="Arial"/>
          <w:sz w:val="18"/>
          <w:szCs w:val="18"/>
          <w:color w:val="auto"/>
        </w:rPr>
      </w:pPr>
      <w:r>
        <w:rPr>
          <w:rFonts w:ascii="Arial" w:cs="Arial" w:eastAsia="Arial" w:hAnsi="Arial"/>
          <w:sz w:val="18"/>
          <w:szCs w:val="18"/>
          <w:color w:val="auto"/>
        </w:rPr>
        <w:t>during such periods as such Loan is a LIBOR Loan, at LIBOR for such Loan for the Interest Period therefor, plus the Applicable Margin for LIBOR Loans;</w:t>
      </w:r>
    </w:p>
    <w:p>
      <w:pPr>
        <w:spacing w:after="0" w:line="62" w:lineRule="exact"/>
        <w:rPr>
          <w:rFonts w:ascii="Arial" w:cs="Arial" w:eastAsia="Arial" w:hAnsi="Arial"/>
          <w:sz w:val="18"/>
          <w:szCs w:val="18"/>
          <w:color w:val="auto"/>
        </w:rPr>
      </w:pPr>
    </w:p>
    <w:p>
      <w:pPr>
        <w:ind w:left="440" w:right="60" w:firstLine="428"/>
        <w:spacing w:after="0" w:line="277" w:lineRule="auto"/>
        <w:tabs>
          <w:tab w:leader="none" w:pos="117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such Loan is an Absolute Rate Loan, at the Absolute Rate for such Loan for the Interest Period therefor quoted by the Lender making such Loan in accordance with Section 2.2.; and</w:t>
      </w:r>
    </w:p>
    <w:p>
      <w:pPr>
        <w:spacing w:after="0" w:line="62" w:lineRule="exact"/>
        <w:rPr>
          <w:rFonts w:ascii="Arial" w:cs="Arial" w:eastAsia="Arial" w:hAnsi="Arial"/>
          <w:sz w:val="18"/>
          <w:szCs w:val="18"/>
          <w:color w:val="auto"/>
        </w:rPr>
      </w:pPr>
    </w:p>
    <w:p>
      <w:pPr>
        <w:ind w:left="440" w:right="200" w:firstLine="428"/>
        <w:spacing w:after="0" w:line="277" w:lineRule="auto"/>
        <w:tabs>
          <w:tab w:leader="none" w:pos="1168"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such Loan is a LIBOR Margin Loan, at LIBOR for such Loan for the Interest Period therefor plus the LIBOR Margin quoted by the Lender making such Loan in accordance with Section 2.2.</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Notwithstanding the foregoing, while an Event of Default exists, the Borrower shall pay to the Administrative Agent for the account of each Lender and the Issuing Bank, as the case may be, interest at the Post-Default Rate on the outstanding principal amount of any Loan made by such Lender, on all Reimbursement Obligations and on any other amount payable by the Borrower hereunder or under the Notes held by such Lender to or for the account of such Lender (including without limitation, accrued but unpaid interest to the extent permitted under Applicable Law).</w:t>
      </w:r>
    </w:p>
    <w:p>
      <w:pPr>
        <w:spacing w:after="0" w:line="63" w:lineRule="exact"/>
        <w:rPr>
          <w:sz w:val="20"/>
          <w:szCs w:val="20"/>
          <w:color w:val="auto"/>
        </w:rPr>
      </w:pPr>
    </w:p>
    <w:p>
      <w:pPr>
        <w:ind w:right="140" w:firstLine="444"/>
        <w:spacing w:after="0" w:line="255" w:lineRule="auto"/>
        <w:tabs>
          <w:tab w:leader="none" w:pos="695"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Payment of Interest</w:t>
      </w:r>
      <w:r>
        <w:rPr>
          <w:rFonts w:ascii="Arial" w:cs="Arial" w:eastAsia="Arial" w:hAnsi="Arial"/>
          <w:sz w:val="18"/>
          <w:szCs w:val="18"/>
          <w:color w:val="auto"/>
        </w:rPr>
        <w:t>. All accrued and unpaid interest on the outstanding principal amount of each Loan shall be payable (i) monthly in arrears on the first day of each month, commencing with the first full calendar month occurring after the Effective Date and (ii) on any date on which the principal balance of such Loan is due and payable in full (whether at maturity, due to acceleration or otherwise). Interest payable at the Post-Default Rate shall be payable from time to time on demand. Promptly after the determination of any interest rate provided for herein or any change therein, the Administrative Agent shall give notice thereof to the Lenders to which such interest is payable and to the Borrower. All determinations by the Administrative Agent of an interest rate hereunder shall be conclusive and binding on the Lenders and the Borrower for all purposes, absent manifest error.</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45 -</w:t>
      </w:r>
    </w:p>
    <w:p>
      <w:pPr>
        <w:sectPr>
          <w:pgSz w:w="11900" w:h="16838" w:orient="portrait"/>
          <w:cols w:equalWidth="0" w:num="1">
            <w:col w:w="11000"/>
          </w:cols>
          <w:pgMar w:left="440" w:top="274" w:right="459" w:bottom="1440" w:gutter="0" w:footer="0" w:header="0"/>
        </w:sectPr>
      </w:pPr>
    </w:p>
    <w:bookmarkStart w:id="54" w:name="page55"/>
    <w:bookmarkEnd w:id="54"/>
    <w:p>
      <w:pPr>
        <w:ind w:left="680" w:hanging="236"/>
        <w:spacing w:after="0"/>
        <w:tabs>
          <w:tab w:leader="none" w:pos="68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Borrower Information Used to Determine Applicable Interest Rates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60" w:firstLine="428"/>
        <w:spacing w:after="0" w:line="293" w:lineRule="auto"/>
        <w:tabs>
          <w:tab w:leader="none" w:pos="1078"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parties understand that the applicable interest rate for the Obligations and certain fees set forth herein may be determined and/or adjusted from time to time based upon certain financial ratios and/or other information to be provided or certified to the Lenders by the Borrower (the “</w:t>
      </w:r>
      <w:r>
        <w:rPr>
          <w:rFonts w:ascii="Arial" w:cs="Arial" w:eastAsia="Arial" w:hAnsi="Arial"/>
          <w:sz w:val="16"/>
          <w:szCs w:val="16"/>
          <w:b w:val="1"/>
          <w:bCs w:val="1"/>
          <w:color w:val="auto"/>
        </w:rPr>
        <w:t>Borrower Information</w:t>
      </w:r>
      <w:r>
        <w:rPr>
          <w:rFonts w:ascii="Arial" w:cs="Arial" w:eastAsia="Arial" w:hAnsi="Arial"/>
          <w:sz w:val="16"/>
          <w:szCs w:val="16"/>
          <w:color w:val="auto"/>
        </w:rPr>
        <w:t>”). If it is subsequently determined that any such Borrower Information was incorrect (for whatever reason, including without limitation because of a subsequent restatement of earnings by the Borrower) at the time it was delivered to the Administrative Agent, and if the applicable interest rate or fees calculated for any period were lower than they should have been had the correct information been timely provided, then, such interest rate and such fees for such period shall be automatically recalculated using correct Borrower Information.</w:t>
      </w:r>
    </w:p>
    <w:p>
      <w:pPr>
        <w:spacing w:after="0" w:line="56" w:lineRule="exact"/>
        <w:rPr>
          <w:rFonts w:ascii="Arial" w:cs="Arial" w:eastAsia="Arial" w:hAnsi="Arial"/>
          <w:sz w:val="16"/>
          <w:szCs w:val="16"/>
          <w:color w:val="auto"/>
        </w:rPr>
      </w:pPr>
    </w:p>
    <w:p>
      <w:pPr>
        <w:ind w:left="440" w:firstLine="428"/>
        <w:spacing w:after="0" w:line="270" w:lineRule="auto"/>
        <w:tabs>
          <w:tab w:leader="none" w:pos="1128" w:val="left"/>
        </w:tabs>
        <w:numPr>
          <w:ilvl w:val="1"/>
          <w:numId w:val="47"/>
        </w:numPr>
        <w:rPr>
          <w:rFonts w:ascii="Arial" w:cs="Arial" w:eastAsia="Arial" w:hAnsi="Arial"/>
          <w:sz w:val="17"/>
          <w:szCs w:val="17"/>
          <w:color w:val="auto"/>
        </w:rPr>
      </w:pPr>
      <w:r>
        <w:rPr>
          <w:rFonts w:ascii="Arial" w:cs="Arial" w:eastAsia="Arial" w:hAnsi="Arial"/>
          <w:sz w:val="17"/>
          <w:szCs w:val="17"/>
          <w:color w:val="auto"/>
        </w:rPr>
        <w:t>In the event the Borrower’s Credit Rating from one or more Rating Agency is downgraded and such downgrade results in an increase in the Applicable Margin or Applicable Facility Fee, but such higher Credit Rating is subsequently restored and the increased Applicable Margin or Applicable Facility Fee would no longer be applicable within 90 days from the first day such downgrade was effective, the Borrower will receive a credit for incremental borrowing costs and fees paid by the Borrower during such 90 day period solely as a result of the downgrade and increase in the Applicable Margin and/or Applicable Facility Fee. Additionally, in the event the Borrower’s Credit Rating from one or more Rating Agency is upgraded and such upgrade results in a decrease in the Applicable Margin or Applicable Facility Fee, but such lower Credit Rating is subsequently restored and the decreased Applicable Margin or Applicable Facility Fee would no longer be applicable within 90 days from the first day such upgrade was effective, the Borrower will pay the incremental borrowing costs and fees which would have otherwise been payable during such 90 day period had the upgrade not occurred.</w:t>
      </w:r>
    </w:p>
    <w:p>
      <w:pPr>
        <w:spacing w:after="0" w:line="73" w:lineRule="exact"/>
        <w:rPr>
          <w:rFonts w:ascii="Arial" w:cs="Arial" w:eastAsia="Arial" w:hAnsi="Arial"/>
          <w:sz w:val="17"/>
          <w:szCs w:val="17"/>
          <w:color w:val="auto"/>
        </w:rPr>
      </w:pPr>
    </w:p>
    <w:p>
      <w:pPr>
        <w:ind w:left="440" w:firstLine="428"/>
        <w:spacing w:after="0" w:line="297" w:lineRule="auto"/>
        <w:tabs>
          <w:tab w:leader="none" w:pos="1178" w:val="left"/>
        </w:tabs>
        <w:numPr>
          <w:ilvl w:val="1"/>
          <w:numId w:val="47"/>
        </w:numPr>
        <w:rPr>
          <w:rFonts w:ascii="Arial" w:cs="Arial" w:eastAsia="Arial" w:hAnsi="Arial"/>
          <w:sz w:val="16"/>
          <w:szCs w:val="16"/>
          <w:color w:val="auto"/>
        </w:rPr>
      </w:pPr>
      <w:r>
        <w:rPr>
          <w:rFonts w:ascii="Arial" w:cs="Arial" w:eastAsia="Arial" w:hAnsi="Arial"/>
          <w:sz w:val="16"/>
          <w:szCs w:val="16"/>
          <w:color w:val="auto"/>
        </w:rPr>
        <w:t>The Administrative Agent shall promptly notify the Borrower in writing of any additional interest and fees due or of any interest and fees credited because of such recalculation or changed Credit Rating, and, to the extent additional fees and interest are due, the Borrower shall pay such additional interest or fees due to the Administrative Agent, for the account of each Lender, within five (5) Business Days of receipt of such written notice. Any recalculation of interest or fees required by this Section 2.5.(c) shall survive the termination of this Agreement, and this provision shall not in any way limit any of the Administrative Agent’s, the Issuing Bank’s, or any Lender’s other rights under this Agreement.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2.6. Number of Interest Periods.</w:t>
      </w:r>
    </w:p>
    <w:p>
      <w:pPr>
        <w:spacing w:after="0" w:line="121" w:lineRule="exact"/>
        <w:rPr>
          <w:sz w:val="20"/>
          <w:szCs w:val="20"/>
          <w:color w:val="auto"/>
        </w:rPr>
      </w:pPr>
    </w:p>
    <w:p>
      <w:pPr>
        <w:ind w:left="680" w:hanging="236"/>
        <w:spacing w:after="0"/>
        <w:tabs>
          <w:tab w:leader="none" w:pos="6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may be no more than ten (10) different Interest Periods for Revolving Loans outstanding at the same time.</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There may be no more than six (6) different Interest Periods for Bid Rate Loans outstanding at the same time.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2.7. Repayment of Loans.</w:t>
      </w:r>
    </w:p>
    <w:p>
      <w:pPr>
        <w:spacing w:after="0" w:line="121" w:lineRule="exact"/>
        <w:rPr>
          <w:sz w:val="20"/>
          <w:szCs w:val="20"/>
          <w:color w:val="auto"/>
        </w:rPr>
      </w:pPr>
    </w:p>
    <w:p>
      <w:pPr>
        <w:ind w:right="180" w:firstLine="444"/>
        <w:spacing w:after="0" w:line="277" w:lineRule="auto"/>
        <w:tabs>
          <w:tab w:leader="none" w:pos="68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Revolving Loans</w:t>
      </w:r>
      <w:r>
        <w:rPr>
          <w:rFonts w:ascii="Arial" w:cs="Arial" w:eastAsia="Arial" w:hAnsi="Arial"/>
          <w:sz w:val="18"/>
          <w:szCs w:val="18"/>
          <w:color w:val="auto"/>
        </w:rPr>
        <w:t>. The Borrower shall repay the entire outstanding principal amount of, and all accrued but unpaid interest on, the Revolving Loans on the Revolving Termination Date.</w:t>
      </w:r>
    </w:p>
    <w:p>
      <w:pPr>
        <w:spacing w:after="0" w:line="62" w:lineRule="exact"/>
        <w:rPr>
          <w:rFonts w:ascii="Arial" w:cs="Arial" w:eastAsia="Arial" w:hAnsi="Arial"/>
          <w:sz w:val="18"/>
          <w:szCs w:val="18"/>
          <w:color w:val="auto"/>
        </w:rPr>
      </w:pPr>
    </w:p>
    <w:p>
      <w:pPr>
        <w:ind w:right="200" w:firstLine="444"/>
        <w:spacing w:after="0" w:line="277" w:lineRule="auto"/>
        <w:tabs>
          <w:tab w:leader="none" w:pos="695"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Bid Rate Loans</w:t>
      </w:r>
      <w:r>
        <w:rPr>
          <w:rFonts w:ascii="Arial" w:cs="Arial" w:eastAsia="Arial" w:hAnsi="Arial"/>
          <w:sz w:val="18"/>
          <w:szCs w:val="18"/>
          <w:color w:val="auto"/>
        </w:rPr>
        <w:t>. The Borrower shall repay the entire outstanding principal amount of, and all accrued interest on, each Bid Rate Loan on the last day of the Interest Period of such Bid Rate Loan.</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46 -</w:t>
      </w:r>
    </w:p>
    <w:p>
      <w:pPr>
        <w:sectPr>
          <w:pgSz w:w="11900" w:h="16838" w:orient="portrait"/>
          <w:cols w:equalWidth="0" w:num="1">
            <w:col w:w="11000"/>
          </w:cols>
          <w:pgMar w:left="440" w:top="274"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2.8. Prepayments.</w:t>
      </w:r>
    </w:p>
    <w:p>
      <w:pPr>
        <w:spacing w:after="0" w:line="121" w:lineRule="exact"/>
        <w:rPr>
          <w:sz w:val="20"/>
          <w:szCs w:val="20"/>
          <w:color w:val="auto"/>
        </w:rPr>
      </w:pPr>
    </w:p>
    <w:p>
      <w:pPr>
        <w:ind w:right="20" w:firstLine="444"/>
        <w:spacing w:after="0" w:line="293" w:lineRule="auto"/>
        <w:tabs>
          <w:tab w:leader="none" w:pos="685"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Optional</w:t>
      </w:r>
      <w:r>
        <w:rPr>
          <w:rFonts w:ascii="Arial" w:cs="Arial" w:eastAsia="Arial" w:hAnsi="Arial"/>
          <w:sz w:val="16"/>
          <w:szCs w:val="16"/>
          <w:color w:val="auto"/>
        </w:rPr>
        <w:t>. Subject to Section 4.4., the Borrower may prepay any Loan (other than a Bid Rate Loan) in whole or part at any time without premium or penalty. A Bid Rate Loan may only be prepaid with the prior written consent of the Lender holding such Bid Rate Loan; provided, however, subject to Section 4.4., the Borrower may prepay all outstanding Bid Rate Loans in connection with the Borrower’s termination of all Commitments pursuant to Section 2.12. and the repayment of all Obligations in full. The Borrower shall give the Administrative Agent at least one (1) Business Day’s prior written notice of the prepayment of any Loan. Each voluntary prepayment of Loans shall be in an aggregate minimum amount of $1,000,000 and integral multiples of $100,000 in excess thereof (or, if less, the aggregate principal amount of Revolving Loans outstanding).</w:t>
      </w:r>
    </w:p>
    <w:p>
      <w:pPr>
        <w:spacing w:after="0" w:line="160" w:lineRule="exact"/>
        <w:rPr>
          <w:rFonts w:ascii="Arial" w:cs="Arial" w:eastAsia="Arial" w:hAnsi="Arial"/>
          <w:sz w:val="16"/>
          <w:szCs w:val="16"/>
          <w:color w:val="auto"/>
        </w:rPr>
      </w:pPr>
    </w:p>
    <w:p>
      <w:pPr>
        <w:ind w:left="700" w:hanging="256"/>
        <w:spacing w:after="0"/>
        <w:tabs>
          <w:tab w:leader="none" w:pos="7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Mandatory</w:t>
      </w:r>
      <w:r>
        <w:rPr>
          <w:rFonts w:ascii="Arial" w:cs="Arial" w:eastAsia="Arial" w:hAnsi="Arial"/>
          <w:sz w:val="18"/>
          <w:szCs w:val="18"/>
          <w:b w:val="1"/>
          <w:bCs w:val="1"/>
          <w:color w:val="auto"/>
        </w:rPr>
        <w:t>.</w:t>
      </w:r>
    </w:p>
    <w:p>
      <w:pPr>
        <w:spacing w:after="0" w:line="121" w:lineRule="exact"/>
        <w:rPr>
          <w:rFonts w:ascii="Arial" w:cs="Arial" w:eastAsia="Arial" w:hAnsi="Arial"/>
          <w:sz w:val="18"/>
          <w:szCs w:val="18"/>
          <w:b w:val="1"/>
          <w:bCs w:val="1"/>
          <w:color w:val="auto"/>
        </w:rPr>
      </w:pPr>
    </w:p>
    <w:p>
      <w:pPr>
        <w:ind w:left="440" w:right="120" w:firstLine="428"/>
        <w:spacing w:after="0" w:line="276" w:lineRule="auto"/>
        <w:tabs>
          <w:tab w:leader="none" w:pos="1078"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Revolving Commitment Overadvance</w:t>
      </w:r>
      <w:r>
        <w:rPr>
          <w:rFonts w:ascii="Arial" w:cs="Arial" w:eastAsia="Arial" w:hAnsi="Arial"/>
          <w:sz w:val="17"/>
          <w:szCs w:val="17"/>
          <w:color w:val="auto"/>
        </w:rPr>
        <w:t>. If at any time the aggregate principal amount of all outstanding Revolving Loans, Swingline Loans and Bid Rate Loans, together with the aggregate amount of all Letter of Credit Liabilities, exceeds the aggregate amount of the Revolving Commitments, the Borrower shall immediately upon demand pay to the Administrative Agent for the account of the Lenders then holding Revolving Commitments (or if the Revolving Commitments have been terminated, then holding outstanding Revolving Loans, Swingline Loans, Bid Rate Loans and/or Letter of Credit Liabilities), the amount of such excess.</w:t>
      </w:r>
    </w:p>
    <w:p>
      <w:pPr>
        <w:spacing w:after="0" w:line="64" w:lineRule="exact"/>
        <w:rPr>
          <w:rFonts w:ascii="Arial" w:cs="Arial" w:eastAsia="Arial" w:hAnsi="Arial"/>
          <w:sz w:val="17"/>
          <w:szCs w:val="17"/>
          <w:color w:val="auto"/>
        </w:rPr>
      </w:pPr>
    </w:p>
    <w:p>
      <w:pPr>
        <w:ind w:left="440" w:right="120" w:firstLine="428"/>
        <w:spacing w:after="0" w:line="264" w:lineRule="auto"/>
        <w:tabs>
          <w:tab w:leader="none" w:pos="1128" w:val="left"/>
        </w:tabs>
        <w:numPr>
          <w:ilvl w:val="1"/>
          <w:numId w:val="50"/>
        </w:numPr>
        <w:rPr>
          <w:rFonts w:ascii="Arial" w:cs="Arial" w:eastAsia="Arial" w:hAnsi="Arial"/>
          <w:sz w:val="18"/>
          <w:szCs w:val="18"/>
          <w:color w:val="auto"/>
        </w:rPr>
      </w:pPr>
      <w:r>
        <w:rPr>
          <w:rFonts w:ascii="Arial" w:cs="Arial" w:eastAsia="Arial" w:hAnsi="Arial"/>
          <w:sz w:val="18"/>
          <w:szCs w:val="18"/>
          <w:u w:val="single" w:color="auto"/>
          <w:color w:val="auto"/>
        </w:rPr>
        <w:t>Bid Rate Facility Overadvance</w:t>
      </w:r>
      <w:r>
        <w:rPr>
          <w:rFonts w:ascii="Arial" w:cs="Arial" w:eastAsia="Arial" w:hAnsi="Arial"/>
          <w:sz w:val="18"/>
          <w:szCs w:val="18"/>
          <w:color w:val="auto"/>
        </w:rPr>
        <w:t>. If at any time the aggregate principal amount of all outstanding Bid Rate Loans exceeds one-half of the aggregate amount of all Revolving Commitments at such time, then the Borrower shall immediately pay to the Administrative Agent for the accounts of the applicable Lenders the amount of such excess.</w:t>
      </w:r>
    </w:p>
    <w:p>
      <w:pPr>
        <w:spacing w:after="0" w:line="73" w:lineRule="exact"/>
        <w:rPr>
          <w:rFonts w:ascii="Arial" w:cs="Arial" w:eastAsia="Arial" w:hAnsi="Arial"/>
          <w:sz w:val="18"/>
          <w:szCs w:val="18"/>
          <w:color w:val="auto"/>
        </w:rPr>
      </w:pPr>
    </w:p>
    <w:p>
      <w:pPr>
        <w:ind w:left="440" w:right="200" w:firstLine="428"/>
        <w:spacing w:after="0" w:line="273" w:lineRule="auto"/>
        <w:tabs>
          <w:tab w:leader="none" w:pos="1178" w:val="left"/>
        </w:tabs>
        <w:numPr>
          <w:ilvl w:val="1"/>
          <w:numId w:val="50"/>
        </w:numPr>
        <w:rPr>
          <w:rFonts w:ascii="Arial" w:cs="Arial" w:eastAsia="Arial" w:hAnsi="Arial"/>
          <w:sz w:val="17"/>
          <w:szCs w:val="17"/>
          <w:color w:val="auto"/>
        </w:rPr>
      </w:pPr>
      <w:r>
        <w:rPr>
          <w:rFonts w:ascii="Arial" w:cs="Arial" w:eastAsia="Arial" w:hAnsi="Arial"/>
          <w:sz w:val="17"/>
          <w:szCs w:val="17"/>
          <w:u w:val="single" w:color="auto"/>
          <w:color w:val="auto"/>
        </w:rPr>
        <w:t>Application of Mandatory Prepayments</w:t>
      </w:r>
      <w:r>
        <w:rPr>
          <w:rFonts w:ascii="Arial" w:cs="Arial" w:eastAsia="Arial" w:hAnsi="Arial"/>
          <w:sz w:val="17"/>
          <w:szCs w:val="17"/>
          <w:color w:val="auto"/>
        </w:rPr>
        <w:t>. Amounts paid under the preceding subsection (b)(i) shall be applied to pay all amounts of principal outstanding on the Loans and any Reimbursement Obligations pro rata in accordance with Section 3.2. and if any Letters of Credit are outstanding at such time, the remainder, if any, shall be deposited into the Letter of Credit Collateral Account for application to any Reimbursement Obligations. Amounts paid under the preceding subsection (b)(ii) shall be applied in accordance with Section 3.2.(e). If the Borrower is required to pay any outstanding LIBOR Loans or LIBOR Margin Loans by reason of this Section prior to the end of the applicable Interest Period therefor, the Borrower shall pay all amounts due under Section 4.4.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2.9. Continuation.</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So long as no Event of Default exists, the Borrower may on any Business Day, with respect to any LIBOR Loan, elect to maintain such LIBOR Loan or any portion thereof as a LIBOR Loan by selecting a new Interest Period for such LIBOR Loan. Each Continuation of a LIBOR Loan shall be in an aggregate minimum amount of $1,000,000 and integral multiples of $1,000,000 in excess of that amount, and each new Interest Period selected under this Section shall commence on the last day of the immediately preceding Interest Period. Each selection of a new Interest Period shall be made by the Borrower giving to the Administrative Agent a Notice of Continuation not later than 9:00 a.m. Pacific time on the third Business Day prior to the date of any such Continuation. Such notice by the Borrower of a Continuation shall be by telephone (confirmed promptly in writing on the same Business Day), electronic mail or other similar form of communication in the form of a Notice of Continuation, specifying (a) the proposed date of such Continuation,</w:t>
      </w:r>
    </w:p>
    <w:p>
      <w:pPr>
        <w:spacing w:after="0" w:line="3" w:lineRule="exact"/>
        <w:rPr>
          <w:sz w:val="20"/>
          <w:szCs w:val="20"/>
          <w:color w:val="auto"/>
        </w:rPr>
      </w:pPr>
    </w:p>
    <w:p>
      <w:pPr>
        <w:ind w:right="660" w:firstLine="4"/>
        <w:spacing w:after="0" w:line="261" w:lineRule="auto"/>
        <w:tabs>
          <w:tab w:leader="none" w:pos="2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LIBOR Loans and portions thereof subject to such Continuation and (c) the duration of the selected Interest Period, all of which shall be specified in such manner as is necessary to comply with</w:t>
      </w:r>
    </w:p>
    <w:p>
      <w:pPr>
        <w:spacing w:after="0" w:line="116" w:lineRule="exact"/>
        <w:rPr>
          <w:rFonts w:ascii="Arial" w:cs="Arial" w:eastAsia="Arial" w:hAnsi="Arial"/>
          <w:sz w:val="18"/>
          <w:szCs w:val="18"/>
          <w:color w:val="auto"/>
        </w:rPr>
      </w:pPr>
    </w:p>
    <w:p>
      <w:pPr>
        <w:ind w:left="5420" w:hanging="101"/>
        <w:spacing w:after="0"/>
        <w:tabs>
          <w:tab w:leader="none" w:pos="54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47 -</w:t>
      </w:r>
    </w:p>
    <w:p>
      <w:pPr>
        <w:sectPr>
          <w:pgSz w:w="11900" w:h="16838" w:orient="portrait"/>
          <w:cols w:equalWidth="0" w:num="1">
            <w:col w:w="11000"/>
          </w:cols>
          <w:pgMar w:left="440" w:top="270" w:right="459" w:bottom="1440" w:gutter="0" w:footer="0" w:header="0"/>
        </w:sectPr>
      </w:pPr>
    </w:p>
    <w:bookmarkStart w:id="56" w:name="page57"/>
    <w:bookmarkEnd w:id="56"/>
    <w:p>
      <w:pPr>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limitations on Loans outstanding hereunder. Each Notice of Continuation shall be irrevocable by and binding on the Borrower once given. Promptly after receipt of a Notice of Continuation, the Administrative Agent shall notify each Lender of the proposed Continuation. If the Borrower shall fail to select in a timely manner a new Interest Period for any LIBOR Loan in accordance with this Section, such Loan will automatically, on the last day of the current Interest Period therefor, continue as a LIBOR Loan with an Interest Period of one month; provided, however that if a Event of Default exists, such Loan will automatically, on the last day of the current Interest Period therefor, Convert into a Base Rate Loan notwithstanding the first sentence of Section 2.10. or the Borrower’s failure to comply with any of the terms of such Section.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2.10. Conversion.</w:t>
      </w:r>
    </w:p>
    <w:p>
      <w:pPr>
        <w:spacing w:after="0" w:line="12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The Borrower may on any Business Day, upon the Borrower’s giving of a Notice of Conversion to the Administrative Agent by electronic mail or other similar form of communication, Convert all or a portion of a Loan of one Type into a Loan of another Type; provided, however, a Base Rate Loan may not be Converted into a LIBOR Loan if an Event of Default exists. Each Conversion of Base Rate Loans into LIBOR Loans shall be in an aggregate minimum amount of $1,000,000 and integral multiples of $1,000,000 in excess of that amount. Each such Notice of Conversion shall be given not later than 9:00 a.m. Pacific time 3 Business Days prior to the date of any proposed Conversion. Promptly after receipt of a Notice of Conversion, the Administrative Agent shall notify each Lender of the proposed Conversion. Subject to the restrictions specified above, each Notice of Conversion shall be by telephone, (confirmed promptly in writing on the same Business Day), electronic mail or other similar form of communication in the form of a Notice of Conversion specifying (a) the requested date of such Conversion, (b) the Type of Loan to be Converted, (c) the portion of such Type of Loan to be Converted, (d) the Type of Loan such Loan is to be Converted into and (e) if such Conversion is into a LIBOR Loan, the requested duration of the Interest Period of such Loan. Each Notice of Conversion shall be irrevocable by and binding on the Borrower once given.</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2.11. Notes.</w:t>
      </w:r>
    </w:p>
    <w:p>
      <w:pPr>
        <w:spacing w:after="0" w:line="121" w:lineRule="exact"/>
        <w:rPr>
          <w:sz w:val="20"/>
          <w:szCs w:val="20"/>
          <w:color w:val="auto"/>
        </w:rPr>
      </w:pPr>
    </w:p>
    <w:p>
      <w:pPr>
        <w:ind w:right="20" w:firstLine="444"/>
        <w:spacing w:after="0" w:line="255" w:lineRule="auto"/>
        <w:tabs>
          <w:tab w:leader="none" w:pos="68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Notes</w:t>
      </w:r>
      <w:r>
        <w:rPr>
          <w:rFonts w:ascii="Arial" w:cs="Arial" w:eastAsia="Arial" w:hAnsi="Arial"/>
          <w:sz w:val="18"/>
          <w:szCs w:val="18"/>
          <w:color w:val="auto"/>
        </w:rPr>
        <w:t>. Except in the case of a Lender that has notified the Administrative Agent in writing that it elects not to receive a Revolving Note, the Revolving Loans made by each Lender shall, in addition to this Agreement, also be evidenced by a Revolving Note, payable to the order of such Lender in a principal amount equal to the amount of its Revolving Commitment as originally in effect and otherwise duly completed. Except in the case of a Lender that has notified the Administrative Agent in writing that it elects not to receive a Bid Rate Note, the Bid Rate Loans made by a Lender to the Borrower shall, in addition to this Agreement, also be evidenced by a Bid Rate Note payable to the order of such Lender. The Swingline Loans made by the Swingline Lender to the Borrower shall, in addition to this Agreement, also be evidenced by a Swingline Note payable to the order of the Swingline Lender.</w:t>
      </w:r>
    </w:p>
    <w:p>
      <w:pPr>
        <w:spacing w:after="0" w:line="81" w:lineRule="exact"/>
        <w:rPr>
          <w:rFonts w:ascii="Arial" w:cs="Arial" w:eastAsia="Arial" w:hAnsi="Arial"/>
          <w:sz w:val="18"/>
          <w:szCs w:val="18"/>
          <w:color w:val="auto"/>
        </w:rPr>
      </w:pPr>
    </w:p>
    <w:p>
      <w:pPr>
        <w:ind w:right="100" w:firstLine="444"/>
        <w:spacing w:after="0" w:line="255" w:lineRule="auto"/>
        <w:tabs>
          <w:tab w:leader="none" w:pos="695"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Records</w:t>
      </w:r>
      <w:r>
        <w:rPr>
          <w:rFonts w:ascii="Arial" w:cs="Arial" w:eastAsia="Arial" w:hAnsi="Arial"/>
          <w:sz w:val="18"/>
          <w:szCs w:val="18"/>
          <w:color w:val="auto"/>
        </w:rPr>
        <w:t>. The date, amount, interest rate, Type and duration of Interest Periods (if applicable) of each Loan made by each Lender to the Borrower, and each payment made on account of the principal thereof, shall be recorded by such Lender on its books and such entries shall be binding on the Borrower absent manifest error; provided, however, that (i) the failure of a Lender to make any such record shall not affect the obligations of the Borrower under any of the Loan Documents and (ii) if there is a discrepancy between such records of a Lender and the statements of accounts maintained by the Administrative Agent pursuant to Section 3.8., in the absence of manifest error, the statements of account maintained by the Administrative Agent pursuant to Section 3.8. shall be controlling.</w:t>
      </w:r>
    </w:p>
    <w:p>
      <w:pPr>
        <w:spacing w:after="0" w:line="125" w:lineRule="exact"/>
        <w:rPr>
          <w:rFonts w:ascii="Arial" w:cs="Arial" w:eastAsia="Arial" w:hAnsi="Arial"/>
          <w:sz w:val="18"/>
          <w:szCs w:val="18"/>
          <w:color w:val="auto"/>
        </w:rPr>
      </w:pPr>
    </w:p>
    <w:p>
      <w:pPr>
        <w:ind w:left="5420" w:hanging="101"/>
        <w:spacing w:after="0"/>
        <w:tabs>
          <w:tab w:leader="none" w:pos="54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48 -</w:t>
      </w:r>
    </w:p>
    <w:p>
      <w:pPr>
        <w:sectPr>
          <w:pgSz w:w="11900" w:h="16838" w:orient="portrait"/>
          <w:cols w:equalWidth="0" w:num="1">
            <w:col w:w="11000"/>
          </w:cols>
          <w:pgMar w:left="440" w:top="274" w:right="459" w:bottom="1440" w:gutter="0" w:footer="0" w:header="0"/>
        </w:sectPr>
      </w:pPr>
    </w:p>
    <w:bookmarkStart w:id="57" w:name="page58"/>
    <w:bookmarkEnd w:id="57"/>
    <w:p>
      <w:pPr>
        <w:jc w:val="both"/>
        <w:ind w:right="160" w:firstLine="444"/>
        <w:spacing w:after="0" w:line="302" w:lineRule="auto"/>
        <w:tabs>
          <w:tab w:leader="none" w:pos="685"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Lost, Stolen, Destroyed or Mutilated Notes</w:t>
      </w:r>
      <w:r>
        <w:rPr>
          <w:rFonts w:ascii="Arial" w:cs="Arial" w:eastAsia="Arial" w:hAnsi="Arial"/>
          <w:sz w:val="16"/>
          <w:szCs w:val="16"/>
          <w:color w:val="auto"/>
        </w:rPr>
        <w:t>. Upon receipt by the Borrower of (i) written notice from a Lender that a Note of such Lender has been lost, stolen, destroyed or mutilated, and (ii)(A) in the case of loss, theft or destruction, an unsecured agreement of indemnity from such Lender in form reasonably satisfactory to the Borrower, or (B) in the case of mutilation, upon surrender and cancellation of such Note, the Borrower shall at its own expense execute and deliver to such Lender a new Note dated the date of such lost, stolen, destroyed or mutilated Note.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2.12. Voluntary Reductions of the Revolving Commitment.</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The Borrower shall have the right to terminate or reduce the aggregate unused amount of the Revolving Commitments (for which purpose use of the Revolving Commitments shall be deemed to include the aggregate amount of all Letter of Credit Liabilities and the aggregate principal amount of all outstanding Bid Rate Loans and Swingline Loans) at any time and from time to time without penalty or premium upon not less than five (5) Business Days prior written notice to the Administrative Agent of each such termination or reduction, which notice shall specify the effective date thereof and the amount of any such reduction (which in the case of any partial reduction of the Revolving Commitments shall not be less than $5,000,000 and integral multiples of $1,000,000 in excess of that amount in the aggregate) and shall be irrevocable once given and effective only upon receipt by the Administrative Agent (“</w:t>
      </w:r>
      <w:r>
        <w:rPr>
          <w:rFonts w:ascii="Arial" w:cs="Arial" w:eastAsia="Arial" w:hAnsi="Arial"/>
          <w:sz w:val="17"/>
          <w:szCs w:val="17"/>
          <w:b w:val="1"/>
          <w:bCs w:val="1"/>
          <w:color w:val="auto"/>
        </w:rPr>
        <w:t>Commitment Reduction Notice</w:t>
      </w:r>
      <w:r>
        <w:rPr>
          <w:rFonts w:ascii="Arial" w:cs="Arial" w:eastAsia="Arial" w:hAnsi="Arial"/>
          <w:sz w:val="17"/>
          <w:szCs w:val="17"/>
          <w:color w:val="auto"/>
        </w:rPr>
        <w:t>”); provided, however, the Borrower may not reduce the aggregate amount of the Revolving Commitments below $200,000,000 unless the Borrower is terminating the Revolving Commitments in full. Promptly after receipt of a Commitment Reduction Notice the Administrative Agent shall notify each Lender of the proposed termination or Revolving Commitment reduction. The Revolving Commitments, once reduced or terminated pursuant to this Section, may not be increased or reinstated. The Borrower shall pay all interest and fees on the Revolving Loans accrued to the date of such reduction or termination of the Revolving Commitments (on the principal amount so reduced or terminated) to the Administrative Agent for the account of the Lenders, including but not limited to any applicable compensation due to each Lender in accordance with Section 4.4.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2.13. Extension of Revolving Termination Date.</w:t>
      </w:r>
    </w:p>
    <w:p>
      <w:pPr>
        <w:spacing w:after="0" w:line="121" w:lineRule="exact"/>
        <w:rPr>
          <w:sz w:val="20"/>
          <w:szCs w:val="20"/>
          <w:color w:val="auto"/>
        </w:rPr>
      </w:pPr>
    </w:p>
    <w:p>
      <w:pPr>
        <w:ind w:right="40" w:firstLine="441"/>
        <w:spacing w:after="0" w:line="268" w:lineRule="auto"/>
        <w:rPr>
          <w:sz w:val="20"/>
          <w:szCs w:val="20"/>
          <w:color w:val="auto"/>
        </w:rPr>
      </w:pPr>
      <w:r>
        <w:rPr>
          <w:rFonts w:ascii="Arial" w:cs="Arial" w:eastAsia="Arial" w:hAnsi="Arial"/>
          <w:sz w:val="17"/>
          <w:szCs w:val="17"/>
          <w:color w:val="auto"/>
        </w:rPr>
        <w:t>The Borrower shall have the right, exercisable two times, to extend the Revolving Termination Date by six-months in the case of each such extension. The Borrower may exercise such right only by executing and delivering to the Administrative Agent at least 90 days but not more than 180 days prior to the current Revolving Termination Date, a written request for such extension (an “</w:t>
      </w:r>
      <w:r>
        <w:rPr>
          <w:rFonts w:ascii="Arial" w:cs="Arial" w:eastAsia="Arial" w:hAnsi="Arial"/>
          <w:sz w:val="17"/>
          <w:szCs w:val="17"/>
          <w:b w:val="1"/>
          <w:bCs w:val="1"/>
          <w:color w:val="auto"/>
        </w:rPr>
        <w:t>Extension Request</w:t>
      </w:r>
      <w:r>
        <w:rPr>
          <w:rFonts w:ascii="Arial" w:cs="Arial" w:eastAsia="Arial" w:hAnsi="Arial"/>
          <w:sz w:val="17"/>
          <w:szCs w:val="17"/>
          <w:color w:val="auto"/>
        </w:rPr>
        <w:t>”). The Administrative Agent shall notify the Lenders if it receives an Extension Request promptly upon receipt thereof. Subject to satisfaction of the following conditions, the Revolving Termination Date shall be extended for six-months effective upon receipt by the Administrative Agent of the Extension Request and payment of the fee referred to in the following clause (y): (x) immediately prior to such extension and immediately after giving effect thereto, (A) no Default or Event of Default shall exist and (B) the representations and warranties made or deemed made by the Borrower and each other Loan Party in the Loan Documents to which any of them is a party, shall be true and correct in all material respects (or, to the extent qualified by materiality or Material Adverse Effect, in all respects) on and as of the date of such extension with the same force and effect as if made on and as of such date except to the extent that such representations and warranties expressly relate solely to an earlier date (in which case such representations and warranties shall have been true and correct in all material respects (or, to the extent qualified by materiality or Material Adverse Effect, in all respects) on and as of such earlier date) and except for changes in factual circumstances which are not prohibited under the Loan Documents and (y) the Borrower shall have paid the Fees payable under Section 3.5.(e). Any extension shall constitute certification by the Borrower to the effect that the matters referred to in the immediately preceding clauses (x)(A) and (x)(B) are true and correct and the Borrower shall be deemed to have represented to the Administrative Agent and the Lenders that the foregoing conditions have been satisfied.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000"/>
          </w:cols>
          <w:pgMar w:left="440" w:top="274"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2.14. Expiration Date of Letters of Credit Past Revolving Commitment Termination.</w:t>
      </w:r>
    </w:p>
    <w:p>
      <w:pPr>
        <w:spacing w:after="0" w:line="121" w:lineRule="exact"/>
        <w:rPr>
          <w:sz w:val="20"/>
          <w:szCs w:val="20"/>
          <w:color w:val="auto"/>
        </w:rPr>
      </w:pPr>
    </w:p>
    <w:p>
      <w:pPr>
        <w:ind w:right="60" w:firstLine="441"/>
        <w:spacing w:after="0" w:line="257" w:lineRule="auto"/>
        <w:rPr>
          <w:sz w:val="20"/>
          <w:szCs w:val="20"/>
          <w:color w:val="auto"/>
        </w:rPr>
      </w:pPr>
      <w:r>
        <w:rPr>
          <w:rFonts w:ascii="Arial" w:cs="Arial" w:eastAsia="Arial" w:hAnsi="Arial"/>
          <w:sz w:val="18"/>
          <w:szCs w:val="18"/>
          <w:color w:val="auto"/>
        </w:rPr>
        <w:t>If on the date the Revolving Commitments are terminated or reduced to zero (whether voluntarily, by reason of the occurrence of an Event of Default or otherwise), there are any Letters of Credit outstanding hereunder, the Borrower shall, on such date (if not sooner pursuant to Section 2.3.(b)), pay to the Administrative Agent, for its benefit and the benefit of the Lenders and the Issuing Bank, an amount of money sufficient to cause the balance of available funds on deposit in the Letter of Credit Collateral Account to equal the aggregate Stated Amount of such Letters of Credit for deposit into the Letter of Credit Collateral Account.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2.15. Amount Limitations.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Notwithstanding any other term of this Agreement or any other Loan Document, no Lender shall be required to make a Loan, no Lender shall make any Bid Rate Loan, the Issuing Bank shall not be required to issue a Letter of Credit and no reduction of the Revolving Commitments pursuant to Section 2.12. shall take effect, if immediately after the making of such Loan, the issuance of such Letter of Credit or such reduction in the Revolving Commitments:</w:t>
      </w:r>
    </w:p>
    <w:p>
      <w:pPr>
        <w:spacing w:after="0" w:line="187" w:lineRule="exact"/>
        <w:rPr>
          <w:sz w:val="20"/>
          <w:szCs w:val="20"/>
          <w:color w:val="auto"/>
        </w:rPr>
      </w:pPr>
    </w:p>
    <w:p>
      <w:pPr>
        <w:ind w:right="80" w:firstLine="444"/>
        <w:spacing w:after="0" w:line="277" w:lineRule="auto"/>
        <w:tabs>
          <w:tab w:leader="none" w:pos="6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Revolving Loans, Bid Rate Loans and Swingline Loans, together with the aggregate amount of all Letter of Credit Liabilities, would exceed the aggregate amount of the Revolving Commitments at such time; or</w:t>
      </w:r>
    </w:p>
    <w:p>
      <w:pPr>
        <w:spacing w:after="0" w:line="62" w:lineRule="exact"/>
        <w:rPr>
          <w:rFonts w:ascii="Arial" w:cs="Arial" w:eastAsia="Arial" w:hAnsi="Arial"/>
          <w:sz w:val="18"/>
          <w:szCs w:val="18"/>
          <w:color w:val="auto"/>
        </w:rPr>
      </w:pPr>
    </w:p>
    <w:p>
      <w:pPr>
        <w:ind w:right="1000" w:firstLine="444"/>
        <w:spacing w:after="0" w:line="277" w:lineRule="auto"/>
        <w:tabs>
          <w:tab w:leader="none" w:pos="6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aggregate principal amount of all outstanding Bid Rate Loans would exceed 50.0% of the aggregate amount of the Revolving Commitments at such time.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2.16. Increase in Revolving Commitments.</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The Borrower shall have the right, at any time and from time to time, to request increases in the aggregate amount of the Revolving Commitments by providing written notice to the Administrative Agent, which notice shall be irrevocable once given;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after giving effect to any such increases the aggregate amount of the Revolving Commitments shall not exceed $1,500,000,000 minus the amount of any reduction of the Revolving Commitments effected pursuant to Section 2.12. hereof. Each such increase in the Revolving Commitments must be an aggregate minimum amount of $10,000,000 and integral multiples of $5,000,000 in excess thereof. If the request is approved by the Administrative Agent, the Administrative Agent, in consultation with the Borrower, shall manage all aspects of the syndication of such increase in the Revolving Commitments, including decisions as to the selection of the existing Lenders and/or other banks, financial institutions and other institutional lenders to be approached with respect to such increase and the allocations of the increase in the Revolving Commitments among such existing Lenders and/or other banks, financial institutions and other institutional lenders; provided that any such other banks, financial institutions and other institutional lenders and the amounts of the respective increases and the allocations of such increases in Commitments or new Commitments, as the case may be, shall be reasonably acceptable to the Borrower. No Lender shall be obligated in any way whatsoever to increase its Revolving Commitment or provide a new Revolving Commitment, and any new Lender becoming a party to this Agreement in connection with any such requested increase must be an Eligible Assignee. If a new Lender becomes a party to this Agreement, or if any existing Lender is increasing its Revolving Commitment, such Lender shall on the date it becomes a Lender hereunder (or in the case of an existing Lender, increases its Revolving Commitment) (and as a condition thereto) purchase from the other Lenders its Revolving Commitment Percentage (determined with respect to the Lenders’ respective Revolving Commitments and after giving effect to the increase of Revolving Commitments) of any outstanding Revolving Loans, by making available to the Administrative Agent for the account of such other Lenders, in same day funds, an amount equal to the sum of (A) the portion of the outstanding principal amount of</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000"/>
          </w:cols>
          <w:pgMar w:left="440" w:top="270" w:right="459" w:bottom="1440" w:gutter="0" w:footer="0" w:header="0"/>
        </w:sectPr>
      </w:pPr>
    </w:p>
    <w:bookmarkStart w:id="59" w:name="page60"/>
    <w:bookmarkEnd w:id="59"/>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such Revolving Loans to be purchased by such Lender,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aggregate amount of payments previously made by the other Lenders under Section 2.3.(j) that have not been repaid,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(C) interest accrued and unpaid to and as of such date on such portion of the outstanding principal amount of such Revolving Loans. The Borrower shall pay to the Lenders amounts payable, if any, to such Lenders under Section 4.4. as a result of the prepayment of any such Revolving Loans. In connection with any increase of the Revolving Commitments under this Section, (I) the Borrower shall certify to any Person to become a Lender or any Lender increasing the amount of its Commitment whether (x) a Default or Event of Default shall be in existence on the effective date of such increase, (y) the representations and warranties made or deemed made by the Borrower or any other Loan Party in any Loan Document to which such Loan Party is a party are true and correct on the effective date of such increase except to the extent that such representations and warranties expressly relate solely to an earlier date (in which case whether such representations and warranties are true and correct on and as of such earlier date) and except for changes in factual circumstances not prohibited hereunder, (II) if a Default Event of Default exists or any such representation or warranty is not true and correct on the effective date of such increase, any Person to become a Lender or any Lender to increase the amount of its commitment may, in its sole discretion, elect not to do so, and (III) the Administrative Agent shall have received each of the following, in form and substance reasonably satisfactory to the Administrative Agent: (i) if not previously delivered to the Administrative Agent, copies certified by the Secretary or Assistant Secretary of (A) all corporate, partnership, member or other necessary action taken by the Borrower to authorize such increase and (B) all corporate, partnership, member or other necessary action taken by each Guarantor authorizing the guaranty of such increase; and</w:t>
      </w:r>
    </w:p>
    <w:p>
      <w:pPr>
        <w:spacing w:after="0" w:line="2" w:lineRule="exact"/>
        <w:rPr>
          <w:sz w:val="20"/>
          <w:szCs w:val="20"/>
          <w:color w:val="auto"/>
        </w:rPr>
      </w:pPr>
    </w:p>
    <w:p>
      <w:pPr>
        <w:ind w:right="300" w:firstLine="4"/>
        <w:spacing w:after="0" w:line="290" w:lineRule="auto"/>
        <w:tabs>
          <w:tab w:leader="none" w:pos="265" w:val="left"/>
        </w:tabs>
        <w:numPr>
          <w:ilvl w:val="0"/>
          <w:numId w:val="55"/>
        </w:numPr>
        <w:rPr>
          <w:rFonts w:ascii="Arial" w:cs="Arial" w:eastAsia="Arial" w:hAnsi="Arial"/>
          <w:sz w:val="16"/>
          <w:szCs w:val="16"/>
          <w:color w:val="auto"/>
        </w:rPr>
      </w:pPr>
      <w:r>
        <w:rPr>
          <w:rFonts w:ascii="Arial" w:cs="Arial" w:eastAsia="Arial" w:hAnsi="Arial"/>
          <w:sz w:val="16"/>
          <w:szCs w:val="16"/>
          <w:color w:val="auto"/>
        </w:rPr>
        <w:t>an opinion of counsel to the Borrower and the Guarantors, and addressed to the Administrative Agent and the Lenders covering such matters as reasonably requested by the Administrative Agent; and (iii) new Revolving Notes executed by the Borrower, payable to any new Lenders and replacement Revolving Notes executed by the Borrower, payable to any existing Lenders increasing their Revolving Commitments, in the amount of such Lender’s Revolving Commitment at the time of the effectiveness of the applicable increase in the aggregate amount of the Revolving Commitments. In connection with any increase in the aggregate amount of the Revolving Commitments pursuant to this Section 2.16. any Lender becoming a party hereto shall execute such documents and agreements as the Administrative Agent may reasonably request.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2.17. Funds Transfer Disbursements.</w:t>
      </w:r>
    </w:p>
    <w:p>
      <w:pPr>
        <w:spacing w:after="0" w:line="121" w:lineRule="exact"/>
        <w:rPr>
          <w:sz w:val="20"/>
          <w:szCs w:val="20"/>
          <w:color w:val="auto"/>
        </w:rPr>
      </w:pPr>
    </w:p>
    <w:p>
      <w:pPr>
        <w:jc w:val="both"/>
        <w:ind w:right="300" w:firstLine="441"/>
        <w:spacing w:after="0" w:line="264" w:lineRule="auto"/>
        <w:rPr>
          <w:sz w:val="20"/>
          <w:szCs w:val="20"/>
          <w:color w:val="auto"/>
        </w:rPr>
      </w:pPr>
      <w:r>
        <w:rPr>
          <w:rFonts w:ascii="Arial" w:cs="Arial" w:eastAsia="Arial" w:hAnsi="Arial"/>
          <w:sz w:val="18"/>
          <w:szCs w:val="18"/>
          <w:color w:val="auto"/>
        </w:rPr>
        <w:t>The Borrower hereby authorizes the Administrative Agent to disburse the proceeds of any Loan made by the Lenders or any of their Affiliates pursuant to the Loan Documents as requested by an authorized representative of the Borrower to any of the accounts designated in the Disbursement Instruction Agreement.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III. P</w:t>
      </w:r>
      <w:r>
        <w:rPr>
          <w:rFonts w:ascii="Arial" w:cs="Arial" w:eastAsia="Arial" w:hAnsi="Arial"/>
          <w:sz w:val="15"/>
          <w:szCs w:val="15"/>
          <w:b w:val="1"/>
          <w:bCs w:val="1"/>
          <w:color w:val="auto"/>
        </w:rPr>
        <w:t>AYMENTS</w:t>
      </w:r>
      <w:r>
        <w:rPr>
          <w:rFonts w:ascii="Arial" w:cs="Arial" w:eastAsia="Arial" w:hAnsi="Arial"/>
          <w:sz w:val="18"/>
          <w:szCs w:val="18"/>
          <w:b w:val="1"/>
          <w:bCs w:val="1"/>
          <w:color w:val="auto"/>
        </w:rPr>
        <w:t>, F</w:t>
      </w:r>
      <w:r>
        <w:rPr>
          <w:rFonts w:ascii="Arial" w:cs="Arial" w:eastAsia="Arial" w:hAnsi="Arial"/>
          <w:sz w:val="15"/>
          <w:szCs w:val="15"/>
          <w:b w:val="1"/>
          <w:bCs w:val="1"/>
          <w:color w:val="auto"/>
        </w:rPr>
        <w:t>EES AND</w:t>
      </w:r>
      <w:r>
        <w:rPr>
          <w:rFonts w:ascii="Arial" w:cs="Arial" w:eastAsia="Arial" w:hAnsi="Arial"/>
          <w:sz w:val="18"/>
          <w:szCs w:val="18"/>
          <w:b w:val="1"/>
          <w:bCs w:val="1"/>
          <w:color w:val="auto"/>
        </w:rPr>
        <w:t xml:space="preserve"> O</w:t>
      </w:r>
      <w:r>
        <w:rPr>
          <w:rFonts w:ascii="Arial" w:cs="Arial" w:eastAsia="Arial" w:hAnsi="Arial"/>
          <w:sz w:val="15"/>
          <w:szCs w:val="15"/>
          <w:b w:val="1"/>
          <w:bCs w:val="1"/>
          <w:color w:val="auto"/>
        </w:rPr>
        <w:t>THER</w:t>
      </w:r>
      <w:r>
        <w:rPr>
          <w:rFonts w:ascii="Arial" w:cs="Arial" w:eastAsia="Arial" w:hAnsi="Arial"/>
          <w:sz w:val="18"/>
          <w:szCs w:val="18"/>
          <w:b w:val="1"/>
          <w:bCs w:val="1"/>
          <w:color w:val="auto"/>
        </w:rPr>
        <w:t xml:space="preserve"> G</w:t>
      </w:r>
      <w:r>
        <w:rPr>
          <w:rFonts w:ascii="Arial" w:cs="Arial" w:eastAsia="Arial" w:hAnsi="Arial"/>
          <w:sz w:val="15"/>
          <w:szCs w:val="15"/>
          <w:b w:val="1"/>
          <w:bCs w:val="1"/>
          <w:color w:val="auto"/>
        </w:rPr>
        <w:t>ENERAL</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 Payments.</w:t>
      </w:r>
    </w:p>
    <w:p>
      <w:pPr>
        <w:spacing w:after="0" w:line="121" w:lineRule="exact"/>
        <w:rPr>
          <w:sz w:val="20"/>
          <w:szCs w:val="20"/>
          <w:color w:val="auto"/>
        </w:rPr>
      </w:pPr>
    </w:p>
    <w:p>
      <w:pPr>
        <w:ind w:right="80" w:firstLine="444"/>
        <w:spacing w:after="0" w:line="291" w:lineRule="auto"/>
        <w:tabs>
          <w:tab w:leader="none" w:pos="685"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Payments by Borrower</w:t>
      </w:r>
      <w:r>
        <w:rPr>
          <w:rFonts w:ascii="Arial" w:cs="Arial" w:eastAsia="Arial" w:hAnsi="Arial"/>
          <w:sz w:val="16"/>
          <w:szCs w:val="16"/>
          <w:color w:val="auto"/>
        </w:rPr>
        <w:t>. Except to the extent otherwise provided herein, all payments of principal, interest, Fees and other amounts to be made by the Borrower under this Agreement, the Notes or any other Loan Document shall be made in Dollars, in immediately available funds, without setoff, deduction or counterclaim (excluding Taxes required to be withheld pursuant to Section 3.10.), to the Administrative Agent at the Principal Office, not later than 11:00 a.m. Pacific time on the date on which such payment shall become due (each such payment made after such time on such due date to be deemed to have been made on the next succeeding Business Day). Subject to Section 10.5., the Borrower shall, at the time of making each payment under this Agreement or any other Loan Document, specify to the Administrative Agent the amounts payable by the Borrower hereunder to which such payment is to be applied. Each payment received by the Administrative Agent for the account of a Lender under this</w:t>
      </w:r>
    </w:p>
    <w:p>
      <w:pPr>
        <w:spacing w:after="0" w:line="99" w:lineRule="exact"/>
        <w:rPr>
          <w:rFonts w:ascii="Arial" w:cs="Arial" w:eastAsia="Arial" w:hAnsi="Arial"/>
          <w:sz w:val="16"/>
          <w:szCs w:val="16"/>
          <w:color w:val="auto"/>
        </w:rPr>
      </w:pPr>
    </w:p>
    <w:p>
      <w:pPr>
        <w:ind w:left="5420" w:hanging="101"/>
        <w:spacing w:after="0"/>
        <w:tabs>
          <w:tab w:leader="none" w:pos="5420" w:val="left"/>
        </w:tabs>
        <w:numPr>
          <w:ilvl w:val="1"/>
          <w:numId w:val="56"/>
        </w:numPr>
        <w:rPr>
          <w:rFonts w:ascii="Arial" w:cs="Arial" w:eastAsia="Arial" w:hAnsi="Arial"/>
          <w:sz w:val="18"/>
          <w:szCs w:val="18"/>
          <w:color w:val="auto"/>
        </w:rPr>
      </w:pPr>
      <w:r>
        <w:rPr>
          <w:rFonts w:ascii="Arial" w:cs="Arial" w:eastAsia="Arial" w:hAnsi="Arial"/>
          <w:sz w:val="18"/>
          <w:szCs w:val="18"/>
          <w:color w:val="auto"/>
        </w:rPr>
        <w:t>51 -</w:t>
      </w:r>
    </w:p>
    <w:p>
      <w:pPr>
        <w:sectPr>
          <w:pgSz w:w="11900" w:h="16838" w:orient="portrait"/>
          <w:cols w:equalWidth="0" w:num="1">
            <w:col w:w="11020"/>
          </w:cols>
          <w:pgMar w:left="440" w:top="274" w:right="439" w:bottom="1440" w:gutter="0" w:footer="0" w:header="0"/>
        </w:sectPr>
      </w:pPr>
    </w:p>
    <w:bookmarkStart w:id="60" w:name="page61"/>
    <w:bookmarkEnd w:id="60"/>
    <w:p>
      <w:pPr>
        <w:ind w:right="4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or any Note shall be paid to such Lender by wire transfer of immediately available funds in accordance with the wiring instructions provided by such Lender to the Administrative Agent from time to time, for the account of such Lender at the applicable Lending Office of such Lender. Each payment received by the Administrative Agent for the account of the Issuing Bank under this Agreement shall be paid to the Issuing Bank by wire transfer of immediately available funds in accordance with the wiring instructions provided by the Issuing Bank to the Administrative Agent from time to time, for the account of the Issuing Bank. In the event the Administrative Agent fails to pay such amounts to such Lender or the Issuing Bank, as the case may be, within one Business Day of receipt of such amounts, the Administrative Agent shall pay interest on such amount until paid at a rate per annum equal to the Federal Funds Rate from time to time in effect. If the due date of any payment under this Agreement or any other Loan Document would otherwise fall on a day which is not a Business Day such date shall be extended to the next succeeding Business Day and interest shall continue to accrue at the rate, if any, applicable to such payment for the period of such extension.</w:t>
      </w:r>
    </w:p>
    <w:p>
      <w:pPr>
        <w:spacing w:after="0" w:line="74" w:lineRule="exact"/>
        <w:rPr>
          <w:sz w:val="20"/>
          <w:szCs w:val="20"/>
          <w:color w:val="auto"/>
        </w:rPr>
      </w:pPr>
    </w:p>
    <w:p>
      <w:pPr>
        <w:ind w:firstLine="444"/>
        <w:spacing w:after="0" w:line="291" w:lineRule="auto"/>
        <w:tabs>
          <w:tab w:leader="none" w:pos="695" w:val="left"/>
        </w:tabs>
        <w:numPr>
          <w:ilvl w:val="0"/>
          <w:numId w:val="57"/>
        </w:numPr>
        <w:rPr>
          <w:rFonts w:ascii="Arial" w:cs="Arial" w:eastAsia="Arial" w:hAnsi="Arial"/>
          <w:sz w:val="16"/>
          <w:szCs w:val="16"/>
          <w:color w:val="auto"/>
        </w:rPr>
      </w:pPr>
      <w:r>
        <w:rPr>
          <w:rFonts w:ascii="Arial" w:cs="Arial" w:eastAsia="Arial" w:hAnsi="Arial"/>
          <w:sz w:val="16"/>
          <w:szCs w:val="16"/>
          <w:u w:val="single" w:color="auto"/>
          <w:color w:val="auto"/>
        </w:rPr>
        <w:t>Presumptions Regarding Payments by Borrower</w:t>
      </w:r>
      <w:r>
        <w:rPr>
          <w:rFonts w:ascii="Arial" w:cs="Arial" w:eastAsia="Arial" w:hAnsi="Arial"/>
          <w:sz w:val="16"/>
          <w:szCs w:val="16"/>
          <w:color w:val="auto"/>
        </w:rPr>
        <w:t>. Unless the Administrative Agent shall have received notice from the Borrower prior to the date on which any payment is due to the Administrative Agent for the account of the Lenders or the Issuing Bank hereunder that the Borrower will not make such payment, the Administrative Agent may assume that the Borrower has made such payment on such date in accordance herewith and may (but shall not be obligated to), in reliance upon such assumption, distribute to the Lenders or the Issuing Bank, as the case may be, the amount due. In such event, if the Borrower has not in fact made such payment, then each of the Lenders or the Issuing Bank, as the case may be, severally agrees to repay to the Administrative Agent on demand that amount so distributed to such Lender or the Issuing Bank, with interest thereon, for each day from and including the date such amount is distributed to it to but excluding the date of payment to the Administrative Agent, at the Federal Funds Rate.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3.2. Pro Rata Treatment.</w:t>
      </w:r>
    </w:p>
    <w:p>
      <w:pPr>
        <w:spacing w:after="0" w:line="12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Except to the extent otherwise provided herein: (a) each borrowing from the Lenders under Sections 2.1.(a), 2.3.(e) and 2.4.(e) shall be made from the Lenders, each payment of the fees under Sections 3.5.(a), 3.5.(b), the first sentence of 3.5.(c), and 3.5.(e) shall be made for the account of the Lenders, and each termination or reduction of the amount of the Revolving Commitments under Section 2.12. shall be applied to the respective Revolving Commitments of the Lenders, pro rata according to the amounts of their respective Revolving Commitments; (b) each payment or prepayment of principal of Revolving Loans shall be made for the account of the Lenders pro rata in accordance with the respective unpaid principal amounts of the Revolving Loans held by them, provided that, subject to Section 3.9., if immediately prior to giving effect to any such payment in respect of any Revolving Loans the outstanding principal amount of the Revolving Loans shall not be held by the Lenders pro rata in accordance with their respective Revolving Commitments in effect at the time such Revolving Loans were made, then such payment shall be applied to the Revolving Loans in such manner as shall result, as nearly as is practicable, in the outstanding principal amount of the Revolving Loans being held by the Lenders pro rata in accordance with their respective Revolving Commitments; (c) each payment of interest on Revolving Loans shall be made for the account of the Lenders pro rata in accordance with the amounts of interest on such Revolving Loans then due and payable to the respective Lenders; (d) the making, Conversion and Continuation of Revolving Loans of a particular Type (other than Conversions provided for by Sections 4.1.(c) and 4.5.) shall be made pro rata among the Lenders according to the amounts of their respective Revolving Loans and the then current Interest Period for each Lender’s portion of each such Loan of such Type shall be coterminous; (e) each prepayment of principal of Bid Rate Loans by the Borrower pursuant to Section 2.8.(b)</w:t>
      </w:r>
    </w:p>
    <w:p>
      <w:pPr>
        <w:spacing w:after="0" w:line="2" w:lineRule="exact"/>
        <w:rPr>
          <w:sz w:val="20"/>
          <w:szCs w:val="20"/>
          <w:color w:val="auto"/>
        </w:rPr>
      </w:pPr>
    </w:p>
    <w:p>
      <w:pPr>
        <w:ind w:right="40" w:firstLine="4"/>
        <w:spacing w:after="0" w:line="255" w:lineRule="auto"/>
        <w:tabs>
          <w:tab w:leader="none" w:pos="265"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shall, unless otherwise directed by the Borrower, be made for account of the Lenders then owed Bid Rate Loans pro rata in accordance with the respective unpaid principal amounts of the Bid Rate Loans then owing to each such Lender; (f) the Lenders’ participation in, and payment obligations in respect of, Swingline Loans under Section 2.4., shall be in accordance with their</w:t>
      </w:r>
    </w:p>
    <w:p>
      <w:pPr>
        <w:spacing w:after="0" w:line="122" w:lineRule="exact"/>
        <w:rPr>
          <w:rFonts w:ascii="Arial" w:cs="Arial" w:eastAsia="Arial" w:hAnsi="Arial"/>
          <w:sz w:val="18"/>
          <w:szCs w:val="18"/>
          <w:color w:val="auto"/>
        </w:rPr>
      </w:pPr>
    </w:p>
    <w:p>
      <w:pPr>
        <w:ind w:left="5420" w:hanging="101"/>
        <w:spacing w:after="0"/>
        <w:tabs>
          <w:tab w:leader="none" w:pos="5420" w:val="left"/>
        </w:tabs>
        <w:numPr>
          <w:ilvl w:val="1"/>
          <w:numId w:val="58"/>
        </w:numPr>
        <w:rPr>
          <w:rFonts w:ascii="Arial" w:cs="Arial" w:eastAsia="Arial" w:hAnsi="Arial"/>
          <w:sz w:val="18"/>
          <w:szCs w:val="18"/>
          <w:color w:val="auto"/>
        </w:rPr>
      </w:pPr>
      <w:r>
        <w:rPr>
          <w:rFonts w:ascii="Arial" w:cs="Arial" w:eastAsia="Arial" w:hAnsi="Arial"/>
          <w:sz w:val="18"/>
          <w:szCs w:val="18"/>
          <w:color w:val="auto"/>
        </w:rPr>
        <w:t>52 -</w:t>
      </w:r>
    </w:p>
    <w:p>
      <w:pPr>
        <w:sectPr>
          <w:pgSz w:w="11900" w:h="16838" w:orient="portrait"/>
          <w:cols w:equalWidth="0" w:num="1">
            <w:col w:w="11020"/>
          </w:cols>
          <w:pgMar w:left="440" w:top="274" w:right="439" w:bottom="1440" w:gutter="0" w:footer="0" w:header="0"/>
        </w:sectPr>
      </w:pPr>
    </w:p>
    <w:bookmarkStart w:id="61" w:name="page62"/>
    <w:bookmarkEnd w:id="61"/>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respective Revolving Commitment Percentages; and (g) the Lenders’ participation in, and payment obligations in respect of, Letters of Credit under Section 2.3., shall be in accordance with their respective Revolving Commitment Percentages. All payments of principal, interest, fees and other amounts in respect of the Swingline Loans shall be for the account of the Swingline Lender only (except to the extent any Lender shall have acquired a participating interest in any such Swingline Loan pursuant to Section 2.4.(e), in which case such payments shall be pro rata in accordance with such participating interests).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3.3. Sharing of Payments, Etc.</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If a Lender shall obtain payment of any principal of, or interest on, any Loan made by it to the Borrower under this Agreement or shall obtain payment on any other Obligation owing by the Borrower or any other Loan Party through the exercise of any right of set-off, banker’s lien, counterclaim or similar right or otherwise or through voluntary prepayments directly to a Lender or other payments made by or on behalf the Borrower or any other Loan Party to a Lender (other than any payment in respect of Specified Derivatives Obligations) not in accordance with the terms of this Agreement and such payment should be distributed to the Lenders in accordance with Section 3.2. or Section 10.5., as applicable, such Lender shall promptly purchase from the other Lenders participations in (or, if and to the extent specified by such Lender, direct interests in) the Loans made by the other Lenders or other Obligations owed to such other Lenders in such amounts, and make such other adjustments from time to time as shall be equitable, to the end that all the Lenders shall share the benefit of such payment (net of any reasonable expenses which may actually be incurred by such Lender in obtaining or preserving such benefit) in accordance with the requirements of Section 3.2. or Section 10.5., as applicable. To such end, all the Lenders shall make appropriate adjustments among themselves (by the resale of participations sold or otherwise) if such payment is rescinded or must otherwise be restored. The Borrower agrees that any Lender so purchasing a participation (or direct interest) in the Loans or other Obligations owed to such other Lenders may exercise all rights of set-off, banker’s lien, counterclaim or similar rights with respect to such participation as fully as if such Lender were a direct holder of Loans in the amount of such participation. Nothing contained herein shall require any Lender to exercise any such right or shall affect the right of any Lender to exercise and retain the benefits of exercising, any such right with respect to any other indebtedness or obligation of the Borrower.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3.4. Several Obligations.</w:t>
      </w:r>
    </w:p>
    <w:p>
      <w:pPr>
        <w:spacing w:after="0" w:line="121" w:lineRule="exact"/>
        <w:rPr>
          <w:sz w:val="20"/>
          <w:szCs w:val="20"/>
          <w:color w:val="auto"/>
        </w:rPr>
      </w:pPr>
    </w:p>
    <w:p>
      <w:pPr>
        <w:jc w:val="both"/>
        <w:ind w:right="60" w:firstLine="441"/>
        <w:spacing w:after="0" w:line="312" w:lineRule="auto"/>
        <w:rPr>
          <w:sz w:val="20"/>
          <w:szCs w:val="20"/>
          <w:color w:val="auto"/>
        </w:rPr>
      </w:pPr>
      <w:r>
        <w:rPr>
          <w:rFonts w:ascii="Arial" w:cs="Arial" w:eastAsia="Arial" w:hAnsi="Arial"/>
          <w:sz w:val="16"/>
          <w:szCs w:val="16"/>
          <w:color w:val="auto"/>
        </w:rPr>
        <w:t>No Lender shall be responsible for the failure of any other Lender to make a Loan or to perform any other obligation to be made or performed by such other Lender hereunder, and the failure of any Lender to make a Loan or to perform any other obligation to be made or performed by it hereunder shall not relieve the obligation of any other Lender to make any Loan or to perform any other obligation to be made or performed by such other Lender.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3.5. Fees.</w:t>
      </w:r>
    </w:p>
    <w:p>
      <w:pPr>
        <w:spacing w:after="0" w:line="121" w:lineRule="exact"/>
        <w:rPr>
          <w:sz w:val="20"/>
          <w:szCs w:val="20"/>
          <w:color w:val="auto"/>
        </w:rPr>
      </w:pPr>
    </w:p>
    <w:p>
      <w:pPr>
        <w:ind w:right="40" w:firstLine="444"/>
        <w:spacing w:after="0" w:line="277" w:lineRule="auto"/>
        <w:tabs>
          <w:tab w:leader="none" w:pos="68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Closing Fee</w:t>
      </w:r>
      <w:r>
        <w:rPr>
          <w:rFonts w:ascii="Arial" w:cs="Arial" w:eastAsia="Arial" w:hAnsi="Arial"/>
          <w:sz w:val="18"/>
          <w:szCs w:val="18"/>
          <w:color w:val="auto"/>
        </w:rPr>
        <w:t>. On the Effective Date, the Borrower agrees to pay to the Administrative Agent and each Lender all loan fees as have been agreed to in writing by the Borrower and the Administrative Agent.</w:t>
      </w:r>
    </w:p>
    <w:p>
      <w:pPr>
        <w:spacing w:after="0" w:line="62" w:lineRule="exact"/>
        <w:rPr>
          <w:rFonts w:ascii="Arial" w:cs="Arial" w:eastAsia="Arial" w:hAnsi="Arial"/>
          <w:sz w:val="18"/>
          <w:szCs w:val="18"/>
          <w:color w:val="auto"/>
        </w:rPr>
      </w:pPr>
    </w:p>
    <w:p>
      <w:pPr>
        <w:ind w:right="60" w:firstLine="444"/>
        <w:spacing w:after="0" w:line="255" w:lineRule="auto"/>
        <w:tabs>
          <w:tab w:leader="none" w:pos="695"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Facility Fees</w:t>
      </w:r>
      <w:r>
        <w:rPr>
          <w:rFonts w:ascii="Arial" w:cs="Arial" w:eastAsia="Arial" w:hAnsi="Arial"/>
          <w:sz w:val="18"/>
          <w:szCs w:val="18"/>
          <w:color w:val="auto"/>
        </w:rPr>
        <w:t>. During the period from the Effective Date to but excluding the Revolving Termination Date, the Borrower agrees to pay to the Administrative Agent for the account of the Lenders a facility fee equal to the daily aggregate amount of the Revolving Commitments (whether or not utilized) times a rate per annum equal to the Applicable Facility Fee. Such fee shall be payable quarterly in arrears on the first day of each January, April, July and October during the term of this Agreement and on the Revolving Termination Date or any earlier date of termination of the Revolving Commitments or reduction of the Revolving Commitments to zero. The Borrower acknowledges that the fee payable hereunder is a bona fide commitment fee and is intended as reasonable compensation to the Lenders for committing to make funds available to the Borrower as described herein and for no other purposes.</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53 -</w:t>
      </w:r>
    </w:p>
    <w:p>
      <w:pPr>
        <w:sectPr>
          <w:pgSz w:w="11900" w:h="16838" w:orient="portrait"/>
          <w:cols w:equalWidth="0" w:num="1">
            <w:col w:w="11000"/>
          </w:cols>
          <w:pgMar w:left="440" w:top="274" w:right="459" w:bottom="1440" w:gutter="0" w:footer="0" w:header="0"/>
        </w:sectPr>
      </w:pPr>
    </w:p>
    <w:bookmarkStart w:id="62" w:name="page63"/>
    <w:bookmarkEnd w:id="62"/>
    <w:p>
      <w:pPr>
        <w:ind w:right="40" w:firstLine="444"/>
        <w:spacing w:after="0" w:line="284" w:lineRule="auto"/>
        <w:tabs>
          <w:tab w:leader="none" w:pos="685" w:val="left"/>
        </w:tabs>
        <w:numPr>
          <w:ilvl w:val="1"/>
          <w:numId w:val="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Letter of Credit Fees</w:t>
      </w:r>
      <w:r>
        <w:rPr>
          <w:rFonts w:ascii="Arial" w:cs="Arial" w:eastAsia="Arial" w:hAnsi="Arial"/>
          <w:sz w:val="16"/>
          <w:szCs w:val="16"/>
          <w:color w:val="auto"/>
        </w:rPr>
        <w:t xml:space="preserve">. The Borrower agrees to pay to the Administrative Agent for the account of each Lender a letter of credit fee at a rate per annum equal to the Applicable Margin for LIBOR Loans times the daily average Stated Amount of each Letter of Credit for the period from and including the date of issuance of such Letter of Credit (x) to and including the date such Letter of Credit expires or is cancelled or (y) to but excluding the date such Letter of Credit is drawn in full. In addition to such fees, the Borrower shall pay to the Issuing Bank solely for its own account, a fronting fee in respect of each Letter of Credit equal to one-eighth of one percent (0.125%) of the initial Stated Amount of such Letter of Credit;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in no event shall the aggregate amount of such fee in respect of any Letter of Credit be less than $1,000. The fees provided for in this subsection shall be nonrefundable and payable, in the case of the fee provided for in the first sentence, in arrears (i) quarterly on the first day of January, April, July and October, (ii) on the Revolving Termination Date, (iii) on the date the Revolving Commitments are terminated or reduced to zero and</w:t>
      </w:r>
    </w:p>
    <w:p>
      <w:pPr>
        <w:spacing w:after="0" w:line="1" w:lineRule="exact"/>
        <w:rPr>
          <w:rFonts w:ascii="Arial" w:cs="Arial" w:eastAsia="Arial" w:hAnsi="Arial"/>
          <w:sz w:val="16"/>
          <w:szCs w:val="16"/>
          <w:color w:val="auto"/>
        </w:rPr>
      </w:pPr>
    </w:p>
    <w:p>
      <w:pPr>
        <w:ind w:firstLine="4"/>
        <w:spacing w:after="0" w:line="273" w:lineRule="auto"/>
        <w:tabs>
          <w:tab w:leader="none" w:pos="305"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thereafter from time to time on demand of the Administrative Agent and in the case of the fee provided for in the second sentence of this subsection, at the time of issuance of such Letter of Credit. The Borrower shall pay directly to the Issuing Bank from time to time on demand all commissions, charges, costs and expenses in the amounts customarily charged or incurred by the Issuing Bank from time to time in like circumstances with respect to the issuance, amendment, renewal or extension of any Letter of Credit or any other transaction relating thereto.</w:t>
      </w:r>
    </w:p>
    <w:p>
      <w:pPr>
        <w:spacing w:after="0" w:line="68" w:lineRule="exact"/>
        <w:rPr>
          <w:rFonts w:ascii="Arial" w:cs="Arial" w:eastAsia="Arial" w:hAnsi="Arial"/>
          <w:sz w:val="17"/>
          <w:szCs w:val="17"/>
          <w:color w:val="auto"/>
        </w:rPr>
      </w:pPr>
    </w:p>
    <w:p>
      <w:pPr>
        <w:ind w:firstLine="444"/>
        <w:spacing w:after="0" w:line="277" w:lineRule="auto"/>
        <w:tabs>
          <w:tab w:leader="none" w:pos="695"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Bid Rate Loan Fees</w:t>
      </w:r>
      <w:r>
        <w:rPr>
          <w:rFonts w:ascii="Arial" w:cs="Arial" w:eastAsia="Arial" w:hAnsi="Arial"/>
          <w:sz w:val="18"/>
          <w:szCs w:val="18"/>
          <w:color w:val="auto"/>
        </w:rPr>
        <w:t>. The Borrower agrees to pay to the Administrative Agent a fee equal to $2,000 at the time of each Bid Rate Quote Request made hereunder for services rendered by the Administrative Agent in connection with the Bid Rate Loans.</w:t>
      </w:r>
    </w:p>
    <w:p>
      <w:pPr>
        <w:spacing w:after="0" w:line="62" w:lineRule="exact"/>
        <w:rPr>
          <w:rFonts w:ascii="Arial" w:cs="Arial" w:eastAsia="Arial" w:hAnsi="Arial"/>
          <w:sz w:val="18"/>
          <w:szCs w:val="18"/>
          <w:color w:val="auto"/>
        </w:rPr>
      </w:pPr>
    </w:p>
    <w:p>
      <w:pPr>
        <w:ind w:left="680" w:hanging="236"/>
        <w:spacing w:after="0"/>
        <w:tabs>
          <w:tab w:leader="none" w:pos="680" w:val="left"/>
        </w:tabs>
        <w:numPr>
          <w:ilvl w:val="1"/>
          <w:numId w:val="61"/>
        </w:numPr>
        <w:rPr>
          <w:rFonts w:ascii="Arial" w:cs="Arial" w:eastAsia="Arial" w:hAnsi="Arial"/>
          <w:sz w:val="18"/>
          <w:szCs w:val="18"/>
          <w:color w:val="auto"/>
        </w:rPr>
      </w:pPr>
      <w:r>
        <w:rPr>
          <w:rFonts w:ascii="Arial" w:cs="Arial" w:eastAsia="Arial" w:hAnsi="Arial"/>
          <w:sz w:val="18"/>
          <w:szCs w:val="18"/>
          <w:u w:val="single" w:color="auto"/>
          <w:color w:val="auto"/>
        </w:rPr>
        <w:t>Revolving Credit Extension Fee</w:t>
      </w:r>
      <w:r>
        <w:rPr>
          <w:rFonts w:ascii="Arial" w:cs="Arial" w:eastAsia="Arial" w:hAnsi="Arial"/>
          <w:sz w:val="18"/>
          <w:szCs w:val="18"/>
          <w:color w:val="auto"/>
        </w:rPr>
        <w:t>. If the Borrower exercises its right to extend the Revolving Termination Date in accordance with</w:t>
      </w:r>
    </w:p>
    <w:p>
      <w:pPr>
        <w:spacing w:after="0" w:line="2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Section 2.13., the Borrower shall pay to the Administrative Agent for the account of each Lender a fee equal to 0.0625% of the amount of such Lender’s Revolving Commitment (whether or not utilized) payable in connection with each such extension. Such fee shall be due and payable in full on the date the Administrative Agent receives the Extension Request pursuant to Section 2.13.</w:t>
      </w:r>
    </w:p>
    <w:p>
      <w:pPr>
        <w:spacing w:after="0" w:line="82" w:lineRule="exact"/>
        <w:rPr>
          <w:sz w:val="20"/>
          <w:szCs w:val="20"/>
          <w:color w:val="auto"/>
        </w:rPr>
      </w:pPr>
    </w:p>
    <w:p>
      <w:pPr>
        <w:ind w:right="220" w:firstLine="444"/>
        <w:spacing w:after="0" w:line="308" w:lineRule="auto"/>
        <w:tabs>
          <w:tab w:leader="none" w:pos="665" w:val="left"/>
        </w:tabs>
        <w:numPr>
          <w:ilvl w:val="0"/>
          <w:numId w:val="62"/>
        </w:numPr>
        <w:rPr>
          <w:rFonts w:ascii="Arial" w:cs="Arial" w:eastAsia="Arial" w:hAnsi="Arial"/>
          <w:sz w:val="17"/>
          <w:szCs w:val="17"/>
          <w:color w:val="auto"/>
        </w:rPr>
      </w:pPr>
      <w:r>
        <w:rPr>
          <w:rFonts w:ascii="Arial" w:cs="Arial" w:eastAsia="Arial" w:hAnsi="Arial"/>
          <w:sz w:val="17"/>
          <w:szCs w:val="17"/>
          <w:u w:val="single" w:color="auto"/>
          <w:color w:val="auto"/>
        </w:rPr>
        <w:t>Administrative and Other Fees</w:t>
      </w:r>
      <w:r>
        <w:rPr>
          <w:rFonts w:ascii="Arial" w:cs="Arial" w:eastAsia="Arial" w:hAnsi="Arial"/>
          <w:sz w:val="17"/>
          <w:szCs w:val="17"/>
          <w:color w:val="auto"/>
        </w:rPr>
        <w:t>. The Borrower agrees to pay the administrative and other fees of the Administrative Agent as provided in the Fee Letter and as may be otherwise agreed to in writing from time to time by the Borrower, the Arrangers and the Administrative Agent.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3.6. Computations.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Unless otherwise expressly set forth herein, any accrued interest on any Loan, any Fees or any other Obligations due hereunder shall be computed on the basis of a year of 360 days and the actual number of days elapsed.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3.7. Usury.</w:t>
      </w:r>
    </w:p>
    <w:p>
      <w:pPr>
        <w:spacing w:after="0" w:line="121" w:lineRule="exact"/>
        <w:rPr>
          <w:sz w:val="20"/>
          <w:szCs w:val="20"/>
          <w:color w:val="auto"/>
        </w:rPr>
      </w:pPr>
    </w:p>
    <w:p>
      <w:pPr>
        <w:ind w:right="180" w:firstLine="441"/>
        <w:spacing w:after="0" w:line="297" w:lineRule="auto"/>
        <w:rPr>
          <w:sz w:val="20"/>
          <w:szCs w:val="20"/>
          <w:color w:val="auto"/>
        </w:rPr>
      </w:pPr>
      <w:r>
        <w:rPr>
          <w:rFonts w:ascii="Arial" w:cs="Arial" w:eastAsia="Arial" w:hAnsi="Arial"/>
          <w:sz w:val="16"/>
          <w:szCs w:val="16"/>
          <w:color w:val="auto"/>
        </w:rPr>
        <w:t>In no event shall the amount of interest due or payable on the Loans or other Obligations exceed the maximum rate of interest allowed by Applicable Law and, if any such payment is paid by the Borrower or any other Loan Party or received by any Lender, then such excess sum shall be credited as a payment of principal, unless the Borrower shall notify the respective Lender in writing that the Borrower elects to have such excess sum returned to it forthwith. It is the express intent of the parties hereto that the Borrower not pay and the Lenders not receive, directly or indirectly, in any manner whatsoever, interest in excess of that which may be lawfully paid by the Borrower under Applicable Law. The parties hereto hereby agree and</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000"/>
          </w:cols>
          <w:pgMar w:left="440" w:top="274" w:right="459" w:bottom="1440" w:gutter="0" w:footer="0" w:header="0"/>
        </w:sectPr>
      </w:pPr>
    </w:p>
    <w:bookmarkStart w:id="63" w:name="page64"/>
    <w:bookmarkEnd w:id="63"/>
    <w:p>
      <w:pPr>
        <w:ind w:right="2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stipulate that the only charge imposed upon the Borrower for the use of money in connection with this Agreement is and shall be the interest specifically described in Section 2.5.(a)(i) through (iv) and, with respect to Swingline Loans, in Section 2.4.(c). Notwithstanding the foregoing, the parties hereto further agree and stipulate that all agency fees, syndication fees, facility fees, closing fees, letter of credit fees, underwriting fees, default charges, late charges, funding or “breakage” charges, increased cost charges, attorneys’ fees and reimbursement for costs and expenses paid by the Administrative Agent or any Lender to third parties or for damages incurred by the Administrative Agent or any Lender, in each case, in connection with the transactions contemplated by this Agreement and the other Loan Documents, are charges made to compensate the Administrative Agent or any such Lender for underwriting or administrative services and costs or losses performed or incurred, and to be performed or incurred, by the Administrative Agent and the Lenders in connection with this Agreement and shall under no circumstances be deemed to be charges for the use of money. All charges other than charges for the use of money shall be fully earned and nonrefundable when due.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3.8. Statements of Account.</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The Administrative Agent will account to the Borrower monthly with a statement of Loans, accrued interest and Fees, charges and payments made pursuant to this Agreement and the other Loan Documents, and such account rendered by the Administrative Agent shall be deemed conclusive upon the Borrower absent manifest error. The failure of the Administrative Agent to deliver such a statement of accounts shall not relieve or discharge the Borrower from any of its obligations hereunder.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3.9. Defaulting Lenders.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Notwithstanding anything to the contrary contained in this Agreement, if any Lender becomes a Defaulting Lender, then, until such time as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Lender is no longer a Defaulting Lender, to the extent permitted by Applicable Law:</w:t>
      </w:r>
    </w:p>
    <w:p>
      <w:pPr>
        <w:spacing w:after="0" w:line="103" w:lineRule="exact"/>
        <w:rPr>
          <w:sz w:val="20"/>
          <w:szCs w:val="20"/>
          <w:color w:val="auto"/>
        </w:rPr>
      </w:pPr>
    </w:p>
    <w:p>
      <w:pPr>
        <w:ind w:right="80" w:firstLine="444"/>
        <w:spacing w:after="0" w:line="302" w:lineRule="auto"/>
        <w:tabs>
          <w:tab w:leader="none" w:pos="685" w:val="left"/>
        </w:tabs>
        <w:numPr>
          <w:ilvl w:val="0"/>
          <w:numId w:val="63"/>
        </w:numPr>
        <w:rPr>
          <w:rFonts w:ascii="Arial" w:cs="Arial" w:eastAsia="Arial" w:hAnsi="Arial"/>
          <w:sz w:val="16"/>
          <w:szCs w:val="16"/>
          <w:color w:val="auto"/>
        </w:rPr>
      </w:pPr>
      <w:r>
        <w:rPr>
          <w:rFonts w:ascii="Arial" w:cs="Arial" w:eastAsia="Arial" w:hAnsi="Arial"/>
          <w:sz w:val="16"/>
          <w:szCs w:val="16"/>
          <w:u w:val="single" w:color="auto"/>
          <w:color w:val="auto"/>
        </w:rPr>
        <w:t>Waivers and Amendments</w:t>
      </w:r>
      <w:r>
        <w:rPr>
          <w:rFonts w:ascii="Arial" w:cs="Arial" w:eastAsia="Arial" w:hAnsi="Arial"/>
          <w:sz w:val="16"/>
          <w:szCs w:val="16"/>
          <w:color w:val="auto"/>
        </w:rPr>
        <w:t>. Such Defaulting Lender’s right to approve or disapprove any amendment, waiver or consent with respect to this Agreement shall be restricted as set forth in the definition of Requisite Lenders. The rights and remedies of the Borrower, the Administrative Agent, the Issuing Bank, the Swingline Lender and the other Lenders against a Defaulting Lender under this Section are in addition to any other rights and remedies such parties may have against such Defaulting Lender under this Agreement, any of the Loan Documents, Applicable Law or otherwise.</w:t>
      </w:r>
    </w:p>
    <w:p>
      <w:pPr>
        <w:spacing w:after="0" w:line="46" w:lineRule="exact"/>
        <w:rPr>
          <w:rFonts w:ascii="Arial" w:cs="Arial" w:eastAsia="Arial" w:hAnsi="Arial"/>
          <w:sz w:val="16"/>
          <w:szCs w:val="16"/>
          <w:color w:val="auto"/>
        </w:rPr>
      </w:pPr>
    </w:p>
    <w:p>
      <w:pPr>
        <w:ind w:right="20" w:firstLine="444"/>
        <w:spacing w:after="0" w:line="269" w:lineRule="auto"/>
        <w:tabs>
          <w:tab w:leader="none" w:pos="695" w:val="left"/>
        </w:tabs>
        <w:numPr>
          <w:ilvl w:val="0"/>
          <w:numId w:val="63"/>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Article X. or otherwise) or received by the Administrative Agent from a Defaulting Lender pursuant to Section 3.3. shall be applied at such time or times as may be determined by the Administrative Agent as follows: </w:t>
      </w:r>
      <w:r>
        <w:rPr>
          <w:rFonts w:ascii="Arial" w:cs="Arial" w:eastAsia="Arial" w:hAnsi="Arial"/>
          <w:sz w:val="17"/>
          <w:szCs w:val="17"/>
          <w:u w:val="single" w:color="auto"/>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u w:val="single" w:color="auto"/>
          <w:color w:val="auto"/>
        </w:rPr>
        <w:t>second</w:t>
      </w:r>
      <w:r>
        <w:rPr>
          <w:rFonts w:ascii="Arial" w:cs="Arial" w:eastAsia="Arial" w:hAnsi="Arial"/>
          <w:sz w:val="17"/>
          <w:szCs w:val="17"/>
          <w:color w:val="auto"/>
        </w:rPr>
        <w:t xml:space="preserve">, to the payment on a pro rata basis of any amounts owing by such Defaulting Lender to the Issuing Bank or the Swingline Lender hereunder; </w:t>
      </w:r>
      <w:r>
        <w:rPr>
          <w:rFonts w:ascii="Arial" w:cs="Arial" w:eastAsia="Arial" w:hAnsi="Arial"/>
          <w:sz w:val="17"/>
          <w:szCs w:val="17"/>
          <w:u w:val="single" w:color="auto"/>
          <w:color w:val="auto"/>
        </w:rPr>
        <w:t>third</w:t>
      </w:r>
      <w:r>
        <w:rPr>
          <w:rFonts w:ascii="Arial" w:cs="Arial" w:eastAsia="Arial" w:hAnsi="Arial"/>
          <w:sz w:val="17"/>
          <w:szCs w:val="17"/>
          <w:color w:val="auto"/>
        </w:rPr>
        <w:t xml:space="preserve">, to Cash Collateralize the Issuing Bank’s Fronting Exposure with respect to such Defaulting Lender in accordance with subsection (e) below;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Arial" w:cs="Arial" w:eastAsia="Arial" w:hAnsi="Arial"/>
          <w:sz w:val="17"/>
          <w:szCs w:val="17"/>
          <w:u w:val="single" w:color="auto"/>
          <w:color w:val="auto"/>
        </w:rPr>
        <w:t>fifth</w:t>
      </w:r>
      <w:r>
        <w:rPr>
          <w:rFonts w:ascii="Arial" w:cs="Arial" w:eastAsia="Arial" w:hAnsi="Arial"/>
          <w:sz w:val="17"/>
          <w:szCs w:val="17"/>
          <w:color w:val="auto"/>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Bank’s future Fronting Exposure with respect to such Defaulting Lender with respect to future Letters of Credit issued under this Agreement, in accordance with subsection (e) below; </w:t>
      </w:r>
      <w:r>
        <w:rPr>
          <w:rFonts w:ascii="Arial" w:cs="Arial" w:eastAsia="Arial" w:hAnsi="Arial"/>
          <w:sz w:val="17"/>
          <w:szCs w:val="17"/>
          <w:u w:val="single" w:color="auto"/>
          <w:color w:val="auto"/>
        </w:rPr>
        <w:t>sixth</w:t>
      </w:r>
      <w:r>
        <w:rPr>
          <w:rFonts w:ascii="Arial" w:cs="Arial" w:eastAsia="Arial" w:hAnsi="Arial"/>
          <w:sz w:val="17"/>
          <w:szCs w:val="17"/>
          <w:color w:val="auto"/>
        </w:rPr>
        <w:t>, to the payment of any amounts owing to the Lenders, the Issuing Bank or the</w:t>
      </w:r>
    </w:p>
    <w:p>
      <w:pPr>
        <w:spacing w:after="0" w:line="112" w:lineRule="exact"/>
        <w:rPr>
          <w:rFonts w:ascii="Arial" w:cs="Arial" w:eastAsia="Arial" w:hAnsi="Arial"/>
          <w:sz w:val="17"/>
          <w:szCs w:val="17"/>
          <w:color w:val="auto"/>
        </w:rPr>
      </w:pPr>
    </w:p>
    <w:p>
      <w:pPr>
        <w:ind w:left="5420" w:hanging="101"/>
        <w:spacing w:after="0"/>
        <w:tabs>
          <w:tab w:leader="none" w:pos="54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55 -</w:t>
      </w:r>
    </w:p>
    <w:p>
      <w:pPr>
        <w:sectPr>
          <w:pgSz w:w="11900" w:h="16838" w:orient="portrait"/>
          <w:cols w:equalWidth="0" w:num="1">
            <w:col w:w="11020"/>
          </w:cols>
          <w:pgMar w:left="440" w:top="274" w:right="439" w:bottom="1440" w:gutter="0" w:footer="0" w:header="0"/>
        </w:sectPr>
      </w:pPr>
    </w:p>
    <w:bookmarkStart w:id="64" w:name="page65"/>
    <w:bookmarkEnd w:id="64"/>
    <w:p>
      <w:pPr>
        <w:ind w:right="8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Swingline Lender as a result of any judgment of a court of competent jurisdiction obtained by any Lender, the Issuing Bank or the Swingline Lender against such Defaulting Lender as a result of such Defaulting Lender’s breach of its obligations under this Agreement; </w:t>
      </w:r>
      <w:r>
        <w:rPr>
          <w:rFonts w:ascii="Arial" w:cs="Arial" w:eastAsia="Arial" w:hAnsi="Arial"/>
          <w:sz w:val="16"/>
          <w:szCs w:val="16"/>
          <w:u w:val="single" w:color="auto"/>
          <w:color w:val="auto"/>
        </w:rPr>
        <w:t>seventh</w:t>
      </w:r>
      <w:r>
        <w:rPr>
          <w:rFonts w:ascii="Arial" w:cs="Arial" w:eastAsia="Arial" w:hAnsi="Arial"/>
          <w:sz w:val="16"/>
          <w:szCs w:val="16"/>
          <w:color w:val="auto"/>
        </w:rPr>
        <w:t xml:space="preserve">, so long as no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6"/>
          <w:szCs w:val="16"/>
          <w:u w:val="single" w:color="auto"/>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(x) such payment is a payment of the principal amount of any Loans or amounts owing by such Defaulting Lender under Section 2.3.(j) in respect of Letters of Credit (such amounts</w:t>
      </w:r>
    </w:p>
    <w:p>
      <w:pPr>
        <w:spacing w:after="0" w:line="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L/C Disbursements</w:t>
      </w:r>
      <w:r>
        <w:rPr>
          <w:rFonts w:ascii="Arial" w:cs="Arial" w:eastAsia="Arial" w:hAnsi="Arial"/>
          <w:sz w:val="17"/>
          <w:szCs w:val="17"/>
          <w:color w:val="auto"/>
        </w:rPr>
        <w:t>”), in respect of which such Defaulting Lender has not fully funded its appropriate share, and (y) such Loans were made or the related Letters of Credit were issued at a time when the conditions set forth in Article V. were satisfied or waived, such payment shall be applied solely to pay the Loans of, and L/C Disbursements owed to, all Non-Defaulting Lenders on a pro rata basis prior to being applied to the payment of any Loans of, or L/C Disbursements owed to, such Defaulting Lender until such time as all Loans and funded and unfunded participations in Letter of Credit Liabilities and Swingline Loans are held by the Lenders pro rata in accordance with their respective Revolving Commitment Percentages (determined without giving effect to the immediately following subsection (d)). Any payments, prepayments or other amounts paid or payable to a Defaulting Lender that are applied (or held) to pay amounts owed by a Defaulting Lender or to post Cash Collateral pursuant to this subsection shall be deemed paid to and redirected by such Defaulting Lender, and each Lender irrevocably consents hereto.</w:t>
      </w:r>
    </w:p>
    <w:p>
      <w:pPr>
        <w:spacing w:after="0" w:line="76" w:lineRule="exact"/>
        <w:rPr>
          <w:sz w:val="20"/>
          <w:szCs w:val="20"/>
          <w:color w:val="auto"/>
        </w:rPr>
      </w:pPr>
    </w:p>
    <w:p>
      <w:pPr>
        <w:ind w:left="680" w:hanging="236"/>
        <w:spacing w:after="0"/>
        <w:tabs>
          <w:tab w:leader="none" w:pos="6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Certain Fees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160" w:firstLine="428"/>
        <w:spacing w:after="0" w:line="264" w:lineRule="auto"/>
        <w:tabs>
          <w:tab w:leader="none" w:pos="1078" w:val="left"/>
        </w:tabs>
        <w:numPr>
          <w:ilvl w:val="1"/>
          <w:numId w:val="64"/>
        </w:numPr>
        <w:rPr>
          <w:rFonts w:ascii="Arial" w:cs="Arial" w:eastAsia="Arial" w:hAnsi="Arial"/>
          <w:sz w:val="18"/>
          <w:szCs w:val="18"/>
          <w:color w:val="auto"/>
        </w:rPr>
      </w:pPr>
      <w:r>
        <w:rPr>
          <w:rFonts w:ascii="Arial" w:cs="Arial" w:eastAsia="Arial" w:hAnsi="Arial"/>
          <w:sz w:val="18"/>
          <w:szCs w:val="18"/>
          <w:color w:val="auto"/>
        </w:rPr>
        <w:t>No Defaulting Lender shall be entitled to receive any Fee payable under Section 3.5.(b) for any period during which that Lender is a Defaulting Lender (and the Borrower shall not be required to pay any such fee that otherwise would have been required to have been paid to that Defaulting Lender).</w:t>
      </w:r>
    </w:p>
    <w:p>
      <w:pPr>
        <w:spacing w:after="0" w:line="73" w:lineRule="exact"/>
        <w:rPr>
          <w:rFonts w:ascii="Arial" w:cs="Arial" w:eastAsia="Arial" w:hAnsi="Arial"/>
          <w:sz w:val="18"/>
          <w:szCs w:val="18"/>
          <w:color w:val="auto"/>
        </w:rPr>
      </w:pPr>
    </w:p>
    <w:p>
      <w:pPr>
        <w:ind w:left="440" w:right="200" w:firstLine="428"/>
        <w:spacing w:after="0" w:line="264" w:lineRule="auto"/>
        <w:tabs>
          <w:tab w:leader="none" w:pos="1128" w:val="left"/>
        </w:tabs>
        <w:numPr>
          <w:ilvl w:val="1"/>
          <w:numId w:val="64"/>
        </w:numPr>
        <w:rPr>
          <w:rFonts w:ascii="Arial" w:cs="Arial" w:eastAsia="Arial" w:hAnsi="Arial"/>
          <w:sz w:val="18"/>
          <w:szCs w:val="18"/>
          <w:color w:val="auto"/>
        </w:rPr>
      </w:pPr>
      <w:r>
        <w:rPr>
          <w:rFonts w:ascii="Arial" w:cs="Arial" w:eastAsia="Arial" w:hAnsi="Arial"/>
          <w:sz w:val="18"/>
          <w:szCs w:val="18"/>
          <w:color w:val="auto"/>
        </w:rPr>
        <w:t>Each Defaulting Lender shall be entitled to receive letter of credit fees payable under Section 3.5.(c) for any period during which that Lender is a Defaulting Lender only to the extent allocable to its Revolving Commitment Percentage of the stated amount of Letters of Credit for which it has provided Cash Collateral pursuant to the immediately following subsection (e).</w:t>
      </w:r>
    </w:p>
    <w:p>
      <w:pPr>
        <w:spacing w:after="0" w:line="73" w:lineRule="exact"/>
        <w:rPr>
          <w:rFonts w:ascii="Arial" w:cs="Arial" w:eastAsia="Arial" w:hAnsi="Arial"/>
          <w:sz w:val="18"/>
          <w:szCs w:val="18"/>
          <w:color w:val="auto"/>
        </w:rPr>
      </w:pPr>
    </w:p>
    <w:p>
      <w:pPr>
        <w:ind w:left="440" w:right="20" w:firstLine="428"/>
        <w:spacing w:after="0" w:line="293" w:lineRule="auto"/>
        <w:tabs>
          <w:tab w:leader="none" w:pos="1178" w:val="left"/>
        </w:tabs>
        <w:numPr>
          <w:ilvl w:val="1"/>
          <w:numId w:val="64"/>
        </w:numPr>
        <w:rPr>
          <w:rFonts w:ascii="Arial" w:cs="Arial" w:eastAsia="Arial" w:hAnsi="Arial"/>
          <w:sz w:val="16"/>
          <w:szCs w:val="16"/>
          <w:color w:val="auto"/>
        </w:rPr>
      </w:pPr>
      <w:r>
        <w:rPr>
          <w:rFonts w:ascii="Arial" w:cs="Arial" w:eastAsia="Arial" w:hAnsi="Arial"/>
          <w:sz w:val="16"/>
          <w:szCs w:val="16"/>
          <w:color w:val="auto"/>
        </w:rPr>
        <w:t>With respect to any Fee that would have been required to be paid to any Defaulting Lender but for the immediately preceding clauses (i) or (ii), the Borrower shall (x) pay to each Non-Defaulting Lender that portion of any such Fee otherwise payable to such Defaulting Lender with respect to such Defaulting Lender’s participation in Letter of Credit Liabilities or Swingline Loans that has been reallocated to such Non-Defaulting Lender pursuant to the immediately following subsection (d), (y) pay to each Issuing Bank and Swingline Lender, as applicable, the amount of any such Fee otherwise payable to such Defaulting Lender to the extent allocable to such Issuing Bank’s or Swingline Lender’s Fronting Exposure to such Defaulting Lender, and (z) not be required to pay the remaining amount of any such Fee.</w:t>
      </w:r>
    </w:p>
    <w:p>
      <w:pPr>
        <w:spacing w:after="0" w:line="56" w:lineRule="exact"/>
        <w:rPr>
          <w:rFonts w:ascii="Arial" w:cs="Arial" w:eastAsia="Arial" w:hAnsi="Arial"/>
          <w:sz w:val="16"/>
          <w:szCs w:val="16"/>
          <w:color w:val="auto"/>
        </w:rPr>
      </w:pPr>
    </w:p>
    <w:p>
      <w:pPr>
        <w:ind w:right="160" w:firstLine="444"/>
        <w:spacing w:after="0" w:line="255" w:lineRule="auto"/>
        <w:tabs>
          <w:tab w:leader="none" w:pos="695"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Reallocation of Participations to Reduce Fronting Exposure</w:t>
      </w:r>
      <w:r>
        <w:rPr>
          <w:rFonts w:ascii="Arial" w:cs="Arial" w:eastAsia="Arial" w:hAnsi="Arial"/>
          <w:sz w:val="18"/>
          <w:szCs w:val="18"/>
          <w:color w:val="auto"/>
        </w:rPr>
        <w:t>. All or any part of such Defaulting Lender’s participation in Letter of Credit Liabilities and Swingline Loans shall be reallocated among the Non-Defaulting Lenders in accordance with their respective Revolving Commitment Percentages (determined without regard to such Defaulting Lender’s Commitment) but only to the extent that such reallocation does not cause the aggregate Revolving Credit Exposure of any Non-Defaulting Lender to exceed such Non-Defaulting Lender’s Commitment. Subject to Section 12.22.,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2"/>
          <w:numId w:val="64"/>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020"/>
          </w:cols>
          <w:pgMar w:left="440" w:top="274" w:right="439" w:bottom="1440" w:gutter="0" w:footer="0" w:header="0"/>
        </w:sectPr>
      </w:pPr>
    </w:p>
    <w:bookmarkStart w:id="65" w:name="page66"/>
    <w:bookmarkEnd w:id="65"/>
    <w:p>
      <w:pPr>
        <w:ind w:left="236" w:hanging="236"/>
        <w:spacing w:after="0"/>
        <w:tabs>
          <w:tab w:leader="none" w:pos="236"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Cash Collateral, Repayment of Swingline Loans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right="120" w:firstLine="428"/>
        <w:spacing w:after="0" w:line="257" w:lineRule="auto"/>
        <w:tabs>
          <w:tab w:leader="none" w:pos="63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reallocation described in the immediately preceding subsection (d) above cannot, or can only partially, be effected, the Borrower shall, without prejudice to any right or remedy available to it hereunder or under law, (x) first, prepay Swingline Loans in an amount equal to the Swingline Lender’s Fronting Exposure and (y) second, Cash Collateralize the Issuing Bank’s Fronting Exposure in accordance with the procedures set forth in this subsection; such prepayment and/or cash collateralization may be provided by a borrowing of Revolving Loans if the conditions precedent thereto are met.</w:t>
      </w:r>
    </w:p>
    <w:p>
      <w:pPr>
        <w:spacing w:after="0" w:line="80" w:lineRule="exact"/>
        <w:rPr>
          <w:rFonts w:ascii="Arial" w:cs="Arial" w:eastAsia="Arial" w:hAnsi="Arial"/>
          <w:sz w:val="18"/>
          <w:szCs w:val="18"/>
          <w:color w:val="auto"/>
        </w:rPr>
      </w:pPr>
    </w:p>
    <w:p>
      <w:pPr>
        <w:ind w:left="-4" w:firstLine="428"/>
        <w:spacing w:after="0" w:line="255" w:lineRule="auto"/>
        <w:tabs>
          <w:tab w:leader="none" w:pos="684" w:val="left"/>
        </w:tabs>
        <w:numPr>
          <w:ilvl w:val="1"/>
          <w:numId w:val="65"/>
        </w:numPr>
        <w:rPr>
          <w:rFonts w:ascii="Arial" w:cs="Arial" w:eastAsia="Arial" w:hAnsi="Arial"/>
          <w:sz w:val="18"/>
          <w:szCs w:val="18"/>
          <w:color w:val="auto"/>
        </w:rPr>
      </w:pPr>
      <w:r>
        <w:rPr>
          <w:rFonts w:ascii="Arial" w:cs="Arial" w:eastAsia="Arial" w:hAnsi="Arial"/>
          <w:sz w:val="18"/>
          <w:szCs w:val="18"/>
          <w:color w:val="auto"/>
        </w:rPr>
        <w:t>At any time that there shall exist a Defaulting Lender, within three (3) Business Days following the written request of the Administrative Agent or the Issuing Bank (with a copy to the Administrative Agent), the Borrower shall Cash Collateralize the Issuing Bank’s Fronting Exposure with respect to such Defaulting Lender (determined after giving effect to the immediately preceding subsection (d) and any Cash Collateral provided by such Defaulting Lender) in an amount not less than the aggregate Fronting Exposure of the Issuing Bank with respect to Letters of Credit issued and outstanding at such time; such cash collateralization may be provided by a borrowing of Revolving Loans if the conditions precedent thereto are met.</w:t>
      </w:r>
    </w:p>
    <w:p>
      <w:pPr>
        <w:spacing w:after="0" w:line="85" w:lineRule="exact"/>
        <w:rPr>
          <w:rFonts w:ascii="Arial" w:cs="Arial" w:eastAsia="Arial" w:hAnsi="Arial"/>
          <w:sz w:val="18"/>
          <w:szCs w:val="18"/>
          <w:color w:val="auto"/>
        </w:rPr>
      </w:pPr>
    </w:p>
    <w:p>
      <w:pPr>
        <w:ind w:left="-4" w:firstLine="428"/>
        <w:spacing w:after="0" w:line="271" w:lineRule="auto"/>
        <w:tabs>
          <w:tab w:leader="none" w:pos="734" w:val="left"/>
        </w:tabs>
        <w:numPr>
          <w:ilvl w:val="1"/>
          <w:numId w:val="65"/>
        </w:numPr>
        <w:rPr>
          <w:rFonts w:ascii="Arial" w:cs="Arial" w:eastAsia="Arial" w:hAnsi="Arial"/>
          <w:sz w:val="17"/>
          <w:szCs w:val="17"/>
          <w:color w:val="auto"/>
        </w:rPr>
      </w:pPr>
      <w:r>
        <w:rPr>
          <w:rFonts w:ascii="Arial" w:cs="Arial" w:eastAsia="Arial" w:hAnsi="Arial"/>
          <w:sz w:val="17"/>
          <w:szCs w:val="17"/>
          <w:color w:val="auto"/>
        </w:rPr>
        <w:t>The Borrower, and to the extent provided by any Defaulting Lender, such Defaulting Lender, hereby grant to the Administrative Agent, for the benefit of the Issuing Bank, and agree to maintain, a first priority security interest in all such Cash Collateral as security for the Defaulting Lenders’ obligation to fund participations in respect of Letter of Credit Liabilities, to be applied pursuant to the immediately following clause (iv). If at any time the Administrative Agent determines in good faith that Cash Collateral is subject to any right or claim of any Person other than the Administrative Agent and the Issuing Bank as herein provided, or that the total amount of such Cash Collateral is less than the aggregate Fronting Exposure of the Issuing Bank with respect to Letters of Credit issued and outstanding at such time,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70" w:lineRule="exact"/>
        <w:rPr>
          <w:rFonts w:ascii="Arial" w:cs="Arial" w:eastAsia="Arial" w:hAnsi="Arial"/>
          <w:sz w:val="17"/>
          <w:szCs w:val="17"/>
          <w:color w:val="auto"/>
        </w:rPr>
      </w:pPr>
    </w:p>
    <w:p>
      <w:pPr>
        <w:ind w:left="-4" w:right="40" w:firstLine="428"/>
        <w:spacing w:after="0" w:line="279" w:lineRule="auto"/>
        <w:tabs>
          <w:tab w:leader="none" w:pos="724" w:val="left"/>
        </w:tabs>
        <w:numPr>
          <w:ilvl w:val="1"/>
          <w:numId w:val="65"/>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Cash Collateral provided under this Section in respect of Letters of Credit shall be applied to the satisfaction of the Defaulting Lender’s obligation to fund participations in respect of Letter of Credit Liabilities (including, as to Cash Collateral provided by a Defaulting Lender, any interest accrued on such obligation) for which the Cash Collateral was so provided, prior to any other application of such property as may otherwise be provided for herein.</w:t>
      </w:r>
    </w:p>
    <w:p>
      <w:pPr>
        <w:spacing w:after="0" w:line="63" w:lineRule="exact"/>
        <w:rPr>
          <w:rFonts w:ascii="Arial" w:cs="Arial" w:eastAsia="Arial" w:hAnsi="Arial"/>
          <w:sz w:val="17"/>
          <w:szCs w:val="17"/>
          <w:color w:val="auto"/>
        </w:rPr>
      </w:pPr>
    </w:p>
    <w:p>
      <w:pPr>
        <w:ind w:left="-4" w:right="40" w:firstLine="428"/>
        <w:spacing w:after="0" w:line="255" w:lineRule="auto"/>
        <w:tabs>
          <w:tab w:leader="none" w:pos="674"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Cash Collateral (or the appropriate portion thereof) provided to reduce the Issuing Bank’s Fronting Exposure shall no longer be required to be held as Cash Collateral pursuant to this subsection following (x) the elimination of the applicable Fronting Exposure (including by the termination of Defaulting Lender status of the applicable Lender), or (y) the determination by the Administrative Agent and the Issuing Bank that there exists excess Cash Collateral;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subject to the immediately preceding subsection (b), the Person providing Cash Collateral and the Issuing Bank may (but shall not be obligated to) agree that Cash Collateral shall be held to support future anticipated Fronting Exposure or other obligations.</w:t>
      </w:r>
    </w:p>
    <w:p>
      <w:pPr>
        <w:spacing w:after="0" w:line="125" w:lineRule="exact"/>
        <w:rPr>
          <w:rFonts w:ascii="Arial" w:cs="Arial" w:eastAsia="Arial" w:hAnsi="Arial"/>
          <w:sz w:val="18"/>
          <w:szCs w:val="18"/>
          <w:color w:val="auto"/>
        </w:rPr>
      </w:pPr>
    </w:p>
    <w:p>
      <w:pPr>
        <w:ind w:left="4976" w:hanging="101"/>
        <w:spacing w:after="0"/>
        <w:tabs>
          <w:tab w:leader="none" w:pos="4976" w:val="left"/>
        </w:tabs>
        <w:numPr>
          <w:ilvl w:val="2"/>
          <w:numId w:val="65"/>
        </w:numPr>
        <w:rPr>
          <w:rFonts w:ascii="Arial" w:cs="Arial" w:eastAsia="Arial" w:hAnsi="Arial"/>
          <w:sz w:val="18"/>
          <w:szCs w:val="18"/>
          <w:color w:val="auto"/>
        </w:rPr>
      </w:pPr>
      <w:r>
        <w:rPr>
          <w:rFonts w:ascii="Arial" w:cs="Arial" w:eastAsia="Arial" w:hAnsi="Arial"/>
          <w:sz w:val="18"/>
          <w:szCs w:val="18"/>
          <w:color w:val="auto"/>
        </w:rPr>
        <w:t>57 -</w:t>
      </w:r>
    </w:p>
    <w:p>
      <w:pPr>
        <w:sectPr>
          <w:pgSz w:w="11900" w:h="16838" w:orient="portrait"/>
          <w:cols w:equalWidth="0" w:num="1">
            <w:col w:w="10536"/>
          </w:cols>
          <w:pgMar w:left="884" w:top="274" w:right="479" w:bottom="1440" w:gutter="0" w:footer="0" w:header="0"/>
        </w:sectPr>
      </w:pPr>
    </w:p>
    <w:bookmarkStart w:id="66" w:name="page67"/>
    <w:bookmarkEnd w:id="66"/>
    <w:p>
      <w:pPr>
        <w:ind w:right="20" w:firstLine="444"/>
        <w:spacing w:after="0" w:line="270" w:lineRule="auto"/>
        <w:tabs>
          <w:tab w:leader="none" w:pos="66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Defaulting Lender Cure</w:t>
      </w:r>
      <w:r>
        <w:rPr>
          <w:rFonts w:ascii="Arial" w:cs="Arial" w:eastAsia="Arial" w:hAnsi="Arial"/>
          <w:sz w:val="17"/>
          <w:szCs w:val="17"/>
          <w:color w:val="auto"/>
        </w:rPr>
        <w:t xml:space="preserve">. If the Borrower, the Administrative Agent, the Swingline Lender and the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their respective Revolving Commitment Percentages (determined without giving effect to the immediately preceding subsection (d)),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69" w:lineRule="exact"/>
        <w:rPr>
          <w:rFonts w:ascii="Arial" w:cs="Arial" w:eastAsia="Arial" w:hAnsi="Arial"/>
          <w:sz w:val="17"/>
          <w:szCs w:val="17"/>
          <w:color w:val="auto"/>
        </w:rPr>
      </w:pPr>
    </w:p>
    <w:p>
      <w:pPr>
        <w:ind w:firstLine="444"/>
        <w:spacing w:after="0" w:line="273" w:lineRule="auto"/>
        <w:tabs>
          <w:tab w:leader="none" w:pos="695"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New Swingline Loans/Letters of Credit</w:t>
      </w:r>
      <w:r>
        <w:rPr>
          <w:rFonts w:ascii="Arial" w:cs="Arial" w:eastAsia="Arial" w:hAnsi="Arial"/>
          <w:sz w:val="17"/>
          <w:szCs w:val="17"/>
          <w:color w:val="auto"/>
        </w:rPr>
        <w:t>. So long as any Lender is a Defaulting Lender, (i) the Swingline Lender shall not be required to fund any portion of a requested Swingline Loan unless it is satisfied that it will have no Fronting Exposure after giving effect to such funded portion of such Swingline Loan and (ii) the Issuing Bank shall not be required to issue, extend, renew or increase any Letter of Credit in an amount which would expose the Issuing Bank to Fronting Exposure after giving effect thereto; provided, however, that to the extent Defaulting Lender’s participation in Letter of Credit Liabilities and Swingline Loans is reallocated in accordance with Section 3.9.(d), the Swingline Lender and the Issuing Bank shall not be deemed to have Fronting Exposure to the extent of such reallocation to Non-Defaulting Lenders.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3.10. Taxes; Foreign Lenders.</w:t>
      </w:r>
    </w:p>
    <w:p>
      <w:pPr>
        <w:spacing w:after="0" w:line="121" w:lineRule="exact"/>
        <w:rPr>
          <w:sz w:val="20"/>
          <w:szCs w:val="20"/>
          <w:color w:val="auto"/>
        </w:rPr>
      </w:pPr>
    </w:p>
    <w:p>
      <w:pPr>
        <w:ind w:left="680" w:hanging="236"/>
        <w:spacing w:after="0"/>
        <w:tabs>
          <w:tab w:leader="none" w:pos="68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Issuing Bank</w:t>
      </w:r>
      <w:r>
        <w:rPr>
          <w:rFonts w:ascii="Arial" w:cs="Arial" w:eastAsia="Arial" w:hAnsi="Arial"/>
          <w:sz w:val="17"/>
          <w:szCs w:val="17"/>
          <w:color w:val="auto"/>
        </w:rPr>
        <w:t>. For purposes of this Section, the term “Lender” includes the Issuing Banks and the term “Applicable Law” includes FATCA.</w:t>
      </w:r>
    </w:p>
    <w:p>
      <w:pPr>
        <w:spacing w:after="0" w:line="128" w:lineRule="exact"/>
        <w:rPr>
          <w:rFonts w:ascii="Arial" w:cs="Arial" w:eastAsia="Arial" w:hAnsi="Arial"/>
          <w:sz w:val="17"/>
          <w:szCs w:val="17"/>
          <w:color w:val="auto"/>
        </w:rPr>
      </w:pPr>
    </w:p>
    <w:p>
      <w:pPr>
        <w:ind w:right="40" w:firstLine="444"/>
        <w:spacing w:after="0" w:line="271" w:lineRule="auto"/>
        <w:tabs>
          <w:tab w:leader="none" w:pos="69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Payments Free of Taxes</w:t>
      </w:r>
      <w:r>
        <w:rPr>
          <w:rFonts w:ascii="Arial" w:cs="Arial" w:eastAsia="Arial" w:hAnsi="Arial"/>
          <w:sz w:val="17"/>
          <w:szCs w:val="17"/>
          <w:color w:val="auto"/>
        </w:rPr>
        <w:t>. Any and all payments by or on account of any obligation of the Borrower or any other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or other applicable Loan Party shall be increased as necessary so that after such deduction or withholding has been made (including such deductions and withholdings applicable to additional sums payable under this Section) the applicable Recipient receives an amount equal to the sum it would have received had no such deduction or withholding been made.</w:t>
      </w:r>
    </w:p>
    <w:p>
      <w:pPr>
        <w:spacing w:after="0" w:line="70" w:lineRule="exact"/>
        <w:rPr>
          <w:rFonts w:ascii="Arial" w:cs="Arial" w:eastAsia="Arial" w:hAnsi="Arial"/>
          <w:sz w:val="17"/>
          <w:szCs w:val="17"/>
          <w:color w:val="auto"/>
        </w:rPr>
      </w:pPr>
    </w:p>
    <w:p>
      <w:pPr>
        <w:ind w:right="40" w:firstLine="444"/>
        <w:spacing w:after="0" w:line="308" w:lineRule="auto"/>
        <w:tabs>
          <w:tab w:leader="none" w:pos="68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Payment of Other Taxes by the Borrower</w:t>
      </w:r>
      <w:r>
        <w:rPr>
          <w:rFonts w:ascii="Arial" w:cs="Arial" w:eastAsia="Arial" w:hAnsi="Arial"/>
          <w:sz w:val="17"/>
          <w:szCs w:val="17"/>
          <w:color w:val="auto"/>
        </w:rPr>
        <w:t>. The Borrower and the other Loan Parties shall timely pay to the relevant Governmental Authority in accordance with Applicable Law, or at the option of the Administrative Agent timely reimburse it for the payment of, any Other Taxes.</w:t>
      </w:r>
    </w:p>
    <w:p>
      <w:pPr>
        <w:spacing w:after="0" w:line="38" w:lineRule="exact"/>
        <w:rPr>
          <w:rFonts w:ascii="Arial" w:cs="Arial" w:eastAsia="Arial" w:hAnsi="Arial"/>
          <w:sz w:val="17"/>
          <w:szCs w:val="17"/>
          <w:color w:val="auto"/>
        </w:rPr>
      </w:pPr>
    </w:p>
    <w:p>
      <w:pPr>
        <w:ind w:right="320" w:firstLine="444"/>
        <w:spacing w:after="0" w:line="286" w:lineRule="auto"/>
        <w:tabs>
          <w:tab w:leader="none" w:pos="695"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Indemnification by the Borrower</w:t>
      </w:r>
      <w:r>
        <w:rPr>
          <w:rFonts w:ascii="Arial" w:cs="Arial" w:eastAsia="Arial" w:hAnsi="Arial"/>
          <w:sz w:val="17"/>
          <w:szCs w:val="17"/>
          <w:color w:val="auto"/>
        </w:rPr>
        <w:t>. The Borrower and the other Loan Parties shall jointly and severally indemnify each Recipient, within 10 days after demand therefor, for the full amount of any Indemnified Taxes (including Indemnified Taxes imposed or asserted on or attributable to amounts payable under this Section) payable or paid by such Recipient or required to be withheld or deducted from a payment</w:t>
      </w:r>
    </w:p>
    <w:p>
      <w:pPr>
        <w:spacing w:after="0" w:line="97" w:lineRule="exact"/>
        <w:rPr>
          <w:rFonts w:ascii="Arial" w:cs="Arial" w:eastAsia="Arial" w:hAnsi="Arial"/>
          <w:sz w:val="17"/>
          <w:szCs w:val="17"/>
          <w:color w:val="auto"/>
        </w:rPr>
      </w:pPr>
    </w:p>
    <w:p>
      <w:pPr>
        <w:ind w:left="5420" w:hanging="101"/>
        <w:spacing w:after="0"/>
        <w:tabs>
          <w:tab w:leader="none" w:pos="5420" w:val="left"/>
        </w:tabs>
        <w:numPr>
          <w:ilvl w:val="1"/>
          <w:numId w:val="67"/>
        </w:numPr>
        <w:rPr>
          <w:rFonts w:ascii="Arial" w:cs="Arial" w:eastAsia="Arial" w:hAnsi="Arial"/>
          <w:sz w:val="18"/>
          <w:szCs w:val="18"/>
          <w:color w:val="auto"/>
        </w:rPr>
      </w:pPr>
      <w:r>
        <w:rPr>
          <w:rFonts w:ascii="Arial" w:cs="Arial" w:eastAsia="Arial" w:hAnsi="Arial"/>
          <w:sz w:val="18"/>
          <w:szCs w:val="18"/>
          <w:color w:val="auto"/>
        </w:rPr>
        <w:t>58 -</w:t>
      </w:r>
    </w:p>
    <w:p>
      <w:pPr>
        <w:sectPr>
          <w:pgSz w:w="11900" w:h="16838" w:orient="portrait"/>
          <w:cols w:equalWidth="0" w:num="1">
            <w:col w:w="11000"/>
          </w:cols>
          <w:pgMar w:left="440" w:top="274" w:right="459" w:bottom="1440" w:gutter="0" w:footer="0" w:header="0"/>
        </w:sectPr>
      </w:pPr>
    </w:p>
    <w:bookmarkStart w:id="67" w:name="page68"/>
    <w:bookmarkEnd w:id="67"/>
    <w:p>
      <w:pPr>
        <w:ind w:right="3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79" w:lineRule="exact"/>
        <w:rPr>
          <w:sz w:val="20"/>
          <w:szCs w:val="20"/>
          <w:color w:val="auto"/>
        </w:rPr>
      </w:pPr>
    </w:p>
    <w:p>
      <w:pPr>
        <w:ind w:left="680" w:hanging="236"/>
        <w:spacing w:after="0"/>
        <w:tabs>
          <w:tab w:leader="none" w:pos="680" w:val="left"/>
        </w:tabs>
        <w:numPr>
          <w:ilvl w:val="1"/>
          <w:numId w:val="68"/>
        </w:numPr>
        <w:rPr>
          <w:rFonts w:ascii="Arial" w:cs="Arial" w:eastAsia="Arial" w:hAnsi="Arial"/>
          <w:sz w:val="17"/>
          <w:szCs w:val="17"/>
          <w:color w:val="auto"/>
        </w:rPr>
      </w:pPr>
      <w:r>
        <w:rPr>
          <w:rFonts w:ascii="Arial" w:cs="Arial" w:eastAsia="Arial" w:hAnsi="Arial"/>
          <w:sz w:val="17"/>
          <w:szCs w:val="17"/>
          <w:u w:val="single" w:color="auto"/>
          <w:color w:val="auto"/>
        </w:rPr>
        <w:t>Indemnification by the Lenders</w:t>
      </w:r>
      <w:r>
        <w:rPr>
          <w:rFonts w:ascii="Arial" w:cs="Arial" w:eastAsia="Arial" w:hAnsi="Arial"/>
          <w:sz w:val="17"/>
          <w:szCs w:val="17"/>
          <w:color w:val="auto"/>
        </w:rPr>
        <w:t>. Each Lender shall severally indemnify the Administrative Agent, within 10 days after demand therefor, for</w:t>
      </w:r>
    </w:p>
    <w:p>
      <w:pPr>
        <w:spacing w:after="0" w:line="34" w:lineRule="exact"/>
        <w:rPr>
          <w:rFonts w:ascii="Arial" w:cs="Arial" w:eastAsia="Arial" w:hAnsi="Arial"/>
          <w:sz w:val="17"/>
          <w:szCs w:val="17"/>
          <w:color w:val="auto"/>
        </w:rPr>
      </w:pPr>
    </w:p>
    <w:p>
      <w:pPr>
        <w:ind w:firstLine="4"/>
        <w:spacing w:after="0" w:line="268" w:lineRule="auto"/>
        <w:tabs>
          <w:tab w:leader="none" w:pos="215" w:val="left"/>
        </w:tabs>
        <w:numPr>
          <w:ilvl w:val="0"/>
          <w:numId w:val="69"/>
        </w:numPr>
        <w:rPr>
          <w:rFonts w:ascii="Arial" w:cs="Arial" w:eastAsia="Arial" w:hAnsi="Arial"/>
          <w:sz w:val="17"/>
          <w:szCs w:val="17"/>
          <w:color w:val="auto"/>
        </w:rPr>
      </w:pPr>
      <w:r>
        <w:rPr>
          <w:rFonts w:ascii="Arial" w:cs="Arial" w:eastAsia="Arial" w:hAnsi="Arial"/>
          <w:sz w:val="17"/>
          <w:szCs w:val="17"/>
          <w:color w:val="auto"/>
        </w:rPr>
        <w:t>any Indemnified Taxes attributable to such Lender (but only to the extent that the Borrower or another Loan Party has not already indemnified the Administrative Agent for such Indemnified Taxes and without limiting the obligation of the Borrower and the other Loan Parties to do so), (ii) any Taxes attributable to such Lender’s failure to comply with the provisions of Section 12.6.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subsection. The provisions of this subsection shall continue to inure to the benefit of an Administrative Agent following its resignation or removal as Administrative Agent.</w:t>
      </w:r>
    </w:p>
    <w:p>
      <w:pPr>
        <w:spacing w:after="0" w:line="71" w:lineRule="exact"/>
        <w:rPr>
          <w:rFonts w:ascii="Arial" w:cs="Arial" w:eastAsia="Arial" w:hAnsi="Arial"/>
          <w:sz w:val="17"/>
          <w:szCs w:val="17"/>
          <w:color w:val="auto"/>
        </w:rPr>
      </w:pPr>
    </w:p>
    <w:p>
      <w:pPr>
        <w:ind w:right="160" w:firstLine="444"/>
        <w:spacing w:after="0" w:line="259" w:lineRule="auto"/>
        <w:tabs>
          <w:tab w:leader="none" w:pos="665"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Evidence of Payments</w:t>
      </w:r>
      <w:r>
        <w:rPr>
          <w:rFonts w:ascii="Arial" w:cs="Arial" w:eastAsia="Arial" w:hAnsi="Arial"/>
          <w:sz w:val="18"/>
          <w:szCs w:val="18"/>
          <w:color w:val="auto"/>
        </w:rPr>
        <w:t>. As soon as practicable after any payment of Taxes by the Borrower or any other Loan Party to a Governmental Authority pursuant to this Section, the Borrower or such other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78" w:lineRule="exact"/>
        <w:rPr>
          <w:rFonts w:ascii="Arial" w:cs="Arial" w:eastAsia="Arial" w:hAnsi="Arial"/>
          <w:sz w:val="18"/>
          <w:szCs w:val="18"/>
          <w:color w:val="auto"/>
        </w:rPr>
      </w:pPr>
    </w:p>
    <w:p>
      <w:pPr>
        <w:ind w:left="700" w:hanging="256"/>
        <w:spacing w:after="0"/>
        <w:tabs>
          <w:tab w:leader="none" w:pos="700" w:val="left"/>
        </w:tabs>
        <w:numPr>
          <w:ilvl w:val="1"/>
          <w:numId w:val="69"/>
        </w:numPr>
        <w:rPr>
          <w:rFonts w:ascii="Arial" w:cs="Arial" w:eastAsia="Arial" w:hAnsi="Arial"/>
          <w:sz w:val="18"/>
          <w:szCs w:val="18"/>
          <w:color w:val="auto"/>
        </w:rPr>
      </w:pPr>
      <w:r>
        <w:rPr>
          <w:rFonts w:ascii="Arial" w:cs="Arial" w:eastAsia="Arial" w:hAnsi="Arial"/>
          <w:sz w:val="18"/>
          <w:szCs w:val="18"/>
          <w:u w:val="single" w:color="auto"/>
          <w:color w:val="auto"/>
        </w:rPr>
        <w:t>Status of Lenders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88" w:lineRule="auto"/>
        <w:tabs>
          <w:tab w:leader="none" w:pos="1078" w:val="left"/>
        </w:tabs>
        <w:numPr>
          <w:ilvl w:val="2"/>
          <w:numId w:val="69"/>
        </w:numPr>
        <w:rPr>
          <w:rFonts w:ascii="Arial" w:cs="Arial" w:eastAsia="Arial" w:hAnsi="Arial"/>
          <w:sz w:val="16"/>
          <w:szCs w:val="16"/>
          <w:color w:val="auto"/>
        </w:rPr>
      </w:pPr>
      <w:r>
        <w:rPr>
          <w:rFonts w:ascii="Arial" w:cs="Arial" w:eastAsia="Arial" w:hAnsi="Arial"/>
          <w:sz w:val="16"/>
          <w:szCs w:val="16"/>
          <w:color w:val="auto"/>
        </w:rPr>
        <w:t>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the immediately following clauses (ii) (A), (ii)(B) and (ii)(D))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01" w:lineRule="exact"/>
        <w:rPr>
          <w:rFonts w:ascii="Arial" w:cs="Arial" w:eastAsia="Arial" w:hAnsi="Arial"/>
          <w:sz w:val="16"/>
          <w:szCs w:val="16"/>
          <w:color w:val="auto"/>
        </w:rPr>
      </w:pPr>
    </w:p>
    <w:p>
      <w:pPr>
        <w:ind w:left="5420" w:hanging="101"/>
        <w:spacing w:after="0"/>
        <w:tabs>
          <w:tab w:leader="none" w:pos="5420" w:val="left"/>
        </w:tabs>
        <w:numPr>
          <w:ilvl w:val="3"/>
          <w:numId w:val="69"/>
        </w:numPr>
        <w:rPr>
          <w:rFonts w:ascii="Arial" w:cs="Arial" w:eastAsia="Arial" w:hAnsi="Arial"/>
          <w:sz w:val="18"/>
          <w:szCs w:val="18"/>
          <w:color w:val="auto"/>
        </w:rPr>
      </w:pPr>
      <w:r>
        <w:rPr>
          <w:rFonts w:ascii="Arial" w:cs="Arial" w:eastAsia="Arial" w:hAnsi="Arial"/>
          <w:sz w:val="18"/>
          <w:szCs w:val="18"/>
          <w:color w:val="auto"/>
        </w:rPr>
        <w:t>59 -</w:t>
      </w:r>
    </w:p>
    <w:p>
      <w:pPr>
        <w:sectPr>
          <w:pgSz w:w="11900" w:h="16838" w:orient="portrait"/>
          <w:cols w:equalWidth="0" w:num="1">
            <w:col w:w="11020"/>
          </w:cols>
          <w:pgMar w:left="440" w:top="274" w:right="439" w:bottom="1440" w:gutter="0" w:footer="0" w:header="0"/>
        </w:sectPr>
      </w:pPr>
    </w:p>
    <w:bookmarkStart w:id="68" w:name="page69"/>
    <w:bookmarkEnd w:id="68"/>
    <w:p>
      <w:pPr>
        <w:ind w:left="272" w:hanging="272"/>
        <w:spacing w:after="0"/>
        <w:tabs>
          <w:tab w:leader="none" w:pos="272"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generality of the foregoing, in the event that the Borrower is a U.S. Person:</w:t>
      </w:r>
    </w:p>
    <w:p>
      <w:pPr>
        <w:spacing w:after="0" w:line="117" w:lineRule="exact"/>
        <w:rPr>
          <w:rFonts w:ascii="Arial" w:cs="Arial" w:eastAsia="Arial" w:hAnsi="Arial"/>
          <w:sz w:val="18"/>
          <w:szCs w:val="18"/>
          <w:color w:val="auto"/>
        </w:rPr>
      </w:pPr>
    </w:p>
    <w:p>
      <w:pPr>
        <w:ind w:left="132" w:right="20" w:firstLine="397"/>
        <w:spacing w:after="0" w:line="279" w:lineRule="auto"/>
        <w:tabs>
          <w:tab w:leader="none" w:pos="828" w:val="left"/>
        </w:tabs>
        <w:numPr>
          <w:ilvl w:val="1"/>
          <w:numId w:val="70"/>
        </w:numPr>
        <w:rPr>
          <w:rFonts w:ascii="Arial" w:cs="Arial" w:eastAsia="Arial" w:hAnsi="Arial"/>
          <w:sz w:val="17"/>
          <w:szCs w:val="17"/>
          <w:color w:val="auto"/>
        </w:rPr>
      </w:pPr>
      <w:r>
        <w:rPr>
          <w:rFonts w:ascii="Arial" w:cs="Arial" w:eastAsia="Arial" w:hAnsi="Arial"/>
          <w:sz w:val="17"/>
          <w:szCs w:val="17"/>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an electronic copy (or an original if requested by the Borrower or the Administrative Agent) of an executed IRS Form W-9 (or any successor form) certifying that such Lender is exempt from U.S. federal backup withholding tax;</w:t>
      </w:r>
    </w:p>
    <w:p>
      <w:pPr>
        <w:spacing w:after="0" w:line="63" w:lineRule="exact"/>
        <w:rPr>
          <w:rFonts w:ascii="Arial" w:cs="Arial" w:eastAsia="Arial" w:hAnsi="Arial"/>
          <w:sz w:val="17"/>
          <w:szCs w:val="17"/>
          <w:color w:val="auto"/>
        </w:rPr>
      </w:pPr>
    </w:p>
    <w:p>
      <w:pPr>
        <w:ind w:left="132" w:right="320" w:firstLine="397"/>
        <w:spacing w:after="0" w:line="259" w:lineRule="auto"/>
        <w:tabs>
          <w:tab w:leader="none" w:pos="818" w:val="left"/>
        </w:tabs>
        <w:numPr>
          <w:ilvl w:val="1"/>
          <w:numId w:val="70"/>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78" w:lineRule="exact"/>
        <w:rPr>
          <w:rFonts w:ascii="Arial" w:cs="Arial" w:eastAsia="Arial" w:hAnsi="Arial"/>
          <w:sz w:val="18"/>
          <w:szCs w:val="18"/>
          <w:color w:val="auto"/>
        </w:rPr>
      </w:pPr>
    </w:p>
    <w:p>
      <w:pPr>
        <w:ind w:left="572" w:right="100" w:firstLine="380"/>
        <w:spacing w:after="0" w:line="293" w:lineRule="auto"/>
        <w:tabs>
          <w:tab w:leader="none" w:pos="1181" w:val="left"/>
        </w:tabs>
        <w:numPr>
          <w:ilvl w:val="2"/>
          <w:numId w:val="70"/>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an electronic copy (or an original if requested by the Borrower or the Administrative Agent) of an executed IRS Form W-8BEN, or W-8BEN-E, as applicable, establishing an exemption from, or reduction of, U.S. 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57" w:lineRule="exact"/>
        <w:rPr>
          <w:sz w:val="20"/>
          <w:szCs w:val="20"/>
          <w:color w:val="auto"/>
        </w:rPr>
      </w:pPr>
    </w:p>
    <w:p>
      <w:pPr>
        <w:ind w:left="1232" w:hanging="280"/>
        <w:spacing w:after="0"/>
        <w:tabs>
          <w:tab w:leader="none" w:pos="1232" w:val="left"/>
        </w:tabs>
        <w:numPr>
          <w:ilvl w:val="0"/>
          <w:numId w:val="71"/>
        </w:numPr>
        <w:rPr>
          <w:rFonts w:ascii="Arial" w:cs="Arial" w:eastAsia="Arial" w:hAnsi="Arial"/>
          <w:sz w:val="17"/>
          <w:szCs w:val="17"/>
          <w:color w:val="auto"/>
        </w:rPr>
      </w:pPr>
      <w:r>
        <w:rPr>
          <w:rFonts w:ascii="Arial" w:cs="Arial" w:eastAsia="Arial" w:hAnsi="Arial"/>
          <w:sz w:val="17"/>
          <w:szCs w:val="17"/>
          <w:color w:val="auto"/>
        </w:rPr>
        <w:t>an electronic copy (or an original if requested by the Borrower or the Administrative Agent) of an executed IRS Form</w:t>
      </w:r>
    </w:p>
    <w:p>
      <w:pPr>
        <w:spacing w:after="0" w:line="34" w:lineRule="exact"/>
        <w:rPr>
          <w:rFonts w:ascii="Arial" w:cs="Arial" w:eastAsia="Arial" w:hAnsi="Arial"/>
          <w:sz w:val="17"/>
          <w:szCs w:val="17"/>
          <w:color w:val="auto"/>
        </w:rPr>
      </w:pPr>
    </w:p>
    <w:p>
      <w:pPr>
        <w:ind w:left="572"/>
        <w:spacing w:after="0"/>
        <w:rPr>
          <w:rFonts w:ascii="Arial" w:cs="Arial" w:eastAsia="Arial" w:hAnsi="Arial"/>
          <w:sz w:val="17"/>
          <w:szCs w:val="17"/>
          <w:color w:val="auto"/>
        </w:rPr>
      </w:pPr>
      <w:r>
        <w:rPr>
          <w:rFonts w:ascii="Arial" w:cs="Arial" w:eastAsia="Arial" w:hAnsi="Arial"/>
          <w:sz w:val="18"/>
          <w:szCs w:val="18"/>
          <w:color w:val="auto"/>
        </w:rPr>
        <w:t>W-8ECI;</w:t>
      </w:r>
    </w:p>
    <w:p>
      <w:pPr>
        <w:spacing w:after="0" w:line="103" w:lineRule="exact"/>
        <w:rPr>
          <w:sz w:val="20"/>
          <w:szCs w:val="20"/>
          <w:color w:val="auto"/>
        </w:rPr>
      </w:pPr>
    </w:p>
    <w:p>
      <w:pPr>
        <w:ind w:left="572" w:firstLine="380"/>
        <w:spacing w:after="0" w:line="286" w:lineRule="auto"/>
        <w:tabs>
          <w:tab w:leader="none" w:pos="1301"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 the case of a Foreign Lender claiming the benefits of the exemption for portfolio interest under Section 881(c) of the Internal Revenue Code, (x) a certificate substantially in the form of Exhibit Q-1 to the effect that such Foreign Lender is not a “bank” within the meaning of Section 881(c)(3)(A) of the Internal Revenue Code, a “10 percent shareholder” of the Borrower within the meaning of Section 881(c)(3)(B) of the Internal Revenue Code, or a “controlled foreign corporation” described in Section 881(c)</w:t>
      </w:r>
    </w:p>
    <w:p>
      <w:pPr>
        <w:spacing w:after="0" w:line="1" w:lineRule="exact"/>
        <w:rPr>
          <w:rFonts w:ascii="Arial" w:cs="Arial" w:eastAsia="Arial" w:hAnsi="Arial"/>
          <w:sz w:val="16"/>
          <w:szCs w:val="16"/>
          <w:color w:val="auto"/>
        </w:rPr>
      </w:pPr>
    </w:p>
    <w:p>
      <w:pPr>
        <w:ind w:left="572" w:right="160"/>
        <w:spacing w:after="0" w:line="261" w:lineRule="auto"/>
        <w:rPr>
          <w:rFonts w:ascii="Arial" w:cs="Arial" w:eastAsia="Arial" w:hAnsi="Arial"/>
          <w:sz w:val="16"/>
          <w:szCs w:val="16"/>
          <w:color w:val="auto"/>
        </w:rPr>
      </w:pPr>
      <w:r>
        <w:rPr>
          <w:rFonts w:ascii="Arial" w:cs="Arial" w:eastAsia="Arial" w:hAnsi="Arial"/>
          <w:sz w:val="18"/>
          <w:szCs w:val="18"/>
          <w:color w:val="auto"/>
        </w:rPr>
        <w:t>(3)(C) of the Internal Revenue Code (a “</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and (y) an electronic copy (or an original if requested by the Borrower or the Administrative Agent) of IRS Form W-8BEN or W-8BEN-E, as applicable,; or</w:t>
      </w:r>
    </w:p>
    <w:p>
      <w:pPr>
        <w:spacing w:after="0" w:line="76" w:lineRule="exact"/>
        <w:rPr>
          <w:sz w:val="20"/>
          <w:szCs w:val="20"/>
          <w:color w:val="auto"/>
        </w:rPr>
      </w:pPr>
    </w:p>
    <w:p>
      <w:pPr>
        <w:ind w:left="572" w:right="120" w:firstLine="383"/>
        <w:spacing w:after="0" w:line="255" w:lineRule="auto"/>
        <w:rPr>
          <w:sz w:val="20"/>
          <w:szCs w:val="20"/>
          <w:color w:val="auto"/>
        </w:rPr>
      </w:pPr>
      <w:r>
        <w:rPr>
          <w:rFonts w:ascii="Arial" w:cs="Arial" w:eastAsia="Arial" w:hAnsi="Arial"/>
          <w:sz w:val="18"/>
          <w:szCs w:val="18"/>
          <w:color w:val="auto"/>
        </w:rPr>
        <w:t>(IV) to the extent a Foreign Lender is not the beneficial owner, an electronic copy (or an original if requested by the Borrower or the Administrative Agent) of an executed IRS Form W-8IMY, accompanied by IRS Form W-8ECI, IRS Form W-8BEN or W-8BEN-E, as applicable, a U.S. Tax Compliance Certificate substantially in the form of Exhibit Q-2 or Exhibit Q-3,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Q-4 on behalf of each such direct and indirect partner;</w:t>
      </w:r>
    </w:p>
    <w:p>
      <w:pPr>
        <w:spacing w:after="0" w:line="122" w:lineRule="exact"/>
        <w:rPr>
          <w:sz w:val="20"/>
          <w:szCs w:val="20"/>
          <w:color w:val="auto"/>
        </w:rPr>
      </w:pPr>
    </w:p>
    <w:p>
      <w:pPr>
        <w:ind w:left="4452"/>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0152"/>
          </w:cols>
          <w:pgMar w:left="1308" w:top="274" w:right="439" w:bottom="1440" w:gutter="0" w:footer="0" w:header="0"/>
        </w:sectPr>
      </w:pPr>
    </w:p>
    <w:bookmarkStart w:id="69" w:name="page70"/>
    <w:bookmarkEnd w:id="69"/>
    <w:p>
      <w:pPr>
        <w:ind w:left="1000" w:right="60" w:firstLine="397"/>
        <w:spacing w:after="0" w:line="255" w:lineRule="auto"/>
        <w:tabs>
          <w:tab w:leader="none" w:pos="1686"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an electronic copy (or an original if requested by the Borrower or the Administrative Agent)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81" w:lineRule="exact"/>
        <w:rPr>
          <w:rFonts w:ascii="Arial" w:cs="Arial" w:eastAsia="Arial" w:hAnsi="Arial"/>
          <w:sz w:val="18"/>
          <w:szCs w:val="18"/>
          <w:color w:val="auto"/>
        </w:rPr>
      </w:pPr>
    </w:p>
    <w:p>
      <w:pPr>
        <w:ind w:left="1000" w:firstLine="397"/>
        <w:spacing w:after="0" w:line="287" w:lineRule="auto"/>
        <w:tabs>
          <w:tab w:leader="none" w:pos="1696" w:val="left"/>
        </w:tabs>
        <w:numPr>
          <w:ilvl w:val="0"/>
          <w:numId w:val="73"/>
        </w:numPr>
        <w:rPr>
          <w:rFonts w:ascii="Arial" w:cs="Arial" w:eastAsia="Arial" w:hAnsi="Arial"/>
          <w:sz w:val="16"/>
          <w:szCs w:val="16"/>
          <w:color w:val="auto"/>
        </w:rPr>
      </w:pPr>
      <w:r>
        <w:rPr>
          <w:rFonts w:ascii="Arial" w:cs="Arial" w:eastAsia="Arial" w:hAnsi="Arial"/>
          <w:sz w:val="16"/>
          <w:szCs w:val="16"/>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Applicable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(D), “FATCA” shall include any amendments made to FATCA after the date of this Agreement. For purposes of determining withholding Taxes imposed under FATCA, from and after the date of this Agreement, the Borrower and the Administrative Agent shall treat (and the Lenders hereby authorize the Administrative Agent to treat) this Agreement as not qualifying as a “grandfathered obligation” within the meaning of Treasury Regulation Section 1.1471-2(b)(2)(i).</w:t>
      </w:r>
    </w:p>
    <w:p>
      <w:pPr>
        <w:spacing w:after="0" w:line="16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spacing w:after="0" w:line="62" w:lineRule="exact"/>
        <w:rPr>
          <w:sz w:val="20"/>
          <w:szCs w:val="20"/>
          <w:color w:val="auto"/>
        </w:rPr>
      </w:pPr>
    </w:p>
    <w:p>
      <w:pPr>
        <w:ind w:firstLine="444"/>
        <w:spacing w:after="0" w:line="268" w:lineRule="auto"/>
        <w:tabs>
          <w:tab w:leader="none" w:pos="695"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subsection (plus any penalties, interest or other charges imposed by the relevant Governmental Authority) in the event that such indemnified party is required to repay such refund to such Governmental Authority. Notwithstanding anything to the contrary in this subsection, in no event will the indemnified party be required to pay any amount to an indemnifying party pursuant to this subsection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indemnified party to make available its Tax returns (or any other information relating to its Taxes that it deems confidential) to the indemnifying party or any other Person.</w:t>
      </w:r>
    </w:p>
    <w:p>
      <w:pPr>
        <w:spacing w:after="0" w:line="120" w:lineRule="exact"/>
        <w:rPr>
          <w:rFonts w:ascii="Arial" w:cs="Arial" w:eastAsia="Arial" w:hAnsi="Arial"/>
          <w:sz w:val="17"/>
          <w:szCs w:val="17"/>
          <w:color w:val="auto"/>
        </w:rPr>
      </w:pPr>
    </w:p>
    <w:p>
      <w:pPr>
        <w:ind w:left="5420" w:hanging="101"/>
        <w:spacing w:after="0"/>
        <w:tabs>
          <w:tab w:leader="none" w:pos="54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61 -</w:t>
      </w:r>
    </w:p>
    <w:p>
      <w:pPr>
        <w:sectPr>
          <w:pgSz w:w="11900" w:h="16838" w:orient="portrait"/>
          <w:cols w:equalWidth="0" w:num="1">
            <w:col w:w="11000"/>
          </w:cols>
          <w:pgMar w:left="440" w:top="274" w:right="459" w:bottom="1440" w:gutter="0" w:footer="0" w:header="0"/>
        </w:sectPr>
      </w:pPr>
    </w:p>
    <w:bookmarkStart w:id="70" w:name="page71"/>
    <w:bookmarkEnd w:id="70"/>
    <w:p>
      <w:pPr>
        <w:ind w:right="660" w:firstLine="444"/>
        <w:spacing w:after="0" w:line="264" w:lineRule="auto"/>
        <w:tabs>
          <w:tab w:leader="none" w:pos="655"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Survival</w:t>
      </w:r>
      <w:r>
        <w:rPr>
          <w:rFonts w:ascii="Arial" w:cs="Arial" w:eastAsia="Arial" w:hAnsi="Arial"/>
          <w:sz w:val="18"/>
          <w:szCs w:val="18"/>
          <w:color w:val="auto"/>
        </w:rPr>
        <w:t>. 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IV. Y</w:t>
      </w:r>
      <w:r>
        <w:rPr>
          <w:rFonts w:ascii="Arial" w:cs="Arial" w:eastAsia="Arial" w:hAnsi="Arial"/>
          <w:sz w:val="15"/>
          <w:szCs w:val="15"/>
          <w:b w:val="1"/>
          <w:bCs w:val="1"/>
          <w:color w:val="auto"/>
        </w:rPr>
        <w:t>IELD</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ROTECTION</w:t>
      </w:r>
      <w:r>
        <w:rPr>
          <w:rFonts w:ascii="Arial" w:cs="Arial" w:eastAsia="Arial" w:hAnsi="Arial"/>
          <w:sz w:val="18"/>
          <w:szCs w:val="18"/>
          <w:b w:val="1"/>
          <w:bCs w:val="1"/>
          <w:color w:val="auto"/>
        </w:rPr>
        <w:t>, E</w:t>
      </w:r>
      <w:r>
        <w:rPr>
          <w:rFonts w:ascii="Arial" w:cs="Arial" w:eastAsia="Arial" w:hAnsi="Arial"/>
          <w:sz w:val="15"/>
          <w:szCs w:val="15"/>
          <w:b w:val="1"/>
          <w:bCs w:val="1"/>
          <w:color w:val="auto"/>
        </w:rPr>
        <w:t>TC</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4.1. Additional Costs; Capital Adequacy.</w:t>
      </w:r>
    </w:p>
    <w:p>
      <w:pPr>
        <w:spacing w:after="0" w:line="121" w:lineRule="exact"/>
        <w:rPr>
          <w:sz w:val="20"/>
          <w:szCs w:val="20"/>
          <w:color w:val="auto"/>
        </w:rPr>
      </w:pPr>
    </w:p>
    <w:p>
      <w:pPr>
        <w:ind w:firstLine="444"/>
        <w:spacing w:after="0" w:line="288" w:lineRule="auto"/>
        <w:tabs>
          <w:tab w:leader="none" w:pos="685" w:val="left"/>
        </w:tabs>
        <w:numPr>
          <w:ilvl w:val="0"/>
          <w:numId w:val="76"/>
        </w:numPr>
        <w:rPr>
          <w:rFonts w:ascii="Arial" w:cs="Arial" w:eastAsia="Arial" w:hAnsi="Arial"/>
          <w:sz w:val="16"/>
          <w:szCs w:val="16"/>
          <w:color w:val="auto"/>
        </w:rPr>
      </w:pPr>
      <w:r>
        <w:rPr>
          <w:rFonts w:ascii="Arial" w:cs="Arial" w:eastAsia="Arial" w:hAnsi="Arial"/>
          <w:sz w:val="16"/>
          <w:szCs w:val="16"/>
          <w:color w:val="auto"/>
        </w:rPr>
        <w:t>Capital Adequacy. If any Lender or any Participant determines that compliance with any law or regulation or with any guideline or request from any central bank or other Governmental Authority issued or taking effect after the Agreement Date including any Regulatory Change (whether or not having the force of law) affects or would affect the amount of capital or liquidity required or expected to be maintained by such Lender or such Participant, or any corporation controlling such Lender or such Participant, as a consequence of, or with reference to, such Lender’s Commitments or its making, Converting to, Continuing of, or maintaining Loans or participating in Letters of Credit or Swingline Loans below the rate which such Lender or such Participant or such corporation controlling such Lender or such Participant could have achieved but for such compliance (taking into account the policies of such Lender or such Participant or such corporation with regard to capital), then the Borrower shall, from time to time, within thirty (30) days after written demand by such Lender or such Participant, pay to such Lender or such Participant additional amounts sufficient to compensate such Lender or such Participant or such corporation controlling such Lender or such Participant to the extent that such Lender or such Participant determines such increase in capital or liquidity is allocable to such Lender’s or such Participant’s obligations hereunder.</w:t>
      </w:r>
    </w:p>
    <w:p>
      <w:pPr>
        <w:spacing w:after="0" w:line="61" w:lineRule="exact"/>
        <w:rPr>
          <w:rFonts w:ascii="Arial" w:cs="Arial" w:eastAsia="Arial" w:hAnsi="Arial"/>
          <w:sz w:val="16"/>
          <w:szCs w:val="16"/>
          <w:color w:val="auto"/>
        </w:rPr>
      </w:pPr>
    </w:p>
    <w:p>
      <w:pPr>
        <w:ind w:firstLine="444"/>
        <w:spacing w:after="0" w:line="268" w:lineRule="auto"/>
        <w:tabs>
          <w:tab w:leader="none" w:pos="696" w:val="left"/>
        </w:tabs>
        <w:numPr>
          <w:ilvl w:val="0"/>
          <w:numId w:val="76"/>
        </w:numPr>
        <w:rPr>
          <w:rFonts w:ascii="Arial" w:cs="Arial" w:eastAsia="Arial" w:hAnsi="Arial"/>
          <w:sz w:val="17"/>
          <w:szCs w:val="17"/>
          <w:color w:val="auto"/>
        </w:rPr>
      </w:pPr>
      <w:r>
        <w:rPr>
          <w:rFonts w:ascii="Arial" w:cs="Arial" w:eastAsia="Arial" w:hAnsi="Arial"/>
          <w:sz w:val="17"/>
          <w:szCs w:val="17"/>
          <w:color w:val="auto"/>
        </w:rPr>
        <w:t>Additional Costs. In addition to, and not in limitation of the immediately preceding subsection, the Borrower shall promptly pay to the Administrative Agent for the account of a Lender from time to time such amounts as such Lender may determine to be necessary to compensate such Lender for any costs incurred by such Lender that it determines are attributable to its making, Converting to, Continuing of, or maintaining of any LIBOR Loans or LIBOR Margin Loans or its obligation to make any LIBOR Loans hereunder, any reduction in any amount receivable by such Lender under this Agreement or any of the other Loan Documents in respect of any of such LIBOR Loans or LIBOR Margin Loans or such obligation or the maintenance by such Lender of capital in respect of its LIBOR Loans or LIBOR Margin Loans or its Commitments (such increases in costs and reductions in amounts receivable being herein called “</w:t>
      </w:r>
      <w:r>
        <w:rPr>
          <w:rFonts w:ascii="Arial" w:cs="Arial" w:eastAsia="Arial" w:hAnsi="Arial"/>
          <w:sz w:val="17"/>
          <w:szCs w:val="17"/>
          <w:b w:val="1"/>
          <w:bCs w:val="1"/>
          <w:color w:val="auto"/>
        </w:rPr>
        <w:t>Additional Costs</w:t>
      </w:r>
      <w:r>
        <w:rPr>
          <w:rFonts w:ascii="Arial" w:cs="Arial" w:eastAsia="Arial" w:hAnsi="Arial"/>
          <w:sz w:val="17"/>
          <w:szCs w:val="17"/>
          <w:color w:val="auto"/>
        </w:rPr>
        <w:t>”), to the extent resulting from any Regulatory Change that: (i) changes the basis of taxation of any amounts payable to such Lender under this Agreement or any of the other Loan Documents in respect of any of such LIBOR Loans or LIBOR Margin Loans or its Commitments (other than Indemnified Taxes, Taxes described in clauses (b) through (d) of the definition of Excluded Taxes and Connection Income Taxes), or (ii) imposes or modifies any reserve, special deposit or similar requirements (other than Regulation D of the Board of Governors of the Federal Reserve System or other similar reserve requirement applicable to any other category of liabilities or category of extensions of credit or other assets by reference to which the interest rate on LIBOR Loans or LIBOR Margin Loans is determined to the extent utilized to determine LIBOR for such Loans) relating to any extensions of credit or other assets of, or any deposits with or other liabilities of, or other credit extended by, or any other acquisition of funds by such Lender (or its parent corporation), or any commitment of such Lender (including, without limitation, the Commitments of such Lender hereunder) or (iii) imposes on any Lender or the London interbank market any other condition, cost or expense (other than Taxes) affecting this Agreement or the Loans made by such Lender.</w:t>
      </w:r>
    </w:p>
    <w:p>
      <w:pPr>
        <w:spacing w:after="0" w:line="113" w:lineRule="exact"/>
        <w:rPr>
          <w:rFonts w:ascii="Arial" w:cs="Arial" w:eastAsia="Arial" w:hAnsi="Arial"/>
          <w:sz w:val="17"/>
          <w:szCs w:val="17"/>
          <w:color w:val="auto"/>
        </w:rPr>
      </w:pPr>
    </w:p>
    <w:p>
      <w:pPr>
        <w:ind w:left="5420" w:hanging="101"/>
        <w:spacing w:after="0"/>
        <w:tabs>
          <w:tab w:leader="none" w:pos="54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62 -</w:t>
      </w:r>
    </w:p>
    <w:p>
      <w:pPr>
        <w:sectPr>
          <w:pgSz w:w="11900" w:h="16838" w:orient="portrait"/>
          <w:cols w:equalWidth="0" w:num="1">
            <w:col w:w="11020"/>
          </w:cols>
          <w:pgMar w:left="440" w:top="274" w:right="439" w:bottom="1440" w:gutter="0" w:footer="0" w:header="0"/>
        </w:sectPr>
      </w:pPr>
    </w:p>
    <w:bookmarkStart w:id="71" w:name="page72"/>
    <w:bookmarkEnd w:id="71"/>
    <w:p>
      <w:pPr>
        <w:ind w:left="-4" w:right="20" w:firstLine="444"/>
        <w:spacing w:after="0" w:line="253" w:lineRule="auto"/>
        <w:tabs>
          <w:tab w:leader="none" w:pos="681" w:val="left"/>
        </w:tabs>
        <w:numPr>
          <w:ilvl w:val="1"/>
          <w:numId w:val="7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Lender’s Suspension of LIBOR Loans and LIBOR Margin Loans</w:t>
      </w:r>
      <w:r>
        <w:rPr>
          <w:rFonts w:ascii="Arial" w:cs="Arial" w:eastAsia="Arial" w:hAnsi="Arial"/>
          <w:sz w:val="18"/>
          <w:szCs w:val="18"/>
          <w:color w:val="auto"/>
        </w:rPr>
        <w:t>. Without limiting the effect of the provisions of the immediately preceding subsection (a) and (b), if by reason of any Regulatory Change, any Lender either (i) incurs Additional Costs based on or measured by the excess above a specified level of the amount of a category of deposits or other liabilities of such Lender that includes deposits by reference to which the interest rate on LIBOR Loans or LIBOR Margin Loans is determined as provided in this Agreement or a category of extensions of credit or other assets of such Lender that includes LIBOR Loans or LIBOR Margin Loans or (ii) becomes subject to restrictions on the amount of such a category of liabilities or assets that it may hold, then, if such Lender so elects by notice to the Borrower (with a copy to the Administrative Agent), the obligation of such Lender to make or Continue, or to Convert Base Rate Loans into, LIBOR Loans and/or the obligation of a Lender that has outstanding a Bid Rate Quote to make LIBOR Margin Loans hereunder shall be suspended until such Regulatory Change ceases to be in effect (in which case the provisions of Section 4.5. shall apply).</w:t>
      </w:r>
    </w:p>
    <w:p>
      <w:pPr>
        <w:spacing w:after="0" w:line="89" w:lineRule="exact"/>
        <w:rPr>
          <w:rFonts w:ascii="Arial" w:cs="Arial" w:eastAsia="Arial" w:hAnsi="Arial"/>
          <w:sz w:val="18"/>
          <w:szCs w:val="18"/>
          <w:color w:val="auto"/>
        </w:rPr>
      </w:pPr>
    </w:p>
    <w:p>
      <w:pPr>
        <w:ind w:left="-4" w:right="120" w:firstLine="444"/>
        <w:spacing w:after="0" w:line="288" w:lineRule="auto"/>
        <w:tabs>
          <w:tab w:leader="none" w:pos="692" w:val="left"/>
        </w:tabs>
        <w:numPr>
          <w:ilvl w:val="1"/>
          <w:numId w:val="77"/>
        </w:numPr>
        <w:rPr>
          <w:rFonts w:ascii="Arial" w:cs="Arial" w:eastAsia="Arial" w:hAnsi="Arial"/>
          <w:sz w:val="16"/>
          <w:szCs w:val="16"/>
          <w:color w:val="auto"/>
        </w:rPr>
      </w:pPr>
      <w:r>
        <w:rPr>
          <w:rFonts w:ascii="Arial" w:cs="Arial" w:eastAsia="Arial" w:hAnsi="Arial"/>
          <w:sz w:val="16"/>
          <w:szCs w:val="16"/>
          <w:u w:val="single" w:color="auto"/>
          <w:color w:val="auto"/>
        </w:rPr>
        <w:t>Additional Costs in Respect of Letters of Credit</w:t>
      </w:r>
      <w:r>
        <w:rPr>
          <w:rFonts w:ascii="Arial" w:cs="Arial" w:eastAsia="Arial" w:hAnsi="Arial"/>
          <w:sz w:val="16"/>
          <w:szCs w:val="16"/>
          <w:color w:val="auto"/>
        </w:rPr>
        <w:t>. Without limiting the obligations of the Borrower under the preceding subsections of this Section (but without duplication), if as a result of any Regulatory Change or any risk-based capital guideline or other requirement hereafter issued by any Governmental Authority there shall be imposed, modified or deemed applicable any Tax (other than Indemnified Taxes, Taxes described in clauses</w:t>
      </w:r>
    </w:p>
    <w:p>
      <w:pPr>
        <w:ind w:left="-4" w:firstLine="4"/>
        <w:spacing w:after="0" w:line="269" w:lineRule="auto"/>
        <w:tabs>
          <w:tab w:leader="none" w:pos="251"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through (d) of the definition of Excluded Taxes and Connection Income Taxes), reserve, special deposit, capital adequacy or similar requirement against or with respect to or measured by reference to Letters of Credit and the result shall be to increase the cost to the Issuing Bank of issuing (or any Lender of purchasing participations in) or maintaining its obligation hereunder to issue (or purchase participations in) any Letter of Credit or reduce any amount receivable by the Issuing Bank or any Lender hereunder in respect of any Letter of Credit, then, upon demand by the Issuing Bank or such Lender, the Borrower shall pay promptly to the Issuing Bank or, in the case of such Lender, to the Administrative Agent for the account of such Lender, from time to time as specified by the Issuing Bank or such Lender, such additional amounts as shall be sufficient to compensate the Issuing Bank or such Lender for such increased costs or reductions in amount.</w:t>
      </w:r>
    </w:p>
    <w:p>
      <w:pPr>
        <w:spacing w:after="0" w:line="72" w:lineRule="exact"/>
        <w:rPr>
          <w:rFonts w:ascii="Arial" w:cs="Arial" w:eastAsia="Arial" w:hAnsi="Arial"/>
          <w:sz w:val="17"/>
          <w:szCs w:val="17"/>
          <w:color w:val="auto"/>
        </w:rPr>
      </w:pPr>
    </w:p>
    <w:p>
      <w:pPr>
        <w:ind w:left="-4" w:firstLine="444"/>
        <w:spacing w:after="0" w:line="286" w:lineRule="auto"/>
        <w:tabs>
          <w:tab w:leader="none" w:pos="681" w:val="left"/>
        </w:tabs>
        <w:numPr>
          <w:ilvl w:val="1"/>
          <w:numId w:val="78"/>
        </w:numPr>
        <w:rPr>
          <w:rFonts w:ascii="Arial" w:cs="Arial" w:eastAsia="Arial" w:hAnsi="Arial"/>
          <w:sz w:val="16"/>
          <w:szCs w:val="16"/>
          <w:color w:val="auto"/>
        </w:rPr>
      </w:pPr>
      <w:r>
        <w:rPr>
          <w:rFonts w:ascii="Arial" w:cs="Arial" w:eastAsia="Arial" w:hAnsi="Arial"/>
          <w:sz w:val="16"/>
          <w:szCs w:val="16"/>
          <w:u w:val="single" w:color="auto"/>
          <w:color w:val="auto"/>
        </w:rPr>
        <w:t>Notification and Determination of Additional Costs</w:t>
      </w:r>
      <w:r>
        <w:rPr>
          <w:rFonts w:ascii="Arial" w:cs="Arial" w:eastAsia="Arial" w:hAnsi="Arial"/>
          <w:sz w:val="16"/>
          <w:szCs w:val="16"/>
          <w:color w:val="auto"/>
        </w:rPr>
        <w:t>. Each of the Administrative Agent, Issuing Bank, each Lender, and each Participant, as the case may be, agrees to notify the Borrower of any event occurring after the Agreement Date entitling the Administrative Agent, the Issuing Bank, such Lender or such Participant to compensation under any of the preceding subsections of this Section as promptly as practicable; provided, however, that the failure of the Administrative Agent, the Issuing Bank, any Lender or any Participant to give such notice shall not release the Borrower from any of its obligations hereunder (and in the case of a Lender, to the Administrative Agent). The Administrative Agent, the Issuing Bank, each Lender and each Participant, as the case may be, agrees to furnish to the Borrower (and in the case of the Issuing Bank, a Lender or a Participant to the Administrative Agent as well) a certificate setting forth the basis and amount of each request for compensation under this Section. Determinations by the Administrative Agent, the Issuing Bank, such Lender, or such Participant, as the case may be, of the effect of any Regulatory Change shall be conclusive and binding for all purposes, absent manifest error and provided that such determinations are made on a reasonable basis and in good faith. Notwithstanding anything to the contrary contained in the preceding subsections of this Section 4.1., the Borrower shall not be required to compensate any Lender or any Participant for any such increased costs or reduced return incurred by such Lender or Participant more than one-hundred-eighty (180) days prior to such Lender’s or Participant’s written request to the Borrower for such compensation (except that if the event giving rise to the increased costs or reduced return is retroactive, then the one-hundred-eighty (180) day period referred to above shall be extended to include the period of retroactive effect thereof).</w:t>
      </w:r>
    </w:p>
    <w:p>
      <w:pPr>
        <w:spacing w:after="0" w:line="107" w:lineRule="exact"/>
        <w:rPr>
          <w:rFonts w:ascii="Arial" w:cs="Arial" w:eastAsia="Arial" w:hAnsi="Arial"/>
          <w:sz w:val="16"/>
          <w:szCs w:val="16"/>
          <w:color w:val="auto"/>
        </w:rPr>
      </w:pPr>
    </w:p>
    <w:p>
      <w:pPr>
        <w:ind w:left="5416" w:hanging="101"/>
        <w:spacing w:after="0"/>
        <w:tabs>
          <w:tab w:leader="none" w:pos="5416" w:val="left"/>
        </w:tabs>
        <w:numPr>
          <w:ilvl w:val="2"/>
          <w:numId w:val="78"/>
        </w:numPr>
        <w:rPr>
          <w:rFonts w:ascii="Arial" w:cs="Arial" w:eastAsia="Arial" w:hAnsi="Arial"/>
          <w:sz w:val="18"/>
          <w:szCs w:val="18"/>
          <w:color w:val="auto"/>
        </w:rPr>
      </w:pPr>
      <w:r>
        <w:rPr>
          <w:rFonts w:ascii="Arial" w:cs="Arial" w:eastAsia="Arial" w:hAnsi="Arial"/>
          <w:sz w:val="18"/>
          <w:szCs w:val="18"/>
          <w:color w:val="auto"/>
        </w:rPr>
        <w:t>63 -</w:t>
      </w:r>
    </w:p>
    <w:p>
      <w:pPr>
        <w:sectPr>
          <w:pgSz w:w="11900" w:h="16838" w:orient="portrait"/>
          <w:cols w:equalWidth="0" w:num="1">
            <w:col w:w="11016"/>
          </w:cols>
          <w:pgMar w:left="444" w:top="274" w:right="4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4.2. Inability to Determine Interest Rates; Alternative Rate of Interest.</w:t>
      </w:r>
    </w:p>
    <w:p>
      <w:pPr>
        <w:spacing w:after="0" w:line="121" w:lineRule="exact"/>
        <w:rPr>
          <w:sz w:val="20"/>
          <w:szCs w:val="20"/>
          <w:color w:val="auto"/>
        </w:rPr>
      </w:pPr>
    </w:p>
    <w:p>
      <w:pPr>
        <w:ind w:right="20" w:firstLine="444"/>
        <w:spacing w:after="0" w:line="269" w:lineRule="auto"/>
        <w:tabs>
          <w:tab w:leader="none" w:pos="68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 If the Administrative Agent reasonably determines, or the Administrative Agent is advised by the Requisite Lenders, that for any reason in connection with any request for a LIBOR Loan or a Conversion to or Continuation thereof or otherwise that (i) Dollar deposits are not being offered to banks in the London interbank market for the applicable amount and Interest Period of such LIBOR Loan, (ii) adequate and reasonable means do not exist for determining LIBOR for any requested Interest Period with respect to a proposed LIBOR Loan, or (iii) LIBOR for any requested Interest Period with respect to a proposed LIBOR Loan does not adequately and fairly reflect the cost to the Requisite Lenders of funding such Loan, the Administrative Agent will promptly so notify the Borrower and each Lender. Thereafter, the obligation of the Lenders to make or maintain LIBOR Loans and Base Rate Loans as to which the interest rate is determined by reference to LIBOR shall be suspended until the Administrative Agent (upon the instruction of the Requisite Lenders) revokes such notice, such revocation not to be unreasonably withheld or delayed. Upon receipt of such notice, the Borrower may revoke any pending request for the borrowing of Revolving Loans, Conversion to or Continuation of LIBOR Loans or, failing that, will be deemed to have converted such request into a request for the borrowing of Revolving Loans that are Base Rate Loans (with the Base Rate determined other than by reference to the LIBOR Market Index Rate (as provided in the definition of Base Rate)) in the amount specified therein.</w:t>
      </w:r>
    </w:p>
    <w:p>
      <w:pPr>
        <w:spacing w:after="0" w:line="71" w:lineRule="exact"/>
        <w:rPr>
          <w:rFonts w:ascii="Arial" w:cs="Arial" w:eastAsia="Arial" w:hAnsi="Arial"/>
          <w:sz w:val="17"/>
          <w:szCs w:val="17"/>
          <w:color w:val="auto"/>
        </w:rPr>
      </w:pPr>
    </w:p>
    <w:p>
      <w:pPr>
        <w:ind w:firstLine="444"/>
        <w:spacing w:after="0" w:line="270" w:lineRule="auto"/>
        <w:tabs>
          <w:tab w:leader="none" w:pos="69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Benchmark Replacement</w:t>
      </w:r>
      <w:r>
        <w:rPr>
          <w:rFonts w:ascii="Arial" w:cs="Arial" w:eastAsia="Arial" w:hAnsi="Arial"/>
          <w:sz w:val="17"/>
          <w:szCs w:val="17"/>
          <w:color w:val="auto"/>
        </w:rPr>
        <w:t>. Notwithstanding anything to the contrary contained herein or in any other Loan Document, upon the occurrence of a Benchmark Transition Event or an Early Opt-in Election, as applicable, the Administrative Agent and the Borrower may amend this Agreement to replace LIBOR with a Benchmark Replacement. Any such amendment with respect to a Benchmark Transition Event will become effective at 5:00 p.m. Pacific time on the fifth (5</w:t>
      </w:r>
      <w:r>
        <w:rPr>
          <w:rFonts w:ascii="Arial" w:cs="Arial" w:eastAsia="Arial" w:hAnsi="Arial"/>
          <w:sz w:val="14"/>
          <w:szCs w:val="14"/>
          <w:color w:val="auto"/>
        </w:rPr>
        <w:t>th</w:t>
      </w:r>
      <w:r>
        <w:rPr>
          <w:rFonts w:ascii="Arial" w:cs="Arial" w:eastAsia="Arial" w:hAnsi="Arial"/>
          <w:sz w:val="17"/>
          <w:szCs w:val="17"/>
          <w:color w:val="auto"/>
        </w:rPr>
        <w:t>) Business Day after (i) the Administrative Agent and the Borrower have agreed to the terms of such proposed amendment and (ii) the Administrative Agent has posted such proposed amendment to all Lenders and the Borrower so long as the Administrative Agent has not received, by such time, written notice of objection to such amendment from Lenders comprising the Requisite Lenders. Any such amendment agreed upon by the Administrative Agent and the Borrower with respect to an Early Opt-in Election will become effective on the date that Lenders comprising the Requisite Lenders have delivered to the Administrative Agent written notice that such Requisite Lenders accept such amendment. No replacement of LIBOR with a Benchmark Replacement pursuant to clause (b) through (e) of this Section 4.2. will occur prior to the applicable Benchmark Transition Start Date.</w:t>
      </w:r>
    </w:p>
    <w:p>
      <w:pPr>
        <w:spacing w:after="0" w:line="69" w:lineRule="exact"/>
        <w:rPr>
          <w:rFonts w:ascii="Arial" w:cs="Arial" w:eastAsia="Arial" w:hAnsi="Arial"/>
          <w:sz w:val="17"/>
          <w:szCs w:val="17"/>
          <w:color w:val="auto"/>
        </w:rPr>
      </w:pPr>
    </w:p>
    <w:p>
      <w:pPr>
        <w:ind w:firstLine="444"/>
        <w:spacing w:after="0" w:line="259" w:lineRule="auto"/>
        <w:tabs>
          <w:tab w:leader="none" w:pos="685"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Benchmark Replacement Conforming Changes</w:t>
      </w:r>
      <w:r>
        <w:rPr>
          <w:rFonts w:ascii="Arial" w:cs="Arial" w:eastAsia="Arial" w:hAnsi="Arial"/>
          <w:sz w:val="18"/>
          <w:szCs w:val="18"/>
          <w:color w:val="auto"/>
        </w:rPr>
        <w:t>. In connection with the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w:t>
      </w:r>
    </w:p>
    <w:p>
      <w:pPr>
        <w:spacing w:after="0" w:line="78" w:lineRule="exact"/>
        <w:rPr>
          <w:rFonts w:ascii="Arial" w:cs="Arial" w:eastAsia="Arial" w:hAnsi="Arial"/>
          <w:sz w:val="18"/>
          <w:szCs w:val="18"/>
          <w:color w:val="auto"/>
        </w:rPr>
      </w:pPr>
    </w:p>
    <w:p>
      <w:pPr>
        <w:ind w:right="60" w:firstLine="444"/>
        <w:spacing w:after="0" w:line="290" w:lineRule="auto"/>
        <w:tabs>
          <w:tab w:leader="none" w:pos="6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Notices; Standards for Decisions and Determinations</w:t>
      </w:r>
      <w:r>
        <w:rPr>
          <w:rFonts w:ascii="Arial" w:cs="Arial" w:eastAsia="Arial" w:hAnsi="Arial"/>
          <w:sz w:val="16"/>
          <w:szCs w:val="16"/>
          <w:color w:val="auto"/>
        </w:rPr>
        <w:t>. The Administrative Agent will promptly notify the Borrower and the Lenders of (i) any occurrence of a Benchmark Transition Event or an Early Opt-in Election, as applicable, and its related Benchmark Replacement Date and Benchmark Transition Start Date, (ii) the implementation of any Benchmark Replacement, (iii) the effectiveness of any Benchmark Replacement Conforming Changes and (iv) the commencement or conclusion of any Benchmark Unavailability Period. Any determination, decision or election that may be made by the Administrative Agent or Lenders pursuant to this Section 4.2., including any determination with respect to a tenor, rate or adjustment or of the occurrence or non-occurrence of an event, circumstance or date and any decision to take or refrain from taking any action, will be conclusive and binding absent manifest error and may be made in its or their sole discretion and without consent from any other party hereto, except, in each case, as expressly required pursuant to clauses (b) through (e) of this Section 4.2 (including in the definitions of defined terms used in such clauses).</w:t>
      </w:r>
    </w:p>
    <w:p>
      <w:pPr>
        <w:spacing w:after="0" w:line="98" w:lineRule="exact"/>
        <w:rPr>
          <w:rFonts w:ascii="Arial" w:cs="Arial" w:eastAsia="Arial" w:hAnsi="Arial"/>
          <w:sz w:val="16"/>
          <w:szCs w:val="16"/>
          <w:color w:val="auto"/>
        </w:rPr>
      </w:pPr>
    </w:p>
    <w:p>
      <w:pPr>
        <w:ind w:left="5420" w:hanging="101"/>
        <w:spacing w:after="0"/>
        <w:tabs>
          <w:tab w:leader="none" w:pos="54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64 -</w:t>
      </w:r>
    </w:p>
    <w:p>
      <w:pPr>
        <w:sectPr>
          <w:pgSz w:w="11900" w:h="16838" w:orient="portrait"/>
          <w:cols w:equalWidth="0" w:num="1">
            <w:col w:w="11000"/>
          </w:cols>
          <w:pgMar w:left="440" w:top="270" w:right="459" w:bottom="1440" w:gutter="0" w:footer="0" w:header="0"/>
        </w:sectPr>
      </w:pPr>
    </w:p>
    <w:bookmarkStart w:id="73" w:name="page74"/>
    <w:bookmarkEnd w:id="73"/>
    <w:p>
      <w:pPr>
        <w:ind w:firstLine="444"/>
        <w:spacing w:after="0" w:line="276" w:lineRule="auto"/>
        <w:tabs>
          <w:tab w:leader="none" w:pos="685" w:val="left"/>
        </w:tabs>
        <w:numPr>
          <w:ilvl w:val="0"/>
          <w:numId w:val="8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Benchmark Unavailability Period</w:t>
      </w:r>
      <w:r>
        <w:rPr>
          <w:rFonts w:ascii="Arial" w:cs="Arial" w:eastAsia="Arial" w:hAnsi="Arial"/>
          <w:sz w:val="17"/>
          <w:szCs w:val="17"/>
          <w:color w:val="auto"/>
        </w:rPr>
        <w:t>. Upon the Borrower’s receipt of notice of the commencement of a Benchmark Unavailability Period, the Borrower may revoke any request for a borrowing of Revolving Loans that are to be LIBOR Loans, Conversion to or a Continuation of LIBOR Loans to be made, converted or continued during any Benchmark Unavailability Period and, failing that, the Borrower will be deemed to have converted any such request into a request for a borrowing of Revolving Loans of or Conversion to Base Rate Loans. During any Benchmark Unavailability Period, the LIBOR Market Index Rate will not be used in any determination of Base Rate (as provided in the definition thereof).</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4.3. Illegality.</w:t>
      </w:r>
    </w:p>
    <w:p>
      <w:pPr>
        <w:spacing w:after="0" w:line="121" w:lineRule="exact"/>
        <w:rPr>
          <w:sz w:val="20"/>
          <w:szCs w:val="20"/>
          <w:color w:val="auto"/>
        </w:rPr>
      </w:pPr>
    </w:p>
    <w:p>
      <w:pPr>
        <w:ind w:firstLine="441"/>
        <w:spacing w:after="0" w:line="291" w:lineRule="auto"/>
        <w:rPr>
          <w:sz w:val="20"/>
          <w:szCs w:val="20"/>
          <w:color w:val="auto"/>
        </w:rPr>
      </w:pPr>
      <w:r>
        <w:rPr>
          <w:rFonts w:ascii="Arial" w:cs="Arial" w:eastAsia="Arial" w:hAnsi="Arial"/>
          <w:sz w:val="16"/>
          <w:szCs w:val="16"/>
          <w:color w:val="auto"/>
        </w:rPr>
        <w:t>Notwithstanding any other provision of this Agreement, (a) if any Lender shall reasonably determine (which determination shall be conclusive and binding) that it is unlawful for such Lender to honor its obligation to make, Convert to, Continue or maintain LIBOR Loans hereunder and/or (b) if any Lender that has an outstanding Bid Rate Quote shall reasonably determine (which determination shall be conclusive and binding) that it is unlawful for such Lender to honor its obligation to make or maintain LIBOR Margin Loans hereunder, then such Lender shall promptly notify the Borrower thereof (with a copy of such notice to the Administrative Agent) and such Lender’s obligation to make or Continue, or to Convert Loans of any other Type into, LIBOR Loans shall be suspended and/or such Lender’s obligation to make LIBOR Margin Loans shall be suspended, in each case, until such time as such Lender may again make and maintain LIBOR Loans or LIBOR Margin Loans (in which case the provisions of Section 4.5. shall be applicable).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4.4. Compensation.</w:t>
      </w:r>
    </w:p>
    <w:p>
      <w:pPr>
        <w:spacing w:after="0" w:line="121" w:lineRule="exact"/>
        <w:rPr>
          <w:sz w:val="20"/>
          <w:szCs w:val="20"/>
          <w:color w:val="auto"/>
        </w:rPr>
      </w:pPr>
    </w:p>
    <w:p>
      <w:pPr>
        <w:ind w:right="20" w:firstLine="441"/>
        <w:spacing w:after="0" w:line="264" w:lineRule="auto"/>
        <w:rPr>
          <w:sz w:val="20"/>
          <w:szCs w:val="20"/>
          <w:color w:val="auto"/>
        </w:rPr>
      </w:pPr>
      <w:r>
        <w:rPr>
          <w:rFonts w:ascii="Arial" w:cs="Arial" w:eastAsia="Arial" w:hAnsi="Arial"/>
          <w:sz w:val="18"/>
          <w:szCs w:val="18"/>
          <w:color w:val="auto"/>
        </w:rPr>
        <w:t>The Borrower shall pay to the Administrative Agent for the account of each Lender, upon the request of the Administrative Agent, such amount or amounts as the Administrative Agent shall determine in its reasonable discretion shall be sufficient to compensate such Lender for any loss, cost or expense attributable to:</w:t>
      </w:r>
    </w:p>
    <w:p>
      <w:pPr>
        <w:spacing w:after="0" w:line="73" w:lineRule="exact"/>
        <w:rPr>
          <w:sz w:val="20"/>
          <w:szCs w:val="20"/>
          <w:color w:val="auto"/>
        </w:rPr>
      </w:pPr>
    </w:p>
    <w:p>
      <w:pPr>
        <w:jc w:val="both"/>
        <w:ind w:left="440" w:right="240" w:firstLine="428"/>
        <w:spacing w:after="0" w:line="264" w:lineRule="auto"/>
        <w:tabs>
          <w:tab w:leader="none" w:pos="1108"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payment or prepayment (whether mandatory or optional) of a LIBOR Loan or a Bid Rate Loan, or Conversion of a LIBOR Loan, made by such Lender for any reason (including, without limitation, acceleration) on a date other than the last day of the Interest Period for such Loan; or</w:t>
      </w:r>
    </w:p>
    <w:p>
      <w:pPr>
        <w:spacing w:after="0" w:line="73" w:lineRule="exact"/>
        <w:rPr>
          <w:rFonts w:ascii="Arial" w:cs="Arial" w:eastAsia="Arial" w:hAnsi="Arial"/>
          <w:sz w:val="18"/>
          <w:szCs w:val="18"/>
          <w:color w:val="auto"/>
        </w:rPr>
      </w:pPr>
    </w:p>
    <w:p>
      <w:pPr>
        <w:ind w:left="440" w:right="480" w:firstLine="428"/>
        <w:spacing w:after="0" w:line="312" w:lineRule="auto"/>
        <w:tabs>
          <w:tab w:leader="none" w:pos="1118"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any failure by the Borrower for any reason (including, without limitation, the failure of any of the applicable conditions precedent specified in Article 5.2. to be satisfied) to borrow a LIBOR Loan or a Bid Rate Loan from such Lender on the date for such borrowing, or to Convert a Base Rate Loan into a LIBOR Loan or Continue a LIBOR Loan on the requested date of such Conversion or Continuation.</w:t>
      </w:r>
    </w:p>
    <w:p>
      <w:pPr>
        <w:spacing w:after="0" w:line="147"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Upon the Borrower’s request, the Administrative Agent shall provide the Borrower with a statement setting forth the basis for requesting such compensation and the method for determining the amount thereof. Any such statement shall be conclusive absent manifest error provided that such determination is made on a reasonable basis and in good faith.</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- 65 -</w:t>
      </w:r>
    </w:p>
    <w:p>
      <w:pPr>
        <w:sectPr>
          <w:pgSz w:w="11900" w:h="16838" w:orient="portrait"/>
          <w:cols w:equalWidth="0" w:num="1">
            <w:col w:w="11020"/>
          </w:cols>
          <w:pgMar w:left="440" w:top="274" w:right="4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4.5. Treatment of Affected Loans.</w:t>
      </w:r>
    </w:p>
    <w:p>
      <w:pPr>
        <w:spacing w:after="0" w:line="121" w:lineRule="exact"/>
        <w:rPr>
          <w:sz w:val="20"/>
          <w:szCs w:val="20"/>
          <w:color w:val="auto"/>
        </w:rPr>
      </w:pPr>
    </w:p>
    <w:p>
      <w:pPr>
        <w:ind w:right="100" w:firstLine="444"/>
        <w:spacing w:after="0" w:line="288" w:lineRule="auto"/>
        <w:tabs>
          <w:tab w:leader="none" w:pos="685"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the obligation of any Lender to make LIBOR Loans or to Continue, or to Convert Base Rate Loans into, LIBOR Loans shall be suspended pursuant to Section 4.1.(c), Section 4.2. or Section 4.3. then such Lender’s LIBOR Loans shall be automatically Converted into Base Rate Loans on the last day(s) of the then current Interest Period(s) for LIBOR Loans (or, in the case of a Conversion required by Section 4.1.(c), Section 4.2., or</w:t>
      </w:r>
    </w:p>
    <w:p>
      <w:pPr>
        <w:ind w:right="20"/>
        <w:spacing w:after="0" w:line="255" w:lineRule="auto"/>
        <w:rPr>
          <w:rFonts w:ascii="Arial" w:cs="Arial" w:eastAsia="Arial" w:hAnsi="Arial"/>
          <w:sz w:val="16"/>
          <w:szCs w:val="16"/>
          <w:color w:val="auto"/>
        </w:rPr>
      </w:pPr>
      <w:r>
        <w:rPr>
          <w:rFonts w:ascii="Arial" w:cs="Arial" w:eastAsia="Arial" w:hAnsi="Arial"/>
          <w:sz w:val="18"/>
          <w:szCs w:val="18"/>
          <w:color w:val="auto"/>
        </w:rPr>
        <w:t>Section 4.3. on such earlier date as such Lender may specify to the Borrower with a copy to the Administrative Agent) and, unless and until such Lender gives notice as provided below that the circumstances specified in Section 4.1., Section 4.2. or Section 4.3. that gave rise to such Conversion no longer exist:</w:t>
      </w:r>
    </w:p>
    <w:p>
      <w:pPr>
        <w:spacing w:after="0" w:line="82" w:lineRule="exact"/>
        <w:rPr>
          <w:rFonts w:ascii="Arial" w:cs="Arial" w:eastAsia="Arial" w:hAnsi="Arial"/>
          <w:sz w:val="16"/>
          <w:szCs w:val="16"/>
          <w:color w:val="auto"/>
        </w:rPr>
      </w:pPr>
    </w:p>
    <w:p>
      <w:pPr>
        <w:ind w:left="440" w:right="120" w:firstLine="428"/>
        <w:spacing w:after="0" w:line="277" w:lineRule="auto"/>
        <w:tabs>
          <w:tab w:leader="none" w:pos="1078"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that would otherwise be applied to such Lender’s LIBOR Loans shall be applied instead to its Base Rate Loans; and</w:t>
      </w:r>
    </w:p>
    <w:p>
      <w:pPr>
        <w:spacing w:after="0" w:line="62" w:lineRule="exact"/>
        <w:rPr>
          <w:rFonts w:ascii="Arial" w:cs="Arial" w:eastAsia="Arial" w:hAnsi="Arial"/>
          <w:sz w:val="18"/>
          <w:szCs w:val="18"/>
          <w:color w:val="auto"/>
        </w:rPr>
      </w:pPr>
    </w:p>
    <w:p>
      <w:pPr>
        <w:ind w:left="440" w:right="60" w:firstLine="428"/>
        <w:spacing w:after="0" w:line="342" w:lineRule="auto"/>
        <w:tabs>
          <w:tab w:leader="none" w:pos="1128"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Loans that would otherwise be made or Continued by such Lender as LIBOR Loans shall be made or Continued instead as Base Rate Loans, and all Base Rate Loans of such Lender that would otherwise be Converted into LIBOR Loans shall remain as Base Rate Loans.</w:t>
      </w:r>
    </w:p>
    <w:p>
      <w:pPr>
        <w:spacing w:after="0" w:line="12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such Lender gives notice to the Borrower (with a copy to the Administrative Agent) that the circumstances specified in Section 4.1.(c) or 4.3. that gave rise to the Conversion of such Lender’s LIBOR Loans pursuant to this Section no longer exist (which such Lender agrees to do promptly upon such circumstances ceasing to exist) at a time when LIBOR Loans made by other Lenders are outstanding, then such Lender’s Base Rate Loans shall be automatically Converted, on the first day(s) of the next succeeding Interest Period(s) for such outstanding LIBOR Loans, to the extent necessary so that, after giving effect thereto, all Loans held by the Lenders holding LIBOR Loans and by such Lender are held pro rata (as to principal amounts, Types and Interest Periods) in accordance with their respective Commitments.</w:t>
      </w:r>
    </w:p>
    <w:p>
      <w:pPr>
        <w:spacing w:after="0" w:line="70" w:lineRule="exact"/>
        <w:rPr>
          <w:sz w:val="20"/>
          <w:szCs w:val="20"/>
          <w:color w:val="auto"/>
        </w:rPr>
      </w:pPr>
    </w:p>
    <w:p>
      <w:pPr>
        <w:ind w:right="80" w:firstLine="444"/>
        <w:spacing w:after="0" w:line="255" w:lineRule="auto"/>
        <w:tabs>
          <w:tab w:leader="none" w:pos="696"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the obligation of a Lender to make LIBOR Margin Loans shall be suspended pursuant to Section 4.1.(c) or 4.2., then, to the extent payable on such date with a borrowing of Revolving Loans hereunder, the LIBOR Margin Loans of such Lender shall be automatically due and payable on such date as such Lender may specify to the Borrower by written notice with a copy to the Administrative Agent; provided that to the extent a borrowing of Revolving Loans in such amount is not available hereunder, then, unless otherwise provided to the contrary in an agreement between the Borrower and the provider of such LIBOR Margin Loans, the rate applicable to such Loans shall automatically be converted on such date in to Loans bearing interest at the Base Rate.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4.6. Affected Lenders.</w:t>
      </w:r>
    </w:p>
    <w:p>
      <w:pPr>
        <w:spacing w:after="0" w:line="121" w:lineRule="exact"/>
        <w:rPr>
          <w:sz w:val="20"/>
          <w:szCs w:val="20"/>
          <w:color w:val="auto"/>
        </w:rPr>
      </w:pPr>
    </w:p>
    <w:p>
      <w:pPr>
        <w:ind w:right="100" w:firstLine="441"/>
        <w:spacing w:after="0" w:line="270" w:lineRule="auto"/>
        <w:rPr>
          <w:sz w:val="20"/>
          <w:szCs w:val="20"/>
          <w:color w:val="auto"/>
        </w:rPr>
      </w:pPr>
      <w:r>
        <w:rPr>
          <w:rFonts w:ascii="Arial" w:cs="Arial" w:eastAsia="Arial" w:hAnsi="Arial"/>
          <w:sz w:val="17"/>
          <w:szCs w:val="17"/>
          <w:color w:val="auto"/>
        </w:rPr>
        <w:t>If (a) a Lender requests compensation pursuant to Section 3.10. or 4.1., and the Requisite Lenders are not also doing the same, or (b) the obligation of any Lender to make LIBOR Loans or to Continue, or to Convert Base Rate Loans into, LIBOR Loans shall be suspended pursuant to Section 4.1.(b) or 4.3. but the obligation of the Requisite Lenders shall not have been suspended under such Sections, or (c) a Lender does not vote in favor of any amendment, modification or waiver to this Agreement or any other Loan Document which, pursuant to Section 12.7., requires the vote of such Lender, and the Requisite Lenders shall have voted in favor of such amendment, modification or waiver or (d) a Lender becomes a Defaulting Lender, then, so long as there does not then exist any Event of Default, the Borrower may demand that such Lender (the “</w:t>
      </w:r>
      <w:r>
        <w:rPr>
          <w:rFonts w:ascii="Arial" w:cs="Arial" w:eastAsia="Arial" w:hAnsi="Arial"/>
          <w:sz w:val="17"/>
          <w:szCs w:val="17"/>
          <w:b w:val="1"/>
          <w:bCs w:val="1"/>
          <w:color w:val="auto"/>
        </w:rPr>
        <w:t>Affected Lender</w:t>
      </w:r>
      <w:r>
        <w:rPr>
          <w:rFonts w:ascii="Arial" w:cs="Arial" w:eastAsia="Arial" w:hAnsi="Arial"/>
          <w:sz w:val="17"/>
          <w:szCs w:val="17"/>
          <w:color w:val="auto"/>
        </w:rPr>
        <w:t>”), and upon such demand the Affected Lender shall promptly, assign its Commitment to an Eligible Assignee subject to and in accordance with the provisions of Section 12.6.(b) for a purchase price equal to (x) the aggregate principal balance of all Loans then owing to the Affected Lender, plus (y) the aggregate amount of payments previously made by the Affected Lender under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- 66 -</w:t>
      </w:r>
    </w:p>
    <w:p>
      <w:pPr>
        <w:sectPr>
          <w:pgSz w:w="11900" w:h="16838" w:orient="portrait"/>
          <w:cols w:equalWidth="0" w:num="1">
            <w:col w:w="11020"/>
          </w:cols>
          <w:pgMar w:left="440" w:top="270" w:right="439" w:bottom="1440" w:gutter="0" w:footer="0" w:header="0"/>
        </w:sectPr>
      </w:pPr>
    </w:p>
    <w:bookmarkStart w:id="75" w:name="page76"/>
    <w:bookmarkEnd w:id="75"/>
    <w:p>
      <w:pPr>
        <w:ind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2.3.(j) that have not been repaid, plus (z) any accrued but unpaid interest thereon and accrued but unpaid fees owing to the Affected Lender, or any other amount as may be mutually agreed upon by such Affected Lender and Eligible Assignee. Each of the Administrative Agent and the Affected Lender shall reasonably cooperate in effectuating the replacement of such Affected Lender under this Section, but at no time shall the Administrative Agent, such Affected Lender nor any other Lender nor any Titled Agent be obligated in any way whatsoever to initiate any such replacement or to assist in finding an Eligible Assignee. The exercise by the Borrower of its rights under this Section shall be at the Borrower’s sole cost and expense and at no cost or expense to the Administrative Agent, the Affected Lender or any of the other Lenders. The terms of this Section 4.6. shall not in any way limit the Borrower’s obligation to pay to any Affected Lender compensation owing to such Affected Lender pursuant to this Agreement (including, without limitation, pursuant to Sections 3.10., 4.1. or 4.4.) with respect to any period up to the date of replacement.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4.7. Change of Lending Office.</w:t>
      </w:r>
    </w:p>
    <w:p>
      <w:pPr>
        <w:spacing w:after="0" w:line="121" w:lineRule="exact"/>
        <w:rPr>
          <w:sz w:val="20"/>
          <w:szCs w:val="20"/>
          <w:color w:val="auto"/>
        </w:rPr>
      </w:pPr>
    </w:p>
    <w:p>
      <w:pPr>
        <w:ind w:right="180" w:firstLine="441"/>
        <w:spacing w:after="0" w:line="257" w:lineRule="auto"/>
        <w:rPr>
          <w:sz w:val="20"/>
          <w:szCs w:val="20"/>
          <w:color w:val="auto"/>
        </w:rPr>
      </w:pPr>
      <w:r>
        <w:rPr>
          <w:rFonts w:ascii="Arial" w:cs="Arial" w:eastAsia="Arial" w:hAnsi="Arial"/>
          <w:sz w:val="18"/>
          <w:szCs w:val="18"/>
          <w:color w:val="auto"/>
        </w:rPr>
        <w:t>Each Lender agrees that it will use reasonable efforts (consistent with its internal policy and legal and regulatory restrictions) to designate an alternate Lending Office with respect to any of its Loans affected by the matters or circumstances described in Sections 3.10., 4.1. or 4.3. to reduce the liability of the Borrower or avoid the results provided thereunder, so long as such designation is not disadvantageous to such Lender as determined by such Lender in its sole discretion, except that such Lender shall have no obligation to designate a Lending Office located in the United States of America.</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4.8. Assumptions Concerning Funding of LIBOR Loans.</w:t>
      </w:r>
    </w:p>
    <w:p>
      <w:pPr>
        <w:spacing w:after="0" w:line="121"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Calculation of all amounts payable to a Lender under this Article shall be made as though such Lender had actually funded LIBOR Loans through the purchase of deposits in the relevant market bearing interest at the rate applicable to such LIBOR Loans in an amount equal to the amount of the LIBOR Loans and having a maturity comparable to the relevant Interest Period; provided, however, that each Lender may fund each of its LIBOR Loans in any manner it sees fit and the foregoing assumption shall be used only for calculation of amounts payable under this Article.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V. C</w:t>
      </w:r>
      <w:r>
        <w:rPr>
          <w:rFonts w:ascii="Arial" w:cs="Arial" w:eastAsia="Arial" w:hAnsi="Arial"/>
          <w:sz w:val="15"/>
          <w:szCs w:val="15"/>
          <w:b w:val="1"/>
          <w:bCs w:val="1"/>
          <w:color w:val="auto"/>
        </w:rPr>
        <w:t>ONDITIONS</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RECEDENT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5.1. Initial Conditions Precedent.</w:t>
      </w:r>
    </w:p>
    <w:p>
      <w:pPr>
        <w:spacing w:after="0" w:line="121"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obligation of the Lenders to effect or permit the occurrence of the first Credit Event hereunder, whether as the making of a Loan or the issuance of a Letter of Credit, is subject to the satisfaction or waiver of the following conditions precedent:</w:t>
      </w:r>
    </w:p>
    <w:p>
      <w:pPr>
        <w:spacing w:after="0" w:line="62" w:lineRule="exact"/>
        <w:rPr>
          <w:sz w:val="20"/>
          <w:szCs w:val="20"/>
          <w:color w:val="auto"/>
        </w:rPr>
      </w:pPr>
    </w:p>
    <w:p>
      <w:pPr>
        <w:ind w:left="680" w:hanging="236"/>
        <w:spacing w:after="0"/>
        <w:tabs>
          <w:tab w:leader="none" w:pos="6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Administrative Agent shall have received each of the following, in form and substance satisfactory to the Administrative Agent:</w:t>
      </w:r>
    </w:p>
    <w:p>
      <w:pPr>
        <w:spacing w:after="0" w:line="128" w:lineRule="exact"/>
        <w:rPr>
          <w:rFonts w:ascii="Arial" w:cs="Arial" w:eastAsia="Arial" w:hAnsi="Arial"/>
          <w:sz w:val="17"/>
          <w:szCs w:val="17"/>
          <w:color w:val="auto"/>
        </w:rPr>
      </w:pPr>
    </w:p>
    <w:p>
      <w:pPr>
        <w:ind w:left="1080" w:hanging="212"/>
        <w:spacing w:after="0"/>
        <w:tabs>
          <w:tab w:leader="none" w:pos="10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counterparts of this Agreement executed by each of the parties hereto;</w:t>
      </w:r>
    </w:p>
    <w:p>
      <w:pPr>
        <w:spacing w:after="0" w:line="117" w:lineRule="exact"/>
        <w:rPr>
          <w:rFonts w:ascii="Arial" w:cs="Arial" w:eastAsia="Arial" w:hAnsi="Arial"/>
          <w:sz w:val="18"/>
          <w:szCs w:val="18"/>
          <w:color w:val="auto"/>
        </w:rPr>
      </w:pPr>
    </w:p>
    <w:p>
      <w:pPr>
        <w:ind w:left="440" w:right="80" w:firstLine="428"/>
        <w:spacing w:after="0" w:line="308" w:lineRule="auto"/>
        <w:tabs>
          <w:tab w:leader="none" w:pos="1128" w:val="left"/>
        </w:tabs>
        <w:numPr>
          <w:ilvl w:val="1"/>
          <w:numId w:val="84"/>
        </w:numPr>
        <w:rPr>
          <w:rFonts w:ascii="Arial" w:cs="Arial" w:eastAsia="Arial" w:hAnsi="Arial"/>
          <w:sz w:val="17"/>
          <w:szCs w:val="17"/>
          <w:color w:val="auto"/>
        </w:rPr>
      </w:pPr>
      <w:r>
        <w:rPr>
          <w:rFonts w:ascii="Arial" w:cs="Arial" w:eastAsia="Arial" w:hAnsi="Arial"/>
          <w:sz w:val="17"/>
          <w:szCs w:val="17"/>
          <w:color w:val="auto"/>
        </w:rPr>
        <w:t>Revolving Notes and Bid Rate Notes executed by the Borrower, payable to each applicable Lender (including any Designated Lender, if applicable) and complying with the terms of Section 2.11.(a) and the Swingline Note executed by the Borrower;</w:t>
      </w:r>
    </w:p>
    <w:p>
      <w:pPr>
        <w:spacing w:after="0" w:line="38" w:lineRule="exact"/>
        <w:rPr>
          <w:rFonts w:ascii="Arial" w:cs="Arial" w:eastAsia="Arial" w:hAnsi="Arial"/>
          <w:sz w:val="17"/>
          <w:szCs w:val="17"/>
          <w:color w:val="auto"/>
        </w:rPr>
      </w:pPr>
    </w:p>
    <w:p>
      <w:pPr>
        <w:ind w:left="1180" w:hanging="312"/>
        <w:spacing w:after="0"/>
        <w:tabs>
          <w:tab w:leader="none" w:pos="11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the Guaranty executed by each of the Guarantors, if applicable, initially to be a party thereto;</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2"/>
          <w:numId w:val="84"/>
        </w:numPr>
        <w:rPr>
          <w:rFonts w:ascii="Arial" w:cs="Arial" w:eastAsia="Arial" w:hAnsi="Arial"/>
          <w:sz w:val="18"/>
          <w:szCs w:val="18"/>
          <w:color w:val="auto"/>
        </w:rPr>
      </w:pPr>
      <w:r>
        <w:rPr>
          <w:rFonts w:ascii="Arial" w:cs="Arial" w:eastAsia="Arial" w:hAnsi="Arial"/>
          <w:sz w:val="18"/>
          <w:szCs w:val="18"/>
          <w:color w:val="auto"/>
        </w:rPr>
        <w:t>67 -</w:t>
      </w:r>
    </w:p>
    <w:p>
      <w:pPr>
        <w:sectPr>
          <w:pgSz w:w="11900" w:h="16838" w:orient="portrait"/>
          <w:cols w:equalWidth="0" w:num="1">
            <w:col w:w="11020"/>
          </w:cols>
          <w:pgMar w:left="440" w:top="274" w:right="439" w:bottom="1440" w:gutter="0" w:footer="0" w:header="0"/>
        </w:sectPr>
      </w:pPr>
    </w:p>
    <w:bookmarkStart w:id="76" w:name="page77"/>
    <w:bookmarkEnd w:id="76"/>
    <w:p>
      <w:pPr>
        <w:ind w:left="-4" w:right="1060" w:firstLine="428"/>
        <w:spacing w:after="0" w:line="277" w:lineRule="auto"/>
        <w:tabs>
          <w:tab w:leader="none" w:pos="724" w:val="left"/>
        </w:tabs>
        <w:numPr>
          <w:ilvl w:val="1"/>
          <w:numId w:val="8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opinion of Pillsbury Winthrop Shaw Pittman LLP, counsel to the Borrower and the other Loan Parties, addressed to the Administrative Agent and the Lenders and covering the matters set forth in Exhibit O;</w:t>
      </w:r>
    </w:p>
    <w:p>
      <w:pPr>
        <w:spacing w:after="0" w:line="62" w:lineRule="exact"/>
        <w:rPr>
          <w:rFonts w:ascii="Arial" w:cs="Arial" w:eastAsia="Arial" w:hAnsi="Arial"/>
          <w:sz w:val="18"/>
          <w:szCs w:val="18"/>
          <w:color w:val="auto"/>
        </w:rPr>
      </w:pPr>
    </w:p>
    <w:p>
      <w:pPr>
        <w:ind w:left="-4" w:right="180" w:firstLine="428"/>
        <w:spacing w:after="0" w:line="264" w:lineRule="auto"/>
        <w:tabs>
          <w:tab w:leader="none" w:pos="6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certificate or articles of incorporation or formation, articles of organization, certificate of limited partnership, declaration of trust or other comparable organizational instrument (if any) of each Loan Party certified as of a recent date by the Secretary of State of the state of formation of such Loan Party;</w:t>
      </w:r>
    </w:p>
    <w:p>
      <w:pPr>
        <w:spacing w:after="0" w:line="73" w:lineRule="exact"/>
        <w:rPr>
          <w:rFonts w:ascii="Arial" w:cs="Arial" w:eastAsia="Arial" w:hAnsi="Arial"/>
          <w:sz w:val="18"/>
          <w:szCs w:val="18"/>
          <w:color w:val="auto"/>
        </w:rPr>
      </w:pPr>
    </w:p>
    <w:p>
      <w:pPr>
        <w:ind w:left="-4" w:right="220" w:firstLine="428"/>
        <w:spacing w:after="0" w:line="302" w:lineRule="auto"/>
        <w:tabs>
          <w:tab w:leader="none" w:pos="724" w:val="left"/>
        </w:tabs>
        <w:numPr>
          <w:ilvl w:val="1"/>
          <w:numId w:val="85"/>
        </w:numPr>
        <w:rPr>
          <w:rFonts w:ascii="Arial" w:cs="Arial" w:eastAsia="Arial" w:hAnsi="Arial"/>
          <w:sz w:val="16"/>
          <w:szCs w:val="16"/>
          <w:color w:val="auto"/>
        </w:rPr>
      </w:pPr>
      <w:r>
        <w:rPr>
          <w:rFonts w:ascii="Arial" w:cs="Arial" w:eastAsia="Arial" w:hAnsi="Arial"/>
          <w:sz w:val="16"/>
          <w:szCs w:val="16"/>
          <w:color w:val="auto"/>
        </w:rPr>
        <w:t>a certificate of good standing (or certificate of similar meaning) with respect to each Loan Party issued as of a recent date by the Secretary of State of the state of formation of each such Loan Party and certificates of qualification to transact business or other comparable certificates issued as of a recent date by each Secretary of State (and any state department of taxation, as applicable) of each state in which such Loan Party is required to be so qualified and where failure to be so qualified could reasonably be expected to have a Material Adverse Effect;</w:t>
      </w:r>
    </w:p>
    <w:p>
      <w:pPr>
        <w:spacing w:after="0" w:line="46" w:lineRule="exact"/>
        <w:rPr>
          <w:rFonts w:ascii="Arial" w:cs="Arial" w:eastAsia="Arial" w:hAnsi="Arial"/>
          <w:sz w:val="16"/>
          <w:szCs w:val="16"/>
          <w:color w:val="auto"/>
        </w:rPr>
      </w:pPr>
    </w:p>
    <w:p>
      <w:pPr>
        <w:ind w:left="-4" w:right="300" w:firstLine="428"/>
        <w:spacing w:after="0" w:line="279" w:lineRule="auto"/>
        <w:tabs>
          <w:tab w:leader="none" w:pos="774" w:val="left"/>
        </w:tabs>
        <w:numPr>
          <w:ilvl w:val="1"/>
          <w:numId w:val="85"/>
        </w:numPr>
        <w:rPr>
          <w:rFonts w:ascii="Arial" w:cs="Arial" w:eastAsia="Arial" w:hAnsi="Arial"/>
          <w:sz w:val="17"/>
          <w:szCs w:val="17"/>
          <w:color w:val="auto"/>
        </w:rPr>
      </w:pPr>
      <w:r>
        <w:rPr>
          <w:rFonts w:ascii="Arial" w:cs="Arial" w:eastAsia="Arial" w:hAnsi="Arial"/>
          <w:sz w:val="17"/>
          <w:szCs w:val="17"/>
          <w:color w:val="auto"/>
        </w:rPr>
        <w:t>a certificate of incumbency signed by the Secretary or Assistant Secretary (or other individual performing similar functions) of each Loan Party with respect to each of the officers of such Loan Party authorized to execute and deliver the Loan Documents to which such Loan Party is a party, and in the case of the Borrower, authorized to execute and deliver on behalf of the Borrower Notices of Borrowing, Notices of Swingline Borrowing, requests for Letters of Credit, Notices of Conversion and Notices of Continuation;</w:t>
      </w:r>
    </w:p>
    <w:p>
      <w:pPr>
        <w:spacing w:after="0" w:line="63" w:lineRule="exact"/>
        <w:rPr>
          <w:rFonts w:ascii="Arial" w:cs="Arial" w:eastAsia="Arial" w:hAnsi="Arial"/>
          <w:sz w:val="17"/>
          <w:szCs w:val="17"/>
          <w:color w:val="auto"/>
        </w:rPr>
      </w:pPr>
    </w:p>
    <w:p>
      <w:pPr>
        <w:ind w:left="-4" w:firstLine="428"/>
        <w:spacing w:after="0" w:line="302" w:lineRule="auto"/>
        <w:tabs>
          <w:tab w:leader="none" w:pos="824" w:val="left"/>
        </w:tabs>
        <w:numPr>
          <w:ilvl w:val="1"/>
          <w:numId w:val="85"/>
        </w:numPr>
        <w:rPr>
          <w:rFonts w:ascii="Arial" w:cs="Arial" w:eastAsia="Arial" w:hAnsi="Arial"/>
          <w:sz w:val="16"/>
          <w:szCs w:val="16"/>
          <w:color w:val="auto"/>
        </w:rPr>
      </w:pPr>
      <w:r>
        <w:rPr>
          <w:rFonts w:ascii="Arial" w:cs="Arial" w:eastAsia="Arial" w:hAnsi="Arial"/>
          <w:sz w:val="16"/>
          <w:szCs w:val="16"/>
          <w:color w:val="auto"/>
        </w:rPr>
        <w:t>copies certified by the Secretary or Assistant Secretary (or other individual performing similar functions) of each Loan Party of (A) the by-laws of such Loan Party, if a corporation, the operating agreement, if a limited liability company, the partnership agreement, if a limited or general partnership, or other comparable document in the case of any other form of legal entity and (B) all corporate, partnership, member or other necessary action taken by such Loan Party to authorize the execution, delivery and performance of the Loan Documents to which it is a party;</w:t>
      </w:r>
    </w:p>
    <w:p>
      <w:pPr>
        <w:spacing w:after="0" w:line="46" w:lineRule="exact"/>
        <w:rPr>
          <w:rFonts w:ascii="Arial" w:cs="Arial" w:eastAsia="Arial" w:hAnsi="Arial"/>
          <w:sz w:val="16"/>
          <w:szCs w:val="16"/>
          <w:color w:val="auto"/>
        </w:rPr>
      </w:pPr>
    </w:p>
    <w:p>
      <w:pPr>
        <w:ind w:left="736" w:hanging="312"/>
        <w:spacing w:after="0"/>
        <w:tabs>
          <w:tab w:leader="none" w:pos="7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Compliance Certificate calculated on a pro forma basis for the Borrower’s fiscal quarter ending March 31, 2019;</w:t>
      </w:r>
    </w:p>
    <w:p>
      <w:pPr>
        <w:spacing w:after="0" w:line="117" w:lineRule="exact"/>
        <w:rPr>
          <w:rFonts w:ascii="Arial" w:cs="Arial" w:eastAsia="Arial" w:hAnsi="Arial"/>
          <w:sz w:val="18"/>
          <w:szCs w:val="18"/>
          <w:color w:val="auto"/>
        </w:rPr>
      </w:pPr>
    </w:p>
    <w:p>
      <w:pPr>
        <w:ind w:left="676" w:hanging="252"/>
        <w:spacing w:after="0"/>
        <w:tabs>
          <w:tab w:leader="none" w:pos="676" w:val="left"/>
        </w:tabs>
        <w:numPr>
          <w:ilvl w:val="1"/>
          <w:numId w:val="85"/>
        </w:numPr>
        <w:rPr>
          <w:rFonts w:ascii="Arial" w:cs="Arial" w:eastAsia="Arial" w:hAnsi="Arial"/>
          <w:sz w:val="18"/>
          <w:szCs w:val="18"/>
          <w:color w:val="auto"/>
        </w:rPr>
      </w:pPr>
      <w:r>
        <w:rPr>
          <w:rFonts w:ascii="Arial" w:cs="Arial" w:eastAsia="Arial" w:hAnsi="Arial"/>
          <w:sz w:val="18"/>
          <w:szCs w:val="18"/>
          <w:color w:val="auto"/>
        </w:rPr>
        <w:t>a Disbursement Instruction Agreement effective as of the Agreement Date;</w:t>
      </w:r>
    </w:p>
    <w:p>
      <w:pPr>
        <w:spacing w:after="0" w:line="117" w:lineRule="exact"/>
        <w:rPr>
          <w:rFonts w:ascii="Arial" w:cs="Arial" w:eastAsia="Arial" w:hAnsi="Arial"/>
          <w:sz w:val="18"/>
          <w:szCs w:val="18"/>
          <w:color w:val="auto"/>
        </w:rPr>
      </w:pPr>
    </w:p>
    <w:p>
      <w:pPr>
        <w:ind w:left="736" w:hanging="312"/>
        <w:spacing w:after="0"/>
        <w:tabs>
          <w:tab w:leader="none" w:pos="736" w:val="left"/>
        </w:tabs>
        <w:numPr>
          <w:ilvl w:val="1"/>
          <w:numId w:val="8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 w:firstLine="428"/>
        <w:spacing w:after="0" w:line="264" w:lineRule="auto"/>
        <w:tabs>
          <w:tab w:leader="none" w:pos="774" w:val="left"/>
        </w:tabs>
        <w:numPr>
          <w:ilvl w:val="1"/>
          <w:numId w:val="85"/>
        </w:numPr>
        <w:rPr>
          <w:rFonts w:ascii="Arial" w:cs="Arial" w:eastAsia="Arial" w:hAnsi="Arial"/>
          <w:sz w:val="18"/>
          <w:szCs w:val="18"/>
          <w:color w:val="auto"/>
        </w:rPr>
      </w:pPr>
      <w:r>
        <w:rPr>
          <w:rFonts w:ascii="Arial" w:cs="Arial" w:eastAsia="Arial" w:hAnsi="Arial"/>
          <w:sz w:val="18"/>
          <w:szCs w:val="18"/>
          <w:color w:val="auto"/>
        </w:rPr>
        <w:t>evidence that the Fees, if any, then due and payable under Section 3.5., together with all other fees, expenses and reimbursement amounts due and payable to the Administrative Agent and the Arrangers, including without limitation, the reasonable fees and expenses of counsel to the Administrative Agent, have been paid;</w:t>
      </w:r>
    </w:p>
    <w:p>
      <w:pPr>
        <w:spacing w:after="0" w:line="73" w:lineRule="exact"/>
        <w:rPr>
          <w:rFonts w:ascii="Arial" w:cs="Arial" w:eastAsia="Arial" w:hAnsi="Arial"/>
          <w:sz w:val="18"/>
          <w:szCs w:val="18"/>
          <w:color w:val="auto"/>
        </w:rPr>
      </w:pPr>
    </w:p>
    <w:p>
      <w:pPr>
        <w:ind w:left="-4" w:right="40" w:firstLine="428"/>
        <w:spacing w:after="0" w:line="277" w:lineRule="auto"/>
        <w:tabs>
          <w:tab w:leader="none" w:pos="824" w:val="left"/>
        </w:tabs>
        <w:numPr>
          <w:ilvl w:val="1"/>
          <w:numId w:val="85"/>
        </w:numPr>
        <w:rPr>
          <w:rFonts w:ascii="Arial" w:cs="Arial" w:eastAsia="Arial" w:hAnsi="Arial"/>
          <w:sz w:val="18"/>
          <w:szCs w:val="18"/>
          <w:color w:val="auto"/>
        </w:rPr>
      </w:pPr>
      <w:r>
        <w:rPr>
          <w:rFonts w:ascii="Arial" w:cs="Arial" w:eastAsia="Arial" w:hAnsi="Arial"/>
          <w:sz w:val="18"/>
          <w:szCs w:val="18"/>
          <w:color w:val="auto"/>
        </w:rPr>
        <w:t>such other documents, agreements and instruments as the Administrative Agent, or any Lender through the Administrative Agent, may reasonably request; and</w:t>
      </w:r>
    </w:p>
    <w:p>
      <w:pPr>
        <w:spacing w:after="0" w:line="62" w:lineRule="exact"/>
        <w:rPr>
          <w:rFonts w:ascii="Arial" w:cs="Arial" w:eastAsia="Arial" w:hAnsi="Arial"/>
          <w:sz w:val="18"/>
          <w:szCs w:val="18"/>
          <w:color w:val="auto"/>
        </w:rPr>
      </w:pPr>
    </w:p>
    <w:p>
      <w:pPr>
        <w:ind w:left="256" w:hanging="256"/>
        <w:spacing w:after="0"/>
        <w:tabs>
          <w:tab w:leader="none" w:pos="256"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the good faith judgment of the Administrative Agent:</w:t>
      </w:r>
    </w:p>
    <w:p>
      <w:pPr>
        <w:spacing w:after="0" w:line="117" w:lineRule="exact"/>
        <w:rPr>
          <w:rFonts w:ascii="Arial" w:cs="Arial" w:eastAsia="Arial" w:hAnsi="Arial"/>
          <w:sz w:val="18"/>
          <w:szCs w:val="18"/>
          <w:color w:val="auto"/>
        </w:rPr>
      </w:pPr>
    </w:p>
    <w:p>
      <w:pPr>
        <w:ind w:left="-4" w:right="20" w:firstLine="428"/>
        <w:spacing w:after="0" w:line="259" w:lineRule="auto"/>
        <w:tabs>
          <w:tab w:leader="none" w:pos="634"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there shall not have occurred or become known to the Administrative Agent or any of the Lenders any event, condition, situation or status since the date of the information contained in the financial and business projections, budgets, pro forma data and forecasts concerning the Borrower and its Subsidiaries delivered to the Administrative Agent and the Lenders prior to the Agreement Date that has had or could reasonably be expected to result in a Material Adverse Effect;</w:t>
      </w:r>
    </w:p>
    <w:p>
      <w:pPr>
        <w:spacing w:after="0" w:line="119" w:lineRule="exact"/>
        <w:rPr>
          <w:rFonts w:ascii="Arial" w:cs="Arial" w:eastAsia="Arial" w:hAnsi="Arial"/>
          <w:sz w:val="18"/>
          <w:szCs w:val="18"/>
          <w:color w:val="auto"/>
        </w:rPr>
      </w:pPr>
    </w:p>
    <w:p>
      <w:pPr>
        <w:ind w:left="4976" w:hanging="101"/>
        <w:spacing w:after="0"/>
        <w:tabs>
          <w:tab w:leader="none" w:pos="4976" w:val="left"/>
        </w:tabs>
        <w:numPr>
          <w:ilvl w:val="2"/>
          <w:numId w:val="86"/>
        </w:numPr>
        <w:rPr>
          <w:rFonts w:ascii="Arial" w:cs="Arial" w:eastAsia="Arial" w:hAnsi="Arial"/>
          <w:sz w:val="18"/>
          <w:szCs w:val="18"/>
          <w:color w:val="auto"/>
        </w:rPr>
      </w:pPr>
      <w:r>
        <w:rPr>
          <w:rFonts w:ascii="Arial" w:cs="Arial" w:eastAsia="Arial" w:hAnsi="Arial"/>
          <w:sz w:val="18"/>
          <w:szCs w:val="18"/>
          <w:color w:val="auto"/>
        </w:rPr>
        <w:t>68 -</w:t>
      </w:r>
    </w:p>
    <w:p>
      <w:pPr>
        <w:sectPr>
          <w:pgSz w:w="11900" w:h="16838" w:orient="portrait"/>
          <w:cols w:equalWidth="0" w:num="1">
            <w:col w:w="10576"/>
          </w:cols>
          <w:pgMar w:left="884" w:top="274" w:right="439" w:bottom="1440" w:gutter="0" w:footer="0" w:header="0"/>
        </w:sectPr>
      </w:pPr>
    </w:p>
    <w:bookmarkStart w:id="77" w:name="page78"/>
    <w:bookmarkEnd w:id="77"/>
    <w:p>
      <w:pPr>
        <w:ind w:left="440" w:right="60" w:firstLine="428"/>
        <w:spacing w:after="0" w:line="259" w:lineRule="auto"/>
        <w:tabs>
          <w:tab w:leader="none" w:pos="1128" w:val="left"/>
        </w:tabs>
        <w:numPr>
          <w:ilvl w:val="0"/>
          <w:numId w:val="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litigation, action, suit, investigation or other arbitral, administrative or judicial proceeding shall be pending or threatened which could reasonably be expected to (A) result in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78" w:lineRule="exact"/>
        <w:rPr>
          <w:rFonts w:ascii="Arial" w:cs="Arial" w:eastAsia="Arial" w:hAnsi="Arial"/>
          <w:sz w:val="18"/>
          <w:szCs w:val="18"/>
          <w:color w:val="auto"/>
        </w:rPr>
      </w:pPr>
    </w:p>
    <w:p>
      <w:pPr>
        <w:ind w:left="440" w:firstLine="428"/>
        <w:spacing w:after="0" w:line="255" w:lineRule="auto"/>
        <w:tabs>
          <w:tab w:leader="none" w:pos="117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Borrower and its Subsidiaries shall have received all approvals, consents and waivers, and shall have made or given all necessary filings and notices as shall be required to consummate the transactions contemplated hereby without the occurrence of any default under, conflict with or violation of (A) any Applicable Law or (B) any agreement, document or instrument to which any Loan Party is a party or by which any of them or their respective properties is bound, except for such approvals, consents, waivers, filings and notices the receipt, making or giving of which could not reasonably be likely to (A) have a Material Adverse Effect, or (B) restrain or enjoin impose materially burdensome conditions on, or otherwise materially and adversely affect the ability of the Borrower or any other Loan Party to fulfill its obligations under the Loan Documents to which it is a party;</w:t>
      </w:r>
    </w:p>
    <w:p>
      <w:pPr>
        <w:spacing w:after="0" w:line="81" w:lineRule="exact"/>
        <w:rPr>
          <w:rFonts w:ascii="Arial" w:cs="Arial" w:eastAsia="Arial" w:hAnsi="Arial"/>
          <w:sz w:val="18"/>
          <w:szCs w:val="18"/>
          <w:color w:val="auto"/>
        </w:rPr>
      </w:pPr>
    </w:p>
    <w:p>
      <w:pPr>
        <w:ind w:left="440" w:right="160" w:firstLine="428"/>
        <w:spacing w:after="0" w:line="286" w:lineRule="auto"/>
        <w:tabs>
          <w:tab w:leader="none" w:pos="1168"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Borrower and each other Loan Party shall have provided to the Administrative Agent and the Lenders the documentation and other information requested by the Administrative Agent in order to comply with the requirements of any Anti-Money Laundering Laws, including, without limitation, the PATRIOT Act and any applicable “know your customer” rules and regulations;</w:t>
      </w:r>
    </w:p>
    <w:p>
      <w:pPr>
        <w:spacing w:after="0" w:line="57" w:lineRule="exact"/>
        <w:rPr>
          <w:rFonts w:ascii="Arial" w:cs="Arial" w:eastAsia="Arial" w:hAnsi="Arial"/>
          <w:sz w:val="17"/>
          <w:szCs w:val="17"/>
          <w:color w:val="auto"/>
        </w:rPr>
      </w:pPr>
    </w:p>
    <w:p>
      <w:pPr>
        <w:ind w:left="440" w:right="40" w:firstLine="428"/>
        <w:spacing w:after="0" w:line="264" w:lineRule="auto"/>
        <w:tabs>
          <w:tab w:leader="none" w:pos="1118" w:val="left"/>
        </w:tabs>
        <w:numPr>
          <w:ilvl w:val="0"/>
          <w:numId w:val="87"/>
        </w:numPr>
        <w:rPr>
          <w:rFonts w:ascii="Arial" w:cs="Arial" w:eastAsia="Arial" w:hAnsi="Arial"/>
          <w:sz w:val="18"/>
          <w:szCs w:val="18"/>
          <w:color w:val="auto"/>
        </w:rPr>
      </w:pPr>
      <w:r>
        <w:rPr>
          <w:rFonts w:ascii="Arial" w:cs="Arial" w:eastAsia="Arial" w:hAnsi="Arial"/>
          <w:sz w:val="18"/>
          <w:szCs w:val="18"/>
          <w:color w:val="auto"/>
        </w:rPr>
        <w:t>each Loan Party or Subsidiary thereof that qualifies as a “legal entity customer” under the Beneficial Ownership Regulation shall have delivered to the Administrative Agent, and any Lender requesting the same, a Beneficial Ownership Certification in relation to such Loan Party or such Subsidiary, in each case at least five Business Days prior to the Agreement Date; and</w:t>
      </w:r>
    </w:p>
    <w:p>
      <w:pPr>
        <w:spacing w:after="0" w:line="73" w:lineRule="exact"/>
        <w:rPr>
          <w:rFonts w:ascii="Arial" w:cs="Arial" w:eastAsia="Arial" w:hAnsi="Arial"/>
          <w:sz w:val="18"/>
          <w:szCs w:val="18"/>
          <w:color w:val="auto"/>
        </w:rPr>
      </w:pPr>
    </w:p>
    <w:p>
      <w:pPr>
        <w:ind w:left="440" w:right="180" w:firstLine="428"/>
        <w:spacing w:after="0" w:line="277" w:lineRule="auto"/>
        <w:tabs>
          <w:tab w:leader="none" w:pos="1168"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there shall not have occurred or exist any other material disruption of financial or capital markets that could reasonably be expected to materially and adversely affect the transactions contemplated by the Loan Documents.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5.2. Conditions Precedent to All Loans and Letters of Credit.</w:t>
      </w:r>
    </w:p>
    <w:p>
      <w:pPr>
        <w:spacing w:after="0" w:line="121" w:lineRule="exact"/>
        <w:rPr>
          <w:sz w:val="20"/>
          <w:szCs w:val="20"/>
          <w:color w:val="auto"/>
        </w:rPr>
      </w:pPr>
    </w:p>
    <w:p>
      <w:pPr>
        <w:jc w:val="both"/>
        <w:ind w:right="340" w:firstLine="441"/>
        <w:spacing w:after="0" w:line="288" w:lineRule="auto"/>
        <w:rPr>
          <w:sz w:val="20"/>
          <w:szCs w:val="20"/>
          <w:color w:val="auto"/>
        </w:rPr>
      </w:pPr>
      <w:r>
        <w:rPr>
          <w:rFonts w:ascii="Arial" w:cs="Arial" w:eastAsia="Arial" w:hAnsi="Arial"/>
          <w:sz w:val="16"/>
          <w:szCs w:val="16"/>
          <w:color w:val="auto"/>
        </w:rPr>
        <w:t>The obligations of (i) Lenders to make any Loans and (ii) the Issuing Bank to issue Letters of Credit are each subject to the further conditions precedent that: (a) no Default or Event of Default shall exist as of the date of the making of such Loan or date of issuance of such Letter of Credit or would exist immediately after giving effect thereto, and no violation of the limits described in Section 2.15. would occur after giving effect thereto;</w:t>
      </w:r>
    </w:p>
    <w:p>
      <w:pPr>
        <w:ind w:firstLine="4"/>
        <w:spacing w:after="0" w:line="288" w:lineRule="auto"/>
        <w:tabs>
          <w:tab w:leader="none" w:pos="255"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representations and warranties made or deemed made by the Borrower and each other Loan Party in the Loan Documents to which any of them is a party, shall be true and correct in all material respects (except in the case of a representation or warranty qualified by materiality, in which case such representation or warranty shall be true and correct in all respects) on and as of the date of the making of such Loan or date of issuance of such Letter of Credit with the same force and effect as if made on and as of such date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and (c) in the case of the borrowing of</w:t>
      </w:r>
    </w:p>
    <w:p>
      <w:pPr>
        <w:spacing w:after="0" w:line="101" w:lineRule="exact"/>
        <w:rPr>
          <w:rFonts w:ascii="Arial" w:cs="Arial" w:eastAsia="Arial" w:hAnsi="Arial"/>
          <w:sz w:val="16"/>
          <w:szCs w:val="16"/>
          <w:color w:val="auto"/>
        </w:rPr>
      </w:pPr>
    </w:p>
    <w:p>
      <w:pPr>
        <w:ind w:left="5420" w:hanging="101"/>
        <w:spacing w:after="0"/>
        <w:tabs>
          <w:tab w:leader="none" w:pos="5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020"/>
          </w:cols>
          <w:pgMar w:left="440" w:top="274" w:right="439" w:bottom="1440" w:gutter="0" w:footer="0" w:header="0"/>
        </w:sectPr>
      </w:pPr>
    </w:p>
    <w:bookmarkStart w:id="78" w:name="page79"/>
    <w:bookmarkEnd w:id="78"/>
    <w:p>
      <w:pPr>
        <w:ind w:right="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Revolving Loans, the Administrative Agent shall have received a timely Notice of Borrowing, or in the case of a Swingline Loan, the Swingline Lender shall have received a timely Notice of Swingline Borrowing. Each Credit Event shall constitute a certification by the Borrower to the effect set forth in the preceding sentence (both as of the date of the giving of notice relating to such Credit Event and, unless the Borrower otherwise notifies the Administrative Agent prior to the date of such Credit Event, as of the date of the occurrence of such Credit Event). In addition, the Borrower shall be deemed to have represented to the Administrative Agent and the Lenders at the time any Loan is made or any Letter of Credit is issued that all conditions to the making of such Loan or issuing of such Letter of Credit contained in this Article V. have been satisfied. Unless set forth in writing to the contrary, the making of its initial Loan by a Lender shall constitute a certification by such Lender to the Administrative Agent and the other Lenders that the conditions precedent for initial Loans set forth in Section 5.1. that have not previously been waived by the Lenders in accordance with the terms of this Agreement have been satisfied.</w:t>
      </w:r>
    </w:p>
    <w:p>
      <w:pPr>
        <w:spacing w:after="0" w:line="39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VI. R</w:t>
      </w:r>
      <w:r>
        <w:rPr>
          <w:rFonts w:ascii="Arial" w:cs="Arial" w:eastAsia="Arial" w:hAnsi="Arial"/>
          <w:sz w:val="15"/>
          <w:szCs w:val="15"/>
          <w:b w:val="1"/>
          <w:bCs w:val="1"/>
          <w:color w:val="auto"/>
        </w:rPr>
        <w:t>EPRESENTATIONS AND</w:t>
      </w:r>
      <w:r>
        <w:rPr>
          <w:rFonts w:ascii="Arial" w:cs="Arial" w:eastAsia="Arial" w:hAnsi="Arial"/>
          <w:sz w:val="18"/>
          <w:szCs w:val="18"/>
          <w:b w:val="1"/>
          <w:bCs w:val="1"/>
          <w:color w:val="auto"/>
        </w:rPr>
        <w:t xml:space="preserve"> W</w:t>
      </w:r>
      <w:r>
        <w:rPr>
          <w:rFonts w:ascii="Arial" w:cs="Arial" w:eastAsia="Arial" w:hAnsi="Arial"/>
          <w:sz w:val="15"/>
          <w:szCs w:val="15"/>
          <w:b w:val="1"/>
          <w:bCs w:val="1"/>
          <w:color w:val="auto"/>
        </w:rPr>
        <w:t>ARRANTIES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6.1. Representations and Warranties.</w:t>
      </w:r>
    </w:p>
    <w:p>
      <w:pPr>
        <w:spacing w:after="0" w:line="121" w:lineRule="exact"/>
        <w:rPr>
          <w:sz w:val="20"/>
          <w:szCs w:val="20"/>
          <w:color w:val="auto"/>
        </w:rPr>
      </w:pPr>
    </w:p>
    <w:p>
      <w:pPr>
        <w:ind w:right="20" w:firstLine="441"/>
        <w:spacing w:after="0" w:line="308" w:lineRule="auto"/>
        <w:rPr>
          <w:sz w:val="20"/>
          <w:szCs w:val="20"/>
          <w:color w:val="auto"/>
        </w:rPr>
      </w:pPr>
      <w:r>
        <w:rPr>
          <w:rFonts w:ascii="Arial" w:cs="Arial" w:eastAsia="Arial" w:hAnsi="Arial"/>
          <w:sz w:val="17"/>
          <w:szCs w:val="17"/>
          <w:color w:val="auto"/>
        </w:rPr>
        <w:t>In order to induce the Administrative Agent and each Lender to enter into this Agreement and to make Loans and, in the case of the Issuing Bank, to issue Letters of Credit, the Borrower represents and warrants to the Administrative Agent, the Issuing Bank and each Lender as follows:</w:t>
      </w:r>
    </w:p>
    <w:p>
      <w:pPr>
        <w:spacing w:after="0" w:line="38" w:lineRule="exact"/>
        <w:rPr>
          <w:sz w:val="20"/>
          <w:szCs w:val="20"/>
          <w:color w:val="auto"/>
        </w:rPr>
      </w:pPr>
    </w:p>
    <w:p>
      <w:pPr>
        <w:ind w:firstLine="444"/>
        <w:spacing w:after="0" w:line="273" w:lineRule="auto"/>
        <w:tabs>
          <w:tab w:leader="none" w:pos="68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Organization; Power; Qualification</w:t>
      </w:r>
      <w:r>
        <w:rPr>
          <w:rFonts w:ascii="Arial" w:cs="Arial" w:eastAsia="Arial" w:hAnsi="Arial"/>
          <w:sz w:val="17"/>
          <w:szCs w:val="17"/>
          <w:color w:val="auto"/>
        </w:rPr>
        <w:t>. Each of the Borrower, the other Loan Parties and the other Subsidiaries is a corporation, partnership or other legal entity, duly organized or formed, validly existing and in good standing under the jurisdiction of its incorporation or formation, has the power and authority to own or lease its respective properties and to carry on its respective business as now being and hereafter proposed to be conducted and is duly qualified and is in good standing as a foreign corporation, partnership or other legal entity, and authorized to do business, in each jurisdiction in which the character of its properties or the nature of its business requires such qualification or authorization and where the failure to be so qualified or authorized could reasonably be expected to have, in each instance, a Material Adverse Effect.</w:t>
      </w:r>
    </w:p>
    <w:p>
      <w:pPr>
        <w:spacing w:after="0" w:line="70" w:lineRule="exact"/>
        <w:rPr>
          <w:rFonts w:ascii="Arial" w:cs="Arial" w:eastAsia="Arial" w:hAnsi="Arial"/>
          <w:sz w:val="17"/>
          <w:szCs w:val="17"/>
          <w:color w:val="auto"/>
        </w:rPr>
      </w:pPr>
    </w:p>
    <w:p>
      <w:pPr>
        <w:ind w:right="40" w:firstLine="444"/>
        <w:spacing w:after="0" w:line="268" w:lineRule="auto"/>
        <w:tabs>
          <w:tab w:leader="none" w:pos="69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Ownership Structure</w:t>
      </w:r>
      <w:r>
        <w:rPr>
          <w:rFonts w:ascii="Arial" w:cs="Arial" w:eastAsia="Arial" w:hAnsi="Arial"/>
          <w:sz w:val="17"/>
          <w:szCs w:val="17"/>
          <w:color w:val="auto"/>
        </w:rPr>
        <w:t>. Part I of Schedule 6.1.(b) is, as of the Agreement Date, a complete and correct list of all Subsidiaries of the Borrower setting forth for each such Subsidiary, (i) the jurisdiction of organization of such Subsidiary, (ii) each Person holding any Equity Interest in such Subsidiary, (iii) the nature of the Equity Interests held by each such Person, (iv) the percentage of ownership of such Subsidiary represented by such Equity Interests and (v) whether such Subsidiary is a Material Subsidiary and/or an Excluded Subsidiary and whether such Subsidiary owns a Non-Controlled Property (and, if so, which one(s)). As of the Agreement Date, except as disclosed in such Schedule (A), each of the Borrower and its Subsidiaries owns, free and clear of all Liens (other than Permitted Liens), and has the unencumbered right to vote, all outstanding Equity Interests in each Person shown to be held by it on such Schedule, (B) all of the issued and outstanding capital stock of each such Person organized as a corporation is validly issued, fully paid and nonassessable and (C) there are no outstanding subscriptions, options, warrants, commitments, preemptive rights or agreements of any kind (including, without limitation, any stockholders’ or voting trust agreements) for the issuance, sale, registration or voting of, or outstanding securities convertible into, any additional shares of capital stock of any class, or partnership or other ownership interests of any type in, any such Person. As of the Agreement Date, Part II of Schedule 6.1.(b) correctly sets forth all Unconsolidated Affiliates of the Borrower, including the correct legal name of such Person, the type of legal entity which each such Person is, and all Equity Interests in such Person held directly or indirectly by the Borrower.</w:t>
      </w:r>
    </w:p>
    <w:p>
      <w:pPr>
        <w:spacing w:after="0" w:line="120" w:lineRule="exact"/>
        <w:rPr>
          <w:rFonts w:ascii="Arial" w:cs="Arial" w:eastAsia="Arial" w:hAnsi="Arial"/>
          <w:sz w:val="17"/>
          <w:szCs w:val="17"/>
          <w:color w:val="auto"/>
        </w:rPr>
      </w:pPr>
    </w:p>
    <w:p>
      <w:pPr>
        <w:ind w:left="5420" w:hanging="101"/>
        <w:spacing w:after="0"/>
        <w:tabs>
          <w:tab w:leader="none" w:pos="5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70 -</w:t>
      </w:r>
    </w:p>
    <w:p>
      <w:pPr>
        <w:sectPr>
          <w:pgSz w:w="11900" w:h="16838" w:orient="portrait"/>
          <w:cols w:equalWidth="0" w:num="1">
            <w:col w:w="10980"/>
          </w:cols>
          <w:pgMar w:left="440" w:top="274" w:right="479" w:bottom="1440" w:gutter="0" w:footer="0" w:header="0"/>
        </w:sectPr>
      </w:pPr>
    </w:p>
    <w:bookmarkStart w:id="79" w:name="page80"/>
    <w:bookmarkEnd w:id="79"/>
    <w:p>
      <w:pPr>
        <w:ind w:left="-444" w:right="20" w:firstLine="444"/>
        <w:spacing w:after="0" w:line="290" w:lineRule="auto"/>
        <w:tabs>
          <w:tab w:leader="none" w:pos="24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Authorization of Loan Documents and Borrowings</w:t>
      </w:r>
      <w:r>
        <w:rPr>
          <w:rFonts w:ascii="Arial" w:cs="Arial" w:eastAsia="Arial" w:hAnsi="Arial"/>
          <w:sz w:val="16"/>
          <w:szCs w:val="16"/>
          <w:color w:val="auto"/>
        </w:rPr>
        <w:t>. The Borrower has the right and power, and has taken all necessary action to authorize it, to borrow and obtain other extensions of credit hereunder. The Borrower and each other Loan Party has the right and power, and has taken all necessary action to authorize it, to execute, deliver and perform each of the Loan Documents and the Fee Letter to which it is a party in accordance with their respective terms and to consummate the transactions contemplated hereby and thereby. The Loan Documents and the Fee Letter to which the Borrower or any other Loan Party is a party have been duly executed and delivered by the duly authorized officers of such Person and each is a legal, valid and binding obligation of such Person enforceable against such Person in accordance with its respective terms, except as the same may be limited by bankruptcy, insolvency, and other similar laws affecting the rights of creditors generally and the availability of equitable remedies for the enforcement of certain obligations (other than the payment of principal) contained herein or therein and as may be limited by equitable principles generally.</w:t>
      </w:r>
    </w:p>
    <w:p>
      <w:pPr>
        <w:spacing w:after="0" w:line="58" w:lineRule="exact"/>
        <w:rPr>
          <w:rFonts w:ascii="Arial" w:cs="Arial" w:eastAsia="Arial" w:hAnsi="Arial"/>
          <w:sz w:val="16"/>
          <w:szCs w:val="16"/>
          <w:color w:val="auto"/>
        </w:rPr>
      </w:pPr>
    </w:p>
    <w:p>
      <w:pPr>
        <w:ind w:left="-444" w:right="60" w:firstLine="444"/>
        <w:spacing w:after="0" w:line="291" w:lineRule="auto"/>
        <w:tabs>
          <w:tab w:leader="none" w:pos="251"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Compliance of Loan Documents with Laws</w:t>
      </w:r>
      <w:r>
        <w:rPr>
          <w:rFonts w:ascii="Arial" w:cs="Arial" w:eastAsia="Arial" w:hAnsi="Arial"/>
          <w:sz w:val="16"/>
          <w:szCs w:val="16"/>
          <w:color w:val="auto"/>
        </w:rPr>
        <w:t>. The execution, delivery and performance of this Agreement, the other Loan Documents to which any Loan Party is a party and of the Fee Letter in accordance with their respective terms and the borrowings and other extensions of credit hereunder do not: (i) require any Governmental Approval or violate any Applicable Law (including all Environmental Laws) relating to the Borrower or any other Loan Party; (ii) conflict with, result in a breach of or constitute a default under the organizational documents of any Loan Party, or any indenture, agreement or other instrument to which the Borrower or any other Loan Party is a party or by which it or any of its respective properties may be bound; or (iii) result in or require the creation or imposition of any Lien upon or with respect to any property now owned or hereafter acquired by any Loan Party other than in favor of the Administrative Agent for its benefit and the benefit of the Lenders and the Issuing Bank.</w:t>
      </w:r>
    </w:p>
    <w:p>
      <w:pPr>
        <w:spacing w:after="0" w:line="59" w:lineRule="exact"/>
        <w:rPr>
          <w:rFonts w:ascii="Arial" w:cs="Arial" w:eastAsia="Arial" w:hAnsi="Arial"/>
          <w:sz w:val="16"/>
          <w:szCs w:val="16"/>
          <w:color w:val="auto"/>
        </w:rPr>
      </w:pPr>
    </w:p>
    <w:p>
      <w:pPr>
        <w:jc w:val="both"/>
        <w:ind w:left="-444" w:firstLine="444"/>
        <w:spacing w:after="0" w:line="259" w:lineRule="auto"/>
        <w:tabs>
          <w:tab w:leader="none" w:pos="24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Compliance with Law; Governmental Approvals</w:t>
      </w:r>
      <w:r>
        <w:rPr>
          <w:rFonts w:ascii="Arial" w:cs="Arial" w:eastAsia="Arial" w:hAnsi="Arial"/>
          <w:sz w:val="18"/>
          <w:szCs w:val="18"/>
          <w:color w:val="auto"/>
        </w:rPr>
        <w:t>. Each of the Borrower, the other Loan Parties and the other Subsidiaries is in compliance with each Governmental Approval applicable to it and all other Applicable Laws (including, without limitation, Environmental Laws) relating to it except for noncompliances which, and Governmental Approvals the failure to possess which, could not, individually or in the aggregate, reasonably be expected to cause a Default or Event of Default or have a Material Adverse Effect.</w:t>
      </w:r>
    </w:p>
    <w:p>
      <w:pPr>
        <w:spacing w:after="0" w:line="78" w:lineRule="exact"/>
        <w:rPr>
          <w:rFonts w:ascii="Arial" w:cs="Arial" w:eastAsia="Arial" w:hAnsi="Arial"/>
          <w:sz w:val="18"/>
          <w:szCs w:val="18"/>
          <w:color w:val="auto"/>
        </w:rPr>
      </w:pPr>
    </w:p>
    <w:p>
      <w:pPr>
        <w:ind w:left="-444" w:right="160" w:firstLine="444"/>
        <w:spacing w:after="0" w:line="259" w:lineRule="auto"/>
        <w:tabs>
          <w:tab w:leader="none" w:pos="22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Title to Properties; Liens</w:t>
      </w:r>
      <w:r>
        <w:rPr>
          <w:rFonts w:ascii="Arial" w:cs="Arial" w:eastAsia="Arial" w:hAnsi="Arial"/>
          <w:sz w:val="18"/>
          <w:szCs w:val="18"/>
          <w:color w:val="auto"/>
        </w:rPr>
        <w:t>. Part I of Schedule 6.1.(f) is, as of the Agreement Date, a complete and correct listing of all real estate assets of the Borrower, each other Loan Party and each other Subsidiary. Each of the Borrower, each other Loan Party and each other Subsidiary has good, marketable and legal title to, or a valid leasehold interest in, its respective assets. As of the Agreement Date, there are no Liens against the assets of the Borrower, the Loan Parties or any Subsidiary other than Permitted Liens.</w:t>
      </w:r>
    </w:p>
    <w:p>
      <w:pPr>
        <w:spacing w:after="0" w:line="78" w:lineRule="exact"/>
        <w:rPr>
          <w:rFonts w:ascii="Arial" w:cs="Arial" w:eastAsia="Arial" w:hAnsi="Arial"/>
          <w:sz w:val="18"/>
          <w:szCs w:val="18"/>
          <w:color w:val="auto"/>
        </w:rPr>
      </w:pPr>
    </w:p>
    <w:p>
      <w:pPr>
        <w:ind w:left="-444" w:right="180" w:firstLine="444"/>
        <w:spacing w:after="0" w:line="276" w:lineRule="auto"/>
        <w:tabs>
          <w:tab w:leader="none" w:pos="25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Existing Indebtedness</w:t>
      </w:r>
      <w:r>
        <w:rPr>
          <w:rFonts w:ascii="Arial" w:cs="Arial" w:eastAsia="Arial" w:hAnsi="Arial"/>
          <w:sz w:val="17"/>
          <w:szCs w:val="17"/>
          <w:color w:val="auto"/>
        </w:rPr>
        <w:t>. Schedule 6.1.(g) is, as of March 31, 2019, a complete and correct listing of all Indebtedness (including all Guarantees but excluding dividends payable, accounts payable and Off-Balance Sheet Obligations) of each of the Borrower, the other Loan Parties and the other Subsidiaries having an outstanding principal balance in excess of $1,000,000, and if such Indebtedness is secured by any Lien. Except as set forth on such Schedule, from March 31, 2019, through the Agreement Date, neither the Borrower nor any of its Subsidiaries has incurred any Indebtedness having an outstanding principal balance in excess of $1,000,000 in the aggregate.</w:t>
      </w:r>
    </w:p>
    <w:p>
      <w:pPr>
        <w:spacing w:after="0" w:line="64" w:lineRule="exact"/>
        <w:rPr>
          <w:rFonts w:ascii="Arial" w:cs="Arial" w:eastAsia="Arial" w:hAnsi="Arial"/>
          <w:sz w:val="17"/>
          <w:szCs w:val="17"/>
          <w:color w:val="auto"/>
        </w:rPr>
      </w:pPr>
    </w:p>
    <w:p>
      <w:pPr>
        <w:ind w:left="256" w:hanging="256"/>
        <w:spacing w:after="0"/>
        <w:tabs>
          <w:tab w:leader="none" w:pos="256"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EEA Financial Institution</w:t>
      </w:r>
      <w:r>
        <w:rPr>
          <w:rFonts w:ascii="Arial" w:cs="Arial" w:eastAsia="Arial" w:hAnsi="Arial"/>
          <w:sz w:val="18"/>
          <w:szCs w:val="18"/>
          <w:color w:val="auto"/>
        </w:rPr>
        <w:t>. No Loan Party is an EEA Financial Institution.</w:t>
      </w:r>
    </w:p>
    <w:p>
      <w:pPr>
        <w:spacing w:after="0" w:line="117" w:lineRule="exact"/>
        <w:rPr>
          <w:rFonts w:ascii="Arial" w:cs="Arial" w:eastAsia="Arial" w:hAnsi="Arial"/>
          <w:sz w:val="18"/>
          <w:szCs w:val="18"/>
          <w:color w:val="auto"/>
        </w:rPr>
      </w:pPr>
    </w:p>
    <w:p>
      <w:pPr>
        <w:jc w:val="both"/>
        <w:ind w:left="-444" w:right="120" w:firstLine="444"/>
        <w:spacing w:after="0" w:line="286" w:lineRule="auto"/>
        <w:tabs>
          <w:tab w:leader="none" w:pos="211" w:val="left"/>
        </w:tabs>
        <w:numPr>
          <w:ilvl w:val="0"/>
          <w:numId w:val="90"/>
        </w:numPr>
        <w:rPr>
          <w:rFonts w:ascii="Arial" w:cs="Arial" w:eastAsia="Arial" w:hAnsi="Arial"/>
          <w:sz w:val="17"/>
          <w:szCs w:val="17"/>
          <w:color w:val="auto"/>
        </w:rPr>
      </w:pPr>
      <w:r>
        <w:rPr>
          <w:rFonts w:ascii="Arial" w:cs="Arial" w:eastAsia="Arial" w:hAnsi="Arial"/>
          <w:sz w:val="17"/>
          <w:szCs w:val="17"/>
          <w:u w:val="single" w:color="auto"/>
          <w:color w:val="auto"/>
        </w:rPr>
        <w:t>Litigation</w:t>
      </w:r>
      <w:r>
        <w:rPr>
          <w:rFonts w:ascii="Arial" w:cs="Arial" w:eastAsia="Arial" w:hAnsi="Arial"/>
          <w:sz w:val="17"/>
          <w:szCs w:val="17"/>
          <w:color w:val="auto"/>
        </w:rPr>
        <w:t>. Except as set forth on Schedule 6.1.(i), there are no actions, suits or proceedings pending (nor, to the knowledge of any Loan Party, are there any actions, suits or proceedings threatened) against or in any other way relating adversely to or affecting the Borrower, any other Loan Party, any other Subsidiary or any of their respective property in any court or before any arbitrator of any kind or before or</w:t>
      </w:r>
    </w:p>
    <w:p>
      <w:pPr>
        <w:spacing w:after="0" w:line="97" w:lineRule="exact"/>
        <w:rPr>
          <w:rFonts w:ascii="Arial" w:cs="Arial" w:eastAsia="Arial" w:hAnsi="Arial"/>
          <w:sz w:val="17"/>
          <w:szCs w:val="17"/>
          <w:color w:val="auto"/>
        </w:rPr>
      </w:pPr>
    </w:p>
    <w:p>
      <w:pPr>
        <w:ind w:left="4976" w:hanging="101"/>
        <w:spacing w:after="0"/>
        <w:tabs>
          <w:tab w:leader="none" w:pos="4976" w:val="left"/>
        </w:tabs>
        <w:numPr>
          <w:ilvl w:val="1"/>
          <w:numId w:val="90"/>
        </w:numPr>
        <w:rPr>
          <w:rFonts w:ascii="Arial" w:cs="Arial" w:eastAsia="Arial" w:hAnsi="Arial"/>
          <w:sz w:val="18"/>
          <w:szCs w:val="18"/>
          <w:color w:val="auto"/>
        </w:rPr>
      </w:pPr>
      <w:r>
        <w:rPr>
          <w:rFonts w:ascii="Arial" w:cs="Arial" w:eastAsia="Arial" w:hAnsi="Arial"/>
          <w:sz w:val="18"/>
          <w:szCs w:val="18"/>
          <w:color w:val="auto"/>
        </w:rPr>
        <w:t>71 -</w:t>
      </w:r>
    </w:p>
    <w:p>
      <w:pPr>
        <w:sectPr>
          <w:pgSz w:w="11900" w:h="16838" w:orient="portrait"/>
          <w:cols w:equalWidth="0" w:num="1">
            <w:col w:w="10576"/>
          </w:cols>
          <w:pgMar w:left="884" w:top="274" w:right="439" w:bottom="1440" w:gutter="0" w:footer="0" w:header="0"/>
        </w:sectPr>
      </w:pPr>
    </w:p>
    <w:bookmarkStart w:id="80" w:name="page81"/>
    <w:bookmarkEnd w:id="80"/>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by any other Governmental Authority which, (i) could reasonably be expected to have a Material Adverse Effect or (ii) in any manner draws into question the validity or enforceability of any Loan Document or the Fee Letter. There are no strikes, slow downs, work stoppages or walkouts or other labor disputes in progress or threatened relating to the Borrower, any Subsidiary or any other Loan Party which could reasonably be expected to have a Material Adverse Effect.</w:t>
      </w:r>
    </w:p>
    <w:p>
      <w:pPr>
        <w:spacing w:after="0" w:line="79" w:lineRule="exact"/>
        <w:rPr>
          <w:sz w:val="20"/>
          <w:szCs w:val="20"/>
          <w:color w:val="auto"/>
        </w:rPr>
      </w:pPr>
    </w:p>
    <w:p>
      <w:pPr>
        <w:ind w:right="40" w:firstLine="444"/>
        <w:spacing w:after="0" w:line="273"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Taxes</w:t>
      </w:r>
      <w:r>
        <w:rPr>
          <w:rFonts w:ascii="Arial" w:cs="Arial" w:eastAsia="Arial" w:hAnsi="Arial"/>
          <w:sz w:val="17"/>
          <w:szCs w:val="17"/>
          <w:color w:val="auto"/>
        </w:rPr>
        <w:t>. All federal, state and other tax returns of the Borrower, each other Loan Party and each other Subsidiary required by Applicable Law to be filed have been duly filed, and all federal, state and other taxes, assessments and other governmental charges or levies upon, each Loan Party, each other Subsidiary and their respective properties, income, profits and assets which are due and payable have been paid, except any such nonpayment or non-filing which is at the time permitted under Section 7.6. As of the Agreement Date, none of the United States income tax returns of the Borrower, any other Loan Party or any other Subsidiary is under audit. All charges, accruals and reserves on the books of the Borrower, the other Loan Parties and the other Subsidiaries in respect of any taxes or other governmental charges are in accordance with GAAP.</w:t>
      </w:r>
    </w:p>
    <w:p>
      <w:pPr>
        <w:spacing w:after="0" w:line="70" w:lineRule="exact"/>
        <w:rPr>
          <w:rFonts w:ascii="Arial" w:cs="Arial" w:eastAsia="Arial" w:hAnsi="Arial"/>
          <w:sz w:val="17"/>
          <w:szCs w:val="17"/>
          <w:color w:val="auto"/>
        </w:rPr>
      </w:pPr>
    </w:p>
    <w:p>
      <w:pPr>
        <w:ind w:right="60" w:firstLine="444"/>
        <w:spacing w:after="0" w:line="269" w:lineRule="auto"/>
        <w:tabs>
          <w:tab w:leader="none" w:pos="69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Financial Statements</w:t>
      </w:r>
      <w:r>
        <w:rPr>
          <w:rFonts w:ascii="Arial" w:cs="Arial" w:eastAsia="Arial" w:hAnsi="Arial"/>
          <w:sz w:val="17"/>
          <w:szCs w:val="17"/>
          <w:color w:val="auto"/>
        </w:rPr>
        <w:t>. The Borrower has furnished to each Lender copies of (i) the audited consolidated balance sheet of the Borrower and its consolidated Subsidiaries for the fiscal years ended December 31, 2017 and December 31, 2018, and the related audited consolidated statements of operations, shareholders’ equity and cash flow for the fiscal years ended on such dates, with the opinion thereon of Grant Thornton LLP, and (ii) the unaudited consolidated balance sheet of the Borrower and its consolidated Subsidiaries for the fiscal quarter ended March 31, 2019, and the related unaudited consolidated statements of operations, shareholders’ equity and cash flow of the Borrower and its consolidated Subsidiaries for the one fiscal quarter period ended on such date. Such financial statements (including in each case related schedules and notes) are complete and present fairly, in accordance with GAAP consistently applied throughout the periods involved, the consolidated financial position of the Borrower and its consolidated Subsidiaries as at their respective dates and the results of operations and the cash flow for such periods (subject, as to interim statements, to changes resulting from normal year-end audit adjustments). Neither the Borrower nor any of its Subsidiaries has on the Agreement Date any material contingent liabilities, liabilities, liabilities for taxes, unusual or long-term commitments or unrealized or forward anticipated losses from any unfavorable commitments that would be required to be set forth in its financial statements or notes thereto, except as referred to or reflected or provided for in said financial statements.</w:t>
      </w:r>
    </w:p>
    <w:p>
      <w:pPr>
        <w:spacing w:after="0" w:line="71" w:lineRule="exact"/>
        <w:rPr>
          <w:rFonts w:ascii="Arial" w:cs="Arial" w:eastAsia="Arial" w:hAnsi="Arial"/>
          <w:sz w:val="17"/>
          <w:szCs w:val="17"/>
          <w:color w:val="auto"/>
        </w:rPr>
      </w:pPr>
    </w:p>
    <w:p>
      <w:pPr>
        <w:ind w:firstLine="444"/>
        <w:spacing w:after="0" w:line="308" w:lineRule="auto"/>
        <w:tabs>
          <w:tab w:leader="none" w:pos="655" w:val="left"/>
        </w:tabs>
        <w:numPr>
          <w:ilvl w:val="0"/>
          <w:numId w:val="91"/>
        </w:numPr>
        <w:rPr>
          <w:rFonts w:ascii="Arial" w:cs="Arial" w:eastAsia="Arial" w:hAnsi="Arial"/>
          <w:sz w:val="17"/>
          <w:szCs w:val="17"/>
          <w:color w:val="auto"/>
        </w:rPr>
      </w:pPr>
      <w:r>
        <w:rPr>
          <w:rFonts w:ascii="Arial" w:cs="Arial" w:eastAsia="Arial" w:hAnsi="Arial"/>
          <w:sz w:val="17"/>
          <w:szCs w:val="17"/>
          <w:u w:val="single" w:color="auto"/>
          <w:color w:val="auto"/>
        </w:rPr>
        <w:t>No Material Adverse Change</w:t>
      </w:r>
      <w:r>
        <w:rPr>
          <w:rFonts w:ascii="Arial" w:cs="Arial" w:eastAsia="Arial" w:hAnsi="Arial"/>
          <w:sz w:val="17"/>
          <w:szCs w:val="17"/>
          <w:color w:val="auto"/>
        </w:rPr>
        <w:t>. Since December 31, 2018, there has been no event, change, circumstance or occurrence that could reasonably be expected to have a Material Adverse Effect. Each of the Borrower, the other Loan Parties and the other Subsidiaries is Solvent.</w:t>
      </w:r>
    </w:p>
    <w:p>
      <w:pPr>
        <w:spacing w:after="0" w:line="38" w:lineRule="exact"/>
        <w:rPr>
          <w:rFonts w:ascii="Arial" w:cs="Arial" w:eastAsia="Arial" w:hAnsi="Arial"/>
          <w:sz w:val="17"/>
          <w:szCs w:val="17"/>
          <w:color w:val="auto"/>
        </w:rPr>
      </w:pPr>
    </w:p>
    <w:p>
      <w:pPr>
        <w:ind w:left="740" w:hanging="296"/>
        <w:spacing w:after="0"/>
        <w:tabs>
          <w:tab w:leader="none" w:pos="74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69" w:lineRule="auto"/>
        <w:tabs>
          <w:tab w:leader="none" w:pos="1078" w:val="left"/>
        </w:tabs>
        <w:numPr>
          <w:ilvl w:val="1"/>
          <w:numId w:val="91"/>
        </w:numPr>
        <w:rPr>
          <w:rFonts w:ascii="Arial" w:cs="Arial" w:eastAsia="Arial" w:hAnsi="Arial"/>
          <w:sz w:val="17"/>
          <w:szCs w:val="17"/>
          <w:color w:val="auto"/>
        </w:rPr>
      </w:pPr>
      <w:r>
        <w:rPr>
          <w:rFonts w:ascii="Arial" w:cs="Arial" w:eastAsia="Arial" w:hAnsi="Arial"/>
          <w:sz w:val="17"/>
          <w:szCs w:val="17"/>
          <w:color w:val="auto"/>
        </w:rPr>
        <w:t>Each Benefit Arrangement is in compliance with the applicable provisions of ERISA, the Internal Revenue Code and other Applicable Laws except for noncompliance that would not be expected to result in the occurrence of a Material Adverse Effect. Except with respect to Multiemployer Plans, each Qualified Plan (A) has received a favorable determination from the Internal Revenue Service applicable to such Qualified Plan’s current remedial amendment cycle (as defined in Revenue Procedure 2007-44 or “2007-44” for short), (B) has timely filed for a favorable determination letter from the Internal Revenue Service during its staggered remedial amendment cycle (as defined in 2007-44) and such application is currently being processed by the Internal Revenue Service, (C) had filed for a determination letter prior to its “GUST remedial amendment period” (as defined in 2007-44) and received such determination letter and the staggered remedial amendment cycle first following the GUST remedial amendment period for such Qualified Plan has not yet expired, or (D) is maintained under a prototype plan and may rely upon a favorable opinion letter issued by the Internal Revenue Service with respect to such prototype plan. To the best knowledge of the Borrower, nothing has occurred which could reasonably be expected to cause the loss of its reliance on each Qualified Plan’s favorable determination letter or opinion letter.</w:t>
      </w:r>
    </w:p>
    <w:p>
      <w:pPr>
        <w:spacing w:after="0" w:line="115" w:lineRule="exact"/>
        <w:rPr>
          <w:rFonts w:ascii="Arial" w:cs="Arial" w:eastAsia="Arial" w:hAnsi="Arial"/>
          <w:sz w:val="17"/>
          <w:szCs w:val="17"/>
          <w:color w:val="auto"/>
        </w:rPr>
      </w:pPr>
    </w:p>
    <w:p>
      <w:pPr>
        <w:ind w:left="5420" w:hanging="101"/>
        <w:spacing w:after="0"/>
        <w:tabs>
          <w:tab w:leader="none" w:pos="5420" w:val="left"/>
        </w:tabs>
        <w:numPr>
          <w:ilvl w:val="2"/>
          <w:numId w:val="91"/>
        </w:numPr>
        <w:rPr>
          <w:rFonts w:ascii="Arial" w:cs="Arial" w:eastAsia="Arial" w:hAnsi="Arial"/>
          <w:sz w:val="18"/>
          <w:szCs w:val="18"/>
          <w:color w:val="auto"/>
        </w:rPr>
      </w:pPr>
      <w:r>
        <w:rPr>
          <w:rFonts w:ascii="Arial" w:cs="Arial" w:eastAsia="Arial" w:hAnsi="Arial"/>
          <w:sz w:val="18"/>
          <w:szCs w:val="18"/>
          <w:color w:val="auto"/>
        </w:rPr>
        <w:t>72 -</w:t>
      </w:r>
    </w:p>
    <w:p>
      <w:pPr>
        <w:sectPr>
          <w:pgSz w:w="11900" w:h="16838" w:orient="portrait"/>
          <w:cols w:equalWidth="0" w:num="1">
            <w:col w:w="10980"/>
          </w:cols>
          <w:pgMar w:left="440" w:top="274" w:right="479" w:bottom="1440" w:gutter="0" w:footer="0" w:header="0"/>
        </w:sectPr>
      </w:pPr>
    </w:p>
    <w:bookmarkStart w:id="81" w:name="page82"/>
    <w:bookmarkEnd w:id="81"/>
    <w:p>
      <w:pPr>
        <w:ind w:left="-4" w:right="80" w:firstLine="428"/>
        <w:spacing w:after="0" w:line="308" w:lineRule="auto"/>
        <w:tabs>
          <w:tab w:leader="none" w:pos="684" w:val="left"/>
        </w:tabs>
        <w:numPr>
          <w:ilvl w:val="1"/>
          <w:numId w:val="9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 of the most recent valuation date, the “benefit obligation” of all Plans does not exceed the “fair market value of plan assets” for such Plans by more than $10,000,000 all as determined by and with such terms defined in accordance with FASB ASC 715.</w:t>
      </w:r>
    </w:p>
    <w:p>
      <w:pPr>
        <w:spacing w:after="0" w:line="38" w:lineRule="exact"/>
        <w:rPr>
          <w:rFonts w:ascii="Arial" w:cs="Arial" w:eastAsia="Arial" w:hAnsi="Arial"/>
          <w:sz w:val="17"/>
          <w:szCs w:val="17"/>
          <w:color w:val="auto"/>
        </w:rPr>
      </w:pPr>
    </w:p>
    <w:p>
      <w:pPr>
        <w:ind w:left="-4" w:firstLine="428"/>
        <w:spacing w:after="0" w:line="255" w:lineRule="auto"/>
        <w:tabs>
          <w:tab w:leader="none" w:pos="734" w:val="left"/>
        </w:tabs>
        <w:numPr>
          <w:ilvl w:val="1"/>
          <w:numId w:val="92"/>
        </w:numPr>
        <w:rPr>
          <w:rFonts w:ascii="Arial" w:cs="Arial" w:eastAsia="Arial" w:hAnsi="Arial"/>
          <w:sz w:val="18"/>
          <w:szCs w:val="18"/>
          <w:color w:val="auto"/>
        </w:rPr>
      </w:pPr>
      <w:r>
        <w:rPr>
          <w:rFonts w:ascii="Arial" w:cs="Arial" w:eastAsia="Arial" w:hAnsi="Arial"/>
          <w:sz w:val="18"/>
          <w:szCs w:val="18"/>
          <w:color w:val="auto"/>
        </w:rPr>
        <w:t>Except as could not reasonably be expected, individually or in the aggregate, to have a Material Adverse Effect: (i) no ERISA Event has occurred or is expected to occur; (ii) there are no pending, or to the best knowledge of the Borrower, threatened, claims, actions or lawsuits or other action by any Governmental Authority, plan participant or beneficiary with respect to a Benefit Arrangement; (iii) there are no violations of the fiduciary responsibility rules with respect to any Benefit Arrangement; and (iv) no member of the ERISA Group has engaged in a non-exempt “prohibited transaction,” as defined in Section 406 of ERISA and Section 4975 of the Internal Revenue Code, in connection with any Plan, that would subject any member of the ERISA Group to a tax on prohibited transactions imposed by Section 502(i) of ERISA or Section 4975 of the Internal Revenue Code.</w:t>
      </w:r>
    </w:p>
    <w:p>
      <w:pPr>
        <w:spacing w:after="0" w:line="81" w:lineRule="exact"/>
        <w:rPr>
          <w:rFonts w:ascii="Arial" w:cs="Arial" w:eastAsia="Arial" w:hAnsi="Arial"/>
          <w:sz w:val="18"/>
          <w:szCs w:val="18"/>
          <w:color w:val="auto"/>
        </w:rPr>
      </w:pPr>
    </w:p>
    <w:p>
      <w:pPr>
        <w:ind w:left="-444" w:right="20" w:firstLine="444"/>
        <w:spacing w:after="0" w:line="273" w:lineRule="auto"/>
        <w:tabs>
          <w:tab w:leader="none" w:pos="251" w:val="left"/>
        </w:tabs>
        <w:numPr>
          <w:ilvl w:val="0"/>
          <w:numId w:val="93"/>
        </w:numPr>
        <w:rPr>
          <w:rFonts w:ascii="Arial" w:cs="Arial" w:eastAsia="Arial" w:hAnsi="Arial"/>
          <w:sz w:val="17"/>
          <w:szCs w:val="17"/>
          <w:color w:val="auto"/>
        </w:rPr>
      </w:pPr>
      <w:r>
        <w:rPr>
          <w:rFonts w:ascii="Arial" w:cs="Arial" w:eastAsia="Arial" w:hAnsi="Arial"/>
          <w:sz w:val="17"/>
          <w:szCs w:val="17"/>
          <w:u w:val="single" w:color="auto"/>
          <w:color w:val="auto"/>
        </w:rPr>
        <w:t>Absence of Default</w:t>
      </w:r>
      <w:r>
        <w:rPr>
          <w:rFonts w:ascii="Arial" w:cs="Arial" w:eastAsia="Arial" w:hAnsi="Arial"/>
          <w:sz w:val="17"/>
          <w:szCs w:val="17"/>
          <w:color w:val="auto"/>
        </w:rPr>
        <w:t>. None of the Loan Parties or any of the other Subsidiaries is in default under its certificate or articles of incorporation or formation, bylaws, partnership agreement or other similar organizational documents, and no event has occurred, which has not been remedied, cured or waived: (i) which constitutes a Default or an Event of Default; or (ii) which constitutes, or which with the passage of time, the giving of notice, or both, would constitute, a default or event of default by, any Loan Party or any other Subsidiary under any agreement (other than this Agreement) or judgment, decree or order to which any such Person is a party or by which any such Person or any of its respective properties may be bound where such default or event of default could, individually or in the aggregate, reasonably be expected to have a Material Adverse Effect.</w:t>
      </w:r>
    </w:p>
    <w:p>
      <w:pPr>
        <w:spacing w:after="0" w:line="70" w:lineRule="exact"/>
        <w:rPr>
          <w:rFonts w:ascii="Arial" w:cs="Arial" w:eastAsia="Arial" w:hAnsi="Arial"/>
          <w:sz w:val="17"/>
          <w:szCs w:val="17"/>
          <w:color w:val="auto"/>
        </w:rPr>
      </w:pPr>
    </w:p>
    <w:p>
      <w:pPr>
        <w:ind w:left="-444" w:right="20" w:firstLine="444"/>
        <w:spacing w:after="0" w:line="286" w:lineRule="auto"/>
        <w:tabs>
          <w:tab w:leader="none" w:pos="251"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Each of the Borrower, each other Loan Party and the other Subsidiaries: (i) has obtained all Governmental Approvals which are required under Environmental Laws, and each such Governmental Approval is in full force and effect, and (ii) is in compliance with all terms and conditions of such Governmental Approvals, where with respect to each of the immediately preceding clauses (i) and (ii) the failure to obtain or to comply with could reasonably be expected to have a Material Adverse Effect. Except for any of the following matters that could not reasonably be expected to have a Material Adverse Effect, no Loan Party is aware of, and has not received notice of, any past, present, or future, events, conditions, circumstances, activities, practices, incidents, occurrences, actions, or plans which, with respect to any Loan Party or any other Subsidiary, their respective businesses, operations or with respect to the Properties, may: (x) interfere with or prevent compliance or continued compliance with Environmental Laws or (y) give rise to any common-law or legal liability or otherwise form the basis of any claim, action, demand, suit, proceeding, hearing, study, or investigation based on or related to the manufacture, generation, processing, distribution, use, treatment, storage, disposal, transport, removal, clean up or handling, or the emission, discharge, release or threatened release into the environmental of any pollutant, contaminant, chemical, or industrial, toxic, other Hazardous Material. There is no civil, criminal, or administrative action, suit, demand, claim, hearing, notice, or demand letter, notice of violation, investigation, or proceeding pending or, to the Borrower’s knowledge after due inquiry, threatened, against the Borrower, any other Loan Party or any other Subsidiary relating in any way to Environmental Laws which, reasonably could be expected to have a Material Adverse Effect. None of the Properties is listed on or proposed for listing on the National Priority List promulgated pursuant to the Comprehensive Environmental Response, Compensation and Liability Act of 1980 and its implementing regulations, or any</w:t>
      </w:r>
    </w:p>
    <w:p>
      <w:pPr>
        <w:spacing w:after="0" w:line="101" w:lineRule="exact"/>
        <w:rPr>
          <w:rFonts w:ascii="Arial" w:cs="Arial" w:eastAsia="Arial" w:hAnsi="Arial"/>
          <w:sz w:val="16"/>
          <w:szCs w:val="16"/>
          <w:color w:val="auto"/>
        </w:rPr>
      </w:pPr>
    </w:p>
    <w:p>
      <w:pPr>
        <w:ind w:left="4976" w:hanging="101"/>
        <w:spacing w:after="0"/>
        <w:tabs>
          <w:tab w:leader="none" w:pos="4976" w:val="left"/>
        </w:tabs>
        <w:numPr>
          <w:ilvl w:val="2"/>
          <w:numId w:val="93"/>
        </w:numPr>
        <w:rPr>
          <w:rFonts w:ascii="Arial" w:cs="Arial" w:eastAsia="Arial" w:hAnsi="Arial"/>
          <w:sz w:val="18"/>
          <w:szCs w:val="18"/>
          <w:color w:val="auto"/>
        </w:rPr>
      </w:pPr>
      <w:r>
        <w:rPr>
          <w:rFonts w:ascii="Arial" w:cs="Arial" w:eastAsia="Arial" w:hAnsi="Arial"/>
          <w:sz w:val="18"/>
          <w:szCs w:val="18"/>
          <w:color w:val="auto"/>
        </w:rPr>
        <w:t>73 -</w:t>
      </w:r>
    </w:p>
    <w:p>
      <w:pPr>
        <w:sectPr>
          <w:pgSz w:w="11900" w:h="16838" w:orient="portrait"/>
          <w:cols w:equalWidth="0" w:num="1">
            <w:col w:w="10556"/>
          </w:cols>
          <w:pgMar w:left="884" w:top="274" w:right="459" w:bottom="1440" w:gutter="0" w:footer="0" w:header="0"/>
        </w:sectPr>
      </w:pPr>
    </w:p>
    <w:bookmarkStart w:id="82" w:name="page83"/>
    <w:bookmarkEnd w:id="82"/>
    <w:p>
      <w:pPr>
        <w:ind w:right="4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state or local priority list promulgated pursuant to any analogous state or local law to the extent any such listing could reasonably be expected to have a Material Adverse Effect. To the Borrower’s knowledge, no Hazardous Materials generated at or transported from the Properties are or have been transported to, or disposed of at, any location that is listed or proposed for listing on the National Priority List or any analogous state or local priority list, or any other location that is or has been the subject of a clean-up, removal or remedial action pursuant to any Environmental Law, except to the extent that such transportation or disposal could not reasonably be expected to result in a Material Adverse Effect.</w:t>
      </w:r>
    </w:p>
    <w:p>
      <w:pPr>
        <w:spacing w:after="0" w:line="64" w:lineRule="exact"/>
        <w:rPr>
          <w:sz w:val="20"/>
          <w:szCs w:val="20"/>
          <w:color w:val="auto"/>
        </w:rPr>
      </w:pPr>
    </w:p>
    <w:p>
      <w:pPr>
        <w:ind w:right="40" w:firstLine="444"/>
        <w:spacing w:after="0" w:line="279" w:lineRule="auto"/>
        <w:tabs>
          <w:tab w:leader="none" w:pos="695"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Investment Company</w:t>
      </w:r>
      <w:r>
        <w:rPr>
          <w:rFonts w:ascii="Arial" w:cs="Arial" w:eastAsia="Arial" w:hAnsi="Arial"/>
          <w:sz w:val="17"/>
          <w:szCs w:val="17"/>
          <w:color w:val="auto"/>
        </w:rPr>
        <w:t>. None of the Borrower, any other Loan Party or any other Subsidiary is (i) an “investment company” or a company “controlled” by an “investment company” within the meaning of the Investment Company Act of 1940, as amended, or (ii) subject to any other Applicable Law which purports to regulate or restrict its ability to borrow money or obtain other extensions of credit or to consummate the transactions contemplated by this Agreement or to perform its obligations under any Loan Document to which it is a party.</w:t>
      </w:r>
    </w:p>
    <w:p>
      <w:pPr>
        <w:spacing w:after="0" w:line="63" w:lineRule="exact"/>
        <w:rPr>
          <w:rFonts w:ascii="Arial" w:cs="Arial" w:eastAsia="Arial" w:hAnsi="Arial"/>
          <w:sz w:val="17"/>
          <w:szCs w:val="17"/>
          <w:color w:val="auto"/>
        </w:rPr>
      </w:pPr>
    </w:p>
    <w:p>
      <w:pPr>
        <w:jc w:val="both"/>
        <w:ind w:firstLine="444"/>
        <w:spacing w:after="0" w:line="264"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Margin Stock</w:t>
      </w:r>
      <w:r>
        <w:rPr>
          <w:rFonts w:ascii="Arial" w:cs="Arial" w:eastAsia="Arial" w:hAnsi="Arial"/>
          <w:sz w:val="18"/>
          <w:szCs w:val="18"/>
          <w:color w:val="auto"/>
        </w:rPr>
        <w:t>. None of the Borrower, any other Loan Party or any other Subsidiary is engaged principally, or as one of its important activities, in the business of extending credit for the purpose, whether immediate, incidental or ultimate, of buying or carrying “margin stock” within the meaning of Regulation U of the Board of Governors of the Federal Reserve System.</w:t>
      </w:r>
    </w:p>
    <w:p>
      <w:pPr>
        <w:spacing w:after="0" w:line="73" w:lineRule="exact"/>
        <w:rPr>
          <w:rFonts w:ascii="Arial" w:cs="Arial" w:eastAsia="Arial" w:hAnsi="Arial"/>
          <w:sz w:val="18"/>
          <w:szCs w:val="18"/>
          <w:color w:val="auto"/>
        </w:rPr>
      </w:pPr>
    </w:p>
    <w:p>
      <w:pPr>
        <w:ind w:right="20" w:firstLine="444"/>
        <w:spacing w:after="0" w:line="277" w:lineRule="auto"/>
        <w:tabs>
          <w:tab w:leader="none" w:pos="66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Affiliate Transactions</w:t>
      </w:r>
      <w:r>
        <w:rPr>
          <w:rFonts w:ascii="Arial" w:cs="Arial" w:eastAsia="Arial" w:hAnsi="Arial"/>
          <w:sz w:val="18"/>
          <w:szCs w:val="18"/>
          <w:color w:val="auto"/>
        </w:rPr>
        <w:t>. Except as permitted by Section 9.9., none of the Borrower, any other Loan Party or any other Subsidiary is a party to or bound by any agreement or arrangement with any Affiliate.</w:t>
      </w:r>
    </w:p>
    <w:p>
      <w:pPr>
        <w:spacing w:after="0" w:line="62" w:lineRule="exact"/>
        <w:rPr>
          <w:rFonts w:ascii="Arial" w:cs="Arial" w:eastAsia="Arial" w:hAnsi="Arial"/>
          <w:sz w:val="18"/>
          <w:szCs w:val="18"/>
          <w:color w:val="auto"/>
        </w:rPr>
      </w:pPr>
    </w:p>
    <w:p>
      <w:pPr>
        <w:ind w:right="60" w:firstLine="444"/>
        <w:spacing w:after="0" w:line="269" w:lineRule="auto"/>
        <w:tabs>
          <w:tab w:leader="none" w:pos="676" w:val="left"/>
        </w:tabs>
        <w:numPr>
          <w:ilvl w:val="0"/>
          <w:numId w:val="94"/>
        </w:numPr>
        <w:rPr>
          <w:rFonts w:ascii="Arial" w:cs="Arial" w:eastAsia="Arial" w:hAnsi="Arial"/>
          <w:sz w:val="17"/>
          <w:szCs w:val="17"/>
          <w:color w:val="auto"/>
        </w:rPr>
      </w:pPr>
      <w:r>
        <w:rPr>
          <w:rFonts w:ascii="Arial" w:cs="Arial" w:eastAsia="Arial" w:hAnsi="Arial"/>
          <w:sz w:val="17"/>
          <w:szCs w:val="17"/>
          <w:u w:val="single" w:color="auto"/>
          <w:color w:val="auto"/>
        </w:rPr>
        <w:t>Intellectual Property</w:t>
      </w:r>
      <w:r>
        <w:rPr>
          <w:rFonts w:ascii="Arial" w:cs="Arial" w:eastAsia="Arial" w:hAnsi="Arial"/>
          <w:sz w:val="17"/>
          <w:szCs w:val="17"/>
          <w:color w:val="auto"/>
        </w:rPr>
        <w:t>. Each of the Borrower, each other Loan Party and each other Subsidiary owns or has the right to use, under valid license agreements or otherwise, all material patents, licenses, franchises, trademarks, trademark rights, trade names, trade name rights, trade secrets and copyrights (collectively, “</w:t>
      </w:r>
      <w:r>
        <w:rPr>
          <w:rFonts w:ascii="Arial" w:cs="Arial" w:eastAsia="Arial" w:hAnsi="Arial"/>
          <w:sz w:val="17"/>
          <w:szCs w:val="17"/>
          <w:b w:val="1"/>
          <w:bCs w:val="1"/>
          <w:color w:val="auto"/>
        </w:rPr>
        <w:t>Intellectual Property</w:t>
      </w:r>
      <w:r>
        <w:rPr>
          <w:rFonts w:ascii="Arial" w:cs="Arial" w:eastAsia="Arial" w:hAnsi="Arial"/>
          <w:sz w:val="17"/>
          <w:szCs w:val="17"/>
          <w:color w:val="auto"/>
        </w:rPr>
        <w:t>”) necessary to the conduct of its businesses as now conducted and as contemplated by the Loan Documents, without known conflict with any patent, license, franchise, trademark, trademark rights, trade secret, trade name, copyright, or other proprietary right of any other Person, which conflict could reasonably be expected to have a Material Adverse Effect. The Borrower, each other Loan Party and each other Subsidiary have taken all such steps as they deem reasonably necessary to protect their respective rights under and with respect to such Intellectual Property. No material claim has been asserted by any Person with respect to the use of any Intellectual Property by the Borrower, any other Loan Party or any other Subsidiary, or challenging or questioning the validity or effectiveness of any Intellectual Property. The use of such Intellectual Property by the Borrower, its Subsidiaries and the other Loan Parties, does not infringe on the rights of any Person, subject to such claims and infringements as do not, in the aggregate, give rise to any liabilities on the part of the Borrower, any other Loan Party or any other Subsidiary that could reasonably be expected to have a Material Adverse Effect.</w:t>
      </w:r>
    </w:p>
    <w:p>
      <w:pPr>
        <w:spacing w:after="0" w:line="74" w:lineRule="exact"/>
        <w:rPr>
          <w:rFonts w:ascii="Arial" w:cs="Arial" w:eastAsia="Arial" w:hAnsi="Arial"/>
          <w:sz w:val="17"/>
          <w:szCs w:val="17"/>
          <w:color w:val="auto"/>
        </w:rPr>
      </w:pPr>
    </w:p>
    <w:p>
      <w:pPr>
        <w:ind w:firstLine="444"/>
        <w:spacing w:after="0" w:line="257" w:lineRule="auto"/>
        <w:tabs>
          <w:tab w:leader="none" w:pos="65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Business</w:t>
      </w:r>
      <w:r>
        <w:rPr>
          <w:rFonts w:ascii="Arial" w:cs="Arial" w:eastAsia="Arial" w:hAnsi="Arial"/>
          <w:sz w:val="18"/>
          <w:szCs w:val="18"/>
          <w:color w:val="auto"/>
        </w:rPr>
        <w:t>. The Borrower, the other Loan Parties and the other Subsidiaries are (i) primarily engaged in the business of acquiring, owning, redeveloping, developing and managing Retail Properties and Mixed-Use Projects (including components of such Mixed-Use Projects that are Office Properties and Multifamily Properties) together with other business activities reasonably related or incidental thereto and (ii) secondarily engaged in the business of acquiring, owning, redeveloping, developing and managing Office Properties, Multifamily Properties and Hotel Properties, together with other business activities reasonably related or incidental thereto.</w:t>
      </w:r>
    </w:p>
    <w:p>
      <w:pPr>
        <w:spacing w:after="0" w:line="80" w:lineRule="exact"/>
        <w:rPr>
          <w:rFonts w:ascii="Arial" w:cs="Arial" w:eastAsia="Arial" w:hAnsi="Arial"/>
          <w:sz w:val="18"/>
          <w:szCs w:val="18"/>
          <w:color w:val="auto"/>
        </w:rPr>
      </w:pPr>
    </w:p>
    <w:p>
      <w:pPr>
        <w:jc w:val="both"/>
        <w:ind w:right="40" w:firstLine="444"/>
        <w:spacing w:after="0" w:line="264" w:lineRule="auto"/>
        <w:tabs>
          <w:tab w:leader="none" w:pos="695"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Broker’s Fees</w:t>
      </w:r>
      <w:r>
        <w:rPr>
          <w:rFonts w:ascii="Arial" w:cs="Arial" w:eastAsia="Arial" w:hAnsi="Arial"/>
          <w:sz w:val="18"/>
          <w:szCs w:val="18"/>
          <w:color w:val="auto"/>
        </w:rPr>
        <w:t>. No broker’s or finder’s fee, commission or similar compensation will be payable with respect to the transactions contemplated hereby. No other similar fees or commissions will be payable by any Loan Party for any other services rendered to the Borrower, any other Loan Party or any other Subsidiary ancillary to the transactions contemplated hereby.</w:t>
      </w:r>
    </w:p>
    <w:p>
      <w:pPr>
        <w:spacing w:after="0" w:line="113" w:lineRule="exact"/>
        <w:rPr>
          <w:rFonts w:ascii="Arial" w:cs="Arial" w:eastAsia="Arial" w:hAnsi="Arial"/>
          <w:sz w:val="18"/>
          <w:szCs w:val="18"/>
          <w:color w:val="auto"/>
        </w:rPr>
      </w:pPr>
    </w:p>
    <w:p>
      <w:pPr>
        <w:ind w:left="5420" w:hanging="101"/>
        <w:spacing w:after="0"/>
        <w:tabs>
          <w:tab w:leader="none" w:pos="5420" w:val="left"/>
        </w:tabs>
        <w:numPr>
          <w:ilvl w:val="1"/>
          <w:numId w:val="94"/>
        </w:numPr>
        <w:rPr>
          <w:rFonts w:ascii="Arial" w:cs="Arial" w:eastAsia="Arial" w:hAnsi="Arial"/>
          <w:sz w:val="18"/>
          <w:szCs w:val="18"/>
          <w:color w:val="auto"/>
        </w:rPr>
      </w:pPr>
      <w:r>
        <w:rPr>
          <w:rFonts w:ascii="Arial" w:cs="Arial" w:eastAsia="Arial" w:hAnsi="Arial"/>
          <w:sz w:val="18"/>
          <w:szCs w:val="18"/>
          <w:color w:val="auto"/>
        </w:rPr>
        <w:t>74 -</w:t>
      </w:r>
    </w:p>
    <w:p>
      <w:pPr>
        <w:sectPr>
          <w:pgSz w:w="11900" w:h="16838" w:orient="portrait"/>
          <w:cols w:equalWidth="0" w:num="1">
            <w:col w:w="10940"/>
          </w:cols>
          <w:pgMar w:left="440" w:top="274" w:right="519" w:bottom="1440" w:gutter="0" w:footer="0" w:header="0"/>
        </w:sectPr>
      </w:pPr>
    </w:p>
    <w:bookmarkStart w:id="83" w:name="page84"/>
    <w:bookmarkEnd w:id="83"/>
    <w:p>
      <w:pPr>
        <w:ind w:left="-444" w:right="40" w:firstLine="444"/>
        <w:spacing w:after="0" w:line="268" w:lineRule="auto"/>
        <w:tabs>
          <w:tab w:leader="none" w:pos="251" w:val="left"/>
        </w:tabs>
        <w:numPr>
          <w:ilvl w:val="0"/>
          <w:numId w:val="95"/>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Accuracy and Completeness of Information</w:t>
      </w:r>
      <w:r>
        <w:rPr>
          <w:rFonts w:ascii="Arial" w:cs="Arial" w:eastAsia="Arial" w:hAnsi="Arial"/>
          <w:sz w:val="17"/>
          <w:szCs w:val="17"/>
          <w:color w:val="auto"/>
        </w:rPr>
        <w:t>. None of the written information, reports or other papers or data (excluding financial projections and other forward looking statements), taken as a whole as of the date of delivery thereof, furnished to the Administrative Agent or any Lender by, on behalf of, or at the direction of, the Borrower, any Subsidiary or any other Loan Party in connection with or relating in any way to this Agreement, contained any untrue statement of a fact material to the creditworthiness of the Borrower, any Subsidiary or any other Loan Party or omitted to state a material fact necessary in order to make such statements contained therein, in light of the circumstances under which they were made, not misleading. All financial statements furnished to the Administrative Agent or any Lender by, on behalf of, or at the direction of, the Borrower, any Subsidiary or any other Loan Party in connection with or relating in any way to this Agreement, present fairly, in accordance with GAAP consistently applied throughout the periods involved, the financial position of the Persons involved as at the date thereof and the results of operations for such periods (subject, as to interim statements, to changes resulting from normal year end audit adjustments and absence of full footnote disclosure). All financial projections and other forward looking statements prepared by or on behalf of the Borrower, any Subsidiary or any other Loan Party that have been or may hereafter be made available to the Administrative Agent or any Lender were or will be prepared in good faith based on reasonable assumptions. As of the Effective Date, no fact is known to the Borrower which has had, or may in the future have (so far as the Borrower can reasonably foresee), a Material Adverse Effect which has not been set forth in the financial statements referred to in Section 6.1.(k) or in such information, reports or other papers or data or otherwise disclosed in writing to the Administrative Agent and the Lenders. As of the Agreement Date, all of the information included in the Beneficial Ownership Certification is true and correct.</w:t>
      </w:r>
    </w:p>
    <w:p>
      <w:pPr>
        <w:spacing w:after="0" w:line="75" w:lineRule="exact"/>
        <w:rPr>
          <w:rFonts w:ascii="Arial" w:cs="Arial" w:eastAsia="Arial" w:hAnsi="Arial"/>
          <w:sz w:val="17"/>
          <w:szCs w:val="17"/>
          <w:color w:val="auto"/>
        </w:rPr>
      </w:pPr>
    </w:p>
    <w:p>
      <w:pPr>
        <w:ind w:left="-444" w:right="20" w:firstLine="444"/>
        <w:spacing w:after="0" w:line="257" w:lineRule="auto"/>
        <w:tabs>
          <w:tab w:leader="none" w:pos="291"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Not Plan Assets; No Prohibited Transactions</w:t>
      </w:r>
      <w:r>
        <w:rPr>
          <w:rFonts w:ascii="Arial" w:cs="Arial" w:eastAsia="Arial" w:hAnsi="Arial"/>
          <w:sz w:val="18"/>
          <w:szCs w:val="18"/>
          <w:color w:val="auto"/>
        </w:rPr>
        <w:t>. None of the assets of the Borrower, any other Loan Party or any other Subsidiary constitutes “plan assets” within the meaning of ERISA, the Internal Revenue Code and the respective regulations promulgated thereunder. Assuming that no Lender funds any amount payable by it hereunder with “plan assets,” as that term is defined in 29 C.F.R. 2510.3-101, the execution, delivery and performance of this Agreement and the other Loan Documents, and the extensions of credit and repayment of amounts hereunder, do not and will not constitute “prohibited transactions” under ERISA or the Internal Revenue Code.</w:t>
      </w:r>
    </w:p>
    <w:p>
      <w:pPr>
        <w:spacing w:after="0" w:line="80" w:lineRule="exact"/>
        <w:rPr>
          <w:rFonts w:ascii="Arial" w:cs="Arial" w:eastAsia="Arial" w:hAnsi="Arial"/>
          <w:sz w:val="18"/>
          <w:szCs w:val="18"/>
          <w:color w:val="auto"/>
        </w:rPr>
      </w:pPr>
    </w:p>
    <w:p>
      <w:pPr>
        <w:ind w:left="256" w:hanging="256"/>
        <w:spacing w:after="0"/>
        <w:tabs>
          <w:tab w:leader="none" w:pos="256"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Anti-Corruption Laws; Anti-Money Laundering Laws and Sanctions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56" w:hanging="4"/>
        <w:spacing w:after="0" w:line="271" w:lineRule="auto"/>
        <w:tabs>
          <w:tab w:leader="none" w:pos="771" w:val="left"/>
        </w:tabs>
        <w:numPr>
          <w:ilvl w:val="1"/>
          <w:numId w:val="95"/>
        </w:numPr>
        <w:rPr>
          <w:rFonts w:ascii="Arial" w:cs="Arial" w:eastAsia="Arial" w:hAnsi="Arial"/>
          <w:sz w:val="17"/>
          <w:szCs w:val="17"/>
          <w:color w:val="auto"/>
        </w:rPr>
      </w:pPr>
      <w:r>
        <w:rPr>
          <w:rFonts w:ascii="Arial" w:cs="Arial" w:eastAsia="Arial" w:hAnsi="Arial"/>
          <w:sz w:val="17"/>
          <w:szCs w:val="17"/>
          <w:color w:val="auto"/>
        </w:rPr>
        <w:t>None of (i) the Borrower, any Subsidiary, any of their respective directors, officers, or, to the knowledge of the Borrower or such Subsidiary, any of their respective employees or Affiliates, or (ii) any agent or representative of the Borrower or any Subsidiary that will act in any capacity in connection with or benefit from this Agreement, (A) is a Sanctioned Person or currently the express subject or express target of any Sanctions, (B) is controlled by or is acting on behalf of a Sanctioned Person, (C) has its assets located in a Sanctioned Country, (D) is under administrative, civil or criminal investigation for an alleged violation of, or received notice from or made a voluntary disclosure to any governmental entity regarding a possible violation of, Anti-Corruption Laws, Anti-Money Laundering Laws or Sanctions by a governmental authority that enforces Sanctions or any Anti-Corruption Laws or Anti-Money Laundering Laws, or (E) directly or indirectly derives revenues from investments in, or transactions with, Sanctioned Persons.</w:t>
      </w:r>
    </w:p>
    <w:p>
      <w:pPr>
        <w:spacing w:after="0" w:line="70" w:lineRule="exact"/>
        <w:rPr>
          <w:rFonts w:ascii="Arial" w:cs="Arial" w:eastAsia="Arial" w:hAnsi="Arial"/>
          <w:sz w:val="17"/>
          <w:szCs w:val="17"/>
          <w:color w:val="auto"/>
        </w:rPr>
      </w:pPr>
    </w:p>
    <w:p>
      <w:pPr>
        <w:ind w:left="556" w:right="300" w:hanging="4"/>
        <w:spacing w:after="0" w:line="264" w:lineRule="auto"/>
        <w:tabs>
          <w:tab w:leader="none" w:pos="821" w:val="left"/>
        </w:tabs>
        <w:numPr>
          <w:ilvl w:val="1"/>
          <w:numId w:val="95"/>
        </w:numPr>
        <w:rPr>
          <w:rFonts w:ascii="Arial" w:cs="Arial" w:eastAsia="Arial" w:hAnsi="Arial"/>
          <w:sz w:val="18"/>
          <w:szCs w:val="18"/>
          <w:color w:val="auto"/>
        </w:rPr>
      </w:pPr>
      <w:r>
        <w:rPr>
          <w:rFonts w:ascii="Arial" w:cs="Arial" w:eastAsia="Arial" w:hAnsi="Arial"/>
          <w:sz w:val="18"/>
          <w:szCs w:val="18"/>
          <w:color w:val="auto"/>
        </w:rPr>
        <w:t>Each of the Borrower and its Subsidiaries has implemented and maintains in effect policies and procedures designed to ensure compliance by the Borrower and its Subsidiaries and their respective directors, officers, employees, agents and Affiliates with all Anti-Corruption Laws, Anti-Money Laundering Laws and applicable Sanctions.</w:t>
      </w:r>
    </w:p>
    <w:p>
      <w:pPr>
        <w:spacing w:after="0" w:line="113" w:lineRule="exact"/>
        <w:rPr>
          <w:rFonts w:ascii="Arial" w:cs="Arial" w:eastAsia="Arial" w:hAnsi="Arial"/>
          <w:sz w:val="18"/>
          <w:szCs w:val="18"/>
          <w:color w:val="auto"/>
        </w:rPr>
      </w:pPr>
    </w:p>
    <w:p>
      <w:pPr>
        <w:ind w:left="4976" w:hanging="101"/>
        <w:spacing w:after="0"/>
        <w:tabs>
          <w:tab w:leader="none" w:pos="4976" w:val="left"/>
        </w:tabs>
        <w:numPr>
          <w:ilvl w:val="2"/>
          <w:numId w:val="95"/>
        </w:numPr>
        <w:rPr>
          <w:rFonts w:ascii="Arial" w:cs="Arial" w:eastAsia="Arial" w:hAnsi="Arial"/>
          <w:sz w:val="18"/>
          <w:szCs w:val="18"/>
          <w:color w:val="auto"/>
        </w:rPr>
      </w:pPr>
      <w:r>
        <w:rPr>
          <w:rFonts w:ascii="Arial" w:cs="Arial" w:eastAsia="Arial" w:hAnsi="Arial"/>
          <w:sz w:val="18"/>
          <w:szCs w:val="18"/>
          <w:color w:val="auto"/>
        </w:rPr>
        <w:t>75 -</w:t>
      </w:r>
    </w:p>
    <w:p>
      <w:pPr>
        <w:sectPr>
          <w:pgSz w:w="11900" w:h="16838" w:orient="portrait"/>
          <w:cols w:equalWidth="0" w:num="1">
            <w:col w:w="10576"/>
          </w:cols>
          <w:pgMar w:left="884" w:top="274" w:right="439" w:bottom="1440" w:gutter="0" w:footer="0" w:header="0"/>
        </w:sectPr>
      </w:pPr>
    </w:p>
    <w:bookmarkStart w:id="84" w:name="page85"/>
    <w:bookmarkEnd w:id="84"/>
    <w:p>
      <w:pPr>
        <w:jc w:val="both"/>
        <w:ind w:left="1000" w:right="80" w:hanging="4"/>
        <w:spacing w:after="0" w:line="264" w:lineRule="auto"/>
        <w:tabs>
          <w:tab w:leader="none" w:pos="1315" w:val="left"/>
        </w:tabs>
        <w:numPr>
          <w:ilvl w:val="1"/>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Each of the Borrower and its Subsidiaries, each director, officer, and to the knowledge of Borrower, employee, agent and Affiliate of the Borrower and each Subsidiary, is in compliance with all Anti-Corruption Laws, Anti-Money Laundering Laws in all material respects and applicable Sanctions.</w:t>
      </w:r>
    </w:p>
    <w:p>
      <w:pPr>
        <w:spacing w:after="0" w:line="73" w:lineRule="exact"/>
        <w:rPr>
          <w:rFonts w:ascii="Arial" w:cs="Arial" w:eastAsia="Arial" w:hAnsi="Arial"/>
          <w:sz w:val="18"/>
          <w:szCs w:val="18"/>
          <w:color w:val="auto"/>
        </w:rPr>
      </w:pPr>
    </w:p>
    <w:p>
      <w:pPr>
        <w:ind w:left="1000" w:right="160" w:hanging="4"/>
        <w:spacing w:after="0" w:line="277" w:lineRule="auto"/>
        <w:tabs>
          <w:tab w:leader="none" w:pos="1305" w:val="left"/>
        </w:tabs>
        <w:numPr>
          <w:ilvl w:val="1"/>
          <w:numId w:val="96"/>
        </w:numPr>
        <w:rPr>
          <w:rFonts w:ascii="Arial" w:cs="Arial" w:eastAsia="Arial" w:hAnsi="Arial"/>
          <w:sz w:val="18"/>
          <w:szCs w:val="18"/>
          <w:color w:val="auto"/>
        </w:rPr>
      </w:pPr>
      <w:r>
        <w:rPr>
          <w:rFonts w:ascii="Arial" w:cs="Arial" w:eastAsia="Arial" w:hAnsi="Arial"/>
          <w:sz w:val="18"/>
          <w:szCs w:val="18"/>
          <w:color w:val="auto"/>
        </w:rPr>
        <w:t>No proceeds of any Loan or Letter of Credit have been used, directly or indirectly, by the Borrower, any of its Subsidiaries or any of its or their respective directors, officers, employees and agents in violation of Section 9.13.(c).</w:t>
      </w:r>
    </w:p>
    <w:p>
      <w:pPr>
        <w:spacing w:after="0" w:line="62" w:lineRule="exact"/>
        <w:rPr>
          <w:rFonts w:ascii="Arial" w:cs="Arial" w:eastAsia="Arial" w:hAnsi="Arial"/>
          <w:sz w:val="18"/>
          <w:szCs w:val="18"/>
          <w:color w:val="auto"/>
        </w:rPr>
      </w:pPr>
    </w:p>
    <w:p>
      <w:pPr>
        <w:ind w:right="300" w:firstLine="444"/>
        <w:spacing w:after="0" w:line="277" w:lineRule="auto"/>
        <w:tabs>
          <w:tab w:leader="none" w:pos="69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REIT Status</w:t>
      </w:r>
      <w:r>
        <w:rPr>
          <w:rFonts w:ascii="Arial" w:cs="Arial" w:eastAsia="Arial" w:hAnsi="Arial"/>
          <w:sz w:val="18"/>
          <w:szCs w:val="18"/>
          <w:color w:val="auto"/>
        </w:rPr>
        <w:t>. The Borrower qualifies as, and has elected to be treated as, a REIT and is in compliance with all requirements and conditions imposed under the Internal Revenue Code to allow the Borrower to maintain its status as a REIT.</w:t>
      </w:r>
    </w:p>
    <w:p>
      <w:pPr>
        <w:spacing w:after="0" w:line="62" w:lineRule="exact"/>
        <w:rPr>
          <w:rFonts w:ascii="Arial" w:cs="Arial" w:eastAsia="Arial" w:hAnsi="Arial"/>
          <w:sz w:val="18"/>
          <w:szCs w:val="18"/>
          <w:color w:val="auto"/>
        </w:rPr>
      </w:pPr>
    </w:p>
    <w:p>
      <w:pPr>
        <w:jc w:val="both"/>
        <w:ind w:right="100" w:firstLine="444"/>
        <w:spacing w:after="0" w:line="312" w:lineRule="auto"/>
        <w:tabs>
          <w:tab w:leader="none" w:pos="685" w:val="left"/>
        </w:tabs>
        <w:numPr>
          <w:ilvl w:val="0"/>
          <w:numId w:val="97"/>
        </w:numPr>
        <w:rPr>
          <w:rFonts w:ascii="Arial" w:cs="Arial" w:eastAsia="Arial" w:hAnsi="Arial"/>
          <w:sz w:val="16"/>
          <w:szCs w:val="16"/>
          <w:color w:val="auto"/>
        </w:rPr>
      </w:pPr>
      <w:r>
        <w:rPr>
          <w:rFonts w:ascii="Arial" w:cs="Arial" w:eastAsia="Arial" w:hAnsi="Arial"/>
          <w:sz w:val="16"/>
          <w:szCs w:val="16"/>
          <w:u w:val="single" w:color="auto"/>
          <w:color w:val="auto"/>
        </w:rPr>
        <w:t>Unencumbered Assets</w:t>
      </w:r>
      <w:r>
        <w:rPr>
          <w:rFonts w:ascii="Arial" w:cs="Arial" w:eastAsia="Arial" w:hAnsi="Arial"/>
          <w:sz w:val="16"/>
          <w:szCs w:val="16"/>
          <w:color w:val="auto"/>
        </w:rPr>
        <w:t>. As of the Agreement Date, Schedule 6.1.(z) is a correct and complete list of each Wholly Owned Property, Controlled Property and Non-Controlled Property included as of the Agreement Date in the calculation of Unencumbered Asset Value. Except as set forth on such Schedule, each of the Properties included by the Borrower in calculations of Unencumbered Asset Value is an Eligible Property.</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6.2. Survival of Representations and Warranties, Etc.</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All statements contained in any certificate, financial statement or other instrument delivered by or on behalf of any Loan Party or any other Subsidiary to the Administrative Agent or any Lender pursuant to or in connection with this Agreement or any of the other Loan Documents (including, but not limited to, any such statement made in or in connection with any amendment thereto or any statement contained in any certificate, financial statement or other instrument delivered by or on behalf of any Loan Party prior to the Agreement Date and delivered to the Administrative Agent or any Lender in connection with the underwriting or closing the transactions contemplated hereby) shall constitute representations and warranties made by the Borrower under this Agreement. All representations and warranties made under this Agreement and the other Loan Documents shall be deemed to be made at and as of the Agreement Date, the Effective Date, the date on which any extension of the Revolving Termination Date is effectuated pursuant to Section 2.13. and at and as of the date of the occurrence of each Credit Event, except to the extent that such representations and warranties expressly relate solely to an earlier date (in which case such representations and warranties shall have been true and correct in all material respects (except in the case of a representation or warranty qualified by materiality, in which case such representation or warranty shall be true and correct in all respects) on and as of such earlier date) and except for changes in factual circumstances not prohibited hereunder. All such representations and warranties shall survive the effectiveness of this Agreement, the execution and delivery of the Loan Documents and the making of the Loans and the issuance of the Letters of Credit.</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- 76 -</w:t>
      </w:r>
    </w:p>
    <w:p>
      <w:pPr>
        <w:sectPr>
          <w:pgSz w:w="11900" w:h="16838" w:orient="portrait"/>
          <w:cols w:equalWidth="0" w:num="1">
            <w:col w:w="10980"/>
          </w:cols>
          <w:pgMar w:left="440" w:top="274" w:right="47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VII. A</w:t>
      </w:r>
      <w:r>
        <w:rPr>
          <w:rFonts w:ascii="Arial" w:cs="Arial" w:eastAsia="Arial" w:hAnsi="Arial"/>
          <w:sz w:val="15"/>
          <w:szCs w:val="15"/>
          <w:b w:val="1"/>
          <w:bCs w:val="1"/>
          <w:color w:val="auto"/>
        </w:rPr>
        <w:t>FFIRMATIVE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p>
    <w:p>
      <w:pPr>
        <w:spacing w:after="0" w:line="229" w:lineRule="exact"/>
        <w:rPr>
          <w:sz w:val="20"/>
          <w:szCs w:val="20"/>
          <w:color w:val="auto"/>
        </w:rPr>
      </w:pPr>
    </w:p>
    <w:p>
      <w:pPr>
        <w:ind w:right="720" w:firstLine="441"/>
        <w:spacing w:after="0" w:line="308" w:lineRule="auto"/>
        <w:rPr>
          <w:sz w:val="20"/>
          <w:szCs w:val="20"/>
          <w:color w:val="auto"/>
        </w:rPr>
      </w:pPr>
      <w:r>
        <w:rPr>
          <w:rFonts w:ascii="Arial" w:cs="Arial" w:eastAsia="Arial" w:hAnsi="Arial"/>
          <w:sz w:val="17"/>
          <w:szCs w:val="17"/>
          <w:color w:val="auto"/>
        </w:rPr>
        <w:t>For so long as this Agreement is in effect, unless the Requisite Lenders (or, if required pursuant to Section 12.7., all of the Lenders) shall otherwise consent in the manner provided for in Section 12.7., the Borrower shall comply with the following covenants: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 Preservation of Existence and Similar Matters.</w:t>
      </w:r>
    </w:p>
    <w:p>
      <w:pPr>
        <w:spacing w:after="0" w:line="121" w:lineRule="exact"/>
        <w:rPr>
          <w:sz w:val="20"/>
          <w:szCs w:val="20"/>
          <w:color w:val="auto"/>
        </w:rPr>
      </w:pPr>
    </w:p>
    <w:p>
      <w:pPr>
        <w:ind w:right="20" w:firstLine="441"/>
        <w:spacing w:after="0" w:line="302" w:lineRule="auto"/>
        <w:rPr>
          <w:sz w:val="20"/>
          <w:szCs w:val="20"/>
          <w:color w:val="auto"/>
        </w:rPr>
      </w:pPr>
      <w:r>
        <w:rPr>
          <w:rFonts w:ascii="Arial" w:cs="Arial" w:eastAsia="Arial" w:hAnsi="Arial"/>
          <w:sz w:val="16"/>
          <w:szCs w:val="16"/>
          <w:color w:val="auto"/>
        </w:rPr>
        <w:t>Except as otherwise permitted under Section 9.5., the Borrower shall, and shall cause each other Loan Party and each other Subsidiary to, preserve and maintain its respective existence, rights, franchises, licenses and privileges in the jurisdiction of its incorporation or formation and qualify and remain qualified and authorized to do business in each jurisdiction in which the character of its properties or the nature of its business requires such qualification and authorization and where the failure to be so authorized and qualified could reasonably be expected to have a Material Adverse Effect.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7.2. Compliance with Applicable Law and Material Contracts.</w:t>
      </w:r>
    </w:p>
    <w:p>
      <w:pPr>
        <w:spacing w:after="0" w:line="12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The Borrower shall, and shall cause each other Loan Party and each other Subsidiary to, comply with (a) all Applicable Laws, including the obtaining of all Governmental Approvals, the failure with which to comply could reasonably be expected to have a Material Adverse Effect, and (b) all terms and conditions of all contracts and other written agreements to which it is a party if any such non-compliance could reasonably be expected to have a Material Adverse Effect.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7.3. Maintenance of Property.</w:t>
      </w:r>
    </w:p>
    <w:p>
      <w:pPr>
        <w:spacing w:after="0" w:line="12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In addition to the requirements of any of the other Loan Documents, the Borrower shall, and shall cause each other Loan Party and each other Subsidiary to, (a) protect and preserve all of its respective material properties, including, but not limited to, all Intellectual Property necessary to the conduct of its respective business, and maintain in good repair, working order and condition all tangible properties, ordinary wear and tear excepted, and</w:t>
      </w:r>
    </w:p>
    <w:p>
      <w:pPr>
        <w:ind w:right="160" w:firstLine="4"/>
        <w:spacing w:after="0" w:line="261" w:lineRule="auto"/>
        <w:tabs>
          <w:tab w:leader="none" w:pos="255" w:val="left"/>
        </w:tabs>
        <w:numPr>
          <w:ilvl w:val="0"/>
          <w:numId w:val="98"/>
        </w:numPr>
        <w:rPr>
          <w:rFonts w:ascii="Arial" w:cs="Arial" w:eastAsia="Arial" w:hAnsi="Arial"/>
          <w:sz w:val="18"/>
          <w:szCs w:val="18"/>
          <w:color w:val="auto"/>
        </w:rPr>
      </w:pPr>
      <w:r>
        <w:rPr>
          <w:rFonts w:ascii="Arial" w:cs="Arial" w:eastAsia="Arial" w:hAnsi="Arial"/>
          <w:sz w:val="18"/>
          <w:szCs w:val="18"/>
          <w:color w:val="auto"/>
        </w:rPr>
        <w:t>from time to time make or cause to be made all needed and appropriate repairs, renewals, replacements and additions to such properties, so that the business carried on in connection therewith may be properly and advantageously conducted at all times.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7.4. Conduct of Business.</w:t>
      </w:r>
    </w:p>
    <w:p>
      <w:pPr>
        <w:spacing w:after="0" w:line="121" w:lineRule="exact"/>
        <w:rPr>
          <w:sz w:val="20"/>
          <w:szCs w:val="20"/>
          <w:color w:val="auto"/>
        </w:rPr>
      </w:pPr>
    </w:p>
    <w:p>
      <w:pPr>
        <w:ind w:right="680" w:firstLine="441"/>
        <w:spacing w:after="0" w:line="277" w:lineRule="auto"/>
        <w:rPr>
          <w:sz w:val="20"/>
          <w:szCs w:val="20"/>
          <w:color w:val="auto"/>
        </w:rPr>
      </w:pPr>
      <w:r>
        <w:rPr>
          <w:rFonts w:ascii="Arial" w:cs="Arial" w:eastAsia="Arial" w:hAnsi="Arial"/>
          <w:sz w:val="18"/>
          <w:szCs w:val="18"/>
          <w:color w:val="auto"/>
        </w:rPr>
        <w:t>The Borrower shall, and shall cause each other Loan Party and each other Subsidiary to, carry on its respective businesses as described in Section 6.1.(t).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7.5. Insurance.</w:t>
      </w:r>
    </w:p>
    <w:p>
      <w:pPr>
        <w:spacing w:after="0" w:line="121" w:lineRule="exact"/>
        <w:rPr>
          <w:sz w:val="20"/>
          <w:szCs w:val="20"/>
          <w:color w:val="auto"/>
        </w:rPr>
      </w:pPr>
    </w:p>
    <w:p>
      <w:pPr>
        <w:ind w:right="40" w:firstLine="441"/>
        <w:spacing w:after="0" w:line="255" w:lineRule="auto"/>
        <w:rPr>
          <w:sz w:val="20"/>
          <w:szCs w:val="20"/>
          <w:color w:val="auto"/>
        </w:rPr>
      </w:pPr>
      <w:r>
        <w:rPr>
          <w:rFonts w:ascii="Arial" w:cs="Arial" w:eastAsia="Arial" w:hAnsi="Arial"/>
          <w:sz w:val="18"/>
          <w:szCs w:val="18"/>
          <w:color w:val="auto"/>
        </w:rPr>
        <w:t>In addition to the requirements of any of the other Loan Documents, the Borrower shall, and shall cause each other Loan Party and each other Subsidiary to, maintain insurance (on a replacement cost basis) with financially sound and reputable insurance companies against such risks and in such amounts as is customarily maintained by Persons engaged in similar businesses or as may be required by Applicable Law. The Borrower shall from time to time deliver to the Administrative Agent upon request a detailed list, together with copies of all policies of the insurance then in effect, stating the names of the insurance companies, the amounts and rates of the insurance, the dates of the expiration thereof and the properties and risks covered thereby.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7.6. Payment of Taxes and Claims.</w:t>
      </w:r>
    </w:p>
    <w:p>
      <w:pPr>
        <w:spacing w:after="0" w:line="121" w:lineRule="exact"/>
        <w:rPr>
          <w:sz w:val="20"/>
          <w:szCs w:val="20"/>
          <w:color w:val="auto"/>
        </w:rPr>
      </w:pPr>
    </w:p>
    <w:p>
      <w:pPr>
        <w:ind w:firstLine="441"/>
        <w:spacing w:after="0" w:line="273" w:lineRule="auto"/>
        <w:rPr>
          <w:sz w:val="20"/>
          <w:szCs w:val="20"/>
          <w:color w:val="auto"/>
        </w:rPr>
      </w:pPr>
      <w:r>
        <w:rPr>
          <w:rFonts w:ascii="Arial" w:cs="Arial" w:eastAsia="Arial" w:hAnsi="Arial"/>
          <w:sz w:val="17"/>
          <w:szCs w:val="17"/>
          <w:color w:val="auto"/>
        </w:rPr>
        <w:t>The Borrower shall, and shall cause each other Loan Party and each other Subsidiary to, pay and discharge when due (a) all taxes, assessments and governmental charges or levies imposed upon it or upon its income or profits or upon any properties belonging to it, and (b) all lawful claims of materialmen, mechanics, carriers, warehousemen and landlords for labor, materials, supplies and rentals which, if unpaid, might become a Lien on any properties of such Person; provided, however, that this Section shall not require the payment or discharge of any such tax, assessment, charge, levy or claim which is being contested in good faith by appropriate proceedings which operate to suspend the collection thereof and for which adequate reserves have been established on the books of such Person in accordance with GAAP.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- 77 -</w:t>
      </w:r>
    </w:p>
    <w:p>
      <w:pPr>
        <w:sectPr>
          <w:pgSz w:w="11900" w:h="16838" w:orient="portrait"/>
          <w:cols w:equalWidth="0" w:num="1">
            <w:col w:w="11020"/>
          </w:cols>
          <w:pgMar w:left="440" w:top="270"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7.7. Books and Records; Inspections.</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The Borrower shall, and shall cause each other Loan Party and each other Subsidiary to, maintain books and records pertaining to its respective business operations in such detail, form and scope as is consistent with good business practice and in accordance with GAAP. The Borrower shall, and shall cause each other Loan Party and each other Subsidiary to, permit representatives or agents of any Lender or the Administrative Agent, from time to time after reasonable prior notice if no Event of Default shall be in existence, as often as may be reasonably requested, but only during normal business hours and at the expense of such Lender or the Administrative Agent (unless an Event of Default shall exist, in which case the exercise by the Administrative Agent of its rights under this Section shall be at the expense of the Borrower), as the case may be, to: (a) visit and inspect all properties of the Borrower or such Subsidiary or other Loan Party to the extent any such right to visit or inspect is within the control of such Person; (b) inspect and make extracts from their respective books and records, including but not limited to management letters prepared by independent accountants; and</w:t>
      </w:r>
    </w:p>
    <w:p>
      <w:pPr>
        <w:spacing w:after="0" w:line="1" w:lineRule="exact"/>
        <w:rPr>
          <w:sz w:val="20"/>
          <w:szCs w:val="20"/>
          <w:color w:val="auto"/>
        </w:rPr>
      </w:pPr>
    </w:p>
    <w:p>
      <w:pPr>
        <w:ind w:right="60" w:firstLine="4"/>
        <w:spacing w:after="0" w:line="271" w:lineRule="auto"/>
        <w:tabs>
          <w:tab w:leader="none" w:pos="245" w:val="left"/>
        </w:tabs>
        <w:numPr>
          <w:ilvl w:val="0"/>
          <w:numId w:val="99"/>
        </w:numPr>
        <w:rPr>
          <w:rFonts w:ascii="Arial" w:cs="Arial" w:eastAsia="Arial" w:hAnsi="Arial"/>
          <w:sz w:val="17"/>
          <w:szCs w:val="17"/>
          <w:color w:val="auto"/>
        </w:rPr>
      </w:pPr>
      <w:r>
        <w:rPr>
          <w:rFonts w:ascii="Arial" w:cs="Arial" w:eastAsia="Arial" w:hAnsi="Arial"/>
          <w:sz w:val="17"/>
          <w:szCs w:val="17"/>
          <w:color w:val="auto"/>
        </w:rPr>
        <w:t>discuss with its officers, and its independent accountants (in the presence of an officer of the Borrower so long as no Event of Default has occurred and is continuing), its business, properties, condition (financial or otherwise), results of operations and performance. If requested by the Administrative Agent, the Borrower shall execute an authorization letter addressed to its accountants authorizing the Administrative Agent or any Lender to discuss the financial affairs of the Borrower and any other Loan Party or any other Subsidiary with its accountants which, so long as no Event of Default has occurred and is continuing, shall be in the presence of an officer of the Borrower.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7.8. Use of Proceeds.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Borrower will use the proceeds of Loans only to (i) satisfy and pay in full all indebtedness, liabilities and obligations owing under the Existing Credit Agreement, (ii) provide for the general working capital needs of the Borrower and its Subsidiaries and (iii) for other general corporate purposes of the Borrower and its Subsidiaries. The Borrower shall only use Letters of Credit for the same purposes for which it may use the proceeds of Loans.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7.9. Environmental Matters.</w:t>
      </w:r>
    </w:p>
    <w:p>
      <w:pPr>
        <w:spacing w:after="0" w:line="121"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The Borrower shall, and shall cause each other Loan Party and each other Subsidiary to, comply with all Environmental Laws the failure with which to comply could reasonably be expected to have a Material Adverse Effect. The Borrower shall use, and shall cause each other Loan Party and each other Subsidiary to use, commercially reasonable efforts (which shall include, for purposes of this Section, including customary provisions in lease agreements with tenants as to such compliance) to cause all other Persons occupying, using or present on the Properties to comply, with all Environmental Laws the failure with which to comply could reasonably be expected to have a Material Adverse Effect. The Borrower shall, and shall cause each other Loan Party and each other Subsidiary to take promptly all actions reasonably necessary to prevent the imposition of any Liens on any of their respective properties arising out of or related to any Environmental Laws. Nothing in this Section shall impose any obligation or liability whatsoever on the Administrative Agent or any Lender.</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020"/>
          </w:cols>
          <w:pgMar w:left="440" w:top="270"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7.10. Further Assurances.</w:t>
      </w:r>
    </w:p>
    <w:p>
      <w:pPr>
        <w:spacing w:after="0" w:line="121" w:lineRule="exact"/>
        <w:rPr>
          <w:sz w:val="20"/>
          <w:szCs w:val="20"/>
          <w:color w:val="auto"/>
        </w:rPr>
      </w:pPr>
    </w:p>
    <w:p>
      <w:pPr>
        <w:ind w:right="40" w:firstLine="441"/>
        <w:spacing w:after="0" w:line="302" w:lineRule="auto"/>
        <w:rPr>
          <w:sz w:val="20"/>
          <w:szCs w:val="20"/>
          <w:color w:val="auto"/>
        </w:rPr>
      </w:pPr>
      <w:r>
        <w:rPr>
          <w:rFonts w:ascii="Arial" w:cs="Arial" w:eastAsia="Arial" w:hAnsi="Arial"/>
          <w:sz w:val="16"/>
          <w:szCs w:val="16"/>
          <w:color w:val="auto"/>
        </w:rPr>
        <w:t>At the Borrower’s cost and expense and upon request of the Administrative Agent, the Borrower shall, and shall cause each other Loan Party and each other Subsidiary to, duly execute and deliver or cause to be duly executed and delivered, to the Administrative Agent such further instruments, documents and certificates, and do and cause to be done such further acts that may be reasonably necessary or advisable in the reasonable opinion of the Administrative Agent to carry out more effectively the provisions and purposes of this Agreement and the other Loan Documents.</w:t>
      </w: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Section 7.11. Compliance with Anti-Corruption Laws; Beneficial Ownership Regulation, Anti-Money Laundering Laws and Sanctions.</w:t>
      </w:r>
    </w:p>
    <w:p>
      <w:pPr>
        <w:spacing w:after="0" w:line="133" w:lineRule="exact"/>
        <w:rPr>
          <w:sz w:val="20"/>
          <w:szCs w:val="20"/>
          <w:color w:val="auto"/>
        </w:rPr>
      </w:pPr>
    </w:p>
    <w:p>
      <w:pPr>
        <w:ind w:right="60" w:firstLine="441"/>
        <w:spacing w:after="0" w:line="291" w:lineRule="auto"/>
        <w:rPr>
          <w:sz w:val="20"/>
          <w:szCs w:val="20"/>
          <w:color w:val="auto"/>
        </w:rPr>
      </w:pPr>
      <w:r>
        <w:rPr>
          <w:rFonts w:ascii="Arial" w:cs="Arial" w:eastAsia="Arial" w:hAnsi="Arial"/>
          <w:sz w:val="16"/>
          <w:szCs w:val="16"/>
          <w:color w:val="auto"/>
        </w:rPr>
        <w:t>The Borrower will (a) maintain in effect and enforce policies and procedures designed to ensure compliance by the Borrower, its Subsidiaries and their respective directors, officers, employees and agents with all Anti-Corruption Laws, Anti-Money Laundering Laws and applicable Sanctions,</w:t>
      </w:r>
    </w:p>
    <w:p>
      <w:pPr>
        <w:ind w:right="40" w:firstLine="4"/>
        <w:spacing w:after="0" w:line="273" w:lineRule="auto"/>
        <w:tabs>
          <w:tab w:leader="none" w:pos="255" w:val="left"/>
        </w:tabs>
        <w:numPr>
          <w:ilvl w:val="0"/>
          <w:numId w:val="100"/>
        </w:numPr>
        <w:rPr>
          <w:rFonts w:ascii="Arial" w:cs="Arial" w:eastAsia="Arial" w:hAnsi="Arial"/>
          <w:sz w:val="17"/>
          <w:szCs w:val="17"/>
          <w:color w:val="auto"/>
        </w:rPr>
      </w:pPr>
      <w:r>
        <w:rPr>
          <w:rFonts w:ascii="Arial" w:cs="Arial" w:eastAsia="Arial" w:hAnsi="Arial"/>
          <w:sz w:val="17"/>
          <w:szCs w:val="17"/>
          <w:color w:val="auto"/>
        </w:rPr>
        <w:t>notify the Administrative Agent and each Lender that previously received a Beneficial Ownership Certification of any change in the information provided in the Beneficial Ownership Certification that would result in a change to the list of beneficial owners identified therein and (c) promptly upon the reasonable request of the Administrative Agent or any Lender, provide the Administrative Agent or such Lender, as the case may be, any information or documentation reasonably requested by it for purposes of complying with the Beneficial Ownership Regulation.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7.12. REIT Status.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Borrower shall at all times maintain its status as, and election to be treated as, a REIT under the Internal Revenue Code.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7.13. Exchange Listing.</w:t>
      </w:r>
    </w:p>
    <w:p>
      <w:pPr>
        <w:spacing w:after="0" w:line="121"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The Borrower shall maintain at least one class of common shares of the Borrower having trading privileges on the New York Stock Exchange or the American Stock Exchange or other national exchange which is subject to price quotations on The NASDAQ Stock Market’s National Market System (or any successor exchanges or quotation systems thereto).</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7.14. Guarantors.</w:t>
      </w:r>
    </w:p>
    <w:p>
      <w:pPr>
        <w:spacing w:after="0" w:line="121" w:lineRule="exact"/>
        <w:rPr>
          <w:sz w:val="20"/>
          <w:szCs w:val="20"/>
          <w:color w:val="auto"/>
        </w:rPr>
      </w:pPr>
    </w:p>
    <w:p>
      <w:pPr>
        <w:ind w:firstLine="444"/>
        <w:spacing w:after="0" w:line="276" w:lineRule="auto"/>
        <w:tabs>
          <w:tab w:leader="none" w:pos="682" w:val="left"/>
        </w:tabs>
        <w:numPr>
          <w:ilvl w:val="0"/>
          <w:numId w:val="101"/>
        </w:numPr>
        <w:rPr>
          <w:rFonts w:ascii="Arial" w:cs="Arial" w:eastAsia="Arial" w:hAnsi="Arial"/>
          <w:sz w:val="17"/>
          <w:szCs w:val="17"/>
          <w:color w:val="auto"/>
        </w:rPr>
      </w:pPr>
      <w:r>
        <w:rPr>
          <w:rFonts w:ascii="Arial" w:cs="Arial" w:eastAsia="Arial" w:hAnsi="Arial"/>
          <w:sz w:val="17"/>
          <w:szCs w:val="17"/>
          <w:color w:val="auto"/>
        </w:rPr>
        <w:t>Within 10 Business Days of the date on which any of the following conditions first applies to any Subsidiary (other than a Subsidiary owning a Non-Controlled Property) that is not already a Guarantor, the Borrower shall deliver to the Administrative Agent each of the following in form and substance satisfactory to the Administrative Agent: (i) an Accession Agreement executed by such Subsidiary (or if the Guaranty is not then in existence, a Guaranty executed by such Subsidiary) and (ii) the items that would have been delivered under subsections (iv) through (viii) of Section 5.1.(a) if such Subsidiary had been required to become a Guarantor on the Agreement Date:</w:t>
      </w:r>
    </w:p>
    <w:p>
      <w:pPr>
        <w:spacing w:after="0" w:line="64" w:lineRule="exact"/>
        <w:rPr>
          <w:rFonts w:ascii="Arial" w:cs="Arial" w:eastAsia="Arial" w:hAnsi="Arial"/>
          <w:sz w:val="17"/>
          <w:szCs w:val="17"/>
          <w:color w:val="auto"/>
        </w:rPr>
      </w:pPr>
    </w:p>
    <w:p>
      <w:pPr>
        <w:ind w:left="440" w:right="260" w:firstLine="428"/>
        <w:spacing w:after="0" w:line="277" w:lineRule="auto"/>
        <w:tabs>
          <w:tab w:leader="none" w:pos="111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Subsidiary Guarantees, or otherwise becomes obligated in respect of, any Indebtedness of the Borrower or any Subsidiary of the Borrower; or</w:t>
      </w:r>
    </w:p>
    <w:p>
      <w:pPr>
        <w:spacing w:after="0" w:line="62" w:lineRule="exact"/>
        <w:rPr>
          <w:rFonts w:ascii="Arial" w:cs="Arial" w:eastAsia="Arial" w:hAnsi="Arial"/>
          <w:sz w:val="18"/>
          <w:szCs w:val="18"/>
          <w:color w:val="auto"/>
        </w:rPr>
      </w:pPr>
    </w:p>
    <w:p>
      <w:pPr>
        <w:ind w:left="440" w:right="500" w:firstLine="428"/>
        <w:spacing w:after="0" w:line="277" w:lineRule="auto"/>
        <w:tabs>
          <w:tab w:leader="none" w:pos="1118" w:val="left"/>
        </w:tabs>
        <w:numPr>
          <w:ilvl w:val="1"/>
          <w:numId w:val="101"/>
        </w:numPr>
        <w:rPr>
          <w:rFonts w:ascii="Arial" w:cs="Arial" w:eastAsia="Arial" w:hAnsi="Arial"/>
          <w:sz w:val="18"/>
          <w:szCs w:val="18"/>
          <w:color w:val="auto"/>
        </w:rPr>
      </w:pPr>
      <w:r>
        <w:rPr>
          <w:rFonts w:ascii="Arial" w:cs="Arial" w:eastAsia="Arial" w:hAnsi="Arial"/>
          <w:sz w:val="18"/>
          <w:szCs w:val="18"/>
          <w:color w:val="auto"/>
        </w:rPr>
        <w:t>such Subsidiary (A) owns any asset the value of which is included in the determination of Unencumbered Asset Value and (B) has incurred, acquired or suffered to exist any Recourse Indebtedness.</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57" w:lineRule="exact"/>
        <w:rPr>
          <w:rFonts w:ascii="Arial" w:cs="Arial" w:eastAsia="Arial" w:hAnsi="Arial"/>
          <w:sz w:val="18"/>
          <w:szCs w:val="18"/>
          <w:color w:val="auto"/>
        </w:rPr>
      </w:pPr>
    </w:p>
    <w:p>
      <w:pPr>
        <w:ind w:left="5420" w:hanging="101"/>
        <w:spacing w:after="0"/>
        <w:tabs>
          <w:tab w:leader="none" w:pos="5420" w:val="left"/>
        </w:tabs>
        <w:numPr>
          <w:ilvl w:val="2"/>
          <w:numId w:val="101"/>
        </w:numPr>
        <w:rPr>
          <w:rFonts w:ascii="Arial" w:cs="Arial" w:eastAsia="Arial" w:hAnsi="Arial"/>
          <w:sz w:val="18"/>
          <w:szCs w:val="18"/>
          <w:color w:val="auto"/>
        </w:rPr>
      </w:pPr>
      <w:r>
        <w:rPr>
          <w:rFonts w:ascii="Arial" w:cs="Arial" w:eastAsia="Arial" w:hAnsi="Arial"/>
          <w:sz w:val="18"/>
          <w:szCs w:val="18"/>
          <w:color w:val="auto"/>
        </w:rPr>
        <w:t>79 -</w:t>
      </w:r>
    </w:p>
    <w:p>
      <w:pPr>
        <w:sectPr>
          <w:pgSz w:w="11900" w:h="16838" w:orient="portrait"/>
          <w:cols w:equalWidth="0" w:num="1">
            <w:col w:w="11000"/>
          </w:cols>
          <w:pgMar w:left="440" w:top="270" w:right="459" w:bottom="1440" w:gutter="0" w:footer="0" w:header="0"/>
        </w:sectPr>
      </w:pPr>
    </w:p>
    <w:bookmarkStart w:id="88" w:name="page89"/>
    <w:bookmarkEnd w:id="88"/>
    <w:p>
      <w:pPr>
        <w:ind w:right="220" w:firstLine="444"/>
        <w:spacing w:after="0" w:line="271" w:lineRule="auto"/>
        <w:tabs>
          <w:tab w:leader="none" w:pos="685" w:val="left"/>
        </w:tabs>
        <w:numPr>
          <w:ilvl w:val="0"/>
          <w:numId w:val="10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may request in writing that the Administrative Agent release, and upon receipt of such request the Administrative Agent shall release, a Guarantor from the Guaranty so long as: (i) such Guarantor is not required to be a party to the Guaranty under the immediately preceding subsection (a); (ii) no Default or Event of Default shall then be in existence or would occur as a result of such release, including without limitation, a Default or Event of Default resulting from a violation of any of the covenants contained in Section 9.1.; and (iii) the Administrative Agent shall have received such written request at least ten (10) Business Days (or such shorter period as may be acceptable to the Administrative Agent) prior to the requested date of release. Delivery by the Borrower to the Administrative Agent of any such request shall constitute a representation by the Borrower that the matters set forth in the preceding sentence (both as of the date of the giving of such request and as of the date of the effectiveness of such request) are true and correct with respect to such request.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VIII. I</w:t>
      </w:r>
      <w:r>
        <w:rPr>
          <w:rFonts w:ascii="Arial" w:cs="Arial" w:eastAsia="Arial" w:hAnsi="Arial"/>
          <w:sz w:val="15"/>
          <w:szCs w:val="15"/>
          <w:b w:val="1"/>
          <w:bCs w:val="1"/>
          <w:color w:val="auto"/>
        </w:rPr>
        <w:t>NFORMATION</w:t>
      </w:r>
    </w:p>
    <w:p>
      <w:pPr>
        <w:spacing w:after="0" w:line="229" w:lineRule="exact"/>
        <w:rPr>
          <w:sz w:val="20"/>
          <w:szCs w:val="20"/>
          <w:color w:val="auto"/>
        </w:rPr>
      </w:pPr>
    </w:p>
    <w:p>
      <w:pPr>
        <w:ind w:firstLine="441"/>
        <w:spacing w:after="0" w:line="342" w:lineRule="auto"/>
        <w:rPr>
          <w:sz w:val="20"/>
          <w:szCs w:val="20"/>
          <w:color w:val="auto"/>
        </w:rPr>
      </w:pPr>
      <w:r>
        <w:rPr>
          <w:rFonts w:ascii="Arial" w:cs="Arial" w:eastAsia="Arial" w:hAnsi="Arial"/>
          <w:sz w:val="16"/>
          <w:szCs w:val="16"/>
          <w:color w:val="auto"/>
        </w:rPr>
        <w:t>For so long as this Agreement is in effect, unless the Requisite Lenders (or, if required pursuant to Section 12.7., all of the Lenders) shall otherwise consent in the manner set forth in Section 12.7., the Borrower shall furnish to the Administrative Agent for distribution to each of the Lenders: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8.1. Quarterly Financial Statements.</w:t>
      </w:r>
    </w:p>
    <w:p>
      <w:pPr>
        <w:spacing w:after="0" w:line="121" w:lineRule="exact"/>
        <w:rPr>
          <w:sz w:val="20"/>
          <w:szCs w:val="20"/>
          <w:color w:val="auto"/>
        </w:rPr>
      </w:pPr>
    </w:p>
    <w:p>
      <w:pPr>
        <w:ind w:firstLine="441"/>
        <w:spacing w:after="0" w:line="290" w:lineRule="auto"/>
        <w:rPr>
          <w:sz w:val="20"/>
          <w:szCs w:val="20"/>
          <w:color w:val="auto"/>
        </w:rPr>
      </w:pPr>
      <w:r>
        <w:rPr>
          <w:rFonts w:ascii="Arial" w:cs="Arial" w:eastAsia="Arial" w:hAnsi="Arial"/>
          <w:sz w:val="16"/>
          <w:szCs w:val="16"/>
          <w:color w:val="auto"/>
        </w:rPr>
        <w:t>As soon as available and in any event within five (5) days after the same is required to be filed with the Securities and Exchange Commission (but in no event later than 50 days after the end of each of the first, second and third fiscal quarters of the Borrower commencing with the fiscal quarter of the Borrower ended June 30, 2019), the unaudited consolidated balance sheet of the Borrower and its Subsidiaries as at the end of such period and the related unaudited consolidated statements of operations, shareholders’ equity and cash flows of the Borrower and its Subsidiaries for such period, setting forth in each case in comparative form the figures as of the end of and for the corresponding periods of the previous fiscal year, all of which shall, to the extent applicable, be in the form required by the Securities Exchange Act and certified by the chief financial officer or chief accounting officer of the Borrower, in his or her opinion, to present fairly, in accordance with GAAP and in all material respects, the consolidated financial position of the Borrower and its Subsidiaries as at the date thereof and the results of operations for such period (subject to normal year-end audit adjustments).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8.2. Year-End Statements.</w:t>
      </w:r>
    </w:p>
    <w:p>
      <w:pPr>
        <w:spacing w:after="0" w:line="121" w:lineRule="exact"/>
        <w:rPr>
          <w:sz w:val="20"/>
          <w:szCs w:val="20"/>
          <w:color w:val="auto"/>
        </w:rPr>
      </w:pPr>
    </w:p>
    <w:p>
      <w:pPr>
        <w:ind w:right="40" w:firstLine="441"/>
        <w:spacing w:after="0" w:line="270" w:lineRule="auto"/>
        <w:rPr>
          <w:sz w:val="20"/>
          <w:szCs w:val="20"/>
          <w:color w:val="auto"/>
        </w:rPr>
      </w:pPr>
      <w:r>
        <w:rPr>
          <w:rFonts w:ascii="Arial" w:cs="Arial" w:eastAsia="Arial" w:hAnsi="Arial"/>
          <w:sz w:val="17"/>
          <w:szCs w:val="17"/>
          <w:color w:val="auto"/>
        </w:rPr>
        <w:t>As soon as available and in any event within five (5) days after the same is required to be filed with the Securities and Exchange Commission (but in no event later than 95 days after the end of each fiscal year of the Borrower), the audited consolidated balance sheet of the Borrower and its Subsidiaries as at the end of such fiscal year and the related audited consolidated statements of operations, shareholders’ equity and cash flows of the Borrower and its Subsidiaries for such fiscal year, setting forth in comparative form the figures as at the end of and for the previous fiscal year, all of which shall, to the extent applicable, be in the form required by the Securities Exchange Act and (a) certified by the chief accounting officer or chief financial officer of the Borrower, in his or her opinion, to present fairly, in accordance with GAAP, the consolidated financial position of the Borrower and its Subsidiaries as at the date thereof and the result of operations for such period and (b) accompanied by the report thereon of Grant Thornton LLP or any other independent certified public accountants of recognized national standing acceptable to the Administrative Agent, whose report shall be unqualified and who shall have authorized the Borrower to deliver such financial statements and report thereon to the Administrative Agent and the Lenders pursuant to this Agreement.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020"/>
          </w:cols>
          <w:pgMar w:left="440" w:top="274"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8.3. Compliance Certificate.</w:t>
      </w:r>
    </w:p>
    <w:p>
      <w:pPr>
        <w:spacing w:after="0" w:line="121"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At the time the financial statements are furnished pursuant to Sections 8.1. and 8.2. and, if (i) the Requisite Lenders provide notice to the Administrative Agent and the Borrower that they reasonably believe that an Event of Default specified in Section 10.1.(a), 10.1.(e) or 10.1.(f) or a Default under Section 10.1.(f) may occur, or if (ii) a casualty or condemnation of a Property secured by Material Indebtedness requiring payment in excess of $125,000,000 as a result of such casualty or condemnation occurs, then within 5 Business Days of the Administrative Agent’s request with respect to any other fiscal period, a certificate substantially in the form of Exhibit P (a “</w:t>
      </w:r>
      <w:r>
        <w:rPr>
          <w:rFonts w:ascii="Arial" w:cs="Arial" w:eastAsia="Arial" w:hAnsi="Arial"/>
          <w:sz w:val="16"/>
          <w:szCs w:val="16"/>
          <w:b w:val="1"/>
          <w:bCs w:val="1"/>
          <w:color w:val="auto"/>
        </w:rPr>
        <w:t>Compliance Certificate</w:t>
      </w:r>
      <w:r>
        <w:rPr>
          <w:rFonts w:ascii="Arial" w:cs="Arial" w:eastAsia="Arial" w:hAnsi="Arial"/>
          <w:sz w:val="16"/>
          <w:szCs w:val="16"/>
          <w:color w:val="auto"/>
        </w:rPr>
        <w:t>”) executed on behalf of the Borrower by the chief accounting officer or the chief financial officer of the Borrower (a) setting forth in reasonable detail as of the end of such quarterly accounting period or fiscal year or such other fiscal period, as the case may be, the calculations required to establish whether the Borrower was in compliance with the covenants contained in Section 9.1.; and (b) stating that, to the best of his or her knowledge, information, and belief after due inquiry, no Default or Event of Default exists, or, if such is not the case, specifying such Default or Event of Default and its nature, when it occurred and the steps being taken by the Borrower with respect to such event, condition or failure. Together with each Compliance Certificate delivered in connection with quarterly or annual financial statements, the Borrower shall deliver a report, in form and detail reasonably satisfactory to the Administrative Agent, setting forth (i) a statement of Funds From Operations for the fiscal period then ending; (ii) a list of each Wholly Owned Property, Controlled Property and Non-Controlled Property included in the calculation of Unencumbered Asset Value, such list to identify any Property that has ceased to be included in the calculation of Unencumbered Asset Value since the previous such list delivered to the Administrative Agent; and</w:t>
      </w:r>
    </w:p>
    <w:p>
      <w:pPr>
        <w:spacing w:after="0" w:line="2" w:lineRule="exact"/>
        <w:rPr>
          <w:sz w:val="20"/>
          <w:szCs w:val="20"/>
          <w:color w:val="auto"/>
        </w:rPr>
      </w:pPr>
    </w:p>
    <w:p>
      <w:pPr>
        <w:jc w:val="both"/>
        <w:ind w:right="400" w:firstLine="4"/>
        <w:spacing w:after="0" w:line="255" w:lineRule="auto"/>
        <w:tabs>
          <w:tab w:leader="none" w:pos="3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listing of all Properties acquired by the Borrower or any Subsidiary since the delivery of the previous such list, including their Net Operating Income, the purchase price for such Property and indicating whether such Property is collateral for any Secured Indebtedness of the owner of such Property.</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8.4. Other Information.</w:t>
      </w:r>
    </w:p>
    <w:p>
      <w:pPr>
        <w:spacing w:after="0" w:line="121" w:lineRule="exact"/>
        <w:rPr>
          <w:sz w:val="20"/>
          <w:szCs w:val="20"/>
          <w:color w:val="auto"/>
        </w:rPr>
      </w:pPr>
    </w:p>
    <w:p>
      <w:pPr>
        <w:ind w:right="60" w:firstLine="444"/>
        <w:spacing w:after="0" w:line="277" w:lineRule="auto"/>
        <w:tabs>
          <w:tab w:leader="none" w:pos="6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upon receipt thereof, copies of all management reports, if any, submitted to the Borrower or its Board of Trustees by its independent public accountants;</w:t>
      </w:r>
    </w:p>
    <w:p>
      <w:pPr>
        <w:spacing w:after="0" w:line="62" w:lineRule="exact"/>
        <w:rPr>
          <w:rFonts w:ascii="Arial" w:cs="Arial" w:eastAsia="Arial" w:hAnsi="Arial"/>
          <w:sz w:val="18"/>
          <w:szCs w:val="18"/>
          <w:color w:val="auto"/>
        </w:rPr>
      </w:pPr>
    </w:p>
    <w:p>
      <w:pPr>
        <w:ind w:firstLine="444"/>
        <w:spacing w:after="0" w:line="259" w:lineRule="auto"/>
        <w:tabs>
          <w:tab w:leader="none" w:pos="696"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Within five (5) Business Days of the filing thereof, copies of all registration statements (excluding the exhibits thereto (unless requested by the Administrative Agent) and any registration statements on Form S-8 or its equivalent), reports on Forms 10-K, 10-Q and 8-K (or their equivalents) and all other periodic reports which any Loan Party or any other Subsidiary shall file with the Securities and Exchange Commission (or any Governmental Authority substituted therefor) or any national securities exchange;</w:t>
      </w:r>
    </w:p>
    <w:p>
      <w:pPr>
        <w:spacing w:after="0" w:line="78" w:lineRule="exact"/>
        <w:rPr>
          <w:rFonts w:ascii="Arial" w:cs="Arial" w:eastAsia="Arial" w:hAnsi="Arial"/>
          <w:sz w:val="18"/>
          <w:szCs w:val="18"/>
          <w:color w:val="auto"/>
        </w:rPr>
      </w:pPr>
    </w:p>
    <w:p>
      <w:pPr>
        <w:ind w:right="420" w:firstLine="444"/>
        <w:spacing w:after="0" w:line="264" w:lineRule="auto"/>
        <w:tabs>
          <w:tab w:leader="none" w:pos="68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Promptly upon the mailing thereof to the shareholders of the Borrower generally, copies of all financial statements, reports and proxy statements so mailed and promptly upon the issuance thereof copies of all press releases issued by the Borrower, any Subsidiary or any other Loan Party;</w:t>
      </w:r>
    </w:p>
    <w:p>
      <w:pPr>
        <w:spacing w:after="0" w:line="73" w:lineRule="exact"/>
        <w:rPr>
          <w:rFonts w:ascii="Arial" w:cs="Arial" w:eastAsia="Arial" w:hAnsi="Arial"/>
          <w:sz w:val="18"/>
          <w:szCs w:val="18"/>
          <w:color w:val="auto"/>
        </w:rPr>
      </w:pPr>
    </w:p>
    <w:p>
      <w:pPr>
        <w:ind w:firstLine="444"/>
        <w:spacing w:after="0" w:line="273" w:lineRule="auto"/>
        <w:tabs>
          <w:tab w:leader="none" w:pos="696" w:val="left"/>
        </w:tabs>
        <w:numPr>
          <w:ilvl w:val="0"/>
          <w:numId w:val="104"/>
        </w:numPr>
        <w:rPr>
          <w:rFonts w:ascii="Arial" w:cs="Arial" w:eastAsia="Arial" w:hAnsi="Arial"/>
          <w:sz w:val="17"/>
          <w:szCs w:val="17"/>
          <w:color w:val="auto"/>
        </w:rPr>
      </w:pPr>
      <w:r>
        <w:rPr>
          <w:rFonts w:ascii="Arial" w:cs="Arial" w:eastAsia="Arial" w:hAnsi="Arial"/>
          <w:sz w:val="17"/>
          <w:szCs w:val="17"/>
          <w:color w:val="auto"/>
        </w:rPr>
        <w:t>No later than the last day of February of each year, projected consolidated financial statements of Borrower and its consolidated Subsidiaries, for the next fiscal year set forth on a quarterly basis, to include projected statements of income and loss and statements of cash flow. Such projected consolidated financial statements shall represent the reasonable best estimate by the Borrower of the future financial performance of the Borrower and its Subsidiaries for the periods set forth therein and have been prepared on the basis of assumptions set forth therein, which the Borrower believes are fair and reasonable as of the date of preparation in light of current and reasonably foreseeable business conditions (it being understood that actual results may differ from those set forth in such projected financial statements);</w:t>
      </w:r>
    </w:p>
    <w:p>
      <w:pPr>
        <w:spacing w:after="0" w:line="110" w:lineRule="exact"/>
        <w:rPr>
          <w:rFonts w:ascii="Arial" w:cs="Arial" w:eastAsia="Arial" w:hAnsi="Arial"/>
          <w:sz w:val="17"/>
          <w:szCs w:val="17"/>
          <w:color w:val="auto"/>
        </w:rPr>
      </w:pPr>
    </w:p>
    <w:p>
      <w:pPr>
        <w:ind w:left="5420" w:hanging="101"/>
        <w:spacing w:after="0"/>
        <w:tabs>
          <w:tab w:leader="none" w:pos="54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81 -</w:t>
      </w:r>
    </w:p>
    <w:p>
      <w:pPr>
        <w:sectPr>
          <w:pgSz w:w="11900" w:h="16838" w:orient="portrait"/>
          <w:cols w:equalWidth="0" w:num="1">
            <w:col w:w="10980"/>
          </w:cols>
          <w:pgMar w:left="440" w:top="270" w:right="479" w:bottom="1440" w:gutter="0" w:footer="0" w:header="0"/>
        </w:sectPr>
      </w:pPr>
    </w:p>
    <w:bookmarkStart w:id="90" w:name="page91"/>
    <w:bookmarkEnd w:id="90"/>
    <w:p>
      <w:pPr>
        <w:ind w:left="-444" w:right="140" w:firstLine="444"/>
        <w:spacing w:after="0" w:line="286" w:lineRule="auto"/>
        <w:tabs>
          <w:tab w:leader="none" w:pos="241" w:val="left"/>
        </w:tabs>
        <w:numPr>
          <w:ilvl w:val="0"/>
          <w:numId w:val="1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ERISA Event shall occur that individually, or together with any other ERISA Event that has occurred, could reasonably be expected to have a Material Adverse Effect, a certificate of the chief executive officer or chief financial officer of the Borrower setting forth details as to such occurrence and the action, if any, which the Borrower or applicable member of the ERISA Group is required or proposes to take;</w:t>
      </w:r>
    </w:p>
    <w:p>
      <w:pPr>
        <w:spacing w:after="0" w:line="57" w:lineRule="exact"/>
        <w:rPr>
          <w:rFonts w:ascii="Arial" w:cs="Arial" w:eastAsia="Arial" w:hAnsi="Arial"/>
          <w:sz w:val="17"/>
          <w:szCs w:val="17"/>
          <w:color w:val="auto"/>
        </w:rPr>
      </w:pPr>
    </w:p>
    <w:p>
      <w:pPr>
        <w:ind w:left="-444" w:right="100" w:firstLine="444"/>
        <w:spacing w:after="0" w:line="257" w:lineRule="auto"/>
        <w:tabs>
          <w:tab w:leader="none" w:pos="22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To the extent any Loan Party or any other Subsidiary is aware of the same, prompt notice of the commencement of any proceeding or investigation by or before any Governmental Authority and any action or proceeding in any court or other tribunal or before any arbitrator against or in any other way relating adversely to, or adversely affecting, any Loan Party or any other Subsidiary or any of their respective properties, assets or businesses which could reasonably be expected to have a Material Adverse Effect, and prompt notice of the receipt of notice that any United States income tax returns of any Loan Party or any other Subsidiary are being audited;</w:t>
      </w:r>
    </w:p>
    <w:p>
      <w:pPr>
        <w:spacing w:after="0" w:line="80" w:lineRule="exact"/>
        <w:rPr>
          <w:rFonts w:ascii="Arial" w:cs="Arial" w:eastAsia="Arial" w:hAnsi="Arial"/>
          <w:sz w:val="18"/>
          <w:szCs w:val="18"/>
          <w:color w:val="auto"/>
        </w:rPr>
      </w:pPr>
    </w:p>
    <w:p>
      <w:pPr>
        <w:ind w:left="-444" w:firstLine="444"/>
        <w:spacing w:after="0" w:line="277" w:lineRule="auto"/>
        <w:tabs>
          <w:tab w:leader="none" w:pos="2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copy of any amendment to the declaration of trust or other organizational documents of the Borrower within fifteen (15) Business Days after the effectiveness thereof;</w:t>
      </w:r>
    </w:p>
    <w:p>
      <w:pPr>
        <w:spacing w:after="0" w:line="62" w:lineRule="exact"/>
        <w:rPr>
          <w:rFonts w:ascii="Arial" w:cs="Arial" w:eastAsia="Arial" w:hAnsi="Arial"/>
          <w:sz w:val="18"/>
          <w:szCs w:val="18"/>
          <w:color w:val="auto"/>
        </w:rPr>
      </w:pPr>
    </w:p>
    <w:p>
      <w:pPr>
        <w:jc w:val="both"/>
        <w:ind w:left="-444" w:right="60" w:firstLine="444"/>
        <w:spacing w:after="0" w:line="264" w:lineRule="auto"/>
        <w:tabs>
          <w:tab w:leader="none" w:pos="2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 notice of (i) any change in the chief executive officer, chief financial officer or chief operating officer of the Borrower, any Subsidiary or any other Loan Party, or (ii) any change in the business, assets, liabilities, financial condition or results of operations of the Borrower, any Subsidiary or any other Loan Party which has had, or could reasonably be expected to have, a Material Adverse Effect;</w:t>
      </w:r>
    </w:p>
    <w:p>
      <w:pPr>
        <w:spacing w:after="0" w:line="73" w:lineRule="exact"/>
        <w:rPr>
          <w:rFonts w:ascii="Arial" w:cs="Arial" w:eastAsia="Arial" w:hAnsi="Arial"/>
          <w:sz w:val="18"/>
          <w:szCs w:val="18"/>
          <w:color w:val="auto"/>
        </w:rPr>
      </w:pPr>
    </w:p>
    <w:p>
      <w:pPr>
        <w:ind w:left="-444" w:right="20" w:firstLine="444"/>
        <w:spacing w:after="0" w:line="259" w:lineRule="auto"/>
        <w:tabs>
          <w:tab w:leader="none" w:pos="2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a Responsible Officer of the Borrower obtaining knowledge thereof, prompt notice of the occurrence of any Default or Event of Default or any event which constitutes or which with the passage of time, the giving of notice, or otherwise, would constitute a default or event of default by any Loan Party or any other Subsidiary under any Material Contract to which any such Person is a party or by which any such Person or any of its respective properties may be bound;</w:t>
      </w:r>
    </w:p>
    <w:p>
      <w:pPr>
        <w:spacing w:after="0" w:line="78" w:lineRule="exact"/>
        <w:rPr>
          <w:rFonts w:ascii="Arial" w:cs="Arial" w:eastAsia="Arial" w:hAnsi="Arial"/>
          <w:sz w:val="18"/>
          <w:szCs w:val="18"/>
          <w:color w:val="auto"/>
        </w:rPr>
      </w:pPr>
    </w:p>
    <w:p>
      <w:pPr>
        <w:ind w:left="-444" w:right="40" w:firstLine="444"/>
        <w:spacing w:after="0" w:line="277" w:lineRule="auto"/>
        <w:tabs>
          <w:tab w:leader="none" w:pos="2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 notice of any order, judgment or decree not covered by insurance in excess of $25,000,000 having been entered against any Loan Party or any other Subsidiary or any of their respective properties or assets;</w:t>
      </w:r>
    </w:p>
    <w:p>
      <w:pPr>
        <w:spacing w:after="0" w:line="62" w:lineRule="exact"/>
        <w:rPr>
          <w:rFonts w:ascii="Arial" w:cs="Arial" w:eastAsia="Arial" w:hAnsi="Arial"/>
          <w:sz w:val="18"/>
          <w:szCs w:val="18"/>
          <w:color w:val="auto"/>
        </w:rPr>
      </w:pPr>
    </w:p>
    <w:p>
      <w:pPr>
        <w:jc w:val="both"/>
        <w:ind w:left="-444" w:right="580" w:firstLine="444"/>
        <w:spacing w:after="0" w:line="342" w:lineRule="auto"/>
        <w:tabs>
          <w:tab w:leader="none" w:pos="25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Prompt notice if the Borrower, any Subsidiary or any other Loan Party shall receive any notification from any Governmental Authority alleging a violation of any Applicable Law or any inquiry which, in either case, could reasonably be expected to have a Material Adverse Effect</w:t>
      </w:r>
    </w:p>
    <w:p>
      <w:pPr>
        <w:spacing w:after="0" w:line="15" w:lineRule="exact"/>
        <w:rPr>
          <w:rFonts w:ascii="Arial" w:cs="Arial" w:eastAsia="Arial" w:hAnsi="Arial"/>
          <w:sz w:val="16"/>
          <w:szCs w:val="16"/>
          <w:color w:val="auto"/>
        </w:rPr>
      </w:pPr>
    </w:p>
    <w:p>
      <w:pPr>
        <w:ind w:left="216" w:hanging="216"/>
        <w:spacing w:after="0"/>
        <w:tabs>
          <w:tab w:leader="none" w:pos="216"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444" w:right="420" w:firstLine="444"/>
        <w:spacing w:after="0" w:line="277" w:lineRule="auto"/>
        <w:tabs>
          <w:tab w:leader="none" w:pos="30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evidence of the Borrower’s calculation of the Ownership Share with respect to a Subsidiary or an Unconsolidated Affiliate, such evidence to be in form and detail satisfactory to the Administrative Agent;</w:t>
      </w:r>
    </w:p>
    <w:p>
      <w:pPr>
        <w:spacing w:after="0" w:line="62" w:lineRule="exact"/>
        <w:rPr>
          <w:rFonts w:ascii="Arial" w:cs="Arial" w:eastAsia="Arial" w:hAnsi="Arial"/>
          <w:sz w:val="18"/>
          <w:szCs w:val="18"/>
          <w:color w:val="auto"/>
        </w:rPr>
      </w:pPr>
    </w:p>
    <w:p>
      <w:pPr>
        <w:ind w:left="-444" w:right="240" w:firstLine="444"/>
        <w:spacing w:after="0" w:line="277" w:lineRule="auto"/>
        <w:tabs>
          <w:tab w:leader="none" w:pos="2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any change in the Borrower’s Credit Rating, a certificate stating that the Borrower’s Credit Rating has changed and the new Credit Rating that is in effect;</w:t>
      </w:r>
    </w:p>
    <w:p>
      <w:pPr>
        <w:spacing w:after="0" w:line="62" w:lineRule="exact"/>
        <w:rPr>
          <w:rFonts w:ascii="Arial" w:cs="Arial" w:eastAsia="Arial" w:hAnsi="Arial"/>
          <w:sz w:val="18"/>
          <w:szCs w:val="18"/>
          <w:color w:val="auto"/>
        </w:rPr>
      </w:pPr>
    </w:p>
    <w:p>
      <w:pPr>
        <w:ind w:left="-444" w:right="380" w:firstLine="444"/>
        <w:spacing w:after="0" w:line="264" w:lineRule="auto"/>
        <w:tabs>
          <w:tab w:leader="none" w:pos="25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Promptly upon the request therefor, such other information and documentation required under applicable “know your customer” rules and regulations, the PATRIOT Act or any applicable Anti-Money Laundering Laws, in each case as from time to time reasonably requested by the Administrative Agent or any Lender;</w:t>
      </w:r>
    </w:p>
    <w:p>
      <w:pPr>
        <w:spacing w:after="0" w:line="113" w:lineRule="exact"/>
        <w:rPr>
          <w:rFonts w:ascii="Arial" w:cs="Arial" w:eastAsia="Arial" w:hAnsi="Arial"/>
          <w:sz w:val="18"/>
          <w:szCs w:val="18"/>
          <w:color w:val="auto"/>
        </w:rPr>
      </w:pPr>
    </w:p>
    <w:p>
      <w:pPr>
        <w:ind w:left="4976" w:hanging="101"/>
        <w:spacing w:after="0"/>
        <w:tabs>
          <w:tab w:leader="none" w:pos="4976" w:val="left"/>
        </w:tabs>
        <w:numPr>
          <w:ilvl w:val="1"/>
          <w:numId w:val="105"/>
        </w:numPr>
        <w:rPr>
          <w:rFonts w:ascii="Arial" w:cs="Arial" w:eastAsia="Arial" w:hAnsi="Arial"/>
          <w:sz w:val="18"/>
          <w:szCs w:val="18"/>
          <w:color w:val="auto"/>
        </w:rPr>
      </w:pPr>
      <w:r>
        <w:rPr>
          <w:rFonts w:ascii="Arial" w:cs="Arial" w:eastAsia="Arial" w:hAnsi="Arial"/>
          <w:sz w:val="18"/>
          <w:szCs w:val="18"/>
          <w:color w:val="auto"/>
        </w:rPr>
        <w:t>82 -</w:t>
      </w:r>
    </w:p>
    <w:p>
      <w:pPr>
        <w:sectPr>
          <w:pgSz w:w="11900" w:h="16838" w:orient="portrait"/>
          <w:cols w:equalWidth="0" w:num="1">
            <w:col w:w="10556"/>
          </w:cols>
          <w:pgMar w:left="884" w:top="274" w:right="459" w:bottom="1440" w:gutter="0" w:footer="0" w:header="0"/>
        </w:sectPr>
      </w:pPr>
    </w:p>
    <w:bookmarkStart w:id="91" w:name="page92"/>
    <w:bookmarkEnd w:id="91"/>
    <w:p>
      <w:pPr>
        <w:ind w:right="240" w:firstLine="444"/>
        <w:spacing w:after="0" w:line="277" w:lineRule="auto"/>
        <w:tabs>
          <w:tab w:leader="none" w:pos="696" w:val="left"/>
        </w:tabs>
        <w:numPr>
          <w:ilvl w:val="0"/>
          <w:numId w:val="10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Prompt notice of the sale, transfer or other disposition of any material assets of the Borrower, any Subsidiary or any other Loan Party to any Person other than the Borrower, any Subsidiary or any other Loan Party;</w:t>
      </w:r>
    </w:p>
    <w:p>
      <w:pPr>
        <w:spacing w:after="0" w:line="62" w:lineRule="exact"/>
        <w:rPr>
          <w:rFonts w:ascii="Arial" w:cs="Arial" w:eastAsia="Arial" w:hAnsi="Arial"/>
          <w:sz w:val="18"/>
          <w:szCs w:val="18"/>
          <w:color w:val="auto"/>
        </w:rPr>
      </w:pPr>
    </w:p>
    <w:p>
      <w:pPr>
        <w:ind w:right="160" w:firstLine="444"/>
        <w:spacing w:after="0" w:line="289" w:lineRule="auto"/>
        <w:tabs>
          <w:tab w:leader="none" w:pos="69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Prompt written notice, meaning within ten (10) Business Days after the Borrower obtains knowledge thereof, of the occurrence of any of the following: (i) the Borrower, any Loan Party or any other Subsidiary shall receive written notice that any violation of Environmental Law has or may have been committed or is about to be committed; (ii) the Borrower, any Loan Party or any other Subsidiary shall receive written notice that any administrative or judicial complaint, or order has been filed or is about to be filed against any such Person alleging any violation of any Environmental Law or requiring the Borrower, any Loan Party or any other Subsidiary to take any action in connection with the release or threatened release of Hazardous Materials; or (iii) the Borrower, any Loan Party or any other Subsidiary shall receive any notice from a Governmental Authority or private party alleging that any such Person may be liable or responsible for any costs associated with a response to, or remediation or cleanup of, a release of Hazardous Materials or any damages caused thereby; and the matters covered by such notice(s) under the foregoing clauses (i) through (iii) above, whether individually or in the aggregate, could reasonably be expected to have a Material Adverse Effect;</w:t>
      </w:r>
    </w:p>
    <w:p>
      <w:pPr>
        <w:spacing w:after="0" w:line="58" w:lineRule="exact"/>
        <w:rPr>
          <w:rFonts w:ascii="Arial" w:cs="Arial" w:eastAsia="Arial" w:hAnsi="Arial"/>
          <w:sz w:val="16"/>
          <w:szCs w:val="16"/>
          <w:color w:val="auto"/>
        </w:rPr>
      </w:pPr>
    </w:p>
    <w:p>
      <w:pPr>
        <w:ind w:right="320" w:firstLine="444"/>
        <w:spacing w:after="0" w:line="277" w:lineRule="auto"/>
        <w:tabs>
          <w:tab w:leader="none" w:pos="66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Promptly upon the request of the Administrative Agent, the Derivatives Termination Value in respect of any Specified Derivatives Contract from time to time outstanding; and</w:t>
      </w:r>
    </w:p>
    <w:p>
      <w:pPr>
        <w:spacing w:after="0" w:line="62" w:lineRule="exact"/>
        <w:rPr>
          <w:rFonts w:ascii="Arial" w:cs="Arial" w:eastAsia="Arial" w:hAnsi="Arial"/>
          <w:sz w:val="18"/>
          <w:szCs w:val="18"/>
          <w:color w:val="auto"/>
        </w:rPr>
      </w:pPr>
    </w:p>
    <w:p>
      <w:pPr>
        <w:ind w:right="260" w:firstLine="444"/>
        <w:spacing w:after="0" w:line="264" w:lineRule="auto"/>
        <w:tabs>
          <w:tab w:leader="none" w:pos="676" w:val="left"/>
        </w:tabs>
        <w:numPr>
          <w:ilvl w:val="0"/>
          <w:numId w:val="106"/>
        </w:numPr>
        <w:rPr>
          <w:rFonts w:ascii="Arial" w:cs="Arial" w:eastAsia="Arial" w:hAnsi="Arial"/>
          <w:sz w:val="18"/>
          <w:szCs w:val="18"/>
          <w:color w:val="auto"/>
        </w:rPr>
      </w:pPr>
      <w:r>
        <w:rPr>
          <w:rFonts w:ascii="Arial" w:cs="Arial" w:eastAsia="Arial" w:hAnsi="Arial"/>
          <w:sz w:val="18"/>
          <w:szCs w:val="18"/>
          <w:color w:val="auto"/>
        </w:rPr>
        <w:t>From time to time and promptly upon each request, such data, certificates, reports, statements, opinions of counsel, documents or further information regarding the business, assets, liabilities, financial condition or results of operations of the Borrower, any of its Subsidiaries, or any other Loan Party as the Administrative Agent or any Lender may reasonably request.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8.5. Electronic Delivery of Certain Information.</w:t>
      </w:r>
    </w:p>
    <w:p>
      <w:pPr>
        <w:spacing w:after="0" w:line="121" w:lineRule="exact"/>
        <w:rPr>
          <w:sz w:val="20"/>
          <w:szCs w:val="20"/>
          <w:color w:val="auto"/>
        </w:rPr>
      </w:pPr>
    </w:p>
    <w:p>
      <w:pPr>
        <w:ind w:firstLine="444"/>
        <w:spacing w:after="0" w:line="285" w:lineRule="auto"/>
        <w:tabs>
          <w:tab w:leader="none" w:pos="68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Documents required to be delivered pursuant to the Loan Documents shall be delivered by electronic communication and delivery, including, the Internet, e-mail or intranet websites to which the Administrative Agent and each Lender have access (including a commercial, third-party website or a website sponsored or hosted by the Administrative Agent or the Borrower) provided that the foregoing shall not apply to (i) notices to any Lender (or the Issuing Bank) pursuant to Article II. and (ii) any Lender that has notified the Administrative Agent and the Borrower that it cannot or does not want to receive electronic communications. The Administrative Agent or the Borrower may, in its discretion, agree to accept notices and other communications to it hereunder by electronic delivery pursuant to procedures approved by it for all or particular notices or communications. Documents or notices delivered electronically shall be deemed to have been delivered on the date and time on which the Administrative Agent or the Borrower posts such documents or the documents become available on a commercial website and the Borrower notifies the Administrative Agent of said posting by causing an e-mail notification to be sent to an e-mail address specified from time to time by the Administrative Agent and provides a link thereto; provided if such notice or other communication is not sent or posted during the normal business hours of the recipient, said posting date and time shall be deemed to have commenced as of 9:00 a.m. Pacific time on the opening of business on the next business day for the recipient. Notwithstanding anything contained herein, in every instance the Borrower shall be required to provide paper copies of the certificate required by Section 8.3. to the Administrative Agent and shall deliver paper copies of any documents to the Administrative Agent or to any Lender that requests such paper copies until a written request to cease delivering paper copies is given by the Administrative Agent or such Lender. Except for the certificates required by Section 8.3., the Administrative Agent shall have no obligation to request the delivery of or to maintain paper copies of the documents delivered electronically, and in any event shall have no responsibility to monitor compliance by the Borrower with any such request for delivery. Each Lender shall be solely responsible for requesting delivery to it of paper copies and maintaining its paper or electronic documents.</w:t>
      </w:r>
    </w:p>
    <w:p>
      <w:pPr>
        <w:spacing w:after="0" w:line="107" w:lineRule="exact"/>
        <w:rPr>
          <w:rFonts w:ascii="Arial" w:cs="Arial" w:eastAsia="Arial" w:hAnsi="Arial"/>
          <w:sz w:val="16"/>
          <w:szCs w:val="16"/>
          <w:color w:val="auto"/>
        </w:rPr>
      </w:pPr>
    </w:p>
    <w:p>
      <w:pPr>
        <w:ind w:left="5420" w:hanging="101"/>
        <w:spacing w:after="0"/>
        <w:tabs>
          <w:tab w:leader="none" w:pos="542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83 -</w:t>
      </w:r>
    </w:p>
    <w:p>
      <w:pPr>
        <w:sectPr>
          <w:pgSz w:w="11900" w:h="16838" w:orient="portrait"/>
          <w:cols w:equalWidth="0" w:num="1">
            <w:col w:w="11020"/>
          </w:cols>
          <w:pgMar w:left="440" w:top="274" w:right="439" w:bottom="1440" w:gutter="0" w:footer="0" w:header="0"/>
        </w:sectPr>
      </w:pPr>
    </w:p>
    <w:bookmarkStart w:id="92" w:name="page93"/>
    <w:bookmarkEnd w:id="92"/>
    <w:p>
      <w:pPr>
        <w:ind w:right="500" w:firstLine="444"/>
        <w:spacing w:after="0" w:line="277" w:lineRule="auto"/>
        <w:tabs>
          <w:tab w:leader="none" w:pos="696" w:val="left"/>
        </w:tabs>
        <w:numPr>
          <w:ilvl w:val="0"/>
          <w:numId w:val="10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Documents required to be delivered pursuant to Article II. may be delivered electronically to a website provided for such purpose by the Administrative Agent pursuant to the procedures provided to the Borrower by the Administrative Agent.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8.6. Public/Private Information.</w:t>
      </w:r>
    </w:p>
    <w:p>
      <w:pPr>
        <w:spacing w:after="0" w:line="121"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The Borrower will cooperate with the Administrative Agent in connection with the publication of certain materials and/or information provided by or on behalf of the Borrower to the Administrative Agent and the Lenders (collectively, “</w:t>
      </w:r>
      <w:r>
        <w:rPr>
          <w:rFonts w:ascii="Arial" w:cs="Arial" w:eastAsia="Arial" w:hAnsi="Arial"/>
          <w:sz w:val="17"/>
          <w:szCs w:val="17"/>
          <w:b w:val="1"/>
          <w:bCs w:val="1"/>
          <w:color w:val="auto"/>
        </w:rPr>
        <w:t>Information Materials</w:t>
      </w:r>
      <w:r>
        <w:rPr>
          <w:rFonts w:ascii="Arial" w:cs="Arial" w:eastAsia="Arial" w:hAnsi="Arial"/>
          <w:sz w:val="17"/>
          <w:szCs w:val="17"/>
          <w:color w:val="auto"/>
        </w:rPr>
        <w:t>”) pursuant to this Article and the Borrower will designate Information Materials (a) that are either available to the public or not material with respect to the Borrower and its Subsidiaries or any of their respective securities for purposes of United States federal and state securities laws, as “Public Information” and (b) that are not Public Information as “Private Information”. The Administrative Agent and the Borrower acknowledge and agree that the Borrower is obligated to file reports under the Securities Exchange Act. All Information Materials filed with or furnished to the Securities and Exchange Commission by, or on behalf of, the Borrower pursuant to the Securities Exchange Act or filed by, or on behalf of, the Borrower with the Securities and Exchange Commission pursuant to the Securities Act, distributed by, or on behalf of, the Borrower by press release through a widely disseminated news or wire service, or otherwise expressly designated by the Borrower as Public Information are hereby designated as Public Information and all other Information Materials are hereby designated as Private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8.7. USA Patriot Act Notice; Compliance.</w:t>
      </w:r>
    </w:p>
    <w:p>
      <w:pPr>
        <w:spacing w:after="0" w:line="12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The Administrative Agent and each Lender hereby notifies the Borrower that pursuant to the requirements of the PATRIOT Act or any other Anti-Money Laundering Laws, each of them is required to obtain, verify and record information that identifies each Loan Party, which information includes the name and address of each Loan Party and other information that will allow such Lender to identify each Loan Party in accordance with the PATRIOT Act or such Anti-Money Laundering Laws.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IX. N</w:t>
      </w:r>
      <w:r>
        <w:rPr>
          <w:rFonts w:ascii="Arial" w:cs="Arial" w:eastAsia="Arial" w:hAnsi="Arial"/>
          <w:sz w:val="15"/>
          <w:szCs w:val="15"/>
          <w:b w:val="1"/>
          <w:bCs w:val="1"/>
          <w:color w:val="auto"/>
        </w:rPr>
        <w:t>EGATIVE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OVENANTS</w:t>
      </w:r>
    </w:p>
    <w:p>
      <w:pPr>
        <w:spacing w:after="0" w:line="229" w:lineRule="exact"/>
        <w:rPr>
          <w:sz w:val="20"/>
          <w:szCs w:val="20"/>
          <w:color w:val="auto"/>
        </w:rPr>
      </w:pPr>
    </w:p>
    <w:p>
      <w:pPr>
        <w:ind w:right="720" w:firstLine="441"/>
        <w:spacing w:after="0" w:line="277" w:lineRule="auto"/>
        <w:rPr>
          <w:sz w:val="20"/>
          <w:szCs w:val="20"/>
          <w:color w:val="auto"/>
        </w:rPr>
      </w:pPr>
      <w:r>
        <w:rPr>
          <w:rFonts w:ascii="Arial" w:cs="Arial" w:eastAsia="Arial" w:hAnsi="Arial"/>
          <w:sz w:val="18"/>
          <w:szCs w:val="18"/>
          <w:color w:val="auto"/>
        </w:rPr>
        <w:t>For so long as this Agreement is in effect, unless the Requisite Lenders (or, if required pursuant to Section 12.7., all of the Lenders) shall otherwise consent in the manner set forth in Section 12.7., the Borrower shall comply with the following covenants: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 Financial Covenants.</w:t>
      </w:r>
    </w:p>
    <w:p>
      <w:pPr>
        <w:spacing w:after="0" w:line="121" w:lineRule="exact"/>
        <w:rPr>
          <w:sz w:val="20"/>
          <w:szCs w:val="20"/>
          <w:color w:val="auto"/>
        </w:rPr>
      </w:pPr>
    </w:p>
    <w:p>
      <w:pPr>
        <w:ind w:left="680" w:hanging="236"/>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firstLine="444"/>
        <w:spacing w:after="0" w:line="255" w:lineRule="auto"/>
        <w:tabs>
          <w:tab w:leader="none" w:pos="695"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Maximum Leverage Ratio</w:t>
      </w:r>
      <w:r>
        <w:rPr>
          <w:rFonts w:ascii="Arial" w:cs="Arial" w:eastAsia="Arial" w:hAnsi="Arial"/>
          <w:sz w:val="18"/>
          <w:szCs w:val="18"/>
          <w:color w:val="auto"/>
        </w:rPr>
        <w:t xml:space="preserve">. The Borrower shall not permit the ratio of (i) Total Indebtedness to (ii) Total Asset Value to exceed 0.60 to 1.00 at any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ratio is greater than 0.60 to 1.00 but is not greater than 0.65 to 1.00, then the Borrower shall be deemed to be in compliance with this Section 9.1.(b)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9.1.(b) in reliance on this proviso for more than four fiscal quarters (whether or not consecutive) during the term of this Agreement and (c) such ratio (after giving effect to such Material Acquisition) is not greater than 0.65 to 1.00 at any time.</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84 -</w:t>
      </w:r>
    </w:p>
    <w:p>
      <w:pPr>
        <w:sectPr>
          <w:pgSz w:w="11900" w:h="16838" w:orient="portrait"/>
          <w:cols w:equalWidth="0" w:num="1">
            <w:col w:w="11020"/>
          </w:cols>
          <w:pgMar w:left="440" w:top="274" w:right="439" w:bottom="1440" w:gutter="0" w:footer="0" w:header="0"/>
        </w:sectPr>
      </w:pPr>
    </w:p>
    <w:bookmarkStart w:id="93" w:name="page94"/>
    <w:bookmarkEnd w:id="93"/>
    <w:p>
      <w:pPr>
        <w:ind w:right="60" w:firstLine="444"/>
        <w:spacing w:after="0" w:line="308" w:lineRule="auto"/>
        <w:tabs>
          <w:tab w:leader="none" w:pos="68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Minimum Fixed Charge Coverage Ratio</w:t>
      </w:r>
      <w:r>
        <w:rPr>
          <w:rFonts w:ascii="Arial" w:cs="Arial" w:eastAsia="Arial" w:hAnsi="Arial"/>
          <w:sz w:val="17"/>
          <w:szCs w:val="17"/>
          <w:color w:val="auto"/>
        </w:rPr>
        <w:t>. The Borrower shall not permit the ratio of (i) Adjusted EBITDA for any fiscal quarter ending during the term of this Agreement to (ii) Fixed Charges for such fiscal quarter, to be less than 1.50 to 1.00 as of the last day of such fiscal quarter.</w:t>
      </w:r>
    </w:p>
    <w:p>
      <w:pPr>
        <w:spacing w:after="0" w:line="38" w:lineRule="exact"/>
        <w:rPr>
          <w:rFonts w:ascii="Arial" w:cs="Arial" w:eastAsia="Arial" w:hAnsi="Arial"/>
          <w:sz w:val="17"/>
          <w:szCs w:val="17"/>
          <w:color w:val="auto"/>
        </w:rPr>
      </w:pPr>
    </w:p>
    <w:p>
      <w:pPr>
        <w:ind w:right="840" w:firstLine="444"/>
        <w:spacing w:after="0" w:line="277" w:lineRule="auto"/>
        <w:tabs>
          <w:tab w:leader="none" w:pos="69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Maximum Secured Indebtedness Ratio</w:t>
      </w:r>
      <w:r>
        <w:rPr>
          <w:rFonts w:ascii="Arial" w:cs="Arial" w:eastAsia="Arial" w:hAnsi="Arial"/>
          <w:sz w:val="18"/>
          <w:szCs w:val="18"/>
          <w:color w:val="auto"/>
        </w:rPr>
        <w:t>. The Borrower shall not permit the ratio of (i) Secured Indebtedness of the Borrower and its Subsidiaries determined on a consolidated basis to (ii) Total Asset Value to exceed 0.35 to 1.00 at any time.</w:t>
      </w:r>
    </w:p>
    <w:p>
      <w:pPr>
        <w:spacing w:after="0" w:line="62" w:lineRule="exact"/>
        <w:rPr>
          <w:rFonts w:ascii="Arial" w:cs="Arial" w:eastAsia="Arial" w:hAnsi="Arial"/>
          <w:sz w:val="18"/>
          <w:szCs w:val="18"/>
          <w:color w:val="auto"/>
        </w:rPr>
      </w:pPr>
    </w:p>
    <w:p>
      <w:pPr>
        <w:ind w:firstLine="444"/>
        <w:spacing w:after="0" w:line="254" w:lineRule="auto"/>
        <w:tabs>
          <w:tab w:leader="none" w:pos="685"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Maximum Unencumbered Leverage Ratio</w:t>
      </w:r>
      <w:r>
        <w:rPr>
          <w:rFonts w:ascii="Arial" w:cs="Arial" w:eastAsia="Arial" w:hAnsi="Arial"/>
          <w:sz w:val="18"/>
          <w:szCs w:val="18"/>
          <w:color w:val="auto"/>
        </w:rPr>
        <w:t xml:space="preserve">. The Borrower shall not permit the ratio of (i) Unsecured Indebtedness of the Borrower and its Subsidiaries determined on a consolidated basis to (ii) Unencumbered Asset Value, to exceed 0.60 to 1.00 at any time; </w:t>
      </w:r>
      <w:r>
        <w:rPr>
          <w:rFonts w:ascii="Arial" w:cs="Arial" w:eastAsia="Arial" w:hAnsi="Arial"/>
          <w:sz w:val="18"/>
          <w:szCs w:val="18"/>
          <w:u w:val="single" w:color="auto"/>
          <w:color w:val="auto"/>
        </w:rPr>
        <w:t>provided, however</w:t>
      </w:r>
      <w:r>
        <w:rPr>
          <w:rFonts w:ascii="Arial" w:cs="Arial" w:eastAsia="Arial" w:hAnsi="Arial"/>
          <w:sz w:val="18"/>
          <w:szCs w:val="18"/>
          <w:color w:val="auto"/>
        </w:rPr>
        <w:t>, that if such ratio is greater than 0.60 to 1.00 but is not greater than 0.65 to 1.00, then the Borrower shall be deemed to be in compliance with this Section 9.1.(e) so long as (a) the Borrower completed a Material Acquisition which resulted in such ratio (after giving effect to such Material Acquisition) exceeding 0.60 to 1.00 at any time during the fiscal quarter in which such Material Acquisition took place and for any subsequent consecutive fiscal quarters, (b) the Borrower has not maintained compliance with this Section 9.1.(e) in reliance on this proviso for more than four fiscal quarters (whether or not consecutive) during the term of this Agreement and (c) such ratio (after giving effect to such Material Acquisition) is not greater than 0.65 to 1.00 at any time.</w:t>
      </w:r>
    </w:p>
    <w:p>
      <w:pPr>
        <w:spacing w:after="0" w:line="84" w:lineRule="exact"/>
        <w:rPr>
          <w:rFonts w:ascii="Arial" w:cs="Arial" w:eastAsia="Arial" w:hAnsi="Arial"/>
          <w:sz w:val="18"/>
          <w:szCs w:val="18"/>
          <w:color w:val="auto"/>
        </w:rPr>
      </w:pPr>
    </w:p>
    <w:p>
      <w:pPr>
        <w:ind w:left="660" w:hanging="216"/>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left="700" w:hanging="256"/>
        <w:spacing w:after="0"/>
        <w:tabs>
          <w:tab w:leader="none" w:pos="7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117" w:lineRule="exact"/>
        <w:rPr>
          <w:rFonts w:ascii="Arial" w:cs="Arial" w:eastAsia="Arial" w:hAnsi="Arial"/>
          <w:sz w:val="18"/>
          <w:szCs w:val="18"/>
          <w:color w:val="auto"/>
        </w:rPr>
      </w:pPr>
    </w:p>
    <w:p>
      <w:pPr>
        <w:ind w:right="60" w:firstLine="444"/>
        <w:spacing w:after="0" w:line="272" w:lineRule="auto"/>
        <w:tabs>
          <w:tab w:leader="none" w:pos="655" w:val="left"/>
        </w:tabs>
        <w:numPr>
          <w:ilvl w:val="0"/>
          <w:numId w:val="110"/>
        </w:numPr>
        <w:rPr>
          <w:rFonts w:ascii="Arial" w:cs="Arial" w:eastAsia="Arial" w:hAnsi="Arial"/>
          <w:sz w:val="17"/>
          <w:szCs w:val="17"/>
          <w:color w:val="auto"/>
        </w:rPr>
      </w:pPr>
      <w:r>
        <w:rPr>
          <w:rFonts w:ascii="Arial" w:cs="Arial" w:eastAsia="Arial" w:hAnsi="Arial"/>
          <w:sz w:val="17"/>
          <w:szCs w:val="17"/>
          <w:u w:val="single" w:color="auto"/>
          <w:color w:val="auto"/>
        </w:rPr>
        <w:t>Dividends and Other Restricted Payments</w:t>
      </w:r>
      <w:r>
        <w:rPr>
          <w:rFonts w:ascii="Arial" w:cs="Arial" w:eastAsia="Arial" w:hAnsi="Arial"/>
          <w:sz w:val="17"/>
          <w:szCs w:val="17"/>
          <w:color w:val="auto"/>
        </w:rPr>
        <w:t>. The Borrower shall not, and shall not permit any of its Subsidiaries to, declare or make any Restricted Payment if an Event of Default shall have occurred and is continuing; except that the Borrower may, subject to the immediately following sentence, declare and make cash distributions to its shareholders during any fiscal year in an aggregate amount not to exceed the minimum amount necessary for the Borrower to remain in compliance with Section 7.12. Notwithstanding the foregoing, if an Event of Default specified in Section 10.1. (a), Section 10.1.(e) or Section 10.1.(f) shall have occurred and is continuing, or if as a result of the occurrence of any other Event of Default any of the Obligations have been accelerated pursuant to Section 10.2.(a), the Borrower shall not, and shall not permit any Subsidiary to, make any Restricted Payment to any Person other than to the Borrower or any Subsidiary.</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9.2. [Intentionally Omitted].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9.3. Liens; Negative Pledges.</w:t>
      </w:r>
    </w:p>
    <w:p>
      <w:pPr>
        <w:spacing w:after="0" w:line="121" w:lineRule="exact"/>
        <w:rPr>
          <w:sz w:val="20"/>
          <w:szCs w:val="20"/>
          <w:color w:val="auto"/>
        </w:rPr>
      </w:pPr>
    </w:p>
    <w:p>
      <w:pPr>
        <w:ind w:right="80" w:firstLine="444"/>
        <w:spacing w:after="0" w:line="257" w:lineRule="auto"/>
        <w:tabs>
          <w:tab w:leader="none" w:pos="685"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Borrower shall not, and shall not permit any Subsidiary (other than an Excluded Subsidiary) or other Loan Party to, create, assume, or incur any Lien (other than Permitted Liens) upon any of its properties, assets, income or profits of any character whether now owned or hereafter acquired if as a result of the creation, assumption or incurring of such Lien, a Default or Event of Default is or would be caused thereby or any other Major Default or Event of Default has occurred and is continuing, including without limitation, a Default or Event of Default resulting from a violation of any of the covenants contained in Section 9.1.</w:t>
      </w:r>
    </w:p>
    <w:p>
      <w:pPr>
        <w:spacing w:after="0" w:line="120" w:lineRule="exact"/>
        <w:rPr>
          <w:rFonts w:ascii="Arial" w:cs="Arial" w:eastAsia="Arial" w:hAnsi="Arial"/>
          <w:sz w:val="18"/>
          <w:szCs w:val="18"/>
          <w:color w:val="auto"/>
        </w:rPr>
      </w:pPr>
    </w:p>
    <w:p>
      <w:pPr>
        <w:ind w:left="5420" w:hanging="101"/>
        <w:spacing w:after="0"/>
        <w:tabs>
          <w:tab w:leader="none" w:pos="54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85 -</w:t>
      </w:r>
    </w:p>
    <w:p>
      <w:pPr>
        <w:sectPr>
          <w:pgSz w:w="11900" w:h="16838" w:orient="portrait"/>
          <w:cols w:equalWidth="0" w:num="1">
            <w:col w:w="10980"/>
          </w:cols>
          <w:pgMar w:left="440" w:top="274" w:right="479" w:bottom="1440" w:gutter="0" w:footer="0" w:header="0"/>
        </w:sectPr>
      </w:pPr>
    </w:p>
    <w:bookmarkStart w:id="94" w:name="page95"/>
    <w:bookmarkEnd w:id="94"/>
    <w:p>
      <w:pPr>
        <w:ind w:right="60" w:firstLine="444"/>
        <w:spacing w:after="0" w:line="293" w:lineRule="auto"/>
        <w:tabs>
          <w:tab w:leader="none" w:pos="696" w:val="left"/>
        </w:tabs>
        <w:numPr>
          <w:ilvl w:val="0"/>
          <w:numId w:val="1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Borrower shall not, and shall not permit any Subsidiary (other than an Excluded Subsidiary) or other Loan Party to, enter into, assume or otherwise be bound by any Negative Pledge except for (i) a Negative Pledge contained in any agreement (x) evidencing Indebtedness which (A) the Borrower or such Subsidiary may create, incur, assume, or permit or suffer to exist under this Agreement and (B) is secured by a Lien permitted to exist hereunder and (y) which prohibits the creation of any other Lien on only the property securing such Indebtedness as of the date such agreement was entered into or (ii) a Negative Pledge contained in any agreement that evidences unsecured Indebtedness which contains restrictions on encumbering assets that are substantially similar to, or less restrictive than, those restrictions contained in the Loan Documents.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9.4. Restrictions on Intercompany Transfers.</w:t>
      </w:r>
    </w:p>
    <w:p>
      <w:pPr>
        <w:spacing w:after="0" w:line="121" w:lineRule="exact"/>
        <w:rPr>
          <w:sz w:val="20"/>
          <w:szCs w:val="20"/>
          <w:color w:val="auto"/>
        </w:rPr>
      </w:pPr>
    </w:p>
    <w:p>
      <w:pPr>
        <w:ind w:right="80" w:firstLine="441"/>
        <w:spacing w:after="0" w:line="288" w:lineRule="auto"/>
        <w:rPr>
          <w:sz w:val="20"/>
          <w:szCs w:val="20"/>
          <w:color w:val="auto"/>
        </w:rPr>
      </w:pPr>
      <w:r>
        <w:rPr>
          <w:rFonts w:ascii="Arial" w:cs="Arial" w:eastAsia="Arial" w:hAnsi="Arial"/>
          <w:sz w:val="16"/>
          <w:szCs w:val="16"/>
          <w:color w:val="auto"/>
        </w:rPr>
        <w:t>The Borrower shall not, and shall not permit any other Loan Party or any other Subsidiary (other than an Excluded Subsidiary) to, create or otherwise cause or suffer to exist or become effective any consensual encumbrance or restriction of any kind on the ability of any Subsidiary to: (a) pay dividends or make any other distribution on any of such Subsidiary’s capital stock or other equity interests owned by the Borrower or any Subsidiary;</w:t>
      </w:r>
    </w:p>
    <w:p>
      <w:pPr>
        <w:ind w:firstLine="4"/>
        <w:spacing w:after="0" w:line="268"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pay any Indebtedness owed to the Borrower or any Subsidiary; (c) make loans or advances to the Borrower or any Subsidiary; or (d) transfer any of its property or assets to the Borrower or any Subsidiary; other than (i) with respect to clauses (a) through (d), those encumbrances or restrictions contained in any Loan Document or in any other agreement (A) evidencing Unsecured Indebtedness that the Borrower, any other Loan Party or any other Subsidiary may create, incur, assume or permit or suffer to exist under this Agreement and (B) containing encumbrances and restrictions imposed in connection with such Unsecured Indebtedness that are either substantially similar to, or less restrictive than, such encumbrances and restrictions set forth in the Loan Documents, (ii) with respect to clause (d), customary provisions restricting assignment of any agreement entered into by the Borrower, any other Loan Party or any Subsidiary in the ordinary course of business and (iii) with respect to clauses (a) through (d), in the case of a Subsidiary that is not a Wholly Owned Subsidiary, limitations arising after the date hereof to the effect that any such dividends, distributions, loans, advances or transfers of property must be on fair and reasonable terms and on an arm’s length basis.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9.5. Merger, Consolidation, Sales of Assets and Other Arrangements.</w:t>
      </w:r>
    </w:p>
    <w:p>
      <w:pPr>
        <w:spacing w:after="0" w:line="121" w:lineRule="exact"/>
        <w:rPr>
          <w:sz w:val="20"/>
          <w:szCs w:val="20"/>
          <w:color w:val="auto"/>
        </w:rPr>
      </w:pPr>
    </w:p>
    <w:p>
      <w:pPr>
        <w:ind w:right="140" w:firstLine="441"/>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(a) enter into any transaction of merger or consolidation; (b) liquidate, windup or dissolve itself (or suffer any liquidation or dissolution); or (c) convey, sell, lease, sublease, transfer or otherwise dispose of, in one transaction or a series of transactions, all or any substantial part of its business or assets whether now owned or hereafter acquired; provided, however, that:</w:t>
      </w:r>
    </w:p>
    <w:p>
      <w:pPr>
        <w:spacing w:after="0" w:line="79" w:lineRule="exact"/>
        <w:rPr>
          <w:sz w:val="20"/>
          <w:szCs w:val="20"/>
          <w:color w:val="auto"/>
        </w:rPr>
      </w:pPr>
    </w:p>
    <w:p>
      <w:pPr>
        <w:ind w:left="440" w:right="120" w:firstLine="428"/>
        <w:spacing w:after="0" w:line="285" w:lineRule="auto"/>
        <w:tabs>
          <w:tab w:leader="none" w:pos="1078" w:val="left"/>
        </w:tabs>
        <w:numPr>
          <w:ilvl w:val="1"/>
          <w:numId w:val="114"/>
        </w:numPr>
        <w:rPr>
          <w:rFonts w:ascii="Arial" w:cs="Arial" w:eastAsia="Arial" w:hAnsi="Arial"/>
          <w:sz w:val="16"/>
          <w:szCs w:val="16"/>
          <w:color w:val="auto"/>
        </w:rPr>
      </w:pPr>
      <w:r>
        <w:rPr>
          <w:rFonts w:ascii="Arial" w:cs="Arial" w:eastAsia="Arial" w:hAnsi="Arial"/>
          <w:sz w:val="16"/>
          <w:szCs w:val="16"/>
          <w:color w:val="auto"/>
        </w:rPr>
        <w:t>any of the actions described in the immediately preceding clauses (a), (b) and (c) may be taken with respect to any Subsidiary or any other Loan Party (other than the Borrower) so long as, as a result of the taking of such action, and after giving effect thereto, no Default or Event of Default is or would be caused thereby, and no other Major Default or Event of Default has occurred and is continuing; notwithstanding the foregoing, any such Loan Party may enter into a transaction of merger pursuant to which such Loan Party is not the survivor of such merger only if (A) the Borrower shall have given the Administrative Agent and the Lenders at least 10 Business Days’ prior written notice of such merger;</w:t>
      </w:r>
    </w:p>
    <w:p>
      <w:pPr>
        <w:spacing w:after="0" w:line="2" w:lineRule="exact"/>
        <w:rPr>
          <w:rFonts w:ascii="Arial" w:cs="Arial" w:eastAsia="Arial" w:hAnsi="Arial"/>
          <w:sz w:val="16"/>
          <w:szCs w:val="16"/>
          <w:color w:val="auto"/>
        </w:rPr>
      </w:pPr>
    </w:p>
    <w:p>
      <w:pPr>
        <w:ind w:left="440" w:right="20" w:firstLine="4"/>
        <w:spacing w:after="0" w:line="254" w:lineRule="auto"/>
        <w:tabs>
          <w:tab w:leader="none" w:pos="72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the survivor entity is already a Loan Party or is required to become a Guarantor pursuant to Section 7.14. (and is not already a Guarantor), within five (5) Business Days of consummation of such merger, the survivor entity shall have executed and delivered an Accession Agreement (or if the Guaranty is not then in existence, a Guaranty executed by such survivor entity); (C) within 30 days of consummation of such merger, the survivor</w:t>
      </w:r>
    </w:p>
    <w:p>
      <w:pPr>
        <w:spacing w:after="0" w:line="122" w:lineRule="exact"/>
        <w:rPr>
          <w:rFonts w:ascii="Arial" w:cs="Arial" w:eastAsia="Arial" w:hAnsi="Arial"/>
          <w:sz w:val="18"/>
          <w:szCs w:val="18"/>
          <w:color w:val="auto"/>
        </w:rPr>
      </w:pPr>
    </w:p>
    <w:p>
      <w:pPr>
        <w:ind w:left="5420" w:hanging="101"/>
        <w:spacing w:after="0"/>
        <w:tabs>
          <w:tab w:leader="none" w:pos="5420" w:val="left"/>
        </w:tabs>
        <w:numPr>
          <w:ilvl w:val="2"/>
          <w:numId w:val="115"/>
        </w:numPr>
        <w:rPr>
          <w:rFonts w:ascii="Arial" w:cs="Arial" w:eastAsia="Arial" w:hAnsi="Arial"/>
          <w:sz w:val="18"/>
          <w:szCs w:val="18"/>
          <w:color w:val="auto"/>
        </w:rPr>
      </w:pPr>
      <w:r>
        <w:rPr>
          <w:rFonts w:ascii="Arial" w:cs="Arial" w:eastAsia="Arial" w:hAnsi="Arial"/>
          <w:sz w:val="18"/>
          <w:szCs w:val="18"/>
          <w:color w:val="auto"/>
        </w:rPr>
        <w:t>86 -</w:t>
      </w:r>
    </w:p>
    <w:p>
      <w:pPr>
        <w:sectPr>
          <w:pgSz w:w="11900" w:h="16838" w:orient="portrait"/>
          <w:cols w:equalWidth="0" w:num="1">
            <w:col w:w="11000"/>
          </w:cols>
          <w:pgMar w:left="440" w:top="274" w:right="459" w:bottom="1440" w:gutter="0" w:footer="0" w:header="0"/>
        </w:sectPr>
      </w:pPr>
    </w:p>
    <w:bookmarkStart w:id="95" w:name="page96"/>
    <w:bookmarkEnd w:id="95"/>
    <w:p>
      <w:pPr>
        <w:ind w:left="440" w:right="80"/>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entity delivers to the Administrative Agent the following: (1) items of the type referred to in Sections 5.1.(a)(iv) through (viii) with respect to the survivor entity as in effect after consummation of such merger (if not previously delivered to the Administrative Agent and still in effect),</w:t>
      </w:r>
    </w:p>
    <w:p>
      <w:pPr>
        <w:ind w:left="440" w:right="140" w:firstLine="4"/>
        <w:spacing w:after="0" w:line="281" w:lineRule="auto"/>
        <w:tabs>
          <w:tab w:leader="none" w:pos="69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copies of all documents entered into by such Loan Party or the survivor entity to effectuate the consummation of such merger, including, but not limited to, articles of merger and the plan of merger, (3) copies, certified by the Secretary or Assistant Secretary (or other individual performing similar functions) of such Loan Party or the survivor entity, of all corporate and shareholder action authorizing such merger and</w:t>
      </w:r>
    </w:p>
    <w:p>
      <w:pPr>
        <w:spacing w:after="0" w:line="2" w:lineRule="exact"/>
        <w:rPr>
          <w:rFonts w:ascii="Arial" w:cs="Arial" w:eastAsia="Arial" w:hAnsi="Arial"/>
          <w:sz w:val="16"/>
          <w:szCs w:val="16"/>
          <w:color w:val="auto"/>
        </w:rPr>
      </w:pPr>
    </w:p>
    <w:p>
      <w:pPr>
        <w:ind w:left="440" w:firstLine="4"/>
        <w:spacing w:after="0" w:line="255" w:lineRule="auto"/>
        <w:tabs>
          <w:tab w:leader="none" w:pos="69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copies of any filings with the Securities and Exchange Commission in connection with such merger; and (D) such Loan Party and the survivor entity each takes such other action and delivers such other documents, instruments, opinions and agreements as the Administrative Agent may reasonably request;</w:t>
      </w:r>
    </w:p>
    <w:p>
      <w:pPr>
        <w:spacing w:after="0" w:line="82" w:lineRule="exact"/>
        <w:rPr>
          <w:rFonts w:ascii="Arial" w:cs="Arial" w:eastAsia="Arial" w:hAnsi="Arial"/>
          <w:sz w:val="18"/>
          <w:szCs w:val="18"/>
          <w:color w:val="auto"/>
        </w:rPr>
      </w:pPr>
    </w:p>
    <w:p>
      <w:pPr>
        <w:ind w:left="440" w:right="100" w:firstLine="428"/>
        <w:spacing w:after="0" w:line="277" w:lineRule="auto"/>
        <w:tabs>
          <w:tab w:leader="none" w:pos="112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Borrower, the other Loan Parties and the other Subsidiaries may lease and sublease their respective assets, as lessor or sublessor (as the case may be), in the ordinary course of their business;</w:t>
      </w:r>
    </w:p>
    <w:p>
      <w:pPr>
        <w:spacing w:after="0" w:line="62" w:lineRule="exact"/>
        <w:rPr>
          <w:rFonts w:ascii="Arial" w:cs="Arial" w:eastAsia="Arial" w:hAnsi="Arial"/>
          <w:sz w:val="18"/>
          <w:szCs w:val="18"/>
          <w:color w:val="auto"/>
        </w:rPr>
      </w:pPr>
    </w:p>
    <w:p>
      <w:pPr>
        <w:ind w:left="440" w:right="60" w:firstLine="428"/>
        <w:spacing w:after="0" w:line="291" w:lineRule="auto"/>
        <w:tabs>
          <w:tab w:leader="none" w:pos="117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 Person may merge with and into the Borrower so long as (A) the Borrower is the survivor of such merger, (B) immediately prior to such merger, and immediately thereafter and after giving effect thereto, no Default or Event of Default shall have occurred and be continuing and</w:t>
      </w:r>
    </w:p>
    <w:p>
      <w:pPr>
        <w:ind w:left="440" w:right="500"/>
        <w:spacing w:after="0" w:line="290" w:lineRule="auto"/>
        <w:rPr>
          <w:rFonts w:ascii="Arial" w:cs="Arial" w:eastAsia="Arial" w:hAnsi="Arial"/>
          <w:sz w:val="16"/>
          <w:szCs w:val="16"/>
          <w:color w:val="auto"/>
        </w:rPr>
      </w:pPr>
      <w:r>
        <w:rPr>
          <w:rFonts w:ascii="Arial" w:cs="Arial" w:eastAsia="Arial" w:hAnsi="Arial"/>
          <w:sz w:val="17"/>
          <w:szCs w:val="17"/>
          <w:color w:val="auto"/>
        </w:rPr>
        <w:t>(C) the Borrower shall have given the Administrative Agent and the Lenders at least 10 Business Days’ prior written notice of such merger (except that such prior notice shall not be required in the case of a merger by a Subsidiary with and into the Borrower);</w:t>
      </w:r>
    </w:p>
    <w:p>
      <w:pPr>
        <w:spacing w:after="0" w:line="53" w:lineRule="exact"/>
        <w:rPr>
          <w:rFonts w:ascii="Arial" w:cs="Arial" w:eastAsia="Arial" w:hAnsi="Arial"/>
          <w:sz w:val="16"/>
          <w:szCs w:val="16"/>
          <w:color w:val="auto"/>
        </w:rPr>
      </w:pPr>
    </w:p>
    <w:p>
      <w:pPr>
        <w:ind w:left="440" w:right="320" w:firstLine="428"/>
        <w:spacing w:after="0" w:line="277" w:lineRule="auto"/>
        <w:tabs>
          <w:tab w:leader="none" w:pos="1168"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the Borrower and each Subsidiary may sell, transfer or dispose of assets (including by merger or liquidation of Subsidiaries) among themselves;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1"/>
          <w:numId w:val="117"/>
        </w:numPr>
        <w:rPr>
          <w:rFonts w:ascii="Arial" w:cs="Arial" w:eastAsia="Arial" w:hAnsi="Arial"/>
          <w:sz w:val="17"/>
          <w:szCs w:val="17"/>
          <w:color w:val="auto"/>
        </w:rPr>
      </w:pPr>
      <w:r>
        <w:rPr>
          <w:rFonts w:ascii="Arial" w:cs="Arial" w:eastAsia="Arial" w:hAnsi="Arial"/>
          <w:sz w:val="17"/>
          <w:szCs w:val="17"/>
          <w:color w:val="auto"/>
        </w:rPr>
        <w:t>the Borrower and each Subsidiary may transfer property as security for Indebtedness to the extent permitted under Section 9.3.</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9.6. Plans.</w:t>
      </w:r>
    </w:p>
    <w:p>
      <w:pPr>
        <w:spacing w:after="0" w:line="121" w:lineRule="exact"/>
        <w:rPr>
          <w:sz w:val="20"/>
          <w:szCs w:val="20"/>
          <w:color w:val="auto"/>
        </w:rPr>
      </w:pPr>
    </w:p>
    <w:p>
      <w:pPr>
        <w:ind w:right="100" w:firstLine="441"/>
        <w:spacing w:after="0" w:line="279" w:lineRule="auto"/>
        <w:rPr>
          <w:sz w:val="20"/>
          <w:szCs w:val="20"/>
          <w:color w:val="auto"/>
        </w:rPr>
      </w:pPr>
      <w:r>
        <w:rPr>
          <w:rFonts w:ascii="Arial" w:cs="Arial" w:eastAsia="Arial" w:hAnsi="Arial"/>
          <w:sz w:val="17"/>
          <w:szCs w:val="17"/>
          <w:color w:val="auto"/>
        </w:rPr>
        <w:t>The Borrower shall not, and shall not permit any other Loan Party or any other Subsidiary to, permit any of its respective assets to become or be deemed to be “plan assets” within the meaning of ERISA (other than as a result of contributions, in the normal course and on behalf of the Plan participants, by the Borrower, any other Loan Party, or any other Subsidiary to Benefit Arrangements, Plans, or Multiemployer Plans not prohibited by this agreement or any other loan document), the Internal Revenue Code and the respective regulations promulgated thereunder.</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9.7. Fiscal Year.</w:t>
      </w:r>
    </w:p>
    <w:p>
      <w:pPr>
        <w:spacing w:after="0" w:line="121" w:lineRule="exact"/>
        <w:rPr>
          <w:sz w:val="20"/>
          <w:szCs w:val="20"/>
          <w:color w:val="auto"/>
        </w:rPr>
      </w:pPr>
    </w:p>
    <w:p>
      <w:pPr>
        <w:ind w:right="540" w:firstLine="441"/>
        <w:spacing w:after="0" w:line="277" w:lineRule="auto"/>
        <w:rPr>
          <w:sz w:val="20"/>
          <w:szCs w:val="20"/>
          <w:color w:val="auto"/>
        </w:rPr>
      </w:pPr>
      <w:r>
        <w:rPr>
          <w:rFonts w:ascii="Arial" w:cs="Arial" w:eastAsia="Arial" w:hAnsi="Arial"/>
          <w:sz w:val="18"/>
          <w:szCs w:val="18"/>
          <w:color w:val="auto"/>
        </w:rPr>
        <w:t>The Borrower shall not, and shall not permit any other Loan Party or other Subsidiary to, change its fiscal year from that in effect as of the Agreement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9.8. Modifications of Organizational Documents.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amend, supplement, restate or otherwise modify its certificate or articles of incorporation or formation, by-laws, operating agreement, declaration of trust, partnership agreement or other applicable organizational document if such amendment, supplement, restatement or other modification could reasonably be expected to have a Material Adverse Effect.</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0960"/>
          </w:cols>
          <w:pgMar w:left="440" w:top="274" w:right="4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9.9. Transactions with Affiliates.</w:t>
      </w:r>
    </w:p>
    <w:p>
      <w:pPr>
        <w:spacing w:after="0" w:line="121" w:lineRule="exact"/>
        <w:rPr>
          <w:sz w:val="20"/>
          <w:szCs w:val="20"/>
          <w:color w:val="auto"/>
        </w:rPr>
      </w:pPr>
    </w:p>
    <w:p>
      <w:pPr>
        <w:ind w:right="200" w:firstLine="441"/>
        <w:spacing w:after="0" w:line="291" w:lineRule="auto"/>
        <w:rPr>
          <w:sz w:val="20"/>
          <w:szCs w:val="20"/>
          <w:color w:val="auto"/>
        </w:rPr>
      </w:pPr>
      <w:r>
        <w:rPr>
          <w:rFonts w:ascii="Arial" w:cs="Arial" w:eastAsia="Arial" w:hAnsi="Arial"/>
          <w:sz w:val="16"/>
          <w:szCs w:val="16"/>
          <w:color w:val="auto"/>
        </w:rPr>
        <w:t>The Borrower shall not permit to exist or enter into, and shall not permit any other Loan Party or any other Subsidiary to permit to exist or enter into, any transaction (including the purchase, sale, lease or exchange of any property or the rendering of any service) with any Affiliate, except</w:t>
      </w:r>
    </w:p>
    <w:p>
      <w:pPr>
        <w:ind w:right="20" w:firstLine="4"/>
        <w:spacing w:after="0" w:line="253" w:lineRule="auto"/>
        <w:tabs>
          <w:tab w:leader="none" w:pos="24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compensation, bonus and benefit arrangements with employees, officers and trustees as permitted by Applicable Law, (b) transactions permitted by Section 9.5. to the extent among the Borrower, the other Loan Parties and other Subsidiaries, or (c) transactions in the ordinary course of and pursuant to the reasonable requirements of the business of the Borrower, such other Loan Party or such other Subsidiary and upon fair and reasonable terms which are no less favorable to the Borrower, such other Loan Party or such other Subsidiary than would be obtained in a comparable arm’s length transaction with a Person that is not an Affiliate.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9.10. Environmental Matters.</w:t>
      </w:r>
    </w:p>
    <w:p>
      <w:pPr>
        <w:spacing w:after="0" w:line="121" w:lineRule="exact"/>
        <w:rPr>
          <w:sz w:val="20"/>
          <w:szCs w:val="20"/>
          <w:color w:val="auto"/>
        </w:rPr>
      </w:pPr>
    </w:p>
    <w:p>
      <w:pPr>
        <w:ind w:right="120" w:firstLine="441"/>
        <w:spacing w:after="0" w:line="255" w:lineRule="auto"/>
        <w:rPr>
          <w:sz w:val="20"/>
          <w:szCs w:val="20"/>
          <w:color w:val="auto"/>
        </w:rPr>
      </w:pPr>
      <w:r>
        <w:rPr>
          <w:rFonts w:ascii="Arial" w:cs="Arial" w:eastAsia="Arial" w:hAnsi="Arial"/>
          <w:sz w:val="18"/>
          <w:szCs w:val="18"/>
          <w:color w:val="auto"/>
        </w:rPr>
        <w:t>The Borrower shall not, and shall not permit any other Loan Party, or any other Subsidiary, and shall use commercially reasonable efforts (which shall include, for purposes of this Section, including customary provisions in lease agreements with tenants restricting such activities) not to permit any other Person to, use, generate, discharge, emit, manufacture, handle, process, store, release, transport, remove, dispose of or clean up any Hazardous Materials on, under or from the Properties in violation of any Environmental Law or in a manner that could reasonably be expected to lead to any environmental claim or pose a material risk to human health, safety or the environment, in each case which violation, claim or risk could reasonably be expected to have a Material Adverse Effect. Nothing in this Section shall impose any obligation or liability whatsoever on the Administrative Agent or any Lender.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9.11. Non-Controlled Properties.</w:t>
      </w:r>
    </w:p>
    <w:p>
      <w:pPr>
        <w:spacing w:after="0" w:line="121" w:lineRule="exact"/>
        <w:rPr>
          <w:sz w:val="20"/>
          <w:szCs w:val="20"/>
          <w:color w:val="auto"/>
        </w:rPr>
      </w:pPr>
    </w:p>
    <w:p>
      <w:pPr>
        <w:ind w:right="40" w:firstLine="441"/>
        <w:spacing w:after="0" w:line="277" w:lineRule="auto"/>
        <w:rPr>
          <w:sz w:val="20"/>
          <w:szCs w:val="20"/>
          <w:color w:val="auto"/>
        </w:rPr>
      </w:pPr>
      <w:r>
        <w:rPr>
          <w:rFonts w:ascii="Arial" w:cs="Arial" w:eastAsia="Arial" w:hAnsi="Arial"/>
          <w:sz w:val="18"/>
          <w:szCs w:val="18"/>
          <w:color w:val="auto"/>
        </w:rPr>
        <w:t>The Borrower shall not permit any Subsidiary that owns a Non-Controlled Property to own any assets other than another Non-Controlled Property and other nonmaterial assets incidental to the ownership of a Non-Controlled Property.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9.12. Derivatives Contracts.</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The Borrower shall not, and shall not permit any other Loan Party or any other Subsidiary to, enter into or become obligated in respect of Derivatives Contracts other than Derivatives Contracts entered into by the Borrower, any such Loan Party or any such Subsidiary in the ordinary course of business and which establish an effective hedge in respect of liabilities, commitments or assets held or reasonably anticipated by the Borrower, such other Loan Party or such other Subsidiary.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9.13. Use of Proceeds.</w:t>
      </w:r>
    </w:p>
    <w:p>
      <w:pPr>
        <w:spacing w:after="0" w:line="121" w:lineRule="exact"/>
        <w:rPr>
          <w:sz w:val="20"/>
          <w:szCs w:val="20"/>
          <w:color w:val="auto"/>
        </w:rPr>
      </w:pPr>
    </w:p>
    <w:p>
      <w:pPr>
        <w:ind w:left="680" w:hanging="236"/>
        <w:spacing w:after="0"/>
        <w:tabs>
          <w:tab w:leader="none" w:pos="6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The Borrower shall not, and shall not permit any other Loan Party or any other Subsidiary to, use any part of the proceeds of the Loans to</w:t>
      </w:r>
    </w:p>
    <w:p>
      <w:pPr>
        <w:spacing w:after="0" w:line="34" w:lineRule="exact"/>
        <w:rPr>
          <w:rFonts w:ascii="Arial" w:cs="Arial" w:eastAsia="Arial" w:hAnsi="Arial"/>
          <w:sz w:val="17"/>
          <w:szCs w:val="17"/>
          <w:color w:val="auto"/>
        </w:rPr>
      </w:pPr>
    </w:p>
    <w:p>
      <w:pPr>
        <w:ind w:firstLine="4"/>
        <w:spacing w:after="0" w:line="255" w:lineRule="auto"/>
        <w:tabs>
          <w:tab w:leader="none" w:pos="21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purchase or carry, or to reduce or retire or refinance any credit incurred to purchase or carry, any margin stock (within the meaning of Regulation U or Regulation X of the Board of Governors of the Federal Reserve System) or (ii) to extend credit to others for the purpose of purchasing or carrying any such margin stock.</w:t>
      </w:r>
    </w:p>
    <w:p>
      <w:pPr>
        <w:spacing w:after="0" w:line="190" w:lineRule="exact"/>
        <w:rPr>
          <w:rFonts w:ascii="Arial" w:cs="Arial" w:eastAsia="Arial" w:hAnsi="Arial"/>
          <w:sz w:val="18"/>
          <w:szCs w:val="18"/>
          <w:color w:val="auto"/>
        </w:rPr>
      </w:pPr>
    </w:p>
    <w:p>
      <w:pPr>
        <w:ind w:right="120" w:firstLine="444"/>
        <w:spacing w:after="0" w:line="255" w:lineRule="auto"/>
        <w:tabs>
          <w:tab w:leader="none" w:pos="696"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Borrower will not request any Loans or Letters of Credit, and the Borrower shall not use, and shall ensure that its Subsidiaries and its or their respective directors, officers, employees and agents shall not use, the proceeds of any Loans or Letters of Credit, directly or indirectly, (i) in furtherance of an offer, payment, promise to pay, or authorization of the payment or giving of money, or anything else of value, to any Person in violation of any Anti-Corruption Laws or Anti-Money Laundering Law, (ii) for the purpose of funding, financing or facilitating any activities, business or transaction of or with any Sanctioned Person, or in any Sanctioned Country, or (iii) in any manner that would result in the violation of any Sanctions applicable to any party hereto.</w:t>
      </w:r>
    </w:p>
    <w:p>
      <w:pPr>
        <w:spacing w:after="0" w:line="125" w:lineRule="exact"/>
        <w:rPr>
          <w:rFonts w:ascii="Arial" w:cs="Arial" w:eastAsia="Arial" w:hAnsi="Arial"/>
          <w:sz w:val="18"/>
          <w:szCs w:val="18"/>
          <w:color w:val="auto"/>
        </w:rPr>
      </w:pPr>
    </w:p>
    <w:p>
      <w:pPr>
        <w:ind w:left="5420" w:hanging="101"/>
        <w:spacing w:after="0"/>
        <w:tabs>
          <w:tab w:leader="none" w:pos="5420" w:val="left"/>
        </w:tabs>
        <w:numPr>
          <w:ilvl w:val="2"/>
          <w:numId w:val="120"/>
        </w:numPr>
        <w:rPr>
          <w:rFonts w:ascii="Arial" w:cs="Arial" w:eastAsia="Arial" w:hAnsi="Arial"/>
          <w:sz w:val="18"/>
          <w:szCs w:val="18"/>
          <w:color w:val="auto"/>
        </w:rPr>
      </w:pPr>
      <w:r>
        <w:rPr>
          <w:rFonts w:ascii="Arial" w:cs="Arial" w:eastAsia="Arial" w:hAnsi="Arial"/>
          <w:sz w:val="18"/>
          <w:szCs w:val="18"/>
          <w:color w:val="auto"/>
        </w:rPr>
        <w:t>88 -</w:t>
      </w:r>
    </w:p>
    <w:p>
      <w:pPr>
        <w:sectPr>
          <w:pgSz w:w="11900" w:h="16838" w:orient="portrait"/>
          <w:cols w:equalWidth="0" w:num="1">
            <w:col w:w="11020"/>
          </w:cols>
          <w:pgMar w:left="440" w:top="270" w:right="43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X. D</w:t>
      </w:r>
      <w:r>
        <w:rPr>
          <w:rFonts w:ascii="Arial" w:cs="Arial" w:eastAsia="Arial" w:hAnsi="Arial"/>
          <w:sz w:val="15"/>
          <w:szCs w:val="15"/>
          <w:b w:val="1"/>
          <w:bCs w:val="1"/>
          <w:color w:val="auto"/>
        </w:rPr>
        <w:t>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10.1. Events of Default.</w:t>
      </w:r>
    </w:p>
    <w:p>
      <w:pPr>
        <w:spacing w:after="0" w:line="12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Each of the following shall constitute an Event of Default, whatever the reason for such event and whether it shall be voluntary or involuntary or be effected by operation of Applicable Law or pursuant to any judgment or order of any Governmental Authority:</w:t>
      </w:r>
    </w:p>
    <w:p>
      <w:pPr>
        <w:spacing w:after="0" w:line="62" w:lineRule="exact"/>
        <w:rPr>
          <w:sz w:val="20"/>
          <w:szCs w:val="20"/>
          <w:color w:val="auto"/>
        </w:rPr>
      </w:pPr>
    </w:p>
    <w:p>
      <w:pPr>
        <w:ind w:right="220" w:firstLine="444"/>
        <w:spacing w:after="0" w:line="291" w:lineRule="auto"/>
        <w:tabs>
          <w:tab w:leader="none" w:pos="685" w:val="left"/>
        </w:tabs>
        <w:numPr>
          <w:ilvl w:val="1"/>
          <w:numId w:val="121"/>
        </w:numPr>
        <w:rPr>
          <w:rFonts w:ascii="Arial" w:cs="Arial" w:eastAsia="Arial" w:hAnsi="Arial"/>
          <w:sz w:val="16"/>
          <w:szCs w:val="16"/>
          <w:color w:val="auto"/>
        </w:rPr>
      </w:pPr>
      <w:r>
        <w:rPr>
          <w:rFonts w:ascii="Arial" w:cs="Arial" w:eastAsia="Arial" w:hAnsi="Arial"/>
          <w:sz w:val="16"/>
          <w:szCs w:val="16"/>
          <w:u w:val="single" w:color="auto"/>
          <w:color w:val="auto"/>
        </w:rPr>
        <w:t>Default in Payment</w:t>
      </w:r>
      <w:r>
        <w:rPr>
          <w:rFonts w:ascii="Arial" w:cs="Arial" w:eastAsia="Arial" w:hAnsi="Arial"/>
          <w:sz w:val="16"/>
          <w:szCs w:val="16"/>
          <w:color w:val="auto"/>
        </w:rPr>
        <w:t>. The Borrower or any other Loan Party shall fail to pay (i) when due under this Agreement or any other Loan Document (whether upon demand, at maturity, by reason of acceleration or otherwise) the principal of any of the Loans or any Reimbursement Obligation, or</w:t>
      </w:r>
    </w:p>
    <w:p>
      <w:pPr>
        <w:ind w:right="60" w:firstLine="4"/>
        <w:spacing w:after="0" w:line="255" w:lineRule="auto"/>
        <w:tabs>
          <w:tab w:leader="none" w:pos="26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when due under this Agreement, any other Loan Document or the Fee Letter any interest on, any of the Loans or any Reimbursement Obligation, any of the other payment Obligations owing by the Borrower under this Agreement, any other Loan Document or the Fee Letter and, solely with respect to this clause (ii) such failure shall continue for a period of five (5) Business Days.</w:t>
      </w:r>
    </w:p>
    <w:p>
      <w:pPr>
        <w:spacing w:after="0" w:line="82" w:lineRule="exact"/>
        <w:rPr>
          <w:rFonts w:ascii="Arial" w:cs="Arial" w:eastAsia="Arial" w:hAnsi="Arial"/>
          <w:sz w:val="18"/>
          <w:szCs w:val="18"/>
          <w:color w:val="auto"/>
        </w:rPr>
      </w:pPr>
    </w:p>
    <w:p>
      <w:pPr>
        <w:ind w:left="700" w:hanging="256"/>
        <w:spacing w:after="0"/>
        <w:tabs>
          <w:tab w:leader="none" w:pos="7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Default in Performance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40" w:right="180" w:firstLine="428"/>
        <w:spacing w:after="0" w:line="264" w:lineRule="auto"/>
        <w:tabs>
          <w:tab w:leader="none" w:pos="1078"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on its part to be performed or observed and contained in Sections 7.1 (with respect to the existence of the Borrower or any other Loan Party), 8.4(i) (with respect to notice of the occurrence of a Default or Event of Default), 8.4.(k) or Article IX.; or</w:t>
      </w:r>
    </w:p>
    <w:p>
      <w:pPr>
        <w:spacing w:after="0" w:line="73" w:lineRule="exact"/>
        <w:rPr>
          <w:rFonts w:ascii="Arial" w:cs="Arial" w:eastAsia="Arial" w:hAnsi="Arial"/>
          <w:sz w:val="18"/>
          <w:szCs w:val="18"/>
          <w:color w:val="auto"/>
        </w:rPr>
      </w:pPr>
    </w:p>
    <w:p>
      <w:pPr>
        <w:ind w:left="440" w:right="80" w:firstLine="428"/>
        <w:spacing w:after="0" w:line="257" w:lineRule="auto"/>
        <w:tabs>
          <w:tab w:leader="none" w:pos="1128" w:val="left"/>
        </w:tabs>
        <w:numPr>
          <w:ilvl w:val="2"/>
          <w:numId w:val="122"/>
        </w:numPr>
        <w:rPr>
          <w:rFonts w:ascii="Arial" w:cs="Arial" w:eastAsia="Arial" w:hAnsi="Arial"/>
          <w:sz w:val="18"/>
          <w:szCs w:val="18"/>
          <w:color w:val="auto"/>
        </w:rPr>
      </w:pPr>
      <w:r>
        <w:rPr>
          <w:rFonts w:ascii="Arial" w:cs="Arial" w:eastAsia="Arial" w:hAnsi="Arial"/>
          <w:sz w:val="18"/>
          <w:szCs w:val="18"/>
          <w:color w:val="auto"/>
        </w:rPr>
        <w:t>Any Loan Party shall fail to perform or observe any term, covenant, condition or agreement contained in this Agreement or any other Loan Document to which it is a party and not otherwise mentioned in this Section, and in the case of this subsection (b)(ii) only, such failure shall continue for a period of 30 days after the earlier of (x) the date upon which a Responsible Officer of the Borrower or such other Loan Party obtains knowledge of such failure or (y) the date upon which the Borrower has received written notice of such failure from the Administrative Agent.</w:t>
      </w:r>
    </w:p>
    <w:p>
      <w:pPr>
        <w:spacing w:after="0" w:line="80" w:lineRule="exact"/>
        <w:rPr>
          <w:rFonts w:ascii="Arial" w:cs="Arial" w:eastAsia="Arial" w:hAnsi="Arial"/>
          <w:sz w:val="18"/>
          <w:szCs w:val="18"/>
          <w:color w:val="auto"/>
        </w:rPr>
      </w:pPr>
    </w:p>
    <w:p>
      <w:pPr>
        <w:ind w:right="140" w:firstLine="444"/>
        <w:spacing w:after="0" w:line="257" w:lineRule="auto"/>
        <w:tabs>
          <w:tab w:leader="none" w:pos="685"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Misrepresentations</w:t>
      </w:r>
      <w:r>
        <w:rPr>
          <w:rFonts w:ascii="Arial" w:cs="Arial" w:eastAsia="Arial" w:hAnsi="Arial"/>
          <w:sz w:val="18"/>
          <w:szCs w:val="18"/>
          <w:color w:val="auto"/>
        </w:rPr>
        <w:t>. Any written statement, representation or warranty made or deemed made by or on behalf of any Loan Party under this Agreement or under any other Loan Document, or any amendment hereto or thereto, or in any other writing or statement at any time furnished by, or at the direction of, any Loan Party to the Administrative Agent, the Issuing Bank or any Lender, shall at any time prove to have been incorrect or misleading, in light of the circumstances in which made or deemed made, in any material respect (or, to the extent qualified by materiality or Material Adverse Effect, in all respects) when furnished or made or deemed made.</w:t>
      </w:r>
    </w:p>
    <w:p>
      <w:pPr>
        <w:spacing w:after="0" w:line="80" w:lineRule="exact"/>
        <w:rPr>
          <w:rFonts w:ascii="Arial" w:cs="Arial" w:eastAsia="Arial" w:hAnsi="Arial"/>
          <w:sz w:val="18"/>
          <w:szCs w:val="18"/>
          <w:color w:val="auto"/>
        </w:rPr>
      </w:pPr>
    </w:p>
    <w:p>
      <w:pPr>
        <w:ind w:left="700" w:hanging="256"/>
        <w:spacing w:after="0"/>
        <w:tabs>
          <w:tab w:leader="none" w:pos="700" w:val="left"/>
        </w:tabs>
        <w:numPr>
          <w:ilvl w:val="1"/>
          <w:numId w:val="122"/>
        </w:numPr>
        <w:rPr>
          <w:rFonts w:ascii="Arial" w:cs="Arial" w:eastAsia="Arial" w:hAnsi="Arial"/>
          <w:sz w:val="18"/>
          <w:szCs w:val="18"/>
          <w:color w:val="auto"/>
        </w:rPr>
      </w:pPr>
      <w:r>
        <w:rPr>
          <w:rFonts w:ascii="Arial" w:cs="Arial" w:eastAsia="Arial" w:hAnsi="Arial"/>
          <w:sz w:val="18"/>
          <w:szCs w:val="18"/>
          <w:u w:val="single" w:color="auto"/>
          <w:color w:val="auto"/>
        </w:rPr>
        <w:t>Indebtedness Cross-Default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28"/>
        <w:spacing w:after="0" w:line="255" w:lineRule="auto"/>
        <w:tabs>
          <w:tab w:leader="none" w:pos="1078" w:val="left"/>
        </w:tabs>
        <w:numPr>
          <w:ilvl w:val="2"/>
          <w:numId w:val="122"/>
        </w:numPr>
        <w:rPr>
          <w:rFonts w:ascii="Arial" w:cs="Arial" w:eastAsia="Arial" w:hAnsi="Arial"/>
          <w:sz w:val="18"/>
          <w:szCs w:val="18"/>
          <w:color w:val="auto"/>
        </w:rPr>
      </w:pPr>
      <w:r>
        <w:rPr>
          <w:rFonts w:ascii="Arial" w:cs="Arial" w:eastAsia="Arial" w:hAnsi="Arial"/>
          <w:sz w:val="18"/>
          <w:szCs w:val="18"/>
          <w:color w:val="auto"/>
        </w:rPr>
        <w:t>The Borrower, any other Loan Party or any other Subsidiary shall fail to make any payment when due and payable of the principal of, or interest on (after giving effect to the expiration of any grace period for such payment), any Indebtedness (other than the Loans and Reimbursement Obligations but including Secured Indebtedness accelerated or required to be prepaid or repurchased prior to the stated maturity as a result of a casualty with respect to, or condemnation of, the Property securing such Secured Indebtedness) having an aggregate outstanding principal amount (or, in the case of any Derivatives Contract, having, without regard to the effect of any close-out netting provision, a Derivatives Termination Value), in each case individually or in the aggregate with all other Indebtedness as to which such a failure exists, of more than $125,000,000 (“</w:t>
      </w:r>
      <w:r>
        <w:rPr>
          <w:rFonts w:ascii="Arial" w:cs="Arial" w:eastAsia="Arial" w:hAnsi="Arial"/>
          <w:sz w:val="18"/>
          <w:szCs w:val="18"/>
          <w:b w:val="1"/>
          <w:bCs w:val="1"/>
          <w:color w:val="auto"/>
        </w:rPr>
        <w:t>Material Indebtedness</w:t>
      </w:r>
      <w:r>
        <w:rPr>
          <w:rFonts w:ascii="Arial" w:cs="Arial" w:eastAsia="Arial" w:hAnsi="Arial"/>
          <w:sz w:val="18"/>
          <w:szCs w:val="18"/>
          <w:color w:val="auto"/>
        </w:rPr>
        <w:t>”); or</w:t>
      </w:r>
    </w:p>
    <w:p>
      <w:pPr>
        <w:spacing w:after="0" w:line="121" w:lineRule="exact"/>
        <w:rPr>
          <w:rFonts w:ascii="Arial" w:cs="Arial" w:eastAsia="Arial" w:hAnsi="Arial"/>
          <w:sz w:val="18"/>
          <w:szCs w:val="18"/>
          <w:color w:val="auto"/>
        </w:rPr>
      </w:pPr>
    </w:p>
    <w:p>
      <w:pPr>
        <w:ind w:left="5420" w:hanging="101"/>
        <w:spacing w:after="0"/>
        <w:tabs>
          <w:tab w:leader="none" w:pos="5420" w:val="left"/>
        </w:tabs>
        <w:numPr>
          <w:ilvl w:val="3"/>
          <w:numId w:val="122"/>
        </w:numPr>
        <w:rPr>
          <w:rFonts w:ascii="Arial" w:cs="Arial" w:eastAsia="Arial" w:hAnsi="Arial"/>
          <w:sz w:val="18"/>
          <w:szCs w:val="18"/>
          <w:color w:val="auto"/>
        </w:rPr>
      </w:pPr>
      <w:r>
        <w:rPr>
          <w:rFonts w:ascii="Arial" w:cs="Arial" w:eastAsia="Arial" w:hAnsi="Arial"/>
          <w:sz w:val="18"/>
          <w:szCs w:val="18"/>
          <w:color w:val="auto"/>
        </w:rPr>
        <w:t>89 -</w:t>
      </w:r>
    </w:p>
    <w:p>
      <w:pPr>
        <w:sectPr>
          <w:pgSz w:w="11900" w:h="16838" w:orient="portrait"/>
          <w:cols w:equalWidth="0" w:num="1">
            <w:col w:w="11020"/>
          </w:cols>
          <w:pgMar w:left="440" w:top="270" w:right="439" w:bottom="1440" w:gutter="0" w:footer="0" w:header="0"/>
        </w:sectPr>
      </w:pPr>
    </w:p>
    <w:bookmarkStart w:id="98" w:name="page99"/>
    <w:bookmarkEnd w:id="98"/>
    <w:p>
      <w:pPr>
        <w:ind w:left="440" w:firstLine="428"/>
        <w:spacing w:after="0" w:line="264" w:lineRule="auto"/>
        <w:tabs>
          <w:tab w:leader="none" w:pos="1128" w:val="left"/>
        </w:tabs>
        <w:numPr>
          <w:ilvl w:val="0"/>
          <w:numId w:val="1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(x) The maturity of any Material Indebtedness shall have been accelerated in accordance with the provisions of any indenture, contract or instrument evidencing, providing for the creation of or otherwise concerning such Material Indebtedness or (y) any Material Indebtedness shall have been required to be prepaid or repurchased prior to the stated maturity thereof; or</w:t>
      </w:r>
    </w:p>
    <w:p>
      <w:pPr>
        <w:spacing w:after="0" w:line="73" w:lineRule="exact"/>
        <w:rPr>
          <w:rFonts w:ascii="Arial" w:cs="Arial" w:eastAsia="Arial" w:hAnsi="Arial"/>
          <w:sz w:val="18"/>
          <w:szCs w:val="18"/>
          <w:color w:val="auto"/>
        </w:rPr>
      </w:pPr>
    </w:p>
    <w:p>
      <w:pPr>
        <w:ind w:left="440" w:right="40" w:firstLine="428"/>
        <w:spacing w:after="0" w:line="312" w:lineRule="auto"/>
        <w:tabs>
          <w:tab w:leader="none" w:pos="1178" w:val="left"/>
        </w:tabs>
        <w:numPr>
          <w:ilvl w:val="0"/>
          <w:numId w:val="123"/>
        </w:numPr>
        <w:rPr>
          <w:rFonts w:ascii="Arial" w:cs="Arial" w:eastAsia="Arial" w:hAnsi="Arial"/>
          <w:sz w:val="16"/>
          <w:szCs w:val="16"/>
          <w:color w:val="auto"/>
        </w:rPr>
      </w:pPr>
      <w:r>
        <w:rPr>
          <w:rFonts w:ascii="Arial" w:cs="Arial" w:eastAsia="Arial" w:hAnsi="Arial"/>
          <w:sz w:val="16"/>
          <w:szCs w:val="16"/>
          <w:color w:val="auto"/>
        </w:rPr>
        <w:t>Any other event shall have occurred and be continuing (and any related grace period shall have expired) which would permit any holder or holders of any Material Indebtedness, any trustee or agent acting on behalf of such holder or holders or any other Person, to accelerate the maturity of any such Material Indebtedness or require any such Material Indebtedness to be prepaid or repurchased prior to its stated maturity; or</w:t>
      </w:r>
    </w:p>
    <w:p>
      <w:pPr>
        <w:spacing w:after="0" w:line="38" w:lineRule="exact"/>
        <w:rPr>
          <w:rFonts w:ascii="Arial" w:cs="Arial" w:eastAsia="Arial" w:hAnsi="Arial"/>
          <w:sz w:val="16"/>
          <w:szCs w:val="16"/>
          <w:color w:val="auto"/>
        </w:rPr>
      </w:pPr>
    </w:p>
    <w:p>
      <w:pPr>
        <w:ind w:left="440" w:right="380" w:firstLine="428"/>
        <w:spacing w:after="0" w:line="277" w:lineRule="auto"/>
        <w:tabs>
          <w:tab w:leader="none" w:pos="1168"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Loan Party shall fail to pay when due and payable amounts in excess of $125,000,000 in the aggregate owing in respect of any Derivatives Contracts.</w:t>
      </w:r>
    </w:p>
    <w:p>
      <w:pPr>
        <w:spacing w:after="0" w:line="170" w:lineRule="exact"/>
        <w:rPr>
          <w:sz w:val="20"/>
          <w:szCs w:val="20"/>
          <w:color w:val="auto"/>
        </w:rPr>
      </w:pPr>
    </w:p>
    <w:p>
      <w:pPr>
        <w:jc w:val="both"/>
        <w:ind w:right="480" w:firstLine="441"/>
        <w:spacing w:after="0" w:line="264" w:lineRule="auto"/>
        <w:rPr>
          <w:sz w:val="20"/>
          <w:szCs w:val="20"/>
          <w:color w:val="auto"/>
        </w:rPr>
      </w:pPr>
      <w:r>
        <w:rPr>
          <w:rFonts w:ascii="Arial" w:cs="Arial" w:eastAsia="Arial" w:hAnsi="Arial"/>
          <w:sz w:val="18"/>
          <w:szCs w:val="18"/>
          <w:color w:val="auto"/>
        </w:rPr>
        <w:t>The provisions of the immediately preceding clauses (ii) and (iii) shall not apply to any Secured Indebtedness accelerated, or required to be prepaid or repurchased prior to the stated maturity thereof, as a result of a casualty with respect to, or condemnation of, the Property securing such Secured Indebtedness.</w:t>
      </w:r>
    </w:p>
    <w:p>
      <w:pPr>
        <w:spacing w:after="0" w:line="73" w:lineRule="exact"/>
        <w:rPr>
          <w:sz w:val="20"/>
          <w:szCs w:val="20"/>
          <w:color w:val="auto"/>
        </w:rPr>
      </w:pPr>
    </w:p>
    <w:p>
      <w:pPr>
        <w:jc w:val="both"/>
        <w:ind w:right="280" w:firstLine="444"/>
        <w:spacing w:after="0" w:line="288" w:lineRule="auto"/>
        <w:tabs>
          <w:tab w:leader="none" w:pos="685"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Voluntary Bankruptcy Proceeding</w:t>
      </w:r>
      <w:r>
        <w:rPr>
          <w:rFonts w:ascii="Arial" w:cs="Arial" w:eastAsia="Arial" w:hAnsi="Arial"/>
          <w:sz w:val="16"/>
          <w:szCs w:val="16"/>
          <w:color w:val="auto"/>
        </w:rPr>
        <w:t>. The Borrower, any other Loan Party, or any Significant Subsidiary, shall: (i) commence a voluntary case under the Bankruptcy Code or other federal bankruptcy laws (as now or hereafter in effect); (ii) file a petition seeking to take advantage of any other Applicable Laws, domestic or foreign, relating to bankruptcy, insolvency, reorganization, winding-up, or composition or adjustment of debts;</w:t>
      </w:r>
    </w:p>
    <w:p>
      <w:pPr>
        <w:ind w:right="120" w:firstLine="4"/>
        <w:spacing w:after="0" w:line="252" w:lineRule="auto"/>
        <w:tabs>
          <w:tab w:leader="none" w:pos="31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consent to, or fail to contest in a timely and appropriate manner, any petition filed against it in an involuntary case under such bankruptcy laws or other Applicable Laws or consent to any proceeding or action described in the immediately following subsection (f); (iv) apply for or consent to, or fail to contest in a timely and appropriate manner, the appointment of, or the taking of possession by, a receiver, custodian, trustee, or liquidator of itself or of a substantial part of its property, domestic or foreign; (v) admit in writing its inability to pay its debts as they become due; (vi) make a general assignment for the benefit of creditors; (vii) make a conveyance fraudulent as to creditors under any Applicable Law; or (viii) take any corporate or partnership action for the purpose of effecting any of the foregoing.</w:t>
      </w:r>
    </w:p>
    <w:p>
      <w:pPr>
        <w:spacing w:after="0" w:line="86" w:lineRule="exact"/>
        <w:rPr>
          <w:rFonts w:ascii="Arial" w:cs="Arial" w:eastAsia="Arial" w:hAnsi="Arial"/>
          <w:sz w:val="18"/>
          <w:szCs w:val="18"/>
          <w:color w:val="auto"/>
        </w:rPr>
      </w:pPr>
    </w:p>
    <w:p>
      <w:pPr>
        <w:ind w:right="120" w:firstLine="444"/>
        <w:spacing w:after="0" w:line="291" w:lineRule="auto"/>
        <w:tabs>
          <w:tab w:leader="none" w:pos="665"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Involuntary Bankruptcy Proceeding</w:t>
      </w:r>
      <w:r>
        <w:rPr>
          <w:rFonts w:ascii="Arial" w:cs="Arial" w:eastAsia="Arial" w:hAnsi="Arial"/>
          <w:sz w:val="16"/>
          <w:szCs w:val="16"/>
          <w:color w:val="auto"/>
        </w:rPr>
        <w:t>. A case or other proceeding shall be commenced against the Borrower, any other Loan Party, or any other Significant Subsidiary, in any court of competent jurisdiction seeking: (i) relief under the Bankruptcy Code or other federal bankruptcy laws (as now or hereafter in effect) or under any other Applicable Laws, domestic or foreign, relating to bankruptcy, insolvency, reorganization, winding-up, or composition or adjustment of debts; or (ii) the appointment of a trustee, receiver, custodian, liquidator or the like of such Person, or of all or any substantial part of the assets, domestic or foreign, of such Person, and in the case of either clause (i) or (ii) such case or proceeding shall continue undismissed or unstayed for a period of 60 consecutive days, or an order granting the remedy or other relief requested in such case or proceeding (including, but not limited to, an order for relief under such Bankruptcy Code or such other federal bankruptcy laws) shall be entered.</w:t>
      </w:r>
    </w:p>
    <w:p>
      <w:pPr>
        <w:spacing w:after="0" w:line="59" w:lineRule="exact"/>
        <w:rPr>
          <w:rFonts w:ascii="Arial" w:cs="Arial" w:eastAsia="Arial" w:hAnsi="Arial"/>
          <w:sz w:val="16"/>
          <w:szCs w:val="16"/>
          <w:color w:val="auto"/>
        </w:rPr>
      </w:pPr>
    </w:p>
    <w:p>
      <w:pPr>
        <w:ind w:right="180" w:firstLine="444"/>
        <w:spacing w:after="0" w:line="279" w:lineRule="auto"/>
        <w:tabs>
          <w:tab w:leader="none" w:pos="695" w:val="left"/>
        </w:tabs>
        <w:numPr>
          <w:ilvl w:val="1"/>
          <w:numId w:val="125"/>
        </w:numPr>
        <w:rPr>
          <w:rFonts w:ascii="Arial" w:cs="Arial" w:eastAsia="Arial" w:hAnsi="Arial"/>
          <w:sz w:val="17"/>
          <w:szCs w:val="17"/>
          <w:color w:val="auto"/>
        </w:rPr>
      </w:pPr>
      <w:r>
        <w:rPr>
          <w:rFonts w:ascii="Arial" w:cs="Arial" w:eastAsia="Arial" w:hAnsi="Arial"/>
          <w:sz w:val="17"/>
          <w:szCs w:val="17"/>
          <w:u w:val="single" w:color="auto"/>
          <w:color w:val="auto"/>
        </w:rPr>
        <w:t>Revocation of Loan Documents</w:t>
      </w:r>
      <w:r>
        <w:rPr>
          <w:rFonts w:ascii="Arial" w:cs="Arial" w:eastAsia="Arial" w:hAnsi="Arial"/>
          <w:sz w:val="17"/>
          <w:szCs w:val="17"/>
          <w:color w:val="auto"/>
        </w:rPr>
        <w:t>. The Borrower or any other Loan Party shall disavow, revoke or terminate (or, except as expressly permitted herein, attempt to terminate) any Loan Document or the Fee Letter to which it is a party or shall otherwise challenge or contest in any action, suit or proceeding in any court or before any Governmental Authority the validity or enforceability of any Loan Document or the Fee Letter or any Loan Document or the Fee Letter shall cease to be in full force and effect (except as a result of the express terms thereof).</w:t>
      </w:r>
    </w:p>
    <w:p>
      <w:pPr>
        <w:spacing w:after="0" w:line="103" w:lineRule="exact"/>
        <w:rPr>
          <w:rFonts w:ascii="Arial" w:cs="Arial" w:eastAsia="Arial" w:hAnsi="Arial"/>
          <w:sz w:val="17"/>
          <w:szCs w:val="17"/>
          <w:color w:val="auto"/>
        </w:rPr>
      </w:pPr>
    </w:p>
    <w:p>
      <w:pPr>
        <w:ind w:left="5420" w:hanging="101"/>
        <w:spacing w:after="0"/>
        <w:tabs>
          <w:tab w:leader="none" w:pos="542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90 -</w:t>
      </w:r>
    </w:p>
    <w:p>
      <w:pPr>
        <w:sectPr>
          <w:pgSz w:w="11900" w:h="16838" w:orient="portrait"/>
          <w:cols w:equalWidth="0" w:num="1">
            <w:col w:w="11020"/>
          </w:cols>
          <w:pgMar w:left="440" w:top="274" w:right="439" w:bottom="1440" w:gutter="0" w:footer="0" w:header="0"/>
        </w:sectPr>
      </w:pPr>
    </w:p>
    <w:bookmarkStart w:id="99" w:name="page100"/>
    <w:bookmarkEnd w:id="99"/>
    <w:p>
      <w:pPr>
        <w:ind w:left="-4" w:firstLine="444"/>
        <w:spacing w:after="0" w:line="291" w:lineRule="auto"/>
        <w:tabs>
          <w:tab w:leader="none" w:pos="692" w:val="left"/>
        </w:tabs>
        <w:numPr>
          <w:ilvl w:val="1"/>
          <w:numId w:val="1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Judgment</w:t>
      </w:r>
      <w:r>
        <w:rPr>
          <w:rFonts w:ascii="Arial" w:cs="Arial" w:eastAsia="Arial" w:hAnsi="Arial"/>
          <w:sz w:val="16"/>
          <w:szCs w:val="16"/>
          <w:color w:val="auto"/>
        </w:rPr>
        <w:t>. A judgment or order for the payment of money or for an injunction or other non-monetary relief shall be entered against the Borrower, any other Loan Party, or any other Subsidiary by any court or other tribunal and (i) such judgment or order shall continue for a period of thirty</w:t>
      </w:r>
    </w:p>
    <w:p>
      <w:pPr>
        <w:ind w:left="-4" w:right="20" w:firstLine="4"/>
        <w:spacing w:after="0" w:line="253" w:lineRule="auto"/>
        <w:tabs>
          <w:tab w:leader="none" w:pos="34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days without being paid, stayed or dismissed through appropriate appellate proceedings and (ii) either (A) the amount of such judgment or order for which insurance has not been acknowledged in writing by the applicable insurance carrier (or the amount as to which the insurer has denied liability) exceeds, individually or together with all other such outstanding judgments or orders entered against the Loan Parties or any other Subsidiary, $125,000,000 or (B) in the case of an injunction or other non-monetary relief, such injunction or judgment or order could reasonably be expected to have a Material Adverse Effect.</w:t>
      </w:r>
    </w:p>
    <w:p>
      <w:pPr>
        <w:spacing w:after="0" w:line="83" w:lineRule="exact"/>
        <w:rPr>
          <w:rFonts w:ascii="Arial" w:cs="Arial" w:eastAsia="Arial" w:hAnsi="Arial"/>
          <w:sz w:val="18"/>
          <w:szCs w:val="18"/>
          <w:color w:val="auto"/>
        </w:rPr>
      </w:pPr>
    </w:p>
    <w:p>
      <w:pPr>
        <w:ind w:left="-4" w:right="160" w:firstLine="444"/>
        <w:spacing w:after="0" w:line="272" w:lineRule="auto"/>
        <w:tabs>
          <w:tab w:leader="none" w:pos="652" w:val="left"/>
        </w:tabs>
        <w:numPr>
          <w:ilvl w:val="1"/>
          <w:numId w:val="127"/>
        </w:numPr>
        <w:rPr>
          <w:rFonts w:ascii="Arial" w:cs="Arial" w:eastAsia="Arial" w:hAnsi="Arial"/>
          <w:sz w:val="17"/>
          <w:szCs w:val="17"/>
          <w:color w:val="auto"/>
        </w:rPr>
      </w:pPr>
      <w:r>
        <w:rPr>
          <w:rFonts w:ascii="Arial" w:cs="Arial" w:eastAsia="Arial" w:hAnsi="Arial"/>
          <w:sz w:val="17"/>
          <w:szCs w:val="17"/>
          <w:u w:val="single" w:color="auto"/>
          <w:color w:val="auto"/>
        </w:rPr>
        <w:t>Attachment</w:t>
      </w:r>
      <w:r>
        <w:rPr>
          <w:rFonts w:ascii="Arial" w:cs="Arial" w:eastAsia="Arial" w:hAnsi="Arial"/>
          <w:sz w:val="17"/>
          <w:szCs w:val="17"/>
          <w:color w:val="auto"/>
        </w:rPr>
        <w:t>. A warrant, writ of attachment, execution or similar process shall be issued against any property of the Borrower, any other Loan Party or any other Subsidiary, which exceeds, individually or together with all other such warrants, writs, executions and processes, $125,000,000 in amount and such warrant, writ, execution or process shall not be paid, discharged, vacated, stayed or bonded for a period of thirty (30) days; provided, however, that if a bond has been issued in favor of the claimant or other Person obtaining such warrant, writ, execution or process, the issuer of such bond shall execute a waiver or subordination agreement in form and substance satisfactory to the Administrative Agent pursuant to which the issuer of such bond subordinates its right of reimbursement, contribution or subrogation to the Obligations and waives or subordinates any Lien it may have on the assets of the Borrower, any other Loan Party or any Subsidiary.</w:t>
      </w:r>
    </w:p>
    <w:p>
      <w:pPr>
        <w:spacing w:after="0" w:line="69" w:lineRule="exact"/>
        <w:rPr>
          <w:rFonts w:ascii="Arial" w:cs="Arial" w:eastAsia="Arial" w:hAnsi="Arial"/>
          <w:sz w:val="17"/>
          <w:szCs w:val="17"/>
          <w:color w:val="auto"/>
        </w:rPr>
      </w:pPr>
    </w:p>
    <w:p>
      <w:pPr>
        <w:ind w:left="656" w:hanging="216"/>
        <w:spacing w:after="0"/>
        <w:tabs>
          <w:tab w:leader="none" w:pos="65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ERISA</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400" w:firstLine="428"/>
        <w:spacing w:after="0" w:line="277" w:lineRule="auto"/>
        <w:tabs>
          <w:tab w:leader="none" w:pos="107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Any ERISA Event shall have occurred that results or could reasonably be expected to result in liability to any member of the ERISA Group aggregating in excess of $125,000,000; or</w:t>
      </w:r>
    </w:p>
    <w:p>
      <w:pPr>
        <w:spacing w:after="0" w:line="62" w:lineRule="exact"/>
        <w:rPr>
          <w:rFonts w:ascii="Arial" w:cs="Arial" w:eastAsia="Arial" w:hAnsi="Arial"/>
          <w:sz w:val="18"/>
          <w:szCs w:val="18"/>
          <w:color w:val="auto"/>
        </w:rPr>
      </w:pPr>
    </w:p>
    <w:p>
      <w:pPr>
        <w:ind w:left="436" w:right="20" w:firstLine="428"/>
        <w:spacing w:after="0" w:line="277" w:lineRule="auto"/>
        <w:tabs>
          <w:tab w:leader="none" w:pos="112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As of the most recent valuation date, the “benefit obligation” of all Plans exceeds the “fair market value of plan assets” for such Plans by more than $125,000,000, all as determined, and with such terms defined, in accordance with FASB ASC 715.</w:t>
      </w:r>
    </w:p>
    <w:p>
      <w:pPr>
        <w:spacing w:after="0" w:line="62" w:lineRule="exact"/>
        <w:rPr>
          <w:rFonts w:ascii="Arial" w:cs="Arial" w:eastAsia="Arial" w:hAnsi="Arial"/>
          <w:sz w:val="18"/>
          <w:szCs w:val="18"/>
          <w:color w:val="auto"/>
        </w:rPr>
      </w:pPr>
    </w:p>
    <w:p>
      <w:pPr>
        <w:ind w:left="696" w:hanging="256"/>
        <w:spacing w:after="0"/>
        <w:tabs>
          <w:tab w:leader="none" w:pos="69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An Event of Default (as defined therein) shall occur under any of the other Loan Documents.</w:t>
      </w:r>
    </w:p>
    <w:p>
      <w:pPr>
        <w:spacing w:after="0" w:line="117" w:lineRule="exact"/>
        <w:rPr>
          <w:rFonts w:ascii="Arial" w:cs="Arial" w:eastAsia="Arial" w:hAnsi="Arial"/>
          <w:sz w:val="18"/>
          <w:szCs w:val="18"/>
          <w:color w:val="auto"/>
        </w:rPr>
      </w:pPr>
    </w:p>
    <w:p>
      <w:pPr>
        <w:ind w:left="656" w:hanging="216"/>
        <w:spacing w:after="0"/>
        <w:tabs>
          <w:tab w:leader="none" w:pos="656" w:val="left"/>
        </w:tabs>
        <w:numPr>
          <w:ilvl w:val="1"/>
          <w:numId w:val="127"/>
        </w:numPr>
        <w:rPr>
          <w:rFonts w:ascii="Arial" w:cs="Arial" w:eastAsia="Arial" w:hAnsi="Arial"/>
          <w:sz w:val="18"/>
          <w:szCs w:val="18"/>
          <w:color w:val="auto"/>
        </w:rPr>
      </w:pPr>
      <w:r>
        <w:rPr>
          <w:rFonts w:ascii="Arial" w:cs="Arial" w:eastAsia="Arial" w:hAnsi="Arial"/>
          <w:sz w:val="18"/>
          <w:szCs w:val="18"/>
          <w:u w:val="single" w:color="auto"/>
          <w:color w:val="auto"/>
        </w:rPr>
        <w:t>Change of Control/Change in Management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36" w:right="280" w:firstLine="428"/>
        <w:spacing w:after="0" w:line="302" w:lineRule="auto"/>
        <w:tabs>
          <w:tab w:leader="none" w:pos="1074" w:val="left"/>
        </w:tabs>
        <w:numPr>
          <w:ilvl w:val="2"/>
          <w:numId w:val="127"/>
        </w:numPr>
        <w:rPr>
          <w:rFonts w:ascii="Arial" w:cs="Arial" w:eastAsia="Arial" w:hAnsi="Arial"/>
          <w:sz w:val="16"/>
          <w:szCs w:val="16"/>
          <w:color w:val="auto"/>
        </w:rPr>
      </w:pPr>
      <w:r>
        <w:rPr>
          <w:rFonts w:ascii="Arial" w:cs="Arial" w:eastAsia="Arial" w:hAnsi="Arial"/>
          <w:sz w:val="16"/>
          <w:szCs w:val="16"/>
          <w:color w:val="auto"/>
        </w:rPr>
        <w:t>Any “person” or “group” (as such terms are used in Sections 13(d) and 14(d) of the Securities Exchange Act), is or becomes the “beneficial owner” (as defined in Rules 13d-3 and 13d-5 under the Exchange Act, except that a Person will be deemed to have “beneficial ownership” of all securities that such Person has the right to acquire, whether such right is exercisable immediately or only after the passage of time), directly or indirectly, of more than 35% of the total voting power of the then outstanding voting stock of the Borrower; or</w:t>
      </w:r>
    </w:p>
    <w:p>
      <w:pPr>
        <w:spacing w:after="0" w:line="46" w:lineRule="exact"/>
        <w:rPr>
          <w:rFonts w:ascii="Arial" w:cs="Arial" w:eastAsia="Arial" w:hAnsi="Arial"/>
          <w:sz w:val="16"/>
          <w:szCs w:val="16"/>
          <w:color w:val="auto"/>
        </w:rPr>
      </w:pPr>
    </w:p>
    <w:p>
      <w:pPr>
        <w:ind w:left="436" w:right="160" w:firstLine="428"/>
        <w:spacing w:after="0" w:line="257" w:lineRule="auto"/>
        <w:tabs>
          <w:tab w:leader="none" w:pos="112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During any period of 12 consecutive months ending after the Agreement Date, individuals who at the beginning of any such 12-month period constituted the Board of Trustees of the Borrower (together with any new trustees whose election by such Board or whose nomination for election by the shareholders of the Borrower was approved by a vote of a majority of the trustees then still in office who were either Trustees at the beginning of such period or whose election or nomination for election was previously so approved) cease for any reason to constitute two-thirds (2/3) of the Board of Trustees of the Borrower then in office.</w:t>
      </w:r>
    </w:p>
    <w:p>
      <w:pPr>
        <w:spacing w:after="0" w:line="120" w:lineRule="exact"/>
        <w:rPr>
          <w:rFonts w:ascii="Arial" w:cs="Arial" w:eastAsia="Arial" w:hAnsi="Arial"/>
          <w:sz w:val="18"/>
          <w:szCs w:val="18"/>
          <w:color w:val="auto"/>
        </w:rPr>
      </w:pPr>
    </w:p>
    <w:p>
      <w:pPr>
        <w:ind w:left="5416" w:hanging="101"/>
        <w:spacing w:after="0"/>
        <w:tabs>
          <w:tab w:leader="none" w:pos="5416" w:val="left"/>
        </w:tabs>
        <w:numPr>
          <w:ilvl w:val="3"/>
          <w:numId w:val="127"/>
        </w:numPr>
        <w:rPr>
          <w:rFonts w:ascii="Arial" w:cs="Arial" w:eastAsia="Arial" w:hAnsi="Arial"/>
          <w:sz w:val="18"/>
          <w:szCs w:val="18"/>
          <w:color w:val="auto"/>
        </w:rPr>
      </w:pPr>
      <w:r>
        <w:rPr>
          <w:rFonts w:ascii="Arial" w:cs="Arial" w:eastAsia="Arial" w:hAnsi="Arial"/>
          <w:sz w:val="18"/>
          <w:szCs w:val="18"/>
          <w:color w:val="auto"/>
        </w:rPr>
        <w:t>91 -</w:t>
      </w:r>
    </w:p>
    <w:p>
      <w:pPr>
        <w:sectPr>
          <w:pgSz w:w="11900" w:h="16838" w:orient="portrait"/>
          <w:cols w:equalWidth="0" w:num="1">
            <w:col w:w="11016"/>
          </w:cols>
          <w:pgMar w:left="444" w:top="274" w:right="4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10.2. Remedies Upon Event of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the occurrence of an Event of Default the following provisions shall apply:</w:t>
      </w:r>
    </w:p>
    <w:p>
      <w:pPr>
        <w:spacing w:after="0" w:line="117" w:lineRule="exact"/>
        <w:rPr>
          <w:sz w:val="20"/>
          <w:szCs w:val="20"/>
          <w:color w:val="auto"/>
        </w:rPr>
      </w:pPr>
    </w:p>
    <w:p>
      <w:pPr>
        <w:ind w:left="680" w:hanging="236"/>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Acceleration; Termination of Facilities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right="40" w:firstLine="428"/>
        <w:spacing w:after="0" w:line="254" w:lineRule="auto"/>
        <w:tabs>
          <w:tab w:leader="none" w:pos="1078"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Automatic</w:t>
      </w:r>
      <w:r>
        <w:rPr>
          <w:rFonts w:ascii="Arial" w:cs="Arial" w:eastAsia="Arial" w:hAnsi="Arial"/>
          <w:sz w:val="18"/>
          <w:szCs w:val="18"/>
          <w:color w:val="auto"/>
        </w:rPr>
        <w:t>. Upon the occurrence of an Event of Default specified in Sections 10.1.(e) or 10.1.(f), (1)(A) the principal of, and all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shall become immediately and automatically due and payable without presentment, demand, protest, or other notice of any kind, all of which are expressly waived by the Borrower on behalf of itself and the other Loan Parties, and (2) the Commitments and the Swingline Commitment and the obligation of the Issuing Bank to issue Letters of Credit hereunder, shall all immediately and automatically terminate.</w:t>
      </w:r>
    </w:p>
    <w:p>
      <w:pPr>
        <w:spacing w:after="0" w:line="84" w:lineRule="exact"/>
        <w:rPr>
          <w:rFonts w:ascii="Arial" w:cs="Arial" w:eastAsia="Arial" w:hAnsi="Arial"/>
          <w:sz w:val="18"/>
          <w:szCs w:val="18"/>
          <w:color w:val="auto"/>
        </w:rPr>
      </w:pPr>
    </w:p>
    <w:p>
      <w:pPr>
        <w:ind w:left="1140" w:hanging="272"/>
        <w:spacing w:after="0"/>
        <w:tabs>
          <w:tab w:leader="none" w:pos="1140" w:val="left"/>
        </w:tabs>
        <w:numPr>
          <w:ilvl w:val="1"/>
          <w:numId w:val="128"/>
        </w:numPr>
        <w:rPr>
          <w:rFonts w:ascii="Arial" w:cs="Arial" w:eastAsia="Arial" w:hAnsi="Arial"/>
          <w:sz w:val="17"/>
          <w:szCs w:val="17"/>
          <w:color w:val="auto"/>
        </w:rPr>
      </w:pPr>
      <w:r>
        <w:rPr>
          <w:rFonts w:ascii="Arial" w:cs="Arial" w:eastAsia="Arial" w:hAnsi="Arial"/>
          <w:sz w:val="17"/>
          <w:szCs w:val="17"/>
          <w:u w:val="single" w:color="auto"/>
          <w:color w:val="auto"/>
        </w:rPr>
        <w:t>Optional</w:t>
      </w:r>
      <w:r>
        <w:rPr>
          <w:rFonts w:ascii="Arial" w:cs="Arial" w:eastAsia="Arial" w:hAnsi="Arial"/>
          <w:sz w:val="17"/>
          <w:szCs w:val="17"/>
          <w:color w:val="auto"/>
        </w:rPr>
        <w:t>. If any other Event of Default shall exist, the Administrative Agent may, and at the direction of the Requisite Lenders shall:</w:t>
      </w:r>
    </w:p>
    <w:p>
      <w:pPr>
        <w:spacing w:after="0" w:line="35" w:lineRule="exact"/>
        <w:rPr>
          <w:sz w:val="20"/>
          <w:szCs w:val="20"/>
          <w:color w:val="auto"/>
        </w:rPr>
      </w:pPr>
    </w:p>
    <w:p>
      <w:pPr>
        <w:ind w:left="440" w:firstLine="4"/>
        <w:spacing w:after="0" w:line="252" w:lineRule="auto"/>
        <w:tabs>
          <w:tab w:leader="none" w:pos="69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declare (A) the principal of, and accrued interest on, the Loans and the Notes at the time outstanding, (B) an amount equal to the Stated Amount of all Letters of Credit outstanding as of the date of the occurrence of such Event of Default for deposit into the Letter of Credit Collateral Account and (C) all of the other Obligations, including, but not limited to, the other amounts owed to the Lenders and the Administrative Agent under this Agreement, the Notes or any of the other Loan Documents to be forthwith due and payable, whereupon the same shall immediately become due and payable without presentment, demand, protest or other notice of any kind, all of which are expressly waived by the Borrower on behalf of itself and the other Loan Parties, and (2) terminate the Commitments and the Swingline Commitment and the obligation of the Issuing Bank to issue Letters of Credit hereunder.</w:t>
      </w:r>
    </w:p>
    <w:p>
      <w:pPr>
        <w:spacing w:after="0" w:line="85" w:lineRule="exact"/>
        <w:rPr>
          <w:sz w:val="20"/>
          <w:szCs w:val="20"/>
          <w:color w:val="auto"/>
        </w:rPr>
      </w:pPr>
    </w:p>
    <w:p>
      <w:pPr>
        <w:ind w:right="220" w:firstLine="444"/>
        <w:spacing w:after="0" w:line="277" w:lineRule="auto"/>
        <w:tabs>
          <w:tab w:leader="none" w:pos="69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The Requisite Lenders may direct the Administrative Agent to, and the Administrative Agent if so directed shall, exercise any and all of its rights under any and all of the other Loan Documents.</w:t>
      </w:r>
    </w:p>
    <w:p>
      <w:pPr>
        <w:spacing w:after="0" w:line="62" w:lineRule="exact"/>
        <w:rPr>
          <w:rFonts w:ascii="Arial" w:cs="Arial" w:eastAsia="Arial" w:hAnsi="Arial"/>
          <w:sz w:val="18"/>
          <w:szCs w:val="18"/>
          <w:color w:val="auto"/>
        </w:rPr>
      </w:pPr>
    </w:p>
    <w:p>
      <w:pPr>
        <w:ind w:right="80" w:firstLine="444"/>
        <w:spacing w:after="0" w:line="277" w:lineRule="auto"/>
        <w:tabs>
          <w:tab w:leader="none" w:pos="685"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The Requisite Lenders may direct the Administrative Agent to, and the Administrative Agent if so directed shall, exercise all other rights and remedies it may have under any Applicable Law.</w:t>
      </w:r>
    </w:p>
    <w:p>
      <w:pPr>
        <w:spacing w:after="0" w:line="62" w:lineRule="exact"/>
        <w:rPr>
          <w:rFonts w:ascii="Arial" w:cs="Arial" w:eastAsia="Arial" w:hAnsi="Arial"/>
          <w:sz w:val="18"/>
          <w:szCs w:val="18"/>
          <w:color w:val="auto"/>
        </w:rPr>
      </w:pPr>
    </w:p>
    <w:p>
      <w:pPr>
        <w:ind w:right="40" w:firstLine="444"/>
        <w:spacing w:after="0" w:line="302" w:lineRule="auto"/>
        <w:tabs>
          <w:tab w:leader="none" w:pos="69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Appointment of Receiver</w:t>
      </w:r>
      <w:r>
        <w:rPr>
          <w:rFonts w:ascii="Arial" w:cs="Arial" w:eastAsia="Arial" w:hAnsi="Arial"/>
          <w:sz w:val="16"/>
          <w:szCs w:val="16"/>
          <w:color w:val="auto"/>
        </w:rPr>
        <w:t>. To the extent permitted by Applicable Law, the Administrative Agent and the Lenders shall be entitled to the appointment of a receiver for the assets and properties of the Borrower and its Subsidiaries, without notice of any kind whatsoever and without regard to the adequacy of any security for the Obligations or the solvency of any party bound for its payment, to take possession of all or any portion of the property and/or the business operations of the Borrower and its Subsidiaries and to exercise such power as the court shall confer upon such receiver.</w:t>
      </w:r>
    </w:p>
    <w:p>
      <w:pPr>
        <w:spacing w:after="0" w:line="86" w:lineRule="exact"/>
        <w:rPr>
          <w:rFonts w:ascii="Arial" w:cs="Arial" w:eastAsia="Arial" w:hAnsi="Arial"/>
          <w:sz w:val="16"/>
          <w:szCs w:val="16"/>
          <w:color w:val="auto"/>
        </w:rPr>
      </w:pPr>
    </w:p>
    <w:p>
      <w:pPr>
        <w:ind w:left="5420" w:hanging="101"/>
        <w:spacing w:after="0"/>
        <w:tabs>
          <w:tab w:leader="none" w:pos="54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92 -</w:t>
      </w:r>
    </w:p>
    <w:p>
      <w:pPr>
        <w:sectPr>
          <w:pgSz w:w="11900" w:h="16838" w:orient="portrait"/>
          <w:cols w:equalWidth="0" w:num="1">
            <w:col w:w="11020"/>
          </w:cols>
          <w:pgMar w:left="440" w:top="270" w:right="439" w:bottom="1440" w:gutter="0" w:footer="0" w:header="0"/>
        </w:sectPr>
      </w:pPr>
    </w:p>
    <w:bookmarkStart w:id="101" w:name="page102"/>
    <w:bookmarkEnd w:id="101"/>
    <w:p>
      <w:pPr>
        <w:ind w:firstLine="444"/>
        <w:spacing w:after="0" w:line="269" w:lineRule="auto"/>
        <w:tabs>
          <w:tab w:leader="none" w:pos="68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Specified Derivatives Contract Remedies</w:t>
      </w:r>
      <w:r>
        <w:rPr>
          <w:rFonts w:ascii="Arial" w:cs="Arial" w:eastAsia="Arial" w:hAnsi="Arial"/>
          <w:sz w:val="17"/>
          <w:szCs w:val="17"/>
          <w:color w:val="auto"/>
        </w:rPr>
        <w:t>. Notwithstanding any other provision of this Agreement or other Loan Document, each Specified Derivatives Provider shall have the right, with prompt notice to the Administrative Agent, but without the approval or consent of or other action by the Administrative Agent or the Lenders, and without limitation of other remedies available to such Specified Derivatives Provider under contract or Applicable Law, to undertake any of the following: (a) to declare an event of default, termination event or other similar event under any Specified Derivatives Contract and to create an “Early Termination Date” (as defined therein) in respect thereof, (b) to determine net termination amounts in respect of any and all Specified Derivatives Contracts in accordance with the terms thereof, and to set off amounts among such contracts, (c) to set off or proceed against deposit account balances, securities account balances and other property and amounts held by such Specified Derivatives Provider pursuant to any Derivatives Support Document, including any “Posted Collateral” (as defined in any credit support annex included in any such Derivatives Support Document to which such Specified Derivatives Provider may be a party), and (d) to prosecute any legal action against the Borrower, any Loan Party or other Subsidiary to enforce or collect net amounts owing to such Specified Derivatives Provider pursuant to any Specified Derivatives Contract. For the avoidance of doubt, none of the foregoing remedies instituted by a Specified Derivatives Provider shall by itself constitute a Default or Event of Default hereunder unless otherwise specifically set forth herein.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10.3. Remedies Upon Default.</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Upon the occurrence of a Default specified in Section 10.1.(f), the Commitments shall immediately and automatically terminate.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10.4. Marshaling; Payments Set Aside.</w:t>
      </w:r>
    </w:p>
    <w:p>
      <w:pPr>
        <w:spacing w:after="0" w:line="121" w:lineRule="exact"/>
        <w:rPr>
          <w:sz w:val="20"/>
          <w:szCs w:val="20"/>
          <w:color w:val="auto"/>
        </w:rPr>
      </w:pPr>
    </w:p>
    <w:p>
      <w:pPr>
        <w:ind w:right="140" w:firstLine="441"/>
        <w:spacing w:after="0" w:line="270" w:lineRule="auto"/>
        <w:rPr>
          <w:sz w:val="20"/>
          <w:szCs w:val="20"/>
          <w:color w:val="auto"/>
        </w:rPr>
      </w:pPr>
      <w:r>
        <w:rPr>
          <w:rFonts w:ascii="Arial" w:cs="Arial" w:eastAsia="Arial" w:hAnsi="Arial"/>
          <w:sz w:val="17"/>
          <w:szCs w:val="17"/>
          <w:color w:val="auto"/>
        </w:rPr>
        <w:t>None of the Administrative Agent, the Issuing Bank, any Lender or any Specified Derivatives Provider shall be under any obligation to marshal any assets in favor of any Loan Party or any other party or against or in payment of any or all of the Obligations or the Specified Derivatives Obligations. To the extent that any Loan Party makes a payment or payments to the Administrative Agent, the Issuing Bank, any Lender or any Specified Derivatives Provider, or the Administrative Agent, the Issuing Bank, any Lender or any Specified Derivatives Provider enforce their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state or federal law, common law or equitable cause, then to the extent of such recovery, the Obligations or Specified Derivatives Obligations, or part thereof originally intended to be satisfied, and all Liens, rights and remedies therefor, shall be revived and continued in full force and effect as if such payment had not been made or such enforcement or setoff had not occurred.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10.5. Allocation of Proceeds.</w:t>
      </w:r>
    </w:p>
    <w:p>
      <w:pPr>
        <w:spacing w:after="0" w:line="121" w:lineRule="exact"/>
        <w:rPr>
          <w:sz w:val="20"/>
          <w:szCs w:val="20"/>
          <w:color w:val="auto"/>
        </w:rPr>
      </w:pPr>
    </w:p>
    <w:p>
      <w:pPr>
        <w:ind w:right="200" w:firstLine="441"/>
        <w:spacing w:after="0" w:line="264" w:lineRule="auto"/>
        <w:rPr>
          <w:sz w:val="20"/>
          <w:szCs w:val="20"/>
          <w:color w:val="auto"/>
        </w:rPr>
      </w:pPr>
      <w:r>
        <w:rPr>
          <w:rFonts w:ascii="Arial" w:cs="Arial" w:eastAsia="Arial" w:hAnsi="Arial"/>
          <w:sz w:val="18"/>
          <w:szCs w:val="18"/>
          <w:color w:val="auto"/>
        </w:rPr>
        <w:t>If an Event of Default exists, all payments received by the Administrative Agent under any of the Loan Documents (or any Lender as a result of exercise of remedies pursuant to Section 12.4.), in respect of any principal of or interest on the Obligations or any other amounts payable by the Borrower hereunder or thereunder, shall be applied in the following order and priority:</w:t>
      </w:r>
    </w:p>
    <w:p>
      <w:pPr>
        <w:spacing w:after="0" w:line="73" w:lineRule="exact"/>
        <w:rPr>
          <w:sz w:val="20"/>
          <w:szCs w:val="20"/>
          <w:color w:val="auto"/>
        </w:rPr>
      </w:pPr>
    </w:p>
    <w:p>
      <w:pPr>
        <w:ind w:left="440" w:right="140" w:firstLine="428"/>
        <w:spacing w:after="0" w:line="277" w:lineRule="auto"/>
        <w:tabs>
          <w:tab w:leader="none" w:pos="11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amounts due to the Administrative Agent, the Issuing Bank and the Lenders in respect of expenses due under Section 12.2. until paid in full, and then Fees;</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payments of interest on Swingline Loans;</w:t>
      </w:r>
    </w:p>
    <w:p>
      <w:pPr>
        <w:spacing w:after="0" w:line="117" w:lineRule="exact"/>
        <w:rPr>
          <w:rFonts w:ascii="Arial" w:cs="Arial" w:eastAsia="Arial" w:hAnsi="Arial"/>
          <w:sz w:val="18"/>
          <w:szCs w:val="18"/>
          <w:color w:val="auto"/>
        </w:rPr>
      </w:pPr>
    </w:p>
    <w:p>
      <w:pPr>
        <w:ind w:left="440" w:right="500" w:firstLine="428"/>
        <w:spacing w:after="0" w:line="277" w:lineRule="auto"/>
        <w:tabs>
          <w:tab w:leader="none" w:pos="1108"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payments of interest on all other Loans and Reimbursement Obligations to be applied for the ratable benefit of the Lenders and the Issuing Bank;</w:t>
      </w:r>
    </w:p>
    <w:p>
      <w:pPr>
        <w:spacing w:after="0" w:line="102" w:lineRule="exact"/>
        <w:rPr>
          <w:rFonts w:ascii="Arial" w:cs="Arial" w:eastAsia="Arial" w:hAnsi="Arial"/>
          <w:sz w:val="18"/>
          <w:szCs w:val="18"/>
          <w:color w:val="auto"/>
        </w:rPr>
      </w:pPr>
    </w:p>
    <w:p>
      <w:pPr>
        <w:ind w:left="5420" w:hanging="101"/>
        <w:spacing w:after="0"/>
        <w:tabs>
          <w:tab w:leader="none" w:pos="5420" w:val="left"/>
        </w:tabs>
        <w:numPr>
          <w:ilvl w:val="1"/>
          <w:numId w:val="132"/>
        </w:numPr>
        <w:rPr>
          <w:rFonts w:ascii="Arial" w:cs="Arial" w:eastAsia="Arial" w:hAnsi="Arial"/>
          <w:sz w:val="18"/>
          <w:szCs w:val="18"/>
          <w:color w:val="auto"/>
        </w:rPr>
      </w:pPr>
      <w:r>
        <w:rPr>
          <w:rFonts w:ascii="Arial" w:cs="Arial" w:eastAsia="Arial" w:hAnsi="Arial"/>
          <w:sz w:val="18"/>
          <w:szCs w:val="18"/>
          <w:color w:val="auto"/>
        </w:rPr>
        <w:t>93 -</w:t>
      </w:r>
    </w:p>
    <w:p>
      <w:pPr>
        <w:sectPr>
          <w:pgSz w:w="11900" w:h="16838" w:orient="portrait"/>
          <w:cols w:equalWidth="0" w:num="1">
            <w:col w:w="11020"/>
          </w:cols>
          <w:pgMar w:left="440" w:top="274" w:right="439" w:bottom="1440" w:gutter="0" w:footer="0" w:header="0"/>
        </w:sectPr>
      </w:pPr>
    </w:p>
    <w:bookmarkStart w:id="102" w:name="page103"/>
    <w:bookmarkEnd w:id="102"/>
    <w:p>
      <w:pPr>
        <w:ind w:left="1120" w:hanging="252"/>
        <w:spacing w:after="0"/>
        <w:tabs>
          <w:tab w:leader="none" w:pos="11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payments of principal of Swingline Loans;</w:t>
      </w:r>
    </w:p>
    <w:p>
      <w:pPr>
        <w:spacing w:after="0" w:line="117" w:lineRule="exact"/>
        <w:rPr>
          <w:rFonts w:ascii="Arial" w:cs="Arial" w:eastAsia="Arial" w:hAnsi="Arial"/>
          <w:sz w:val="18"/>
          <w:szCs w:val="18"/>
          <w:color w:val="auto"/>
        </w:rPr>
      </w:pPr>
    </w:p>
    <w:p>
      <w:pPr>
        <w:ind w:left="440" w:right="120" w:firstLine="428"/>
        <w:spacing w:after="0" w:line="259" w:lineRule="auto"/>
        <w:tabs>
          <w:tab w:leader="none" w:pos="110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payments of principal of all other Loans, Reimbursement Obligations and other Letter of Credit Liabilities, to be applied for the ratable benefit of the Lenders and the Issuing Bank; provided, however, to the extent that any amounts available for distribution pursuant to this subsection are attributable to the issued but undrawn amount of an outstanding Letter of Credit, such amounts shall be paid to the Administrative Agent for deposit into the Letter of Credit Collateral Account;</w:t>
      </w:r>
    </w:p>
    <w:p>
      <w:pPr>
        <w:spacing w:after="0" w:line="78" w:lineRule="exact"/>
        <w:rPr>
          <w:rFonts w:ascii="Arial" w:cs="Arial" w:eastAsia="Arial" w:hAnsi="Arial"/>
          <w:sz w:val="18"/>
          <w:szCs w:val="18"/>
          <w:color w:val="auto"/>
        </w:rPr>
      </w:pPr>
    </w:p>
    <w:p>
      <w:pPr>
        <w:ind w:left="1100" w:hanging="232"/>
        <w:spacing w:after="0"/>
        <w:tabs>
          <w:tab w:leader="none" w:pos="11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amounts due to the Administrative Agent and the Lenders pursuant to Sections 11.6. and 12.10.;</w:t>
      </w:r>
    </w:p>
    <w:p>
      <w:pPr>
        <w:spacing w:after="0" w:line="117" w:lineRule="exact"/>
        <w:rPr>
          <w:rFonts w:ascii="Arial" w:cs="Arial" w:eastAsia="Arial" w:hAnsi="Arial"/>
          <w:sz w:val="18"/>
          <w:szCs w:val="18"/>
          <w:color w:val="auto"/>
        </w:rPr>
      </w:pPr>
    </w:p>
    <w:p>
      <w:pPr>
        <w:ind w:left="440" w:right="260" w:firstLine="428"/>
        <w:spacing w:after="0" w:line="277" w:lineRule="auto"/>
        <w:tabs>
          <w:tab w:leader="none" w:pos="111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payments of all other Obligations and other amounts due under any of the Loan Documents to be applied for the ratable benefit of the Lenders; and</w:t>
      </w:r>
    </w:p>
    <w:p>
      <w:pPr>
        <w:spacing w:after="0" w:line="62" w:lineRule="exact"/>
        <w:rPr>
          <w:rFonts w:ascii="Arial" w:cs="Arial" w:eastAsia="Arial" w:hAnsi="Arial"/>
          <w:sz w:val="18"/>
          <w:szCs w:val="18"/>
          <w:color w:val="auto"/>
        </w:rPr>
      </w:pPr>
    </w:p>
    <w:p>
      <w:pPr>
        <w:ind w:left="1120" w:hanging="252"/>
        <w:spacing w:after="0"/>
        <w:tabs>
          <w:tab w:leader="none" w:pos="11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any amount remaining after application as provided above, shall be paid to the Borrower or whomever else may be legally entitled</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color w:val="auto"/>
        </w:rPr>
        <w:t>thereto.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10.6. Letter of Credit Collateral Account.</w:t>
      </w:r>
    </w:p>
    <w:p>
      <w:pPr>
        <w:spacing w:after="0" w:line="121" w:lineRule="exact"/>
        <w:rPr>
          <w:sz w:val="20"/>
          <w:szCs w:val="20"/>
          <w:color w:val="auto"/>
        </w:rPr>
      </w:pPr>
    </w:p>
    <w:p>
      <w:pPr>
        <w:ind w:firstLine="444"/>
        <w:spacing w:after="0" w:line="255" w:lineRule="auto"/>
        <w:tabs>
          <w:tab w:leader="none" w:pos="68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collateral security for the prompt payment in full when due of all Letter of Credit Liabilities and the other Obligations, the Borrower hereby pledges and grants to the Administrative Agent, for the ratable benefit of the Administrative Agent, the Issuing Bank and the Lenders as provided herein, a security interest in all of its right, title and interest in and to the Letter of Credit Collateral Account and the balances from time to time in the Letter of Credit Collateral Account (including the investments and reinvestments therein provided for below). The balances from time to time in the Letter of Credit Collateral Account shall not constitute payment of any Letter of Credit Liabilities until applied by the Issuing Bank as provided herein. Anything in this Agreement to the contrary notwithstanding, funds held in the Letter of Credit Collateral Account shall be subject to withdrawal only as provided in this Section.</w:t>
      </w:r>
    </w:p>
    <w:p>
      <w:pPr>
        <w:spacing w:after="0" w:line="81" w:lineRule="exact"/>
        <w:rPr>
          <w:rFonts w:ascii="Arial" w:cs="Arial" w:eastAsia="Arial" w:hAnsi="Arial"/>
          <w:sz w:val="18"/>
          <w:szCs w:val="18"/>
          <w:color w:val="auto"/>
        </w:rPr>
      </w:pPr>
    </w:p>
    <w:p>
      <w:pPr>
        <w:ind w:right="60" w:firstLine="444"/>
        <w:spacing w:after="0" w:line="290" w:lineRule="auto"/>
        <w:tabs>
          <w:tab w:leader="none" w:pos="696"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Amounts on deposit in the Letter of Credit Collateral Account shall be invested and reinvested by the Administrative Agent in such Cash Equivalents as the Administrative Agent shall determine in its sole discretion. All such investments and reinvestments shall be held in the name of and be under the sole dominion and control of the Administrative Agent for the ratable benefit of the Administrative Agent, the Issuing Bank and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that all earnings on such investments will be credited to and retained in the Letter of Credit Collateral Account. The Administrative Agent shall exercise reasonable care in the custody and preservation of any funds held in the Letter of Credit Collateral Account and shall be deemed to have exercised such care if such funds are accorded treatment substantially equivalent to that which the Administrative Agent accords other funds deposited with the Administrative Agent, it being understood that the Administrative Agent shall not have any responsibility for taking any necessary steps to preserve rights against any parties with respect to any funds held in the Letter of Credit Collateral Account.</w:t>
      </w:r>
    </w:p>
    <w:p>
      <w:pPr>
        <w:spacing w:after="0" w:line="58" w:lineRule="exact"/>
        <w:rPr>
          <w:rFonts w:ascii="Arial" w:cs="Arial" w:eastAsia="Arial" w:hAnsi="Arial"/>
          <w:sz w:val="16"/>
          <w:szCs w:val="16"/>
          <w:color w:val="auto"/>
        </w:rPr>
      </w:pPr>
    </w:p>
    <w:p>
      <w:pPr>
        <w:ind w:firstLine="444"/>
        <w:spacing w:after="0" w:line="286" w:lineRule="auto"/>
        <w:tabs>
          <w:tab w:leader="none" w:pos="68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If a drawing pursuant to any Letter of Credit occurs on or prior to the expiration date of such Letter of Credit, the Borrower and the Lenders authorize the Administrative Agent to use the monies deposited in the Letter of Credit Collateral Account to reimburse the Issuing Bank for the payment made by the Issuing Bank to the beneficiary with respect to such drawing or the payee with respect to such presentment.</w:t>
      </w:r>
    </w:p>
    <w:p>
      <w:pPr>
        <w:spacing w:after="0" w:line="97" w:lineRule="exact"/>
        <w:rPr>
          <w:rFonts w:ascii="Arial" w:cs="Arial" w:eastAsia="Arial" w:hAnsi="Arial"/>
          <w:sz w:val="17"/>
          <w:szCs w:val="17"/>
          <w:color w:val="auto"/>
        </w:rPr>
      </w:pPr>
    </w:p>
    <w:p>
      <w:pPr>
        <w:ind w:left="5420" w:hanging="101"/>
        <w:spacing w:after="0"/>
        <w:tabs>
          <w:tab w:leader="none" w:pos="5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94 -</w:t>
      </w:r>
    </w:p>
    <w:p>
      <w:pPr>
        <w:sectPr>
          <w:pgSz w:w="11900" w:h="16838" w:orient="portrait"/>
          <w:cols w:equalWidth="0" w:num="1">
            <w:col w:w="11000"/>
          </w:cols>
          <w:pgMar w:left="440" w:top="274" w:right="459" w:bottom="1440" w:gutter="0" w:footer="0" w:header="0"/>
        </w:sectPr>
      </w:pPr>
    </w:p>
    <w:bookmarkStart w:id="103" w:name="page104"/>
    <w:bookmarkEnd w:id="103"/>
    <w:p>
      <w:pPr>
        <w:ind w:firstLine="444"/>
        <w:spacing w:after="0" w:line="257" w:lineRule="auto"/>
        <w:tabs>
          <w:tab w:leader="none" w:pos="696" w:val="left"/>
        </w:tabs>
        <w:numPr>
          <w:ilvl w:val="0"/>
          <w:numId w:val="1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 Event of Default exists, the Administrative Agent may (and, if instructed by the Requisite Lenders, shall) in its (or their) discretion at any time and from time to time elect to liquidate any such investments and reinvestments and apply the proceeds thereof to the Obligations in accordance with Section 10.5. Notwithstanding the foregoing, the Administrative Agent shall not be required to liquidate and release any such amounts if such liquidation or release would result in the amount available in the Letter of Credit Collateral Account to be less than the Stated Amount of all Extended Letters of Credit that remain outstanding.</w:t>
      </w:r>
    </w:p>
    <w:p>
      <w:pPr>
        <w:spacing w:after="0" w:line="80" w:lineRule="exact"/>
        <w:rPr>
          <w:rFonts w:ascii="Arial" w:cs="Arial" w:eastAsia="Arial" w:hAnsi="Arial"/>
          <w:sz w:val="18"/>
          <w:szCs w:val="18"/>
          <w:color w:val="auto"/>
        </w:rPr>
      </w:pPr>
    </w:p>
    <w:p>
      <w:pPr>
        <w:ind w:right="40" w:firstLine="444"/>
        <w:spacing w:after="0" w:line="268" w:lineRule="auto"/>
        <w:tabs>
          <w:tab w:leader="none" w:pos="685" w:val="left"/>
        </w:tabs>
        <w:numPr>
          <w:ilvl w:val="0"/>
          <w:numId w:val="135"/>
        </w:numPr>
        <w:rPr>
          <w:rFonts w:ascii="Arial" w:cs="Arial" w:eastAsia="Arial" w:hAnsi="Arial"/>
          <w:sz w:val="17"/>
          <w:szCs w:val="17"/>
          <w:color w:val="auto"/>
        </w:rPr>
      </w:pPr>
      <w:r>
        <w:rPr>
          <w:rFonts w:ascii="Arial" w:cs="Arial" w:eastAsia="Arial" w:hAnsi="Arial"/>
          <w:sz w:val="17"/>
          <w:szCs w:val="17"/>
          <w:color w:val="auto"/>
        </w:rPr>
        <w:t>So long as no Major Default or Event of Default exists, and to the extent amounts on deposit in or credited to the Letter of Credit Collateral Account exceed the aggregate amount of the Letter of Credit Liabilities then due and owing, the Administrative Agent shall, from time to time, at the request of the Borrower, deliver to the Borrower within 10 Business Days after the Administrative Agent’s receipt of such request from the Borrower, against receipt but without any recourse, warranty or representation whatsoever, such amount of the credit balances in the Letter of Credit Collateral Account as exceeds the aggregate amount of Letter of Credit Liabilities at such time. Upon the expiration, termination or cancellation of an Extended Letter of Credit for which the Lenders reimbursed (or funded participations in) a drawing deemed to have occurred under the fourth sentence of Section 2.3.(b) for deposit into the Letter of Credit Collateral Account but in respect of which the Lenders have not otherwise received payment for the amount so reimbursed or funded, the Administrative Agent shall promptly remit to the Lenders the amount so reimbursed or funded for such Extended Letter of Credit that remains in the Letter of Credit Collateral Account, pro rata in accordance with the respective unpaid reimbursements or funded participations of the Lenders in respect of such Extended Letter of Credit, against receipt but without any recourse, warranty or representation whatsoever. When all of the Obligations shall have been paid in full in cash and no Letters of Credit remain outstanding, the Administrative Agent shall deliver to the Borrower, against receipt but without any recourse, warranty or representation whatsoever, the balances remaining in the Letter of Credit Collateral Account.</w:t>
      </w:r>
    </w:p>
    <w:p>
      <w:pPr>
        <w:spacing w:after="0" w:line="79" w:lineRule="exact"/>
        <w:rPr>
          <w:rFonts w:ascii="Arial" w:cs="Arial" w:eastAsia="Arial" w:hAnsi="Arial"/>
          <w:sz w:val="17"/>
          <w:szCs w:val="17"/>
          <w:color w:val="auto"/>
        </w:rPr>
      </w:pPr>
    </w:p>
    <w:p>
      <w:pPr>
        <w:ind w:right="140" w:firstLine="444"/>
        <w:spacing w:after="0" w:line="264" w:lineRule="auto"/>
        <w:tabs>
          <w:tab w:leader="none" w:pos="6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Borrower shall pay to the Administrative Agent from time to time such fees as the Administrative Agent normally charges for similar services in connection with the Administrative Agent’s administration of the Letter of Credit Collateral Account and investments and reinvestments of funds therein.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10.7. Rescission of Acceleration by Requisite Lenders.</w:t>
      </w:r>
    </w:p>
    <w:p>
      <w:pPr>
        <w:spacing w:after="0" w:line="121"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If at any time after acceleration of the maturity of the Loans and the other Obligations, the Borrower shall pay all arrears of interest and all payments on account of principal of the Obligations which shall have become due otherwise than by acceleration (with interest on principal and, to the extent permitted by Applicable Law, on overdue interest, at the rates specified in this Agreement) and all Events of Default and Defaults (other than nonpayment of principal of and accrued interest on the Obligations due and payable solely by virtue of acceleration) shall become remedied or waived to the satisfaction of the Requisite Lenders, then by written notice to the Borrower, the Requisite Lenders may elect, in the sole discretion of such Requisite Lenders, to rescind and annul the acceleration and its consequences. The provisions of the preceding sentence are intended merely to bind all of the Lenders to a decision which may be made at the election of the Requisite Lenders, and are not intended to benefit the Borrower and do not give the Borrower the right to require the Lenders to rescind or annul any acceleration hereunder, even if the conditions set forth herein are satisfied.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10.8. Performance by Administrative Agent.</w:t>
      </w:r>
    </w:p>
    <w:p>
      <w:pPr>
        <w:spacing w:after="0" w:line="121" w:lineRule="exact"/>
        <w:rPr>
          <w:sz w:val="20"/>
          <w:szCs w:val="20"/>
          <w:color w:val="auto"/>
        </w:rPr>
      </w:pPr>
    </w:p>
    <w:p>
      <w:pPr>
        <w:ind w:right="140" w:firstLine="441"/>
        <w:spacing w:after="0" w:line="286" w:lineRule="auto"/>
        <w:rPr>
          <w:sz w:val="20"/>
          <w:szCs w:val="20"/>
          <w:color w:val="auto"/>
        </w:rPr>
      </w:pPr>
      <w:r>
        <w:rPr>
          <w:rFonts w:ascii="Arial" w:cs="Arial" w:eastAsia="Arial" w:hAnsi="Arial"/>
          <w:sz w:val="17"/>
          <w:szCs w:val="17"/>
          <w:color w:val="auto"/>
        </w:rPr>
        <w:t>If the Borrower or any other Loan Party shall fail to perform any covenant, duty or agreement contained in any of the Loan Documents, the Administrative Agent may, after notice to the Borrower, perform or attempt to perform such covenant, duty or agreement on behalf of the Borrower or such other Loan Party after the expiration of any cure or grace periods set forth herein. In such event, the Borrower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- 95 -</w:t>
      </w:r>
    </w:p>
    <w:p>
      <w:pPr>
        <w:sectPr>
          <w:pgSz w:w="11900" w:h="16838" w:orient="portrait"/>
          <w:cols w:equalWidth="0" w:num="1">
            <w:col w:w="10980"/>
          </w:cols>
          <w:pgMar w:left="440" w:top="274" w:right="479" w:bottom="1440" w:gutter="0" w:footer="0" w:header="0"/>
        </w:sectPr>
      </w:pPr>
    </w:p>
    <w:bookmarkStart w:id="104" w:name="page105"/>
    <w:bookmarkEnd w:id="104"/>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at the request of the Administrative Agent, promptly pay any amount reasonably expended by the Administrative Agent in such performance or attempted performance to the Administrative Agent, together with interest thereon at the applicable Post-Default Rate from the date of such expenditure until paid. Notwithstanding the foregoing, neither the Administrative Agent nor any Lender shall have any liability or responsibility whatsoever to perform any obligation of the Borrower under this Agreement or any other Loan Document.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10.9. Rights Cumulative.</w:t>
      </w:r>
    </w:p>
    <w:p>
      <w:pPr>
        <w:spacing w:after="0" w:line="121" w:lineRule="exact"/>
        <w:rPr>
          <w:sz w:val="20"/>
          <w:szCs w:val="20"/>
          <w:color w:val="auto"/>
        </w:rPr>
      </w:pPr>
    </w:p>
    <w:p>
      <w:pPr>
        <w:ind w:firstLine="444"/>
        <w:spacing w:after="0" w:line="293" w:lineRule="auto"/>
        <w:tabs>
          <w:tab w:leader="none" w:pos="68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The rights and remedies of the Administrative Agent, the Issuing Bank, the Lenders and the Specified Derivatives Providers under this Agreement, each of the other Loan Documents, the Fee Letter and Specified Derivatives Contracts shall be cumulative and not exclusive of any rights or remedies which any of them may otherwise have under Applicable Law. In exercising their respective rights and remedies the Administrative Agent, the Issuing Bank, the Lenders and the Specified Derivatives Providers may be selective and no failure or delay by the Administrative Agent, the Issuing Bank, any of the Lenders or any of the Specified Derivatives Providers in exercising any right shall operate as a waiver of it, nor shall any single or partial exercise of any power or right preclude its other or further exercise or the exercise of any other power or right.</w:t>
      </w:r>
    </w:p>
    <w:p>
      <w:pPr>
        <w:spacing w:after="0" w:line="56" w:lineRule="exact"/>
        <w:rPr>
          <w:rFonts w:ascii="Arial" w:cs="Arial" w:eastAsia="Arial" w:hAnsi="Arial"/>
          <w:sz w:val="16"/>
          <w:szCs w:val="16"/>
          <w:color w:val="auto"/>
        </w:rPr>
      </w:pPr>
    </w:p>
    <w:p>
      <w:pPr>
        <w:ind w:right="60" w:firstLine="444"/>
        <w:spacing w:after="0" w:line="286" w:lineRule="auto"/>
        <w:tabs>
          <w:tab w:leader="none" w:pos="695"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Enforcement by Administrative Agent</w:t>
      </w:r>
      <w:r>
        <w:rPr>
          <w:rFonts w:ascii="Arial" w:cs="Arial" w:eastAsia="Arial" w:hAnsi="Arial"/>
          <w:sz w:val="16"/>
          <w:szCs w:val="16"/>
          <w:color w:val="auto"/>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Article X. for the benefit of all the Lenders and the Issuing Banks;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prohibit (i) the Administrative Agent from exercising on its own behalf the rights and remedies that inure to its benefit (solely in its capacity as Administrative Agent) hereunder and under the other Loan Documents, (ii) the Issuing Banks or the Swingline Lender from exercising the rights and remedies that inure to their benefit (solely in their capacity as an Issuing Bank or Swingline Lender, as the case may be) hereunder or under the other Loan Documents, (iii) any Specified Derivatives Provider from exercising the rights and remedies that inure to its benefit under any Specified Derivatives Contract, (iv) any Lender from exercising setoff rights in accordance with Section 12.4. (subject to the terms of Section 3.3.), or (v) any Lender from filing proofs of claim or appearing and filing pleadings on its own behalf during the pendency of a proceeding relative to any Loan Party under any Debtor Relief Law;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at any time there is no Person acting as Administrative Agent hereunder and under the other Loan Documents, then (x) the Requisite Lenders shall have the rights otherwise ascribed to the Administrative Agent pursuant to Article X. and (y) in addition to the matters set forth in clauses (ii), (iv) and (v) of the preceding proviso and subject to Section 3.3., any Lender may, with the consent of the Requisite Lenders, enforce any rights and remedies available to it and as authorized by the Requisite Lenders.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XI.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DMINISTRATIVE</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GENT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11.1. Appointment and Authorization.</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Each Lender hereby irrevocably appoints and authorizes the Administrative Agent to take such action as contractual representative on such Lender’s behalf and to exercise such powers under this Agreement and the other Loan Documents as are specifically delegated to the Administrative Agent by the terms hereof and thereof, together with such powers as are reasonably incidental thereto. Not in limitation of the foregoing, each Lender authorizes and directs the Administrative Agent to enter into the Loan Documents for the benefit of the Lenders. Each Lender hereby agrees that, except as otherwise set forth herein, any action taken by the Requisite Lenders in accordance with the provisions of this Agreement or</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0980"/>
          </w:cols>
          <w:pgMar w:left="440" w:top="274" w:right="479" w:bottom="1440" w:gutter="0" w:footer="0" w:header="0"/>
        </w:sectPr>
      </w:pPr>
    </w:p>
    <w:bookmarkStart w:id="105" w:name="page106"/>
    <w:bookmarkEnd w:id="105"/>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Loan Documents, and the exercise by the Requisite Lenders of the powers set forth herein or therein, together with such other powers as are reasonably incidental thereto, shall be authorized and binding upon all of the Lenders. Nothing herein shall be construed to deem the Administrative Agent a trustee or fiduciary for any Lender or to impose on the Administrative Agent duties or obligations other than those expressly provided for herein. Without limiting the generality of the foregoing, the use of the terms “Agent”, “Administrative Agent”, “agent” and similar terms in the Loan Documents with reference to the Administrative Agent is not intended to connote any fiduciary or other implied (or express) obligations arising under agency doctrine of any Applicable Law. Instead, use of such terms is merely a matter of market custom, and is intended to create or reflect only an administrative relationship between independent contracting parties. The Administrative Agent shall deliver to each Lender, promptly upon receipt thereof by the Administrative Agent, copies of each of the financial statements, certificates, notices and other documents delivered to the Administrative Agent pursuant to Article VIII. that the Borrower is not otherwise required to deliver directly to the Lenders. The Administrative Agent will furnish to any Lender, upon the request of such Lender, a copy (or, where appropriate, an original) of any document, instrument, agreement, certificate or notice furnished to the Administrative Agent by the Borrower, any other Loan Party or any other Affiliate of the Borrower, pursuant to this Agreement or any other Loan Document not already delivered to such Lender pursuant to the terms of this Agreement or any such other Loan Document. As to any matters not expressly provided for by the Loan Documents (including, without limitation, enforcement or collection of any of the Obligations), the Administrative Agent shall not be required to exercise any discretion or take any action, but shall be required to act or to refrain from acting (and shall be fully protected in so acting or refraining from acting) upon the instructions of the Requisite Lenders (or all of the Lenders if explicitly required under any other provision of this Agreement), and such instructions shall be binding upon all Lenders and all holders of any of the Obligations; provided, however, that, notwithstanding anything in this Agreement to the contrary, the Administrative Agent shall not be required to take any action which exposes the Administrative Agent to personal liability or which is contrary to this Agreement or any other Loan Document or Applicable Law. Not in limitation of the foregoing, the Administrative Agent may exercise any right or remedy it or the Lenders may have under any Loan Document upon the occurrence of a Default or an Event of Default unless the Requisite Lenders have directed the Administrative Agent otherwise. Without limiting the foregoing, no Lender shall have any right of action whatsoever against the Administrative Agent as a result of the Administrative Agent acting or refraining from acting under this Agreement or any of the other Loan Documents in accordance with the instructions of the Requisite Lenders, or where applicable, all the Lenders.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11.2. Wells Fargo as Lender.</w:t>
      </w:r>
    </w:p>
    <w:p>
      <w:pPr>
        <w:spacing w:after="0" w:line="121" w:lineRule="exact"/>
        <w:rPr>
          <w:sz w:val="20"/>
          <w:szCs w:val="20"/>
          <w:color w:val="auto"/>
        </w:rPr>
      </w:pPr>
    </w:p>
    <w:p>
      <w:pPr>
        <w:ind w:right="60" w:firstLine="441"/>
        <w:spacing w:after="0" w:line="287" w:lineRule="auto"/>
        <w:rPr>
          <w:sz w:val="20"/>
          <w:szCs w:val="20"/>
          <w:color w:val="auto"/>
        </w:rPr>
      </w:pPr>
      <w:r>
        <w:rPr>
          <w:rFonts w:ascii="Arial" w:cs="Arial" w:eastAsia="Arial" w:hAnsi="Arial"/>
          <w:sz w:val="16"/>
          <w:szCs w:val="16"/>
          <w:color w:val="auto"/>
        </w:rPr>
        <w:t>Wells Fargo, as a Lender or as a Specified Derivatives Provider, as the case may be, shall have the same rights and powers under this Agreement and any other Loan Document and under any Specified Derivatives Contract, as the case may be, as any other Lender or Specified Derivatives Provider and may exercise the same as though it were not the Administrative Agent; and the term “Lender” or “Lenders” shall, unless otherwise expressly indicated, include Wells Fargo in each case in its individual capacity. Wells Fargo and its Affiliates may each accept deposits from, maintain deposits or credit balances for, invest in, lend money to, act as trustee under indentures of, serve as financial advisor to, and generally engage in any kind of business with the Borrower, any other Loan Party or any other Affiliate thereof as if it were any other bank and without any duty to account therefor to the Issuing Bank, other Lenders, or any other Specified Derivatives Providers. Further, the Administrative Agent and any Affiliate may accept fees and other consideration from the Borrower for services in connection with this Agreement or any Specified Derivatives Contract, or otherwise without having to account for the same to the Issuing Bank, the other Lenders or any other Specified Derivatives Providers. The Issuing Bank and the Lenders acknowledge that, pursuant to such activities, Wells Fargo or its Affiliates may receive information regarding the Borrower, other Loan Parties, other Subsidiaries and other Affiliates (including information that may be subject to confidentiality obligations in favor of such Person) and acknowledge that the Administrative Agent shall be under no obligation to provide such information to them.</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- 97 -</w:t>
      </w:r>
    </w:p>
    <w:p>
      <w:pPr>
        <w:sectPr>
          <w:pgSz w:w="11900" w:h="16838" w:orient="portrait"/>
          <w:cols w:equalWidth="0" w:num="1">
            <w:col w:w="11020"/>
          </w:cols>
          <w:pgMar w:left="440" w:top="274" w:right="4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Approvals of Lenders.</w:t>
      </w:r>
    </w:p>
    <w:p>
      <w:pPr>
        <w:spacing w:after="0" w:line="121" w:lineRule="exact"/>
        <w:rPr>
          <w:sz w:val="20"/>
          <w:szCs w:val="20"/>
          <w:color w:val="auto"/>
        </w:rPr>
      </w:pPr>
    </w:p>
    <w:p>
      <w:pPr>
        <w:ind w:right="100" w:firstLine="441"/>
        <w:spacing w:after="0" w:line="284" w:lineRule="auto"/>
        <w:rPr>
          <w:sz w:val="20"/>
          <w:szCs w:val="20"/>
          <w:color w:val="auto"/>
        </w:rPr>
      </w:pPr>
      <w:r>
        <w:rPr>
          <w:rFonts w:ascii="Arial" w:cs="Arial" w:eastAsia="Arial" w:hAnsi="Arial"/>
          <w:sz w:val="16"/>
          <w:szCs w:val="16"/>
          <w:color w:val="auto"/>
        </w:rPr>
        <w:t>All communications from the Administrative Agent to any Lender requesting such Lender’s determination, consent or approval (a) shall be given in the form of a written notice to such Lender, (b) shall be accompanied by a description of the matter or issue as to which such determination, approval or consent is requested, or shall advise such Lender where information, if any, regarding such matter or issue may be inspected, or shall otherwise describe the matter or issue to be resolved, and (c) shall include, if reasonably requested by such Lender and to the extent not previously provided to such Lender, written materials provided to the Administrative Agent by the Borrower in respect of the matter or issue to be resolved. Unless a Lender shall give written notice to the Administrative Agent that it specifically objects to the requested determination, consent or approval within ten</w:t>
      </w:r>
    </w:p>
    <w:p>
      <w:pPr>
        <w:spacing w:after="0" w:line="5" w:lineRule="exact"/>
        <w:rPr>
          <w:sz w:val="20"/>
          <w:szCs w:val="20"/>
          <w:color w:val="auto"/>
        </w:rPr>
      </w:pPr>
    </w:p>
    <w:p>
      <w:pPr>
        <w:jc w:val="both"/>
        <w:ind w:right="140" w:firstLine="4"/>
        <w:spacing w:after="0" w:line="277" w:lineRule="auto"/>
        <w:tabs>
          <w:tab w:leader="none" w:pos="34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Business Days (or such lesser or greater period as may be specifically required under the express terms of the Loan Documents) of receipt of such communication, such Lender shall be deemed to have conclusively approved such requested determination, consent or approval. The provisions of this Section shall not apply to any amendment, waiver or consent regarding any of the matters described in Section 12.7.(c).</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11.4. Notice of Events of Default.</w:t>
      </w:r>
    </w:p>
    <w:p>
      <w:pPr>
        <w:spacing w:after="0" w:line="121" w:lineRule="exact"/>
        <w:rPr>
          <w:sz w:val="20"/>
          <w:szCs w:val="20"/>
          <w:color w:val="auto"/>
        </w:rPr>
      </w:pPr>
    </w:p>
    <w:p>
      <w:pPr>
        <w:ind w:firstLine="441"/>
        <w:spacing w:after="0" w:line="297" w:lineRule="auto"/>
        <w:rPr>
          <w:sz w:val="20"/>
          <w:szCs w:val="20"/>
          <w:color w:val="auto"/>
        </w:rPr>
      </w:pPr>
      <w:r>
        <w:rPr>
          <w:rFonts w:ascii="Arial" w:cs="Arial" w:eastAsia="Arial" w:hAnsi="Arial"/>
          <w:sz w:val="16"/>
          <w:szCs w:val="16"/>
          <w:color w:val="auto"/>
        </w:rPr>
        <w:t>The Administrative Agent shall not be deemed to have knowledge or notice of the occurrence of a Default or Event of Default unless the Administrative Agent has received notice thereof from a Lender or the Borrower referring to this Agreement, describing with reasonable specificity such Default or Event of Default and stating that such notice is a “notice of default.” If any Lender (excluding the Lender which is also serving as the Administrative Agent) becomes aware of any Default or Event of Default, it shall promptly send to the Administrative Agent such a “notice of default”. Further, if the Administrative Agent receives such a “notice of default,” the Administrative Agent shall give prompt notice thereof to the Lenders.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11.5. Administrative Agent’s Reliance.</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Notwithstanding any other provisions of this Agreement or any other Loan Documents, neither the Administrative Agent nor any of its directors, officers, agents, employees or counsel shall be liable for any action taken or not taken by it under or in connection with this Agreement or any other Loan Document, except for its or their own gross negligence or willful misconduct in connection with its duties expressly set forth herein or therein as determined by a court of competent jurisdiction in a final non-appealable judgment. Without limiting the generality of the foregoing, the Administrative Agent may consult with legal counsel (including its own counsel or counsel for the Borrower or any other Loan Party), independent public accountants and other experts selected by it and shall not be liable for any action taken or omitted to be taken in good faith by it in accordance with the advice of such counsel, accountants or experts. Neither the Administrative Agent nor any of its directors, officers, agents, employees or counsel: (a) makes any warranty or representation to any Lender, the Issuing Bank or any other Person, or shall be responsible to any Lender, the Issuing Bank or any other Person for any statement, warranty or representation made or deemed made by the Borrower, any other Loan Party or any other Person in or in connection with this Agreement or any other Loan Document; (b) shall have any duty to ascertain or to inquire as to the performance or observance of any of the terms, covenants or conditions of this Agreement or any other Loan Document or the satisfaction of any conditions precedent under this Agreement or any Loan Document on the part of the Borrower or other Persons, or to inspect the property, books or records of the Borrower or any other Person; (c) shall be responsible to any Lender or the Issuing Bank for the due execution, legality, validity, enforceability, genuineness, sufficiency or value of this Agreement or any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- 98 -</w:t>
      </w:r>
    </w:p>
    <w:p>
      <w:pPr>
        <w:sectPr>
          <w:pgSz w:w="11900" w:h="16838" w:orient="portrait"/>
          <w:cols w:equalWidth="0" w:num="1">
            <w:col w:w="11020"/>
          </w:cols>
          <w:pgMar w:left="440" w:top="270" w:right="439" w:bottom="1440" w:gutter="0" w:footer="0" w:header="0"/>
        </w:sectPr>
      </w:pPr>
    </w:p>
    <w:bookmarkStart w:id="107" w:name="page108"/>
    <w:bookmarkEnd w:id="10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Loan Document, any other instrument or document furnished pursuant thereto; (d) shall have any liability in respect of any recitals, statements, certifications, representations or warranties contained in any of the Loan Documents or any other document, instrument, agreement, certificate or statement delivered in connection therewith; and (e) shall incur any liability under or in respect of this Agreement or any other Loan Document by acting upon any notice, consent, certificate or other instrument or writing (which may be by telephone or electronic mail) believed by it to be genuine and signed, sent or given by the proper party or parties. The Administrative Agent may execute any of its duties under the Loan Documents by or through agents, employees or attorneys-in-fact and shall not itself be responsible for the negligence or misconduct of any agent or attorney-in-fact that it selects in the absence of gross negligence or willful misconduct as determined by a court of competent jurisdiction in a final non-appealable judgment.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11.6. Indemnification of Administrative Agent.</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Each Lender agrees to indemnify the Administrative Agent (to the extent not reimbursed by the Borrower and without limiting the obligation of the Borrower to do so) pro rata in accordance with such Lender’s respective Revolving Commitment Percentage (determined as of the time of such claim), from and against any and all liabilities, obligations, losses, damages, penalties, actions, judgments, suits, reasonable out-of-pocket costs and expenses of any kind or nature whatsoever which may at any time be imposed on, incurred by, or asserted against the Administrative Agent (in its capacity as Administrative Agent but not as a Lender) in any way relating to or arising out of the Loan Documents, any transaction contemplated hereby or thereby or any action taken or omitted by the Administrative Agent under the Loan Documents (collectively, “</w:t>
      </w:r>
      <w:r>
        <w:rPr>
          <w:rFonts w:ascii="Arial" w:cs="Arial" w:eastAsia="Arial" w:hAnsi="Arial"/>
          <w:sz w:val="16"/>
          <w:szCs w:val="16"/>
          <w:b w:val="1"/>
          <w:bCs w:val="1"/>
          <w:color w:val="auto"/>
        </w:rPr>
        <w:t>Indemnifiable Amounts</w:t>
      </w:r>
      <w:r>
        <w:rPr>
          <w:rFonts w:ascii="Arial" w:cs="Arial" w:eastAsia="Arial" w:hAnsi="Arial"/>
          <w:sz w:val="16"/>
          <w:szCs w:val="16"/>
          <w:color w:val="auto"/>
        </w:rPr>
        <w:t xml:space="preserve">”); provided, however, that no Lender shall be liable for any portion of such Indemnifiable Amounts to the extent resulting from the Administrative Agent’s gross negligence or willful misconduct as determined by a court of competent jurisdiction in a final, non-appealable judgment;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action taken in accordance with the directions of the Requisite Lenders (or all of the Lenders, if expressly required hereunder) shall be deemed to constitute gross negligence or willful misconduct for purposes of this Section. Without limiting the generality of the foregoing, each Lender agrees to reimburse the Administrative Agent (to the extent not reimbursed by the Borrower and without limiting the obligation of the Borrower to do so) promptly upon demand for its ratable share of any out-of-pocket expenses (including the reasonable fees and expenses of the counsel to the Administrative Agent) incurred by the Administrative Agent in connection with the preparation, negotiation, execution, administration, or enforcement (whether through negotiations, legal proceedings, or otherwise) of, or legal advice with respect to the rights or responsibilities of the parties under, the Loan Documents, any suit or action brought by the Administrative Agent to enforce the terms of the Loan Documents and/or collect any Obligations, any “lender liability” suit or claim brought against the Administrative Agent and/or the Lenders, and any claim or suit brought against the Administrative Agent and/or the Lenders arising under any Environmental Laws. Such out-of-pocket expenses (including counsel fees) shall be advanced by the Lenders on the request of the Administrative Agent notwithstanding any claim or assertion that the Administrative Agent is not entitled to indemnification hereunder upon receipt of an undertaking by the Administrative Agent that the Administrative Agent will reimburse the Lenders if it is actually and finally determined by a court of competent jurisdiction that the Administrative Agent is not so entitled to indemnification. The agreements in this Section shall survive the payment of the Loans and all other amounts payable hereunder or under the other Loan Documents and the termination of this Agreement. If the Borrower shall reimburse the Administrative Agent for any Indemnifiable Amount following payment by any Lender to the Administrative Agent in respect of such Indemnifiable Amount pursuant to this Section, the Administrative Agent shall share such reimbursement on a ratable basis with each Lender making any such payment.</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- 99 -</w:t>
      </w:r>
    </w:p>
    <w:p>
      <w:pPr>
        <w:sectPr>
          <w:pgSz w:w="11900" w:h="16838" w:orient="portrait"/>
          <w:cols w:equalWidth="0" w:num="1">
            <w:col w:w="10980"/>
          </w:cols>
          <w:pgMar w:left="440" w:top="274" w:right="47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11.7. Lender Credit Decision, Etc.</w:t>
      </w:r>
    </w:p>
    <w:p>
      <w:pPr>
        <w:spacing w:after="0" w:line="121" w:lineRule="exact"/>
        <w:rPr>
          <w:sz w:val="20"/>
          <w:szCs w:val="20"/>
          <w:color w:val="auto"/>
        </w:rPr>
      </w:pPr>
    </w:p>
    <w:p>
      <w:pPr>
        <w:ind w:firstLine="441"/>
        <w:spacing w:after="0" w:line="284" w:lineRule="auto"/>
        <w:rPr>
          <w:sz w:val="20"/>
          <w:szCs w:val="20"/>
          <w:color w:val="auto"/>
        </w:rPr>
      </w:pPr>
      <w:r>
        <w:rPr>
          <w:rFonts w:ascii="Arial" w:cs="Arial" w:eastAsia="Arial" w:hAnsi="Arial"/>
          <w:sz w:val="16"/>
          <w:szCs w:val="16"/>
          <w:color w:val="auto"/>
        </w:rPr>
        <w:t>Each of the Lenders and the Issuing Bank expressly acknowledges and agrees that neither the Administrative Agent nor any of its officers, directors, employees, agents, counsel, attorneys-in-fact or other Affiliates has made any representations or warranties to the Issuing Bank or such Lender and that no act by the Administrative Agent hereafter taken, including any review of the affairs of the Borrower, any other Loan Party or any other Subsidiary or Affiliate, shall be deemed to constitute any such representation or warranty by the Administrative Agent to the Issuing Bank or any Lender. Each of the Lenders and the Issuing Bank acknowledges that it has made its own credit and legal analysis and decision to enter into this Agreement and the transactions contemplated hereby, independently and without reliance upon the Administrative Agent, any other Lender or counsel to the Administrative Agent, or any of their respective officers, directors, employees, agents or counsel, and based on the financial statements of the Borrower, the other Loan Parties, the other Subsidiaries and other Affiliates, and inquiries of such Persons, its independent due diligence of the business and affairs of the Borrower, the other Loan Parties, the other Subsidiaries and other Persons, its review of the Loan Documents, the legal opinions required to be delivered to it hereunder, the advice of its own counsel and such other documents and information as it has deemed appropriate. Each of the Lenders and the Issuing Bank also acknowledges that it will, independently and without reliance upon the Administrative Agent, any other Lender or counsel to the Administrative Agent or any of their respective officers, directors, employees and agents, and based on such review, advice, documents and information as it shall deem appropriate at the time, continue to make its own decisions in taking or not taking action under the Loan Documents. The Administrative Agent shall not be required to keep itself informed as to the performance or observance by the Borrower or any other Loan Party of the Loan Documents or any other document referred to or provided for therein or to inspect the properties or books of, or make any other investigation of, the Borrower, any other Loan Party or any other Subsidiary. Except for notices, reports and other documents and information expressly required to be furnished to the Lenders and the Issuing Bank by the Administrative Agent under this Agreement or any of the other Loan Documents, the Administrative Agent shall have no duty or responsibility to provide any Lender or the Issuing Bank with any credit or other information concerning the business, operations, property, financial and other condition or creditworthiness of the Borrower, any other Loan Party or any other Affiliate thereof which may come into possession of the Administrative Agent or any of its officers, directors, employees, agents, attorneys-in-fact or other Affiliates. Each of the Lenders and the Issuing Bank acknowledges that the Administrative Agent’s legal counsel in connection with the transactions contemplated by this Agreement is only acting as counsel to the Administrative Agent and is not acting as counsel to any Lender or the Issuing Bank.</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11.8. Successor Administrative Agent.</w:t>
      </w:r>
    </w:p>
    <w:p>
      <w:pPr>
        <w:spacing w:after="0" w:line="121" w:lineRule="exact"/>
        <w:rPr>
          <w:sz w:val="20"/>
          <w:szCs w:val="20"/>
          <w:color w:val="auto"/>
        </w:rPr>
      </w:pPr>
    </w:p>
    <w:p>
      <w:pPr>
        <w:ind w:right="20" w:firstLine="441"/>
        <w:spacing w:after="0" w:line="288" w:lineRule="auto"/>
        <w:rPr>
          <w:sz w:val="20"/>
          <w:szCs w:val="20"/>
          <w:color w:val="auto"/>
        </w:rPr>
      </w:pPr>
      <w:r>
        <w:rPr>
          <w:rFonts w:ascii="Arial" w:cs="Arial" w:eastAsia="Arial" w:hAnsi="Arial"/>
          <w:sz w:val="16"/>
          <w:szCs w:val="16"/>
          <w:color w:val="auto"/>
        </w:rPr>
        <w:t>The Administrative Agent may (i) be removed as administrative agent by all of the Lenders (other than the Lender then acting as Administrative Agent) and the Borrower upon 30 days’ prior written notice if the Administrative Agent (A) is found by a court of competent jurisdiction in a final, non-appealable judgment to have committed gross negligence or willful misconduct in the course of performing its duties hereunder or (B) has become or is insolvent or has become the subject of a bankruptcy or insolvency proceeding, or has had a receiver, conservator, trustee or custodian appointed for it, or has taken any action in furtherance of, or indicating its consent to, approval of or acquiescence in any such proceeding or appointment (ii) resign at any time as Administrative Agent under the Loan Documents by giving written notice thereof to the Lenders and the Borrower. Upon any such removal or resignation, the Requisite Lenders shall have the right to appoint a successor Administrative Agent which appointment shall, provided no Event of Default exists, be subject to the Borrower’s approval, which approval shall not be unreasonably withheld or delayed (except that the Borrower shall, in all events, be deemed to have approved each Lender and any of its Affiliates as a successor Administrative Agent). If no successor Administrative Agent shall have been so appointed in accordance with the immediately preceding sentence, and shall have accepted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- 100 -</w:t>
      </w:r>
    </w:p>
    <w:p>
      <w:pPr>
        <w:sectPr>
          <w:pgSz w:w="11900" w:h="16838" w:orient="portrait"/>
          <w:cols w:equalWidth="0" w:num="1">
            <w:col w:w="11020"/>
          </w:cols>
          <w:pgMar w:left="440" w:top="270" w:right="439" w:bottom="1440" w:gutter="0" w:footer="0" w:header="0"/>
        </w:sectPr>
      </w:pPr>
    </w:p>
    <w:bookmarkStart w:id="109" w:name="page110"/>
    <w:bookmarkEnd w:id="109"/>
    <w:p>
      <w:pPr>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such appointment, within 30 days after (i) the Lenders’ giving of notice of removal or (ii) the resigning Administrative Agent’s giving of notice of resignation, then the removed or resigning Administrative Agent shall be discharged from its duties and obligations under the Loan Documents and may, on behalf of the Lenders and the Issuing Banks, appoint a successor Administrative Agent, which shall be a Lender, if any Lender shall be willing to serve, and otherwise shall be an Eligible Assignee which, provided no Event of Default exists, shall be approved by the Borrower (such approval shall not be unreasonably withheld or delayed); provided that if the Administrative Agent shall notify the Borrower and the Lenders that no Lender has accepted such appointment, then such resignation shall nonetheless become effective in accordance with such notice and (1) the Administrative Agent shall be discharged from its duties and obligations hereunder and under the other Loan Documents and (2) all payments, communications and determinations provided to be made by, to or through the Administrative Agent shall instead be made to each Lender and the Issuing Banks directly until such time as a successor Administrative Agent has been appointed as provided for above in this Section; provided, further that such Lenders and the Issuing Banks so acting directly shall be and be deemed to be protected by all indemnities and other provisions herein for the benefit and protection of the Administrative Agent as if each such Lender or Issuing Bank were itself the Administrative Agent. Upon the acceptance of any appointment as Administrative Agent hereunder by a successor Administrative Agent such successor Administrative Agent, or, if no such successor has been appointed, the Requisite Lenders, shall thereupon succeed to and become vested with all the rights, powers, privileges and duties of the removed or resigning Administrative Agent. Any resignation by an Administrative Agent shall also constitute the resignation as an Issuing Bank and as the Swingline Lender by the Lender then acting as Administrative Agent (the “Resigning Lender”). Upon the acceptance of a successor’s appointment as Administrative Agent hereunder (i) the Resigning Lender shall be discharged from all duties and obligations of an Issuing Bank and the Swingline Lender hereunder and under the other Loan Documents and (ii) the successor Issuing Bank shall issue letters of credit in substitution for all Letters of Credit issued by the Resigning Lender as Issuing Bank outstanding at the time of such succession (which letters of credit issued in substitutions shall be deemed to be Letters of Credit issued hereunder) or make other arrangements satisfactory to the Resigning Lender to effectively assume the obligations of the Resigning Lender with respect to such Letters of Credit. After any Administrative Agent’s removal or resignation hereunder as Administrative Agent, the provisions of this Article XI. shall continue to inure to its benefit as to any actions taken or omitted to be taken by it while it was Administrative Agent under the Loan Documents. Notwithstanding anything contained herein to the contrary, subject to the Borrower’s approval, the Administrative Agent may assign its rights and duties under the Loan Documents to any of its Affiliates reasonably acceptable to the Borrower by giving the Borrower and each Lender prior written notice.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11.9. Titled Agents.</w:t>
      </w:r>
    </w:p>
    <w:p>
      <w:pPr>
        <w:spacing w:after="0" w:line="117" w:lineRule="exact"/>
        <w:rPr>
          <w:sz w:val="20"/>
          <w:szCs w:val="20"/>
          <w:color w:val="auto"/>
        </w:rPr>
      </w:pPr>
    </w:p>
    <w:p>
      <w:pPr>
        <w:ind w:right="60" w:firstLine="441"/>
        <w:spacing w:after="0" w:line="256" w:lineRule="auto"/>
        <w:rPr>
          <w:sz w:val="20"/>
          <w:szCs w:val="20"/>
          <w:color w:val="auto"/>
        </w:rPr>
      </w:pPr>
      <w:r>
        <w:rPr>
          <w:rFonts w:ascii="Arial" w:cs="Arial" w:eastAsia="Arial" w:hAnsi="Arial"/>
          <w:sz w:val="18"/>
          <w:szCs w:val="18"/>
          <w:color w:val="auto"/>
        </w:rPr>
        <w:t>The Arrangers, Book Managers and Syndication Agent (the “</w:t>
      </w:r>
      <w:r>
        <w:rPr>
          <w:rFonts w:ascii="Arial" w:cs="Arial" w:eastAsia="Arial" w:hAnsi="Arial"/>
          <w:sz w:val="18"/>
          <w:szCs w:val="18"/>
          <w:b w:val="1"/>
          <w:bCs w:val="1"/>
          <w:color w:val="auto"/>
        </w:rPr>
        <w:t>Titled Agents</w:t>
      </w:r>
      <w:r>
        <w:rPr>
          <w:rFonts w:ascii="Arial" w:cs="Arial" w:eastAsia="Arial" w:hAnsi="Arial"/>
          <w:sz w:val="18"/>
          <w:szCs w:val="18"/>
          <w:color w:val="auto"/>
        </w:rPr>
        <w:t>”) in such respective capacities, assume no responsibility or obligation hereunder, including, without limitation, for servicing, enforcement or collection of any of the Loans, nor any duties as an agent hereunder for the Lenders. The titles given to the Titled Agents are solely honorific and imply no fiduciary responsibility on the part of the Titled Agents to the Administrative Agent, any Lender, the Issuing Bank, the Borrower or any other Loan Party and the use of such titles does not impose on the Titled Agents any duties or obligations greater than those of any other Lender or entitle the Titled Agents to any rights other than those to which any other Lender is entitled.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- 101 -</w:t>
      </w:r>
    </w:p>
    <w:p>
      <w:pPr>
        <w:sectPr>
          <w:pgSz w:w="11900" w:h="16838" w:orient="portrait"/>
          <w:cols w:equalWidth="0" w:num="1">
            <w:col w:w="11020"/>
          </w:cols>
          <w:pgMar w:left="440" w:top="274" w:right="439" w:bottom="1440" w:gutter="0" w:footer="0" w:header="0"/>
        </w:sectPr>
      </w:pPr>
    </w:p>
    <w:bookmarkStart w:id="110" w:name="page111"/>
    <w:bookmarkEnd w:id="110"/>
    <w:p>
      <w:pPr>
        <w:jc w:val="center"/>
        <w:ind w:right="-2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w:t>
      </w:r>
      <w:r>
        <w:rPr>
          <w:rFonts w:ascii="Arial" w:cs="Arial" w:eastAsia="Arial" w:hAnsi="Arial"/>
          <w:sz w:val="15"/>
          <w:szCs w:val="15"/>
          <w:b w:val="1"/>
          <w:bCs w:val="1"/>
          <w:color w:val="auto"/>
        </w:rPr>
        <w:t>RTICLE</w:t>
      </w:r>
      <w:r>
        <w:rPr>
          <w:rFonts w:ascii="Arial" w:cs="Arial" w:eastAsia="Arial" w:hAnsi="Arial"/>
          <w:sz w:val="18"/>
          <w:szCs w:val="18"/>
          <w:b w:val="1"/>
          <w:bCs w:val="1"/>
          <w:color w:val="auto"/>
        </w:rPr>
        <w:t xml:space="preserve"> XII. M</w:t>
      </w:r>
      <w:r>
        <w:rPr>
          <w:rFonts w:ascii="Arial" w:cs="Arial" w:eastAsia="Arial" w:hAnsi="Arial"/>
          <w:sz w:val="15"/>
          <w:szCs w:val="15"/>
          <w:b w:val="1"/>
          <w:bCs w:val="1"/>
          <w:color w:val="auto"/>
        </w:rPr>
        <w:t>ISCELLANEOUS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 Notices.</w:t>
      </w:r>
    </w:p>
    <w:p>
      <w:pPr>
        <w:spacing w:after="0" w:line="121"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Unless otherwise provided herein (including without limitation as provided in Section 8.5.), communications provided for hereunder shall be in writing and shall be mailed, sent via electronic mail, or delivered as follows:</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Borrower: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Chief Accounting Officer</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(301) 998-8318</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msolis@federalrealty.com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 for all notices (other than notices solely under Article II), with copies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General Counsel</w:t>
      </w:r>
    </w:p>
    <w:p>
      <w:pPr>
        <w:spacing w:after="0" w:line="4"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Arial" w:cs="Arial" w:eastAsia="Arial" w:hAnsi="Arial"/>
                <w:sz w:val="18"/>
                <w:szCs w:val="18"/>
                <w:color w:val="auto"/>
              </w:rPr>
              <w:t>Telephone:</w:t>
            </w:r>
          </w:p>
        </w:tc>
        <w:tc>
          <w:tcPr>
            <w:tcW w:w="1980" w:type="dxa"/>
            <w:vAlign w:val="bottom"/>
          </w:tcPr>
          <w:p>
            <w:pPr>
              <w:spacing w:after="0"/>
              <w:rPr>
                <w:sz w:val="20"/>
                <w:szCs w:val="20"/>
                <w:color w:val="auto"/>
              </w:rPr>
            </w:pPr>
            <w:r>
              <w:rPr>
                <w:rFonts w:ascii="Arial" w:cs="Arial" w:eastAsia="Arial" w:hAnsi="Arial"/>
                <w:sz w:val="18"/>
                <w:szCs w:val="18"/>
                <w:color w:val="auto"/>
              </w:rPr>
              <w:t>(301) 998-8100</w:t>
            </w:r>
          </w:p>
        </w:tc>
        <w:tc>
          <w:tcPr>
            <w:tcW w:w="36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190"/>
        </w:trPr>
        <w:tc>
          <w:tcPr>
            <w:tcW w:w="1020" w:type="dxa"/>
            <w:vAlign w:val="bottom"/>
          </w:tcPr>
          <w:p>
            <w:pPr>
              <w:spacing w:after="0" w:line="190" w:lineRule="exact"/>
              <w:rPr>
                <w:sz w:val="20"/>
                <w:szCs w:val="20"/>
                <w:color w:val="auto"/>
              </w:rPr>
            </w:pPr>
            <w:r>
              <w:rPr>
                <w:rFonts w:ascii="Arial" w:cs="Arial" w:eastAsia="Arial" w:hAnsi="Arial"/>
                <w:sz w:val="18"/>
                <w:szCs w:val="18"/>
                <w:color w:val="auto"/>
              </w:rPr>
              <w:t>Email:</w:t>
            </w:r>
          </w:p>
        </w:tc>
        <w:tc>
          <w:tcPr>
            <w:tcW w:w="4100" w:type="dxa"/>
            <w:vAlign w:val="bottom"/>
            <w:gridSpan w:val="3"/>
          </w:tcPr>
          <w:p>
            <w:pPr>
              <w:spacing w:after="0" w:line="190" w:lineRule="exact"/>
              <w:rPr>
                <w:sz w:val="20"/>
                <w:szCs w:val="20"/>
                <w:color w:val="auto"/>
              </w:rPr>
            </w:pPr>
            <w:r>
              <w:rPr>
                <w:rFonts w:ascii="Arial" w:cs="Arial" w:eastAsia="Arial" w:hAnsi="Arial"/>
                <w:sz w:val="18"/>
                <w:szCs w:val="18"/>
                <w:color w:val="auto"/>
                <w:w w:val="89"/>
              </w:rPr>
              <w:t>dbecker@federalrealty.com and legal@federalrealty.com</w:t>
            </w:r>
          </w:p>
        </w:tc>
      </w:tr>
      <w:tr>
        <w:trPr>
          <w:trHeight w:val="20"/>
        </w:trPr>
        <w:tc>
          <w:tcPr>
            <w:tcW w:w="102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r>
    </w:tbl>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Washington, DC 20036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Justin J. Bintrim, Esq.</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(202) 663-8364</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justin.bintrim@pillsburylaw.com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Administrative Agent:</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 S Wacker Dr, Floor 32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Brandon H. Barry</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(312) 827-1525</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Brandon.Barry@wellsfargo.com</w:t>
      </w:r>
    </w:p>
    <w:p>
      <w:pPr>
        <w:spacing w:after="0" w:line="1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- 102 -</w:t>
      </w:r>
    </w:p>
    <w:p>
      <w:pPr>
        <w:sectPr>
          <w:pgSz w:w="11900" w:h="16838" w:orient="portrait"/>
          <w:cols w:equalWidth="0" w:num="1">
            <w:col w:w="10780"/>
          </w:cols>
          <w:pgMar w:left="440" w:top="270" w:right="679" w:bottom="1440" w:gutter="0" w:footer="0" w:header="0"/>
        </w:sectPr>
      </w:pPr>
    </w:p>
    <w:bookmarkStart w:id="111" w:name="page112"/>
    <w:bookmarkEnd w:id="11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to:</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Wells Fargo Bank, National Association</w:t>
      </w:r>
    </w:p>
    <w:p>
      <w:pPr>
        <w:spacing w:after="0" w:line="2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550 South Tryon Street, 6</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Charlotte, NC 28202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Douglas E. Frazer</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(704) 715-5747</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Doug.E.Frazer@wellsfargo.com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Administrative Agent under Article II.:</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Loan Center-Agency Services</w:t>
      </w:r>
    </w:p>
    <w:p>
      <w:pPr>
        <w:spacing w:after="0" w:line="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600 South 4</w:t>
      </w:r>
      <w:r>
        <w:rPr>
          <w:rFonts w:ascii="Arial" w:cs="Arial" w:eastAsia="Arial" w:hAnsi="Arial"/>
          <w:sz w:val="15"/>
          <w:szCs w:val="15"/>
          <w:color w:val="auto"/>
        </w:rPr>
        <w:t>th</w:t>
      </w:r>
      <w:r>
        <w:rPr>
          <w:rFonts w:ascii="Arial" w:cs="Arial" w:eastAsia="Arial" w:hAnsi="Arial"/>
          <w:sz w:val="18"/>
          <w:szCs w:val="18"/>
          <w:color w:val="auto"/>
        </w:rPr>
        <w:t xml:space="preserve"> Street, Floor 9</w:t>
      </w:r>
    </w:p>
    <w:p>
      <w:pPr>
        <w:spacing w:after="0" w:line="10"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Minneapolis, Minnesota 55415</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Kirby Wilson</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(612) 667-6009</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u w:val="single" w:color="auto"/>
          <w:color w:val="auto"/>
        </w:rPr>
        <w:t>Kirby.Wilson@wellsfargo.com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Issuing Bank:</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Wells Fargo Bank, National Association</w:t>
      </w:r>
    </w:p>
    <w:p>
      <w:pPr>
        <w:spacing w:after="0" w:line="23"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10 S Wacker Dr, Floor 32</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Chicago, IL 60606</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Attn: Brandon H. Barry</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Telephone:</w:t>
        <w:tab/>
        <w:t>(312) 827-1525</w:t>
      </w:r>
    </w:p>
    <w:p>
      <w:pPr>
        <w:spacing w:after="0" w:line="9" w:lineRule="exact"/>
        <w:rPr>
          <w:sz w:val="20"/>
          <w:szCs w:val="20"/>
          <w:color w:val="auto"/>
        </w:rPr>
      </w:pPr>
    </w:p>
    <w:p>
      <w:pPr>
        <w:ind w:left="100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Brandon.Barry@wellsfargo.com</w:t>
      </w:r>
    </w:p>
    <w:p>
      <w:pPr>
        <w:spacing w:after="0" w:line="10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other Lender:</w:t>
      </w:r>
    </w:p>
    <w:p>
      <w:pPr>
        <w:spacing w:after="0" w:line="117"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To such Lender’s address or electronic mail address as set forth in the applicable Administrative Questionnaire</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or, as to each party at such other address as shall be designated by such party in a written notice to the other parties delivered in compliance with this Section; provided, a Lender or the Issuing Bank shall only be required to give notice of any such other address to the Administrative Agent and the Borrower. All such notices and other communications shall be effective (i) if mailed, upon receipt; (ii) if delivered via electronic mail, upon the sender’s receipt of an acknowledgement from the intended recipient (such as by the “return receipt requested” function, as available, return e-mail or other written acknowledgement); provided that, if such electronic mail is not sent during normal business hours of the recipient, such electronic mail shall be deemed to have been sent at the opening of business of the next business day of the recipient; (iii) if hand delivered or sent by overnight courier, when delivered; or (iv) if delivered in accordance with Section 8.5. to the extent applicable; provided, however, that, in the case of the immediately preceding clauses (i), (ii) and (iii), non-receipt of any communication as of the result of any change of address of which the sending party was not notified or as the result of a refusal to accept delivery shall be deemed receipt of such communication. Notwithstanding the immediately preceding sentence, all notices or communications to the Administrative Agent, the Issuing Bank or any Lender under Article II. shall be effective only when actually received. None of the Administrative Agent, the Issuing Bank or any Lender shall incur any liability to any Loan Party (nor shall the Administrative Agent incur any liability to the Issuing Bank or the Lenders) for acting upon any notice via electronic mail referred to in this Agreement which the Administrative Agent, the Issuing Bank or such Lender, as the case may be, believes in good faith to have been given by a Person authorized to deliver such notice or for otherwise acting in good faith hereunder. Failure of a Person designated to get a copy of a notice to receive such copy shall not affect the validity of notice properly given to another Person.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- 103 -</w:t>
      </w:r>
    </w:p>
    <w:p>
      <w:pPr>
        <w:sectPr>
          <w:pgSz w:w="11900" w:h="16838" w:orient="portrait"/>
          <w:cols w:equalWidth="0" w:num="1">
            <w:col w:w="11000"/>
          </w:cols>
          <w:pgMar w:left="440" w:top="274"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12.2. Expenses.</w:t>
      </w:r>
    </w:p>
    <w:p>
      <w:pPr>
        <w:spacing w:after="0" w:line="121" w:lineRule="exact"/>
        <w:rPr>
          <w:sz w:val="20"/>
          <w:szCs w:val="20"/>
          <w:color w:val="auto"/>
        </w:rPr>
      </w:pPr>
    </w:p>
    <w:p>
      <w:pPr>
        <w:ind w:firstLine="441"/>
        <w:spacing w:after="0" w:line="282" w:lineRule="auto"/>
        <w:rPr>
          <w:sz w:val="20"/>
          <w:szCs w:val="20"/>
          <w:color w:val="auto"/>
        </w:rPr>
      </w:pPr>
      <w:r>
        <w:rPr>
          <w:rFonts w:ascii="Arial" w:cs="Arial" w:eastAsia="Arial" w:hAnsi="Arial"/>
          <w:sz w:val="16"/>
          <w:szCs w:val="16"/>
          <w:color w:val="auto"/>
        </w:rPr>
        <w:t>The Borrower agrees (a) to pay or reimburse each of the Arrangers and the Administrative Agent for all of its respective reasonable out-of-pocket costs and expenses incurred in connection with the preparation, syndication, negotiation and execution of, and any amendment, supplement or modification to, any of the Loan Documents (including due diligence expenses and reasonable travel expenses related to closing), and the consummation of the transactions contemplated hereby and thereby, including the reasonable fees and disbursements of counsel to the Administrative Agent and all costs and expenses of the Administrative Agent in connection with the use of IntraLinks, SyndTrak or other similar information transmission systems in connection with the Loan Documents, (b) to pay or reimburse the Administrative Agent, the Issuing Bank and the Lenders for all their reasonable costs and expenses incurred in connection with the “workout” or enforcement or preservation of any rights under the Loan Documents and the Fee Letter, including the reasonable fees and disbursements of their respective counsel (including the allocated fees and expenses of in-house counsel to the extent in substitution for, and not in duplication of, outside counsel) and any payments in indemnification or otherwise payable by the Lenders to the Administrative Agent pursuant to the Loan Documents; provided, however, that the Borrower shall not be required to pay the expenses of more than one counsel to the Administrative Agent and one separate counsel for the Lenders (in addition to expenses for any appropriate local or special counsel) in connection with such workout or enforcement or preservation unless the Lenders reasonably determine that joint representation is not appropriate under the circumstances, (c) to pay, and indemnify and hold harmless the Administrative Agent, the Issuing Bank and the Lenders from, any and all recording and filing fees and any and all liabilities with respect to, or resulting from any failure to pay or delay in paying, documentary, stamp, excise and other similar taxes, if any, which may be payable or determined to be payable in connection with the execution and delivery of any of the Loan Documents, or consummation of any amendment, supplement or modification of, or any waiver or consent under or in respect of, any Loan Document and (d) to the extent not already covered by any of the preceding subsections, to pay or reimburse the fees and disbursements of counsel to the Administrative Agent, the Issuing Bank and any Lender incurred in connection with the representation of the Administrative Agent, the Issuing Bank or such Lender in any matter relating to or arising out of any bankruptcy or other proceeding of the type described in Sections 10.1.(e) or 10.1.(f), including, without limitation</w:t>
      </w:r>
    </w:p>
    <w:p>
      <w:pPr>
        <w:spacing w:after="0" w:line="12" w:lineRule="exact"/>
        <w:rPr>
          <w:sz w:val="20"/>
          <w:szCs w:val="20"/>
          <w:color w:val="auto"/>
        </w:rPr>
      </w:pPr>
    </w:p>
    <w:p>
      <w:pPr>
        <w:ind w:right="20" w:firstLine="4"/>
        <w:spacing w:after="0" w:line="268" w:lineRule="auto"/>
        <w:tabs>
          <w:tab w:leader="none" w:pos="21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any motion for relief from any stay or similar order, (ii) the negotiation, preparation, execution and delivery of any document relating to the Obligations and (iii) the negotiation and preparation of any debtor-in-possession financing or any plan of reorganization of the Borrower or any other Loan Party, whether proposed by the Borrower, such Loan Party, the Lenders or any other Person, and whether such fees and expenses are incurred prior to, during or after the commencement of such proceeding or the confirmation or conclusion of any such proceeding; provided, however, that the Borrower shall not be required to pay the expenses of more than one counsel to the Administrative Agent and one separate counsel for the Lenders (in addition to expenses for any appropriate local or special counsel) in connection with such bankruptcy or proceeding unless the Lenders reasonably determine that joint representation is not appropriate under the circumstances. If the Borrower shall fail to pay any amounts required to be paid by it pursuant to this Section, the Administrative Agent and/or the Lenders may pay such amounts on behalf of the Borrower and such amounts shall be deemed to be Obligations owing hereunder.</w:t>
      </w:r>
    </w:p>
    <w:p>
      <w:pPr>
        <w:spacing w:after="0" w:line="114" w:lineRule="exact"/>
        <w:rPr>
          <w:rFonts w:ascii="Arial" w:cs="Arial" w:eastAsia="Arial" w:hAnsi="Arial"/>
          <w:sz w:val="17"/>
          <w:szCs w:val="17"/>
          <w:color w:val="auto"/>
        </w:rPr>
      </w:pPr>
    </w:p>
    <w:p>
      <w:pPr>
        <w:ind w:left="5380" w:hanging="106"/>
        <w:spacing w:after="0"/>
        <w:tabs>
          <w:tab w:leader="none" w:pos="538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104 -</w:t>
      </w:r>
    </w:p>
    <w:p>
      <w:pPr>
        <w:sectPr>
          <w:pgSz w:w="11900" w:h="16838" w:orient="portrait"/>
          <w:cols w:equalWidth="0" w:num="1">
            <w:col w:w="11020"/>
          </w:cols>
          <w:pgMar w:left="440" w:top="270" w:right="4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12.3. Stamp, Intangible and Recording Taxes.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The Borrower will pay any and all stamp, excise, intangible, registration, recordation and similar taxes, fees or charges and shall indemnify the Administrative Agent and each Lender against any and all liabilities with respect to or resulting from any delay in the payment or omission to pay any such taxes, fees or charges, which may be payable or determined to be payable in connection with the execution, delivery, recording, performance or enforcement of this Agreement, the Notes and any of the other Loan Documents, the amendment, supplement, modification or waiver of or consent under this Agreement, the Notes or any of the other Loan Documents or the perfection of any rights or Liens under this Agreement, the Notes or any of the other Loan Documents.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12.4. Setoff.</w:t>
      </w:r>
    </w:p>
    <w:p>
      <w:pPr>
        <w:spacing w:after="0" w:line="12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Subject to Section 3.3. and in addition to any rights now or hereafter granted under Applicable Law and not by way of limitation of any such rights, the Borrower hereby authorizes the Administrative Agent, the Issuing Bank, each Lender and each Affiliate of the Administrative Agent, the Issuing Bank or any Lender, at any time or from time to time during the continuance of an Event of Default, without prior notice to the Borrower or to any other Person, any such notice being hereby expressly waived, but in the case of the Issuing Bank, a Lender or an Affiliate of the Issuing Bank or a Lender, subject to receipt of the prior written consent of the Requisite Lenders exercised in their sole discretion, to set off and to appropriate and to apply any and all deposits (general or special, including, but not limited to, indebtedness evidenced by certificates of deposit, whether matured or unmatured) and any other indebtedness at any time held or owing by the Administrative Agent, the Issuing Bank, such Lender or any Affiliate of the Administrative Agent, the Issuing Bank or such Lender, to or for the credit or the account of the Borrower against and on account of any of the Obligations then due and payable, irrespective of whether or not any or all of the Loans and all other Obligations have been declared to be, or have otherwise become, due and payable as permitted by Section 10.2. Notwithstanding anything to the contrary in this Section, if any Defaulting Lender shall exercise any such right of setoff, (x) all amounts so set off shall be paid over immediately to the Administrative Agent for further application in accordance with the provisions of Section 3.9. and, pending such payment, shall be segregated by such Defaulting Lender from its other funds and deemed held in trust for the benefit of the Administrative Agent, the Issuing Bank and the Lenders and (y) the Defaulting Lender shall provide promptly to the Administrative Agent a statement describing in reasonable detail the Obligations owing to such Defaulting Lender as to which it exercised such right of setoff.</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12.5. Litigation; Jurisdiction; Other Matters; Waivers.</w:t>
      </w:r>
    </w:p>
    <w:p>
      <w:pPr>
        <w:spacing w:after="0" w:line="121" w:lineRule="exact"/>
        <w:rPr>
          <w:sz w:val="20"/>
          <w:szCs w:val="20"/>
          <w:color w:val="auto"/>
        </w:rPr>
      </w:pPr>
    </w:p>
    <w:p>
      <w:pPr>
        <w:ind w:right="80" w:firstLine="444"/>
        <w:spacing w:after="0" w:line="270" w:lineRule="auto"/>
        <w:tabs>
          <w:tab w:leader="none" w:pos="68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EACH PARTY HERETO ACKNOWLEDGES THAT ANY DISPUTE OR CONTROVERSY BETWEEN OR AMONG THE BORROWER, THE ADMINISTRATIVE AGENT, THE ISSUING BANK OR ANY OF THE LENDERS WOULD BE BASED ON DIFFICULT AND COMPLEX ISSUES OF LAW AND FACT AND WOULD RESULT IN DELAY AND EXPENSE TO THE PARTIES. ACCORDINGLY, TO THE EXTENT PERMITTED BY APPLICABLE LAW, EACH OF THE LENDERS, THE ADMINISTRATIVE AGENT, THE ISSUING BANK AND THE BORROWER HEREBY WAIVES ITS RIGHT TO A TRIAL BY JURY IN ANY ACTION OR PROCEEDING OF ANY KIND OR NATURE IN ANY COURT OR TRIBUNAL IN WHICH AN ACTION MAY BE COMMENCED BY OR AGAINST ANY PARTY HERETO ARISING OUT OF THIS AGREEMENT, ANY OTHER LOAN DOCUMENT OR THE FEE LETTER OR BY REASON OF ANY OTHER SUIT, CAUSE OF ACTION OR DISPUTE WHATSOEVER BETWEEN OR AMONG THE BORROWER, THE ADMINISTRATIVE AGENT, THE ISSUING BANK OR ANY OF THE LENDERS OF ANY KIND OR NATURE RELATING TO ANY OF THE LOAN DOCUMENTS.</w:t>
      </w:r>
    </w:p>
    <w:p>
      <w:pPr>
        <w:spacing w:after="0" w:line="73" w:lineRule="exact"/>
        <w:rPr>
          <w:rFonts w:ascii="Arial" w:cs="Arial" w:eastAsia="Arial" w:hAnsi="Arial"/>
          <w:sz w:val="17"/>
          <w:szCs w:val="17"/>
          <w:color w:val="auto"/>
        </w:rPr>
      </w:pPr>
    </w:p>
    <w:p>
      <w:pPr>
        <w:ind w:right="180" w:firstLine="444"/>
        <w:spacing w:after="0" w:line="259" w:lineRule="auto"/>
        <w:tabs>
          <w:tab w:leader="none" w:pos="69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BORROWER IRREVOCABLY AND UNCONDITIONALLY AGREES THAT IT WILL NOT COMMENCE ANY ACTION, LITIGATION OR PROCEEDING OF ANY KIND OR DESCRIPTION, WHETHER IN LAW OR EQUITY, WHETHER IN CONTRACT OR IN TORT OR OTHERWISE, AGAINST THE ADMINISTRATIVE AGENT, ANY LENDER, THE ISSUING BANK, OR ANY RELATED PARTY OF THE FOREGOING IN ANY WAY RELATING TO THIS</w:t>
      </w:r>
    </w:p>
    <w:p>
      <w:pPr>
        <w:spacing w:after="0" w:line="119" w:lineRule="exact"/>
        <w:rPr>
          <w:rFonts w:ascii="Arial" w:cs="Arial" w:eastAsia="Arial" w:hAnsi="Arial"/>
          <w:sz w:val="18"/>
          <w:szCs w:val="18"/>
          <w:color w:val="auto"/>
        </w:rPr>
      </w:pPr>
    </w:p>
    <w:p>
      <w:pPr>
        <w:ind w:left="5380" w:hanging="106"/>
        <w:spacing w:after="0"/>
        <w:tabs>
          <w:tab w:leader="none" w:pos="5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105 -</w:t>
      </w:r>
    </w:p>
    <w:p>
      <w:pPr>
        <w:sectPr>
          <w:pgSz w:w="11900" w:h="16838" w:orient="portrait"/>
          <w:cols w:equalWidth="0" w:num="1">
            <w:col w:w="10980"/>
          </w:cols>
          <w:pgMar w:left="440" w:top="270" w:right="479" w:bottom="1440" w:gutter="0" w:footer="0" w:header="0"/>
        </w:sectPr>
      </w:pPr>
    </w:p>
    <w:bookmarkStart w:id="114" w:name="page115"/>
    <w:bookmarkEnd w:id="114"/>
    <w:p>
      <w:pPr>
        <w:ind w:right="4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ISSUING BANK MAY OTHERWISE HAVE TO BRING ANY ACTION OR PROCEEDING RELATING TO THIS AGREEMENT OR ANY OTHER LOAN DOCUMENT AGAINST THE BORROWER OR ITS PROPERTIES IN THE COURTS OF ANY JURISDICTION. EACH PARTY FURTHER WAIVES ANY OBJECTION THAT IT MAY NOW OR HEREAFTER HAVE TO THE VENUE OF ANY SUCH ACTION OR PROCEEDING IN ANY SUCH COURT OR THAT SUCH ACTION OR PROCEEDING WAS BROUGHT IN AN INCONVENIENT FORUM AND EACH AGREES NOT TO PLEAD OR CLAIM THE SAME.</w:t>
      </w:r>
    </w:p>
    <w:p>
      <w:pPr>
        <w:spacing w:after="0" w:line="77" w:lineRule="exact"/>
        <w:rPr>
          <w:sz w:val="20"/>
          <w:szCs w:val="20"/>
          <w:color w:val="auto"/>
        </w:rPr>
      </w:pPr>
    </w:p>
    <w:p>
      <w:pPr>
        <w:ind w:right="180" w:firstLine="444"/>
        <w:spacing w:after="0" w:line="259" w:lineRule="auto"/>
        <w:tabs>
          <w:tab w:leader="none" w:pos="68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PROVISIONS OF THIS SECTION HAVE BEEN CONSIDERED BY EACH PARTY WITH THE ADVICE OF COUNSEL AND WITH A FULL UNDERSTANDING OF THE LEGAL CONSEQUENCES THEREOF, AND SHALL SURVIVE THE PAYMENT OF THE LOANS AND ALL OTHER AMOUNTS PAYABLE HEREUNDER OR UNDER THE OTHER LOAN DOCUMENTS, THE TERMINATION OR EXPIRATION OF ALL LETTERS OF CREDIT AND THE TERMINATION OF THIS AGREEMENT.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12.6. Successors and Assigns.</w:t>
      </w:r>
    </w:p>
    <w:p>
      <w:pPr>
        <w:spacing w:after="0" w:line="121" w:lineRule="exact"/>
        <w:rPr>
          <w:sz w:val="20"/>
          <w:szCs w:val="20"/>
          <w:color w:val="auto"/>
        </w:rPr>
      </w:pPr>
    </w:p>
    <w:p>
      <w:pPr>
        <w:ind w:firstLine="444"/>
        <w:spacing w:after="0" w:line="288" w:lineRule="auto"/>
        <w:tabs>
          <w:tab w:leader="none" w:pos="685"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Successors and Assigns Generally</w:t>
      </w:r>
      <w:r>
        <w:rPr>
          <w:rFonts w:ascii="Arial" w:cs="Arial" w:eastAsia="Arial" w:hAnsi="Arial"/>
          <w:sz w:val="16"/>
          <w:szCs w:val="16"/>
          <w:color w:val="auto"/>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Eligible Assignee in accordance with the provisions of the immediately following subsection (b), (ii) by way of participation in accordance with the provisions of the immediately following subsection (d) or (iii) by way of pledge or assignment of a security interest subject to the restrictions of the immediately following subsection (f) (and, subject to the last sentence of the immediately following subsection (b),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the immediately following subsection (d) and, to the extent expressly set forth herein, the Related Parties of the Administrative Agent and the Lenders) any legal or equitable right, remedy or claim under or by reason of this Agreement.</w:t>
      </w:r>
    </w:p>
    <w:p>
      <w:pPr>
        <w:spacing w:after="0" w:line="101" w:lineRule="exact"/>
        <w:rPr>
          <w:rFonts w:ascii="Arial" w:cs="Arial" w:eastAsia="Arial" w:hAnsi="Arial"/>
          <w:sz w:val="16"/>
          <w:szCs w:val="16"/>
          <w:color w:val="auto"/>
        </w:rPr>
      </w:pPr>
    </w:p>
    <w:p>
      <w:pPr>
        <w:ind w:left="5380" w:hanging="106"/>
        <w:spacing w:after="0"/>
        <w:tabs>
          <w:tab w:leader="none" w:pos="5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106 -</w:t>
      </w:r>
    </w:p>
    <w:p>
      <w:pPr>
        <w:sectPr>
          <w:pgSz w:w="11900" w:h="16838" w:orient="portrait"/>
          <w:cols w:equalWidth="0" w:num="1">
            <w:col w:w="11020"/>
          </w:cols>
          <w:pgMar w:left="440" w:top="274" w:right="439" w:bottom="1440" w:gutter="0" w:footer="0" w:header="0"/>
        </w:sectPr>
      </w:pPr>
    </w:p>
    <w:bookmarkStart w:id="115" w:name="page116"/>
    <w:bookmarkEnd w:id="115"/>
    <w:p>
      <w:pPr>
        <w:jc w:val="both"/>
        <w:ind w:left="-444" w:right="140" w:firstLine="444"/>
        <w:spacing w:after="0" w:line="264" w:lineRule="auto"/>
        <w:tabs>
          <w:tab w:leader="none" w:pos="251" w:val="left"/>
        </w:tabs>
        <w:numPr>
          <w:ilvl w:val="0"/>
          <w:numId w:val="14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Assignments by Lenders</w:t>
      </w:r>
      <w:r>
        <w:rPr>
          <w:rFonts w:ascii="Arial" w:cs="Arial" w:eastAsia="Arial" w:hAnsi="Arial"/>
          <w:sz w:val="18"/>
          <w:szCs w:val="18"/>
          <w:color w:val="auto"/>
        </w:rPr>
        <w:t xml:space="preserve">. Any Lender may at any time assign to one or more Eligible Assignees all or a portion of its rights and obligations under this Agreement (including all or a portion of its Commitment and the Loans at the time owing to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assignment shall be subject to the following conditions:</w:t>
      </w:r>
    </w:p>
    <w:p>
      <w:pPr>
        <w:spacing w:after="0" w:line="73" w:lineRule="exact"/>
        <w:rPr>
          <w:rFonts w:ascii="Arial" w:cs="Arial" w:eastAsia="Arial" w:hAnsi="Arial"/>
          <w:sz w:val="18"/>
          <w:szCs w:val="18"/>
          <w:color w:val="auto"/>
        </w:rPr>
      </w:pPr>
    </w:p>
    <w:p>
      <w:pPr>
        <w:ind w:left="636" w:hanging="212"/>
        <w:spacing w:after="0"/>
        <w:tabs>
          <w:tab w:leader="none" w:pos="636"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Minimum Amounts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556" w:right="20" w:firstLine="397"/>
        <w:spacing w:after="0" w:line="264" w:lineRule="auto"/>
        <w:tabs>
          <w:tab w:leader="none" w:pos="1251" w:val="left"/>
        </w:tabs>
        <w:numPr>
          <w:ilvl w:val="2"/>
          <w:numId w:val="142"/>
        </w:numPr>
        <w:rPr>
          <w:rFonts w:ascii="Arial" w:cs="Arial" w:eastAsia="Arial" w:hAnsi="Arial"/>
          <w:sz w:val="18"/>
          <w:szCs w:val="18"/>
          <w:color w:val="auto"/>
        </w:rPr>
      </w:pPr>
      <w:r>
        <w:rPr>
          <w:rFonts w:ascii="Arial" w:cs="Arial" w:eastAsia="Arial" w:hAnsi="Arial"/>
          <w:sz w:val="18"/>
          <w:szCs w:val="18"/>
          <w:color w:val="auto"/>
        </w:rPr>
        <w:t>in the case of an assignment of the entire remaining amount of an assigning Lender’s Revolving Commitment and the Loans at the time owing to it or, in the case of an assignment to a Lender, an Affiliate of a Lender or an Approved Fund, no minimum amount need be assigned; and</w:t>
      </w:r>
    </w:p>
    <w:p>
      <w:pPr>
        <w:spacing w:after="0" w:line="73" w:lineRule="exact"/>
        <w:rPr>
          <w:rFonts w:ascii="Arial" w:cs="Arial" w:eastAsia="Arial" w:hAnsi="Arial"/>
          <w:sz w:val="18"/>
          <w:szCs w:val="18"/>
          <w:color w:val="auto"/>
        </w:rPr>
      </w:pPr>
    </w:p>
    <w:p>
      <w:pPr>
        <w:ind w:left="556" w:right="20" w:firstLine="397"/>
        <w:spacing w:after="0" w:line="287" w:lineRule="auto"/>
        <w:tabs>
          <w:tab w:leader="none" w:pos="1242" w:val="left"/>
        </w:tabs>
        <w:numPr>
          <w:ilvl w:val="2"/>
          <w:numId w:val="142"/>
        </w:numPr>
        <w:rPr>
          <w:rFonts w:ascii="Arial" w:cs="Arial" w:eastAsia="Arial" w:hAnsi="Arial"/>
          <w:sz w:val="16"/>
          <w:szCs w:val="16"/>
          <w:color w:val="auto"/>
        </w:rPr>
      </w:pPr>
      <w:r>
        <w:rPr>
          <w:rFonts w:ascii="Arial" w:cs="Arial" w:eastAsia="Arial" w:hAnsi="Arial"/>
          <w:sz w:val="16"/>
          <w:szCs w:val="16"/>
          <w:color w:val="auto"/>
        </w:rPr>
        <w:t>in any case not described in the immediately preceding subsection (A), the aggregate amount of the Revolving Commitment (which for this purpose includes Loans outstanding thereunder) or, if the applicable Revolving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unless each of the Administrative Agent and, so long as no Event of Default shall exist, the Borrower otherwise consents (each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provided, however, that if, after giving effect to such assignment, the amount of the Commitment held by such assigning Lender or the outstanding principal balance of the Loans of such assigning Lender, as applicable, would be less than $5,000,000 in the case of a Commitment or Revolving Loans, then such assigning Lender shall assign the entire amount of its Commitment and the Loans at the time owing to it unless the Administrative Agent and Borrower agree otherwise.</w:t>
      </w:r>
    </w:p>
    <w:p>
      <w:pPr>
        <w:spacing w:after="0" w:line="60" w:lineRule="exact"/>
        <w:rPr>
          <w:rFonts w:ascii="Arial" w:cs="Arial" w:eastAsia="Arial" w:hAnsi="Arial"/>
          <w:sz w:val="16"/>
          <w:szCs w:val="16"/>
          <w:color w:val="auto"/>
        </w:rPr>
      </w:pPr>
    </w:p>
    <w:p>
      <w:pPr>
        <w:ind w:left="-4" w:right="40" w:firstLine="428"/>
        <w:spacing w:after="0" w:line="264" w:lineRule="auto"/>
        <w:tabs>
          <w:tab w:leader="none" w:pos="684"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rights and obligations under this Agreement with respect to the Loan or the Revolving Commitment assigned, except that this clause (ii) shall not apply to rights in respect of a Bid Rate Loan.</w:t>
      </w:r>
    </w:p>
    <w:p>
      <w:pPr>
        <w:spacing w:after="0" w:line="73" w:lineRule="exact"/>
        <w:rPr>
          <w:rFonts w:ascii="Arial" w:cs="Arial" w:eastAsia="Arial" w:hAnsi="Arial"/>
          <w:sz w:val="18"/>
          <w:szCs w:val="18"/>
          <w:color w:val="auto"/>
        </w:rPr>
      </w:pPr>
    </w:p>
    <w:p>
      <w:pPr>
        <w:ind w:left="-4" w:firstLine="428"/>
        <w:spacing w:after="0" w:line="277" w:lineRule="auto"/>
        <w:tabs>
          <w:tab w:leader="none" w:pos="734" w:val="left"/>
        </w:tabs>
        <w:numPr>
          <w:ilvl w:val="1"/>
          <w:numId w:val="142"/>
        </w:numPr>
        <w:rPr>
          <w:rFonts w:ascii="Arial" w:cs="Arial" w:eastAsia="Arial" w:hAnsi="Arial"/>
          <w:sz w:val="18"/>
          <w:szCs w:val="18"/>
          <w:color w:val="auto"/>
        </w:rPr>
      </w:pPr>
      <w:r>
        <w:rPr>
          <w:rFonts w:ascii="Arial" w:cs="Arial" w:eastAsia="Arial" w:hAnsi="Arial"/>
          <w:sz w:val="18"/>
          <w:szCs w:val="18"/>
          <w:u w:val="single" w:color="auto"/>
          <w:color w:val="auto"/>
        </w:rPr>
        <w:t>Required Consents</w:t>
      </w:r>
      <w:r>
        <w:rPr>
          <w:rFonts w:ascii="Arial" w:cs="Arial" w:eastAsia="Arial" w:hAnsi="Arial"/>
          <w:sz w:val="18"/>
          <w:szCs w:val="18"/>
          <w:color w:val="auto"/>
        </w:rPr>
        <w:t>. No consent shall be required for any assignment except to the extent required by clause (i)(B) of this subsection (b) and, in addition:</w:t>
      </w:r>
    </w:p>
    <w:p>
      <w:pPr>
        <w:spacing w:after="0" w:line="62" w:lineRule="exact"/>
        <w:rPr>
          <w:rFonts w:ascii="Arial" w:cs="Arial" w:eastAsia="Arial" w:hAnsi="Arial"/>
          <w:sz w:val="18"/>
          <w:szCs w:val="18"/>
          <w:color w:val="auto"/>
        </w:rPr>
      </w:pPr>
    </w:p>
    <w:p>
      <w:pPr>
        <w:ind w:left="556" w:firstLine="397"/>
        <w:spacing w:after="0" w:line="273" w:lineRule="auto"/>
        <w:tabs>
          <w:tab w:leader="none" w:pos="1251" w:val="left"/>
        </w:tabs>
        <w:numPr>
          <w:ilvl w:val="2"/>
          <w:numId w:val="142"/>
        </w:numPr>
        <w:rPr>
          <w:rFonts w:ascii="Arial" w:cs="Arial" w:eastAsia="Arial" w:hAnsi="Arial"/>
          <w:sz w:val="17"/>
          <w:szCs w:val="17"/>
          <w:color w:val="auto"/>
        </w:rPr>
      </w:pPr>
      <w:r>
        <w:rPr>
          <w:rFonts w:ascii="Arial" w:cs="Arial" w:eastAsia="Arial" w:hAnsi="Arial"/>
          <w:sz w:val="17"/>
          <w:szCs w:val="17"/>
          <w:color w:val="auto"/>
        </w:rPr>
        <w:t>the consent of the Borrower (such consent not to be unreasonably withheld or delayed with it being agreed that the Borrower’s withholding of consent to an assignment which would result in the Borrower having to pay amounts under Section 3.10. in an amount that the Borrower reasonably deems to be a significant amount shall be deemed reasonable) shall be required unless (x) an Event of Default shall exist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5 Business Days after having received notice thereof;</w:t>
      </w:r>
    </w:p>
    <w:p>
      <w:pPr>
        <w:spacing w:after="0" w:line="70" w:lineRule="exact"/>
        <w:rPr>
          <w:rFonts w:ascii="Arial" w:cs="Arial" w:eastAsia="Arial" w:hAnsi="Arial"/>
          <w:sz w:val="17"/>
          <w:szCs w:val="17"/>
          <w:color w:val="auto"/>
        </w:rPr>
      </w:pPr>
    </w:p>
    <w:p>
      <w:pPr>
        <w:jc w:val="both"/>
        <w:ind w:left="556" w:right="600" w:firstLine="397"/>
        <w:spacing w:after="0" w:line="264" w:lineRule="auto"/>
        <w:tabs>
          <w:tab w:leader="none" w:pos="1242" w:val="left"/>
        </w:tabs>
        <w:numPr>
          <w:ilvl w:val="2"/>
          <w:numId w:val="142"/>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if such assignment is to a Person that is not already a Lender with a Commitment, an Affiliate of such a Lender or an Approved Fund with respect to such a Lender; and</w:t>
      </w:r>
    </w:p>
    <w:p>
      <w:pPr>
        <w:spacing w:after="0" w:line="113" w:lineRule="exact"/>
        <w:rPr>
          <w:rFonts w:ascii="Arial" w:cs="Arial" w:eastAsia="Arial" w:hAnsi="Arial"/>
          <w:sz w:val="18"/>
          <w:szCs w:val="18"/>
          <w:color w:val="auto"/>
        </w:rPr>
      </w:pPr>
    </w:p>
    <w:p>
      <w:pPr>
        <w:ind w:left="4936" w:hanging="106"/>
        <w:spacing w:after="0"/>
        <w:tabs>
          <w:tab w:leader="none" w:pos="4936" w:val="left"/>
        </w:tabs>
        <w:numPr>
          <w:ilvl w:val="3"/>
          <w:numId w:val="142"/>
        </w:numPr>
        <w:rPr>
          <w:rFonts w:ascii="Arial" w:cs="Arial" w:eastAsia="Arial" w:hAnsi="Arial"/>
          <w:sz w:val="18"/>
          <w:szCs w:val="18"/>
          <w:color w:val="auto"/>
        </w:rPr>
      </w:pPr>
      <w:r>
        <w:rPr>
          <w:rFonts w:ascii="Arial" w:cs="Arial" w:eastAsia="Arial" w:hAnsi="Arial"/>
          <w:sz w:val="18"/>
          <w:szCs w:val="18"/>
          <w:color w:val="auto"/>
        </w:rPr>
        <w:t>107 -</w:t>
      </w:r>
    </w:p>
    <w:p>
      <w:pPr>
        <w:sectPr>
          <w:pgSz w:w="11900" w:h="16838" w:orient="portrait"/>
          <w:cols w:equalWidth="0" w:num="1">
            <w:col w:w="10496"/>
          </w:cols>
          <w:pgMar w:left="884" w:top="274" w:right="519" w:bottom="1440" w:gutter="0" w:footer="0" w:header="0"/>
        </w:sectPr>
      </w:pPr>
    </w:p>
    <w:bookmarkStart w:id="116" w:name="page117"/>
    <w:bookmarkEnd w:id="116"/>
    <w:p>
      <w:pPr>
        <w:ind w:left="1000" w:right="320" w:firstLine="397"/>
        <w:spacing w:after="0" w:line="277" w:lineRule="auto"/>
        <w:tabs>
          <w:tab w:leader="none" w:pos="1686" w:val="left"/>
        </w:tabs>
        <w:numPr>
          <w:ilvl w:val="1"/>
          <w:numId w:val="1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consent of the Swingline Lender and the Issuing Bank (such consent not to be unreasonably withheld or delayed) shall be required for any assignment in respect of a Revolving Commitment.</w:t>
      </w:r>
    </w:p>
    <w:p>
      <w:pPr>
        <w:spacing w:after="0" w:line="62" w:lineRule="exact"/>
        <w:rPr>
          <w:rFonts w:ascii="Arial" w:cs="Arial" w:eastAsia="Arial" w:hAnsi="Arial"/>
          <w:sz w:val="18"/>
          <w:szCs w:val="18"/>
          <w:color w:val="auto"/>
        </w:rPr>
      </w:pPr>
    </w:p>
    <w:p>
      <w:pPr>
        <w:ind w:left="440" w:right="40" w:firstLine="428"/>
        <w:spacing w:after="0" w:line="293" w:lineRule="auto"/>
        <w:tabs>
          <w:tab w:leader="none" w:pos="116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Assignment and Assumption; Notes</w:t>
      </w:r>
      <w:r>
        <w:rPr>
          <w:rFonts w:ascii="Arial" w:cs="Arial" w:eastAsia="Arial" w:hAnsi="Arial"/>
          <w:sz w:val="16"/>
          <w:szCs w:val="16"/>
          <w:color w:val="auto"/>
        </w:rPr>
        <w:t>. The parties to each assignment (including an assigning Defaulting Lender) shall execute and deliver to the Administrative Agent an Assignment and Assumption, together with a processing and recordation fee of $4,500 (or $7,500 with respect to an assignment by a Defaulting Lender payable by the assigning Lender (unless otherwise agreed between the assigning Lender and the assignee) for each assignment, and the assignee, if it is not a Lender, shall deliver to the Administrative Agent an Administrative Questionnaire. If requested by the assigning Lender or the Assignee, upon the consummation of any assignment, the assigning Lender, the Administrative Agent and the Borrower shall make appropriate arrangements so that new Notes are issued to the Assignee and such assigning Lender, as appropriate.</w:t>
      </w:r>
    </w:p>
    <w:p>
      <w:pPr>
        <w:spacing w:after="0" w:line="56" w:lineRule="exact"/>
        <w:rPr>
          <w:rFonts w:ascii="Arial" w:cs="Arial" w:eastAsia="Arial" w:hAnsi="Arial"/>
          <w:sz w:val="16"/>
          <w:szCs w:val="16"/>
          <w:color w:val="auto"/>
        </w:rPr>
      </w:pPr>
    </w:p>
    <w:p>
      <w:pPr>
        <w:ind w:left="440" w:firstLine="428"/>
        <w:spacing w:after="0" w:line="277" w:lineRule="auto"/>
        <w:tabs>
          <w:tab w:leader="none" w:pos="111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 Assignment to Borrower</w:t>
      </w:r>
      <w:r>
        <w:rPr>
          <w:rFonts w:ascii="Arial" w:cs="Arial" w:eastAsia="Arial" w:hAnsi="Arial"/>
          <w:sz w:val="18"/>
          <w:szCs w:val="18"/>
          <w:color w:val="auto"/>
        </w:rPr>
        <w:t>. No such assignment shall be made to a Defaulting Lender, the Borrower or any of the Borrower’s Affiliates or Subsidiaries.</w:t>
      </w:r>
    </w:p>
    <w:p>
      <w:pPr>
        <w:spacing w:after="0" w:line="62" w:lineRule="exact"/>
        <w:rPr>
          <w:rFonts w:ascii="Arial" w:cs="Arial" w:eastAsia="Arial" w:hAnsi="Arial"/>
          <w:sz w:val="18"/>
          <w:szCs w:val="18"/>
          <w:color w:val="auto"/>
        </w:rPr>
      </w:pPr>
    </w:p>
    <w:p>
      <w:pPr>
        <w:ind w:left="1180" w:hanging="312"/>
        <w:spacing w:after="0"/>
        <w:tabs>
          <w:tab w:leader="none" w:pos="1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 Assignment to Natural Persons</w:t>
      </w:r>
      <w:r>
        <w:rPr>
          <w:rFonts w:ascii="Arial" w:cs="Arial" w:eastAsia="Arial" w:hAnsi="Arial"/>
          <w:sz w:val="18"/>
          <w:szCs w:val="18"/>
          <w:color w:val="auto"/>
        </w:rPr>
        <w:t>. No such assignment shall be made to a natural person.</w:t>
      </w:r>
    </w:p>
    <w:p>
      <w:pPr>
        <w:spacing w:after="0" w:line="117" w:lineRule="exact"/>
        <w:rPr>
          <w:rFonts w:ascii="Arial" w:cs="Arial" w:eastAsia="Arial" w:hAnsi="Arial"/>
          <w:sz w:val="18"/>
          <w:szCs w:val="18"/>
          <w:color w:val="auto"/>
        </w:rPr>
      </w:pPr>
    </w:p>
    <w:p>
      <w:pPr>
        <w:ind w:left="440" w:right="40" w:firstLine="428"/>
        <w:spacing w:after="0" w:line="259" w:lineRule="auto"/>
        <w:tabs>
          <w:tab w:leader="none" w:pos="121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Assignments by Specified Derivatives Provider</w:t>
      </w:r>
      <w:r>
        <w:rPr>
          <w:rFonts w:ascii="Arial" w:cs="Arial" w:eastAsia="Arial" w:hAnsi="Arial"/>
          <w:sz w:val="18"/>
          <w:szCs w:val="18"/>
          <w:color w:val="auto"/>
        </w:rPr>
        <w:t>. If the assigning Lender (or its Affiliate) is a Specified Derivatives Provider and if after giving effect to such assignment such Lender will hold no further Loans or Revolving Commitments under this Agreement, such Lender shall undertake such assignment only contemporaneously with an assignment by such Lender (or its Affiliate, as the case may be) of all of its Specified Derivatives Contracts to the Assignee or another Lender (or Affiliate thereof).</w:t>
      </w:r>
    </w:p>
    <w:p>
      <w:pPr>
        <w:spacing w:after="0" w:line="18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Subject to acceptance and recording thereof by the Administrative Agent pursuant to the immediately following subsection (c),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4.4., 12.2. and 12.10. and the other provisions of this Agreement and the other Loan Documents as provided in Section 12.11. with respect to facts and circumstances having occurred prior to the effective date of such assignment. Any assignment or transfer by a Lender of rights or obligations under this Agreement that does not comply with this paragraph shall be treated for purposes of this Agreement as a sale by such Lender of a participation in such rights and obligations in accordance with the immediately following subsection (d).</w:t>
      </w:r>
    </w:p>
    <w:p>
      <w:pPr>
        <w:spacing w:after="0" w:line="70" w:lineRule="exact"/>
        <w:rPr>
          <w:sz w:val="20"/>
          <w:szCs w:val="20"/>
          <w:color w:val="auto"/>
        </w:rPr>
      </w:pPr>
    </w:p>
    <w:p>
      <w:pPr>
        <w:ind w:right="20" w:firstLine="444"/>
        <w:spacing w:after="0" w:line="291" w:lineRule="auto"/>
        <w:tabs>
          <w:tab w:leader="none" w:pos="68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Register</w:t>
      </w:r>
      <w:r>
        <w:rPr>
          <w:rFonts w:ascii="Arial" w:cs="Arial" w:eastAsia="Arial" w:hAnsi="Arial"/>
          <w:sz w:val="16"/>
          <w:szCs w:val="16"/>
          <w:color w:val="auto"/>
        </w:rPr>
        <w:t>. The Administrative Agent, acting solely for this purpose as a non-fiduciary agent of the Borrower, shall maintain at the Principal Office a copy of each Assignment and Assumption delivered to it and a register for the recordation of the names and addresses of the Lenders, and the Commitments of, and principal amounts of the Loans owing to, each Lender pursuant to the terms hereof from time to time (the “</w:t>
      </w:r>
      <w:r>
        <w:rPr>
          <w:rFonts w:ascii="Arial" w:cs="Arial" w:eastAsia="Arial" w:hAnsi="Arial"/>
          <w:sz w:val="16"/>
          <w:szCs w:val="16"/>
          <w:b w:val="1"/>
          <w:bCs w:val="1"/>
          <w:color w:val="auto"/>
        </w:rPr>
        <w:t>Register</w:t>
      </w:r>
      <w:r>
        <w:rPr>
          <w:rFonts w:ascii="Arial" w:cs="Arial" w:eastAsia="Arial" w:hAnsi="Arial"/>
          <w:sz w:val="16"/>
          <w:szCs w:val="16"/>
          <w:color w:val="auto"/>
        </w:rPr>
        <w:t>”). In the absence of manifest error, the entries in the Register shall be conclusive, and the Borrower, the Administrative Agent and the Lenders may treat each Person whose name is recorded in the Register pursuant to the terms hereof as a Lender hereunder for all purposes of this Agreement, notwithstanding notice to the contrary. The Register shall be available for inspection by the Borrower and any Lender, at any reasonable time and from time to time upon reasonable prior notice. Each Lender that sells a participation as described in Section 12.6(d) shall, acting solely for this purpose as an agent of the</w:t>
      </w:r>
    </w:p>
    <w:p>
      <w:pPr>
        <w:spacing w:after="0" w:line="99" w:lineRule="exact"/>
        <w:rPr>
          <w:rFonts w:ascii="Arial" w:cs="Arial" w:eastAsia="Arial" w:hAnsi="Arial"/>
          <w:sz w:val="16"/>
          <w:szCs w:val="16"/>
          <w:color w:val="auto"/>
        </w:rPr>
      </w:pPr>
    </w:p>
    <w:p>
      <w:pPr>
        <w:ind w:left="5380" w:hanging="106"/>
        <w:spacing w:after="0"/>
        <w:tabs>
          <w:tab w:leader="none" w:pos="538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108 -</w:t>
      </w:r>
    </w:p>
    <w:p>
      <w:pPr>
        <w:sectPr>
          <w:pgSz w:w="11900" w:h="16838" w:orient="portrait"/>
          <w:cols w:equalWidth="0" w:num="1">
            <w:col w:w="11000"/>
          </w:cols>
          <w:pgMar w:left="440" w:top="274" w:right="459" w:bottom="1440" w:gutter="0" w:footer="0" w:header="0"/>
        </w:sectPr>
      </w:pPr>
    </w:p>
    <w:bookmarkStart w:id="117" w:name="page118"/>
    <w:bookmarkEnd w:id="117"/>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Borrower, maintain a register on which it enters the name and address of each Participant and the principal amounts (and stated interest)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provided that no Lender shall have any obligation to disclose all or any portion of the Participant Register to any Person (including the identity of any Participant or any information relating to a Participant’s interest in any Commitments, Loans, or its other obligations under this Agreement) except to the extent that such disclosure is necessary to establish that such Commitment, Loan, or other obligation is in registered form under Section 5f.103-1(c) of the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59" w:lineRule="exact"/>
        <w:rPr>
          <w:sz w:val="20"/>
          <w:szCs w:val="20"/>
          <w:color w:val="auto"/>
        </w:rPr>
      </w:pPr>
    </w:p>
    <w:p>
      <w:pPr>
        <w:ind w:firstLine="444"/>
        <w:spacing w:after="0" w:line="286" w:lineRule="auto"/>
        <w:tabs>
          <w:tab w:leader="none" w:pos="69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Any Lender may at any time, without the consent of, or notice to, the Borrower or the Administrative Agent, sell participations to any Person (other than a natural person or the Borrower or any of the Borrower’s Affiliates or Subsidiaries) (each, a “</w:t>
      </w:r>
      <w:r>
        <w:rPr>
          <w:rFonts w:ascii="Arial" w:cs="Arial" w:eastAsia="Arial" w:hAnsi="Arial"/>
          <w:sz w:val="16"/>
          <w:szCs w:val="16"/>
          <w:b w:val="1"/>
          <w:bCs w:val="1"/>
          <w:color w:val="auto"/>
        </w:rPr>
        <w:t>Participant</w:t>
      </w:r>
      <w:r>
        <w:rPr>
          <w:rFonts w:ascii="Arial" w:cs="Arial" w:eastAsia="Arial" w:hAnsi="Arial"/>
          <w:sz w:val="16"/>
          <w:szCs w:val="16"/>
          <w:color w:val="auto"/>
        </w:rPr>
        <w:t>”) in all or a portion of such Lender’s rights and/or obligations under this Agreement (including all or a portion of its Commitment and/or the Loans owing to it); provided that (i) such Lender’s obligations under this Agreement shall remain unchanged, (ii) such Lender shall remain solely responsible to the other parties hereto for the performance of such obligations and (iii) the Borrower, the Administrative Agent and the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and responsibility to enforce this Agreement, including, without limitation, the right to approve any amendment, modification or waiver of any provision of this Agreement; provided that such agreement or instrument may provide that such Lender will not, without the consent of the Participant, agree to (w) increase such Lender’s Commitment to the extent subject to the participation, (x) extend the date fixed for the payment of principal on the Loans or portions thereof owing to such Lender to the extent subject to such participation except as set forth in Section 2.13., (y) reduce the rate at which interest is payable thereon or (z) release any Guarantor from its Obligations under the Guaranty (except as otherwise permitted under Section 7.14.(c)). Subject to the immediately following subsection (e), the Borrower agrees that each Participant shall be entitled to the benefits of Sections 3.10., 4.1., and 4.4., to the same extent as if it were a Lender and had acquired its interest by assignment pursuant to paragraph (b) of this Section.</w:t>
      </w:r>
    </w:p>
    <w:p>
      <w:pPr>
        <w:spacing w:after="0" w:line="63" w:lineRule="exact"/>
        <w:rPr>
          <w:rFonts w:ascii="Arial" w:cs="Arial" w:eastAsia="Arial" w:hAnsi="Arial"/>
          <w:sz w:val="16"/>
          <w:szCs w:val="16"/>
          <w:color w:val="auto"/>
        </w:rPr>
      </w:pPr>
    </w:p>
    <w:p>
      <w:pPr>
        <w:ind w:right="240" w:firstLine="444"/>
        <w:spacing w:after="0" w:line="257" w:lineRule="auto"/>
        <w:tabs>
          <w:tab w:leader="none" w:pos="685"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Limitations upon Participant Rights</w:t>
      </w:r>
      <w:r>
        <w:rPr>
          <w:rFonts w:ascii="Arial" w:cs="Arial" w:eastAsia="Arial" w:hAnsi="Arial"/>
          <w:sz w:val="18"/>
          <w:szCs w:val="18"/>
          <w:color w:val="auto"/>
        </w:rPr>
        <w:t>. A Participant shall not be entitled to receive any greater payment under Sections 3.10. and 4.1. than the applicable Lender would have been entitled to receive with respect to the participation sold to such Participant, unless the sale of the participation to such Participant is made with the Borrower’s prior written consent. A Participant shall not be entitled to the benefits of Section 3.10. unless the Borrower is notified of the participation sold to such Participant and such Participant agrees, for the benefit of the Borrower and the Administrative Agent, to comply with Section 3.10.(c) as though it were a Lender.</w:t>
      </w:r>
    </w:p>
    <w:p>
      <w:pPr>
        <w:spacing w:after="0" w:line="80" w:lineRule="exact"/>
        <w:rPr>
          <w:rFonts w:ascii="Arial" w:cs="Arial" w:eastAsia="Arial" w:hAnsi="Arial"/>
          <w:sz w:val="18"/>
          <w:szCs w:val="18"/>
          <w:color w:val="auto"/>
        </w:rPr>
      </w:pPr>
    </w:p>
    <w:p>
      <w:pPr>
        <w:ind w:right="100" w:firstLine="444"/>
        <w:spacing w:after="0" w:line="312" w:lineRule="auto"/>
        <w:tabs>
          <w:tab w:leader="none" w:pos="665" w:val="left"/>
        </w:tabs>
        <w:numPr>
          <w:ilvl w:val="0"/>
          <w:numId w:val="146"/>
        </w:numPr>
        <w:rPr>
          <w:rFonts w:ascii="Arial" w:cs="Arial" w:eastAsia="Arial" w:hAnsi="Arial"/>
          <w:sz w:val="16"/>
          <w:szCs w:val="16"/>
          <w:color w:val="auto"/>
        </w:rPr>
      </w:pPr>
      <w:r>
        <w:rPr>
          <w:rFonts w:ascii="Arial" w:cs="Arial" w:eastAsia="Arial" w:hAnsi="Arial"/>
          <w:sz w:val="16"/>
          <w:szCs w:val="16"/>
          <w:u w:val="single" w:color="auto"/>
          <w:color w:val="auto"/>
        </w:rPr>
        <w:t>Certain Pledges</w:t>
      </w:r>
      <w:r>
        <w:rPr>
          <w:rFonts w:ascii="Arial" w:cs="Arial" w:eastAsia="Arial" w:hAnsi="Arial"/>
          <w:sz w:val="16"/>
          <w:szCs w:val="16"/>
          <w:color w:val="auto"/>
        </w:rPr>
        <w:t>. Any Lender may at any time pledge or assign a security interest in all or any portion of its rights under this Agreement to secure obligations of such Lender, including any pledge or assignment to secure obligations to a Federal Reserve Bank; provided that no such pledge or assignment shall release such Lender from any of its obligations hereunder or substitute any such pledgee or assignee for such Lender as a party hereto.</w:t>
      </w:r>
    </w:p>
    <w:p>
      <w:pPr>
        <w:spacing w:after="0" w:line="38" w:lineRule="exact"/>
        <w:rPr>
          <w:rFonts w:ascii="Arial" w:cs="Arial" w:eastAsia="Arial" w:hAnsi="Arial"/>
          <w:sz w:val="16"/>
          <w:szCs w:val="16"/>
          <w:color w:val="auto"/>
        </w:rPr>
      </w:pPr>
    </w:p>
    <w:p>
      <w:pPr>
        <w:ind w:firstLine="444"/>
        <w:spacing w:after="0" w:line="286" w:lineRule="auto"/>
        <w:tabs>
          <w:tab w:leader="none" w:pos="69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No Registration</w:t>
      </w:r>
      <w:r>
        <w:rPr>
          <w:rFonts w:ascii="Arial" w:cs="Arial" w:eastAsia="Arial" w:hAnsi="Arial"/>
          <w:sz w:val="17"/>
          <w:szCs w:val="17"/>
          <w:color w:val="auto"/>
        </w:rPr>
        <w:t>. Each Lender agrees that, without the prior written consent of the Borrower and the Administrative Agent, it will not make any assignment hereunder in any manner or under any circumstances that would require registration or qualification of, or filings in respect of, any Loan or Note under the Securities Act or any other securities laws of the United States of America or of any other jurisdiction.</w:t>
      </w:r>
    </w:p>
    <w:p>
      <w:pPr>
        <w:spacing w:after="0" w:line="97" w:lineRule="exact"/>
        <w:rPr>
          <w:rFonts w:ascii="Arial" w:cs="Arial" w:eastAsia="Arial" w:hAnsi="Arial"/>
          <w:sz w:val="17"/>
          <w:szCs w:val="17"/>
          <w:color w:val="auto"/>
        </w:rPr>
      </w:pPr>
    </w:p>
    <w:p>
      <w:pPr>
        <w:ind w:left="5380" w:hanging="106"/>
        <w:spacing w:after="0"/>
        <w:tabs>
          <w:tab w:leader="none" w:pos="538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109 -</w:t>
      </w:r>
    </w:p>
    <w:p>
      <w:pPr>
        <w:sectPr>
          <w:pgSz w:w="11900" w:h="16838" w:orient="portrait"/>
          <w:cols w:equalWidth="0" w:num="1">
            <w:col w:w="11020"/>
          </w:cols>
          <w:pgMar w:left="440" w:top="274" w:right="439" w:bottom="1440" w:gutter="0" w:footer="0" w:header="0"/>
        </w:sectPr>
      </w:pPr>
    </w:p>
    <w:bookmarkStart w:id="118" w:name="page119"/>
    <w:bookmarkEnd w:id="118"/>
    <w:p>
      <w:pPr>
        <w:ind w:firstLine="444"/>
        <w:spacing w:after="0" w:line="284" w:lineRule="auto"/>
        <w:tabs>
          <w:tab w:leader="none" w:pos="69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Designated Lenders</w:t>
      </w:r>
      <w:r>
        <w:rPr>
          <w:rFonts w:ascii="Arial" w:cs="Arial" w:eastAsia="Arial" w:hAnsi="Arial"/>
          <w:sz w:val="16"/>
          <w:szCs w:val="16"/>
          <w:color w:val="auto"/>
        </w:rPr>
        <w:t>. Any Lender (each, a “</w:t>
      </w:r>
      <w:r>
        <w:rPr>
          <w:rFonts w:ascii="Arial" w:cs="Arial" w:eastAsia="Arial" w:hAnsi="Arial"/>
          <w:sz w:val="16"/>
          <w:szCs w:val="16"/>
          <w:b w:val="1"/>
          <w:bCs w:val="1"/>
          <w:color w:val="auto"/>
        </w:rPr>
        <w:t>Designating Lender</w:t>
      </w:r>
      <w:r>
        <w:rPr>
          <w:rFonts w:ascii="Arial" w:cs="Arial" w:eastAsia="Arial" w:hAnsi="Arial"/>
          <w:sz w:val="16"/>
          <w:szCs w:val="16"/>
          <w:color w:val="auto"/>
        </w:rPr>
        <w:t>”) may at any time while the Borrower has been assigned an Investment Grade Rating from either S&amp;P or Moody’s designate one Designated Lender to fund Bid Rate Loans on behalf of such Designating Lender subject to the terms of this subsection, and the provisions in the immediately preceding subsections (b) and (d) shall not apply to such designation. No Lender may designate more than one Designated Lender. The parties to each such designation shall execute and deliver to the Administrative Agent for its acceptance a Designation Agreement. Upon such receipt of an appropriately completed Designation Agreement executed by a Designating Lender and a designee representing that it is a Designated Lender, the Administrative Agent will accept such Designation Agreement and give prompt notice thereof to the Borrower, whereupon (i) the Borrower shall execute and deliver to the Designating Lender a Bid Rate Note payable to the order of the Designated Lender, (ii) from and after the effective date specified in the Designation Agreement, the Designated Lender shall become a party to this Agreement with a right to make Bid Rate Loans on behalf of its Designating Lender pursuant to Section 2.2. after the Borrower has accepted a Bid Rate Loan (or portion thereof) of the Designating Lender, and (iii) the Designated Lender shall not be required to make payments with respect to any obligations in this Agreement except to the extent of excess cash flow of such Designated Lender which is not otherwise required to repay obligations of such Designated Lender which are then due and payable; provided, however, that regardless of such designation and assumption by the Designated Lender, the Designating Lender shall be and remain obligated to the Borrower, the Administrative Agent and the Lenders for each and every of the obligations of the Designating Lender and its related Designated Lender with respect to this Agreement, including, without limitation, any indemnification obligations under Section 11.6. and any sums otherwise payable to the Borrower by the Designated Lender. Each Designating Lender shall serve as the agent of the Designated Lender and shall on behalf of, and to the exclusion of, the Designated Lender: (i) receive any and all payments made for the benefit of the Designated Lender and (ii) give and receive all communications and notices and take all actions hereunder, including, without limitation, votes, approvals, waivers, consents and amendments under or relating to this Agreement and the other Loan Documents. Any such notice, communication, vote, approval, waiver, consent or amendment shall be signed by the Designating Lender as agent for the Designated Lender and shall not be signed by the Designated Lender on its own behalf and shall be binding on the Designated Lender to the same extent as if signed by the Designated Lender on its own behalf. The Borrower, the Administrative Agent and the Lenders may rely thereon without any requirement that the Designated Lender sign or acknowledge the same. No Designated Lender may assign or transfer all or any portion of its interest hereunder or under any other Loan Document, other than assignments to the Designating Lender which originally designated such Designated Lender. The Borrower, the Lenders and the Administrative Agent each hereby agrees that it will not institute against any Designated Lender or join any other Person in instituting against any Designated Lender any bankruptcy, reorganization, arrangement, insolvency or liquidation proceeding under any federal or state bankruptcy or similar law, until the later to occur of (x) one year and one day after the payment in full of the latest maturing commercial paper note issued by such Designated Lender and (y) the Revolving Termination Date. In connection with any such designation, the Designating Lender shall pay to the Administrative Agent an administrative fee for processing such designation in the amount of $2,000.</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12.7. Amendments and Waivers.</w:t>
      </w:r>
    </w:p>
    <w:p>
      <w:pPr>
        <w:spacing w:after="0" w:line="121" w:lineRule="exact"/>
        <w:rPr>
          <w:sz w:val="20"/>
          <w:szCs w:val="20"/>
          <w:color w:val="auto"/>
        </w:rPr>
      </w:pPr>
    </w:p>
    <w:p>
      <w:pPr>
        <w:jc w:val="both"/>
        <w:ind w:right="180" w:firstLine="444"/>
        <w:spacing w:after="0" w:line="291" w:lineRule="auto"/>
        <w:tabs>
          <w:tab w:leader="none" w:pos="685" w:val="left"/>
        </w:tabs>
        <w:numPr>
          <w:ilvl w:val="1"/>
          <w:numId w:val="148"/>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Except as otherwise expressly provided in this Agreement, (i) any consent or approval required or permitted by this Agreement or any other Loan Document to be given by the Lenders may be given, (ii) any term of this Agreement or of any other Loan Document may be amended,</w:t>
      </w:r>
    </w:p>
    <w:p>
      <w:pPr>
        <w:ind w:right="240" w:firstLine="4"/>
        <w:spacing w:after="0" w:line="253" w:lineRule="auto"/>
        <w:tabs>
          <w:tab w:leader="none" w:pos="31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performance or observance by the Borrower, any other Loan Party or any other Subsidiary of any terms of this Agreement or such other Loan Document may be waived, and (iv) the continuance of any Default or Event of Default may be waived (either generally or in a particular instance and either retroactively or prospectively) with, but only with, the written consent of the Requisite Lenders (or the Administrative Agent at the written direction of the Requisite Lenders), and, in the case of an amendment to any Loan Document, the written consent of each Loan Party which is party thereto.</w:t>
      </w:r>
    </w:p>
    <w:p>
      <w:pPr>
        <w:spacing w:after="0" w:line="123" w:lineRule="exact"/>
        <w:rPr>
          <w:rFonts w:ascii="Arial" w:cs="Arial" w:eastAsia="Arial" w:hAnsi="Arial"/>
          <w:sz w:val="18"/>
          <w:szCs w:val="18"/>
          <w:color w:val="auto"/>
        </w:rPr>
      </w:pPr>
    </w:p>
    <w:p>
      <w:pPr>
        <w:ind w:left="5380" w:hanging="103"/>
        <w:spacing w:after="0"/>
        <w:tabs>
          <w:tab w:leader="none" w:pos="538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110 -</w:t>
      </w:r>
    </w:p>
    <w:p>
      <w:pPr>
        <w:sectPr>
          <w:pgSz w:w="11900" w:h="16838" w:orient="portrait"/>
          <w:cols w:equalWidth="0" w:num="1">
            <w:col w:w="11020"/>
          </w:cols>
          <w:pgMar w:left="440" w:top="270" w:right="439" w:bottom="1440" w:gutter="0" w:footer="0" w:header="0"/>
        </w:sectPr>
      </w:pPr>
    </w:p>
    <w:bookmarkStart w:id="119" w:name="page120"/>
    <w:bookmarkEnd w:id="119"/>
    <w:p>
      <w:pPr>
        <w:ind w:left="260" w:hanging="256"/>
        <w:spacing w:after="0"/>
        <w:tabs>
          <w:tab w:leader="none" w:pos="26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Intentionally Omitted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40" w:firstLine="444"/>
        <w:spacing w:after="0" w:line="264" w:lineRule="auto"/>
        <w:tabs>
          <w:tab w:leader="none" w:pos="24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Consent of Lenders Directly Affected</w:t>
      </w:r>
      <w:r>
        <w:rPr>
          <w:rFonts w:ascii="Arial" w:cs="Arial" w:eastAsia="Arial" w:hAnsi="Arial"/>
          <w:sz w:val="18"/>
          <w:szCs w:val="18"/>
          <w:color w:val="auto"/>
        </w:rPr>
        <w:t>. In addition to the foregoing requirements, no amendment, waiver or consent shall, unless in writing, and signed by each of the Lenders directly and adversely affected thereby (or the Administrative Agent at the written direction of such Lenders), do any of the following:</w:t>
      </w:r>
    </w:p>
    <w:p>
      <w:pPr>
        <w:spacing w:after="0" w:line="73" w:lineRule="exact"/>
        <w:rPr>
          <w:rFonts w:ascii="Arial" w:cs="Arial" w:eastAsia="Arial" w:hAnsi="Arial"/>
          <w:sz w:val="18"/>
          <w:szCs w:val="18"/>
          <w:color w:val="auto"/>
        </w:rPr>
      </w:pPr>
    </w:p>
    <w:p>
      <w:pPr>
        <w:ind w:left="640" w:hanging="212"/>
        <w:spacing w:after="0"/>
        <w:tabs>
          <w:tab w:leader="none" w:pos="6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increase the Commitments of such Lenders or subject such Lenders to any additional obligations;</w:t>
      </w:r>
    </w:p>
    <w:p>
      <w:pPr>
        <w:spacing w:after="0" w:line="117" w:lineRule="exact"/>
        <w:rPr>
          <w:rFonts w:ascii="Arial" w:cs="Arial" w:eastAsia="Arial" w:hAnsi="Arial"/>
          <w:sz w:val="18"/>
          <w:szCs w:val="18"/>
          <w:color w:val="auto"/>
        </w:rPr>
      </w:pPr>
    </w:p>
    <w:p>
      <w:pPr>
        <w:ind w:right="260" w:firstLine="428"/>
        <w:spacing w:after="0" w:line="277" w:lineRule="auto"/>
        <w:tabs>
          <w:tab w:leader="none" w:pos="68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reduce the principal of, or interest that has accrued or the rates of interest that will be charged on the outstanding principal amount of, any Loans or other Obligations owing to such Lenders;</w:t>
      </w:r>
    </w:p>
    <w:p>
      <w:pPr>
        <w:spacing w:after="0" w:line="62" w:lineRule="exact"/>
        <w:rPr>
          <w:rFonts w:ascii="Arial" w:cs="Arial" w:eastAsia="Arial" w:hAnsi="Arial"/>
          <w:sz w:val="18"/>
          <w:szCs w:val="18"/>
          <w:color w:val="auto"/>
        </w:rPr>
      </w:pPr>
    </w:p>
    <w:p>
      <w:pPr>
        <w:ind w:left="740" w:hanging="312"/>
        <w:spacing w:after="0"/>
        <w:tabs>
          <w:tab w:leader="none" w:pos="74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reduce the amount of any Fees payable to such Lenders hereunder;</w:t>
      </w:r>
    </w:p>
    <w:p>
      <w:pPr>
        <w:spacing w:after="0" w:line="117" w:lineRule="exact"/>
        <w:rPr>
          <w:rFonts w:ascii="Arial" w:cs="Arial" w:eastAsia="Arial" w:hAnsi="Arial"/>
          <w:sz w:val="18"/>
          <w:szCs w:val="18"/>
          <w:color w:val="auto"/>
        </w:rPr>
      </w:pPr>
    </w:p>
    <w:p>
      <w:pPr>
        <w:ind w:firstLine="428"/>
        <w:spacing w:after="0" w:line="264" w:lineRule="auto"/>
        <w:tabs>
          <w:tab w:leader="none" w:pos="728" w:val="left"/>
        </w:tabs>
        <w:numPr>
          <w:ilvl w:val="1"/>
          <w:numId w:val="150"/>
        </w:numPr>
        <w:rPr>
          <w:rFonts w:ascii="Arial" w:cs="Arial" w:eastAsia="Arial" w:hAnsi="Arial"/>
          <w:sz w:val="18"/>
          <w:szCs w:val="18"/>
          <w:color w:val="auto"/>
        </w:rPr>
      </w:pPr>
      <w:r>
        <w:rPr>
          <w:rFonts w:ascii="Arial" w:cs="Arial" w:eastAsia="Arial" w:hAnsi="Arial"/>
          <w:sz w:val="18"/>
          <w:szCs w:val="18"/>
          <w:color w:val="auto"/>
        </w:rPr>
        <w:t>modify the definition of “Revolving Termination Date” (except in accordance with Section 2.13.), otherwise postpone any date fixed for any payment of principal of, or interest on, any Loans or for the payment of Fees or any other Obligations, or extend the expiration date of any Letter of Credit beyond the Revolving Termination Date (except in accordance with Section 2.3.);</w:t>
      </w:r>
    </w:p>
    <w:p>
      <w:pPr>
        <w:spacing w:after="0" w:line="73" w:lineRule="exact"/>
        <w:rPr>
          <w:rFonts w:ascii="Arial" w:cs="Arial" w:eastAsia="Arial" w:hAnsi="Arial"/>
          <w:sz w:val="18"/>
          <w:szCs w:val="18"/>
          <w:color w:val="auto"/>
        </w:rPr>
      </w:pPr>
    </w:p>
    <w:p>
      <w:pPr>
        <w:ind w:left="680" w:hanging="252"/>
        <w:spacing w:after="0"/>
        <w:tabs>
          <w:tab w:leader="none" w:pos="680" w:val="left"/>
        </w:tabs>
        <w:numPr>
          <w:ilvl w:val="1"/>
          <w:numId w:val="150"/>
        </w:numPr>
        <w:rPr>
          <w:rFonts w:ascii="Arial" w:cs="Arial" w:eastAsia="Arial" w:hAnsi="Arial"/>
          <w:sz w:val="17"/>
          <w:szCs w:val="17"/>
          <w:color w:val="auto"/>
        </w:rPr>
      </w:pPr>
      <w:r>
        <w:rPr>
          <w:rFonts w:ascii="Arial" w:cs="Arial" w:eastAsia="Arial" w:hAnsi="Arial"/>
          <w:sz w:val="17"/>
          <w:szCs w:val="17"/>
          <w:color w:val="auto"/>
        </w:rPr>
        <w:t>modify the definitions of “Revolving Commitment Percentage” or amend or otherwise modify the provisions of Section 3.2.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10.5.;</w:t>
      </w:r>
    </w:p>
    <w:p>
      <w:pPr>
        <w:spacing w:after="0" w:line="103" w:lineRule="exact"/>
        <w:rPr>
          <w:sz w:val="20"/>
          <w:szCs w:val="20"/>
          <w:color w:val="auto"/>
        </w:rPr>
      </w:pPr>
    </w:p>
    <w:p>
      <w:pPr>
        <w:ind w:right="780" w:firstLine="428"/>
        <w:spacing w:after="0" w:line="277" w:lineRule="auto"/>
        <w:tabs>
          <w:tab w:leader="none" w:pos="72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amend this Section or amend the definitions of the terms used in this Agreement or the other Loan Documents insofar as such definitions affect the substance of this Section;</w:t>
      </w:r>
    </w:p>
    <w:p>
      <w:pPr>
        <w:spacing w:after="0" w:line="62" w:lineRule="exact"/>
        <w:rPr>
          <w:rFonts w:ascii="Arial" w:cs="Arial" w:eastAsia="Arial" w:hAnsi="Arial"/>
          <w:sz w:val="18"/>
          <w:szCs w:val="18"/>
          <w:color w:val="auto"/>
        </w:rPr>
      </w:pPr>
    </w:p>
    <w:p>
      <w:pPr>
        <w:ind w:right="40" w:firstLine="428"/>
        <w:spacing w:after="0" w:line="277" w:lineRule="auto"/>
        <w:tabs>
          <w:tab w:leader="none" w:pos="778" w:val="left"/>
        </w:tabs>
        <w:numPr>
          <w:ilvl w:val="1"/>
          <w:numId w:val="151"/>
        </w:numPr>
        <w:rPr>
          <w:rFonts w:ascii="Arial" w:cs="Arial" w:eastAsia="Arial" w:hAnsi="Arial"/>
          <w:sz w:val="18"/>
          <w:szCs w:val="18"/>
          <w:color w:val="auto"/>
        </w:rPr>
      </w:pPr>
      <w:r>
        <w:rPr>
          <w:rFonts w:ascii="Arial" w:cs="Arial" w:eastAsia="Arial" w:hAnsi="Arial"/>
          <w:sz w:val="18"/>
          <w:szCs w:val="18"/>
          <w:color w:val="auto"/>
        </w:rPr>
        <w:t>modify the definition of the term “Requisite Lenders” or modify in any other manner the number or percentage of the Lenders required to make any determinations or waive any rights hereunder or to modify any provision hereof;</w:t>
      </w:r>
    </w:p>
    <w:p>
      <w:pPr>
        <w:spacing w:after="0" w:line="62" w:lineRule="exact"/>
        <w:rPr>
          <w:rFonts w:ascii="Arial" w:cs="Arial" w:eastAsia="Arial" w:hAnsi="Arial"/>
          <w:sz w:val="18"/>
          <w:szCs w:val="18"/>
          <w:color w:val="auto"/>
        </w:rPr>
      </w:pPr>
    </w:p>
    <w:p>
      <w:pPr>
        <w:ind w:left="840" w:hanging="412"/>
        <w:spacing w:after="0"/>
        <w:tabs>
          <w:tab w:leader="none" w:pos="8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release any Guarantor from its obligations under the Guaranty except as contemplated by Section 7.14.(c);</w:t>
      </w:r>
    </w:p>
    <w:p>
      <w:pPr>
        <w:spacing w:after="0" w:line="117" w:lineRule="exact"/>
        <w:rPr>
          <w:rFonts w:ascii="Arial" w:cs="Arial" w:eastAsia="Arial" w:hAnsi="Arial"/>
          <w:sz w:val="18"/>
          <w:szCs w:val="18"/>
          <w:color w:val="auto"/>
        </w:rPr>
      </w:pPr>
    </w:p>
    <w:p>
      <w:pPr>
        <w:ind w:left="740" w:hanging="312"/>
        <w:spacing w:after="0"/>
        <w:tabs>
          <w:tab w:leader="none" w:pos="74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waive a Default or Event of Default under Section 10.1.(a), except as provided in Section 10.7.; or</w:t>
      </w:r>
    </w:p>
    <w:p>
      <w:pPr>
        <w:spacing w:after="0" w:line="117" w:lineRule="exact"/>
        <w:rPr>
          <w:rFonts w:ascii="Arial" w:cs="Arial" w:eastAsia="Arial" w:hAnsi="Arial"/>
          <w:sz w:val="18"/>
          <w:szCs w:val="18"/>
          <w:color w:val="auto"/>
        </w:rPr>
      </w:pPr>
    </w:p>
    <w:p>
      <w:pPr>
        <w:ind w:left="680" w:hanging="252"/>
        <w:spacing w:after="0"/>
        <w:tabs>
          <w:tab w:leader="none" w:pos="68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amend, or waive the Borrower’s compliance with, Section 2.15.</w:t>
      </w:r>
    </w:p>
    <w:p>
      <w:pPr>
        <w:spacing w:after="0" w:line="117" w:lineRule="exact"/>
        <w:rPr>
          <w:rFonts w:ascii="Arial" w:cs="Arial" w:eastAsia="Arial" w:hAnsi="Arial"/>
          <w:sz w:val="18"/>
          <w:szCs w:val="18"/>
          <w:color w:val="auto"/>
        </w:rPr>
      </w:pPr>
    </w:p>
    <w:p>
      <w:pPr>
        <w:ind w:left="-440" w:right="20" w:firstLine="444"/>
        <w:spacing w:after="0" w:line="272" w:lineRule="auto"/>
        <w:tabs>
          <w:tab w:leader="none" w:pos="255" w:val="left"/>
        </w:tabs>
        <w:numPr>
          <w:ilvl w:val="0"/>
          <w:numId w:val="152"/>
        </w:numPr>
        <w:rPr>
          <w:rFonts w:ascii="Arial" w:cs="Arial" w:eastAsia="Arial" w:hAnsi="Arial"/>
          <w:sz w:val="17"/>
          <w:szCs w:val="17"/>
          <w:color w:val="auto"/>
        </w:rPr>
      </w:pPr>
      <w:r>
        <w:rPr>
          <w:rFonts w:ascii="Arial" w:cs="Arial" w:eastAsia="Arial" w:hAnsi="Arial"/>
          <w:sz w:val="17"/>
          <w:szCs w:val="17"/>
          <w:u w:val="single" w:color="auto"/>
          <w:color w:val="auto"/>
        </w:rPr>
        <w:t>Amendment of Administrative Agent’s Duties, Etc</w:t>
      </w:r>
      <w:r>
        <w:rPr>
          <w:rFonts w:ascii="Arial" w:cs="Arial" w:eastAsia="Arial" w:hAnsi="Arial"/>
          <w:sz w:val="17"/>
          <w:szCs w:val="17"/>
          <w:color w:val="auto"/>
        </w:rPr>
        <w:t>. No amendment, waiver or consent unless in writing and signed by the Administrative Agent, in addition to the Lenders required hereinabove to take such action, shall affect the rights or duties of the Administrative Agent under this Agreement or any of the other Loan Documents. Any amendment, waiver or consent relating to Section 2.4. or the obligations of the Swingline Lender under this Agreement or any other Loan Document shall, in addition to the Lenders required hereinabove to take such action, require the written consent of the Swingline Lender. Any amendment, waiver or consent relating to Section 2.3. or the obligations of the Issuing Bank under this Agreement or any other Loan Document shall, in addition to the Lenders required hereinabove to take such action, require the written consent of the Issuing Bank. Any amendment, waiver or consent with respect to</w:t>
      </w:r>
    </w:p>
    <w:p>
      <w:pPr>
        <w:spacing w:after="0" w:line="110" w:lineRule="exact"/>
        <w:rPr>
          <w:rFonts w:ascii="Arial" w:cs="Arial" w:eastAsia="Arial" w:hAnsi="Arial"/>
          <w:sz w:val="17"/>
          <w:szCs w:val="17"/>
          <w:color w:val="auto"/>
        </w:rPr>
      </w:pPr>
    </w:p>
    <w:p>
      <w:pPr>
        <w:ind w:left="4940" w:hanging="99"/>
        <w:spacing w:after="0"/>
        <w:tabs>
          <w:tab w:leader="none" w:pos="4940" w:val="left"/>
        </w:tabs>
        <w:numPr>
          <w:ilvl w:val="2"/>
          <w:numId w:val="152"/>
        </w:numPr>
        <w:rPr>
          <w:rFonts w:ascii="Arial" w:cs="Arial" w:eastAsia="Arial" w:hAnsi="Arial"/>
          <w:sz w:val="18"/>
          <w:szCs w:val="18"/>
          <w:color w:val="auto"/>
        </w:rPr>
      </w:pPr>
      <w:r>
        <w:rPr>
          <w:rFonts w:ascii="Arial" w:cs="Arial" w:eastAsia="Arial" w:hAnsi="Arial"/>
          <w:sz w:val="18"/>
          <w:szCs w:val="18"/>
          <w:color w:val="auto"/>
        </w:rPr>
        <w:t>111 -</w:t>
      </w:r>
    </w:p>
    <w:p>
      <w:pPr>
        <w:sectPr>
          <w:pgSz w:w="11900" w:h="16838" w:orient="portrait"/>
          <w:cols w:equalWidth="0" w:num="1">
            <w:col w:w="10560"/>
          </w:cols>
          <w:pgMar w:left="880" w:top="274" w:right="459" w:bottom="1440" w:gutter="0" w:footer="0" w:header="0"/>
        </w:sectPr>
      </w:pPr>
    </w:p>
    <w:bookmarkStart w:id="120" w:name="page121"/>
    <w:bookmarkEnd w:id="120"/>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Loan Document that increases the liabilities or obligations of a Specified Derivatives Provider shall, in addition to the Lenders required hereinabove to take such action, require the consent of the Lender that is (or having an Affiliate that is) such Specified Derivatives Provider. No waiver shall extend to or affect any obligation not expressly waived or impair any right consequent thereon and any amendment, waiver or consent shall be effective only in the specific instance and for the specific purpose set forth therein. No course of dealing or delay or omission on the part of the Administrative Agent or any Lender in exercising any right shall operate as a waiver thereof or otherwise be prejudicial thereto. Except as otherwise explicitly provided for herein or in any other Loan Document, no notice to or demand upon the Borrower shall entitle the Borrower to other or further notice or demand in similar or other circumstances.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12.8. Nonliability of Administrative Agent and Lenders.</w:t>
      </w:r>
    </w:p>
    <w:p>
      <w:pPr>
        <w:spacing w:after="0" w:line="121" w:lineRule="exact"/>
        <w:rPr>
          <w:sz w:val="20"/>
          <w:szCs w:val="20"/>
          <w:color w:val="auto"/>
        </w:rPr>
      </w:pPr>
    </w:p>
    <w:p>
      <w:pPr>
        <w:ind w:right="40" w:firstLine="441"/>
        <w:spacing w:after="0" w:line="293" w:lineRule="auto"/>
        <w:rPr>
          <w:sz w:val="20"/>
          <w:szCs w:val="20"/>
          <w:color w:val="auto"/>
        </w:rPr>
      </w:pPr>
      <w:r>
        <w:rPr>
          <w:rFonts w:ascii="Arial" w:cs="Arial" w:eastAsia="Arial" w:hAnsi="Arial"/>
          <w:sz w:val="16"/>
          <w:szCs w:val="16"/>
          <w:color w:val="auto"/>
        </w:rPr>
        <w:t>The relationship between the Borrower, on the one hand, and the Lenders, the Issuing Bank and the Administrative Agent, on the other hand, shall be solely that of borrower and lender. None of the Administrative Agent, the Issuing Bank or any Lender shall have any fiduciary responsibilities to the Borrower and no provision in this Agreement or in any of the other Loan Documents, and no course of dealing between or among any of the parties hereto, shall be deemed to create any fiduciary duty owing by the Administrative Agent, the Issuing Bank or any Lender to any Lender, the Borrower, any Subsidiary or any other Loan Party. None of the Administrative Agent, the Issuing Bank or any Lender undertakes any responsibility to the Borrower to review or inform the Borrower of any matter in connection with any phase of the Borrower’s business or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12.9. Confidentiality.</w:t>
      </w:r>
    </w:p>
    <w:p>
      <w:pPr>
        <w:spacing w:after="0" w:line="121"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The Administrative Agent and each Lender shall use reasonable efforts to maintain the confidentiality of all information about Borrower, the other Loan Parties and other Subsidiaries, and the Properties thereof and their operations, affairs and financial condition, not generally disclosed to the public, which is furnished to the Administrative Agent or any Lender by the Borrower, any other Loan Party, any other Subsidiary or Affiliate of Borrower, any other Loan Party, or any other Subsidiary pursuant to the provisions of this Agreement or any other Loan Document in accordance with its customary procedure for handling confidential information of this nature and in accordance with safe and sound banking practice, but in any event, the Administrative Agent and the Lenders may make disclosure: (a) to any of their respective Affiliates and its and its Affiliates’ respective partners, directors, officers, employees, agents, advisors and other representatives (provided they shall agree to keep such information confidential in accordance with the terms of this Section 12.9.); (b) as reasonably requested by any bona fide prospective assignee, Participant or other transferee in connection with the contemplated transfer of any Commitment, Loan or participations therein (provided they shall agree to keep such information confidential in accordance with the terms of this Section); (c) as required or requested by any Governmental Authority or representative thereof or pursuant to legal process or in connection with any legal proceedings or as otherwise required by Applicable Law; (d) to the Administrative Agent’s or such Lender’s independent auditors, consultants and service providers, and other professional advisors (provided they shall be notified of the confidential nature of the information); (e) after the happening and during the continuance of an Event of Default hereunder or under any other Loan Document (or Specified Derivatives Contract), to any other Person, as necessary for the exercise by the Administrative Agent or the Lenders (or a Specified Derivatives Provider) of rights and remedies hereunder or under any of the other Loan Documents (or Specified Derivatives Contract); (f) to bank trade publications (such information to consist of deal terms and other information customarily found in such publications), (g) upon Borrower’s prior consent (which consent shall not be unreasonably withheld), to any actual or prospective contractual counter-parties (or its advisors) to any swap or similar hedging agreement or to any rating agency; (h) to any other party hereto; (i) upon Borrower’s prior written consent, to any other Person; and (j) to the extent such information (i) becomes publicly available other than as a result of a breach by such party of this Section actually known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- 112 -</w:t>
      </w:r>
    </w:p>
    <w:p>
      <w:pPr>
        <w:sectPr>
          <w:pgSz w:w="11900" w:h="16838" w:orient="portrait"/>
          <w:cols w:equalWidth="0" w:num="1">
            <w:col w:w="11020"/>
          </w:cols>
          <w:pgMar w:left="440" w:top="274" w:right="439" w:bottom="1440" w:gutter="0" w:footer="0" w:header="0"/>
        </w:sectPr>
      </w:pPr>
    </w:p>
    <w:bookmarkStart w:id="121" w:name="page122"/>
    <w:bookmarkEnd w:id="121"/>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by the Administrative Agent and the Lenders to be a breach of this section, or (ii) becomes available to the Administrative Agent or any Lender or any Affiliate of the Administrative Agent or any Lender on a nonconfidential basis from a source other than the Borrower or any Affiliate of the Borrower unless the Administrative Agent or such Lender has actual knowledge that such information became nonconfidential as a result of a breach of a confidential arrangement with the Borrower or such Loan Party. Notwithstanding the foregoing, the Administrative Agent and each Lender may disclose any such confidential information, without notice to the Borrower or any other Loan Party, to Governmental Authorities or similar authority (including any self-regulatory authority, such as the National Association of Insurance Commissioners) having or purporting to have jurisdiction over it in connection with any regulatory examination of the Administrative Agent or such Lender or in accordance with the regulatory compliance policy of the Administrative Agent or such Lender.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its own confidential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12.10. Indemnification.</w:t>
      </w:r>
    </w:p>
    <w:p>
      <w:pPr>
        <w:spacing w:after="0" w:line="121" w:lineRule="exact"/>
        <w:rPr>
          <w:sz w:val="20"/>
          <w:szCs w:val="20"/>
          <w:color w:val="auto"/>
        </w:rPr>
      </w:pPr>
    </w:p>
    <w:p>
      <w:pPr>
        <w:ind w:firstLine="444"/>
        <w:spacing w:after="0" w:line="282" w:lineRule="auto"/>
        <w:tabs>
          <w:tab w:leader="none" w:pos="682" w:val="left"/>
        </w:tabs>
        <w:numPr>
          <w:ilvl w:val="1"/>
          <w:numId w:val="153"/>
        </w:numPr>
        <w:rPr>
          <w:rFonts w:ascii="Arial" w:cs="Arial" w:eastAsia="Arial" w:hAnsi="Arial"/>
          <w:sz w:val="16"/>
          <w:szCs w:val="16"/>
          <w:color w:val="auto"/>
        </w:rPr>
      </w:pPr>
      <w:r>
        <w:rPr>
          <w:rFonts w:ascii="Arial" w:cs="Arial" w:eastAsia="Arial" w:hAnsi="Arial"/>
          <w:sz w:val="16"/>
          <w:szCs w:val="16"/>
          <w:color w:val="auto"/>
        </w:rPr>
        <w:t>The Borrower shall and hereby agrees to indemnify, defend and hold harmless the Administrative Agent, the Issuing Bank, the Lenders, all of the Affiliates of each of the Administrative Agent, the Issuing Bank or any of the Lenders, and their respective directors, officers, shareholders, agents, employees and counsel (each referred to herein as an “</w:t>
      </w:r>
      <w:r>
        <w:rPr>
          <w:rFonts w:ascii="Arial" w:cs="Arial" w:eastAsia="Arial" w:hAnsi="Arial"/>
          <w:sz w:val="16"/>
          <w:szCs w:val="16"/>
          <w:b w:val="1"/>
          <w:bCs w:val="1"/>
          <w:color w:val="auto"/>
        </w:rPr>
        <w:t>Indemnified Party</w:t>
      </w:r>
      <w:r>
        <w:rPr>
          <w:rFonts w:ascii="Arial" w:cs="Arial" w:eastAsia="Arial" w:hAnsi="Arial"/>
          <w:sz w:val="16"/>
          <w:szCs w:val="16"/>
          <w:color w:val="auto"/>
        </w:rPr>
        <w:t>”) from and against any and all of the following (collectively, the “</w:t>
      </w:r>
      <w:r>
        <w:rPr>
          <w:rFonts w:ascii="Arial" w:cs="Arial" w:eastAsia="Arial" w:hAnsi="Arial"/>
          <w:sz w:val="16"/>
          <w:szCs w:val="16"/>
          <w:b w:val="1"/>
          <w:bCs w:val="1"/>
          <w:color w:val="auto"/>
        </w:rPr>
        <w:t>Indemnified Costs</w:t>
      </w:r>
      <w:r>
        <w:rPr>
          <w:rFonts w:ascii="Arial" w:cs="Arial" w:eastAsia="Arial" w:hAnsi="Arial"/>
          <w:sz w:val="16"/>
          <w:szCs w:val="16"/>
          <w:color w:val="auto"/>
        </w:rPr>
        <w:t>”): losses, costs, claims, penalties, damages, liabilities, deficiencies, judgments or reasonable expenses of every kind and nature (including, without limitation, amounts paid in settlement, court costs and the reasonable fees and disbursements of counsel incurred in connection with any litigation, investigation, claim or proceeding or any advice rendered in connection therewith, but excluding Indemnified Costs indemnification in respect of which is specifically covered by Section 3.10. or 4.1. or expressly excluded from the coverage of such Sections) incurred by an Indemnified Party in connection with, arising out of, or by reason of, any suit, cause of action, claim, arbitration, investigation or settlement, consent decree or other proceeding (the foregoing referred to herein as an “</w:t>
      </w:r>
      <w:r>
        <w:rPr>
          <w:rFonts w:ascii="Arial" w:cs="Arial" w:eastAsia="Arial" w:hAnsi="Arial"/>
          <w:sz w:val="16"/>
          <w:szCs w:val="16"/>
          <w:b w:val="1"/>
          <w:bCs w:val="1"/>
          <w:color w:val="auto"/>
        </w:rPr>
        <w:t>Indemnity Proceeding</w:t>
      </w:r>
      <w:r>
        <w:rPr>
          <w:rFonts w:ascii="Arial" w:cs="Arial" w:eastAsia="Arial" w:hAnsi="Arial"/>
          <w:sz w:val="16"/>
          <w:szCs w:val="16"/>
          <w:color w:val="auto"/>
        </w:rPr>
        <w:t>”) which is in any way related directly or indirectly to: (i) this Agreement or any other Loan Document or the transactions contemplated thereby; (ii) the making of any Loans or issuance of Letters of Credit hereunder; (iii) any actual or proposed use by the Borrower of the proceeds of the Loans or Letters of Credit; (iv) the Administrative Agent’s, the Issuing Bank’s or any Lender’s entering into this Agreement; (v) the fact that the Administrative Agent, the Issuing Bank and the Lenders have established the credit facility evidenced hereby in favor of the Borrower; (vi) the fact that the Administrative Agent, the Issuing Bank and the Lenders are creditors of the Borrower and have or are alleged to have information regarding the financial condition, strategic plans or business operations of the Borrower and the Subsidiaries; (vii) the fact that the Administrative Agent, the Issuing Bank and the Lenders are material creditors of the Borrower and are alleged to influence directly or indirectly the business decisions or affairs of the Borrower and the Subsidiaries or their financial condition; (viii) the exercise of any right or remedy the Administrative Agent, the Issuing Bank or the Lenders may have under this Agreement or the other Loan Documents; (viii) any civil penalty or fine assessed by the OFAC against, and all reasonable costs and expenses (including counsel fees and disbursements) incurred in connection with defense thereof by, the Administrative Agent, the Issuing Bank or any Lender as a result of conduct of the Borrower, any other Loan Party or any other Subsidiary that violates a sanction administered or enforced by the OFAC; or (ix) any violation or non-compliance by the Borrower or any Subsidiary of any Applicable Law (including any Environmental Law) including, but not limited to, any Indemnity Proceeding commenced by</w:t>
      </w:r>
    </w:p>
    <w:p>
      <w:pPr>
        <w:spacing w:after="0" w:line="12" w:lineRule="exact"/>
        <w:rPr>
          <w:rFonts w:ascii="Arial" w:cs="Arial" w:eastAsia="Arial" w:hAnsi="Arial"/>
          <w:sz w:val="16"/>
          <w:szCs w:val="16"/>
          <w:color w:val="auto"/>
        </w:rPr>
      </w:pPr>
    </w:p>
    <w:p>
      <w:pPr>
        <w:ind w:right="120" w:firstLine="4"/>
        <w:spacing w:after="0" w:line="255" w:lineRule="auto"/>
        <w:tabs>
          <w:tab w:leader="none" w:pos="295"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Internal Revenue Service or state taxing authority or (B) any Governmental Authority or other Person under any Environmental Law, including any Indemnity Proceeding commenced by a Governmental Authority or other Person seeking remedial or other action to cause the Borrower or its Subsidiaries (or its respective properties) (or the Administrative Agent and/or the Lenders and/or the Issuing</w:t>
      </w:r>
    </w:p>
    <w:p>
      <w:pPr>
        <w:spacing w:after="0" w:line="122" w:lineRule="exact"/>
        <w:rPr>
          <w:rFonts w:ascii="Arial" w:cs="Arial" w:eastAsia="Arial" w:hAnsi="Arial"/>
          <w:sz w:val="18"/>
          <w:szCs w:val="18"/>
          <w:color w:val="auto"/>
        </w:rPr>
      </w:pPr>
    </w:p>
    <w:p>
      <w:pPr>
        <w:ind w:left="5380" w:hanging="103"/>
        <w:spacing w:after="0"/>
        <w:tabs>
          <w:tab w:leader="none" w:pos="5380" w:val="left"/>
        </w:tabs>
        <w:numPr>
          <w:ilvl w:val="2"/>
          <w:numId w:val="154"/>
        </w:numPr>
        <w:rPr>
          <w:rFonts w:ascii="Arial" w:cs="Arial" w:eastAsia="Arial" w:hAnsi="Arial"/>
          <w:sz w:val="18"/>
          <w:szCs w:val="18"/>
          <w:color w:val="auto"/>
        </w:rPr>
      </w:pPr>
      <w:r>
        <w:rPr>
          <w:rFonts w:ascii="Arial" w:cs="Arial" w:eastAsia="Arial" w:hAnsi="Arial"/>
          <w:sz w:val="18"/>
          <w:szCs w:val="18"/>
          <w:color w:val="auto"/>
        </w:rPr>
        <w:t>113 -</w:t>
      </w:r>
    </w:p>
    <w:p>
      <w:pPr>
        <w:sectPr>
          <w:pgSz w:w="11900" w:h="16838" w:orient="portrait"/>
          <w:cols w:equalWidth="0" w:num="1">
            <w:col w:w="11000"/>
          </w:cols>
          <w:pgMar w:left="440" w:top="274" w:right="459" w:bottom="1440" w:gutter="0" w:footer="0" w:header="0"/>
        </w:sectPr>
      </w:pPr>
    </w:p>
    <w:bookmarkStart w:id="122" w:name="page123"/>
    <w:bookmarkEnd w:id="122"/>
    <w:p>
      <w:pPr>
        <w:ind w:right="4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Bank as successors to the Borrower) to be in compliance with such Environmental Laws; provided, however, that the Borrower shall not be obligated to indemnify any Indemnified Party for (A) any acts or omissions of such Indemnified Party in connection with matters described in this subjection to the extent arising from the gross negligence or willful misconduct of such Indemnified Party, as determined by a court of competent jurisdiction in a final, non-appealable judgment or (B) Indemnified Costs to the extent arising directly out of or resulting directly from claims of one or more Indemnified Parties against another Indemnified Party (other than claims of the Indemnified Parties against the Administrative Agent, the Issuing Bank or the Swingline Lender, acting in their capacities as such). This section shall not apply with respect to Taxes other than any Taxes that represent losses, claims or damages arising from any non-Tax claim. Each Indemnified Party shall be obligated to refund or return any amounts paid by the Borrower under this paragraph to such Indemnified Party to the extent such Indemnified Party was not actually entitled to payment of such amounts in accordance with the terms hereof as determined by such Indemnified Party in its sole discretion exercised in good faith.</w:t>
      </w:r>
    </w:p>
    <w:p>
      <w:pPr>
        <w:spacing w:after="0" w:line="59" w:lineRule="exact"/>
        <w:rPr>
          <w:sz w:val="20"/>
          <w:szCs w:val="20"/>
          <w:color w:val="auto"/>
        </w:rPr>
      </w:pPr>
    </w:p>
    <w:p>
      <w:pPr>
        <w:ind w:right="20" w:firstLine="444"/>
        <w:spacing w:after="0" w:line="289" w:lineRule="auto"/>
        <w:tabs>
          <w:tab w:leader="none" w:pos="69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Borrower’s indemnification obligations under this Section shall apply to all Indemnity Proceedings arising out of, or related to, the foregoing whether or not an Indemnified Party is a named party in such Indemnity Proceeding. In this connection, this indemnification shall cover all Indemnified Costs of any Indemnified Party in connection with any deposition of any Indemnified Party or compliance with any subpoena (including any subpoena requesting the production of documents). This indemnification shall, among other things, apply to any Indemnity Proceeding commenced by other creditors of the Borrower or any Subsidiary, any shareholder of the Borrower or any Subsidiary (whether such shareholder(s) are prosecuting such Indemnity Proceeding in their individual capacity or derivatively on behalf of the Borrower), any account debtor of the Borrower or any Subsidiary or by any Governmental Authority. If indemnification is to be sought hereunder by an Indemnified Party, then such Indemnified Party shall promptly notify the Borrower of the commencement of any Indemnity Proceeding; provided, however, that the failure to so notify the Borrower shall not otherwise relieve the Borrower from any liability that it may have to such Indemnified Party pursuant to this Section 12.10.</w:t>
      </w:r>
    </w:p>
    <w:p>
      <w:pPr>
        <w:spacing w:after="0" w:line="58" w:lineRule="exact"/>
        <w:rPr>
          <w:rFonts w:ascii="Arial" w:cs="Arial" w:eastAsia="Arial" w:hAnsi="Arial"/>
          <w:sz w:val="16"/>
          <w:szCs w:val="16"/>
          <w:color w:val="auto"/>
        </w:rPr>
      </w:pPr>
    </w:p>
    <w:p>
      <w:pPr>
        <w:ind w:firstLine="444"/>
        <w:spacing w:after="0" w:line="277" w:lineRule="auto"/>
        <w:tabs>
          <w:tab w:leader="none" w:pos="68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This indemnification shall apply to any Indemnity Proceeding arising during the pendency of any bankruptcy proceeding filed by or against the Borrower and/or any Subsidiary.</w:t>
      </w:r>
    </w:p>
    <w:p>
      <w:pPr>
        <w:spacing w:after="0" w:line="62" w:lineRule="exact"/>
        <w:rPr>
          <w:rFonts w:ascii="Arial" w:cs="Arial" w:eastAsia="Arial" w:hAnsi="Arial"/>
          <w:sz w:val="18"/>
          <w:szCs w:val="18"/>
          <w:color w:val="auto"/>
        </w:rPr>
      </w:pPr>
    </w:p>
    <w:p>
      <w:pPr>
        <w:ind w:right="220" w:firstLine="444"/>
        <w:spacing w:after="0" w:line="302" w:lineRule="auto"/>
        <w:tabs>
          <w:tab w:leader="none" w:pos="696"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out-of-pocket fees and expenses of, and all amounts paid to third-persons by, an Indemnified Party shall be advanced by the Borrower at the request of such Indemnified Party notwithstanding any claim or assertion by the Borrower that such Indemnified Party is not entitled to indemnification hereunder upon receipt of an undertaking by such Indemnified Party that such Indemnified Party will reimburse the Borrower if it is actually and finally determined by a court of competent jurisdiction that such Indemnified Party is not so entitled to indemnification hereunder.</w:t>
      </w:r>
    </w:p>
    <w:p>
      <w:pPr>
        <w:spacing w:after="0" w:line="46" w:lineRule="exact"/>
        <w:rPr>
          <w:rFonts w:ascii="Arial" w:cs="Arial" w:eastAsia="Arial" w:hAnsi="Arial"/>
          <w:sz w:val="16"/>
          <w:szCs w:val="16"/>
          <w:color w:val="auto"/>
        </w:rPr>
      </w:pPr>
    </w:p>
    <w:p>
      <w:pPr>
        <w:ind w:right="160" w:firstLine="444"/>
        <w:spacing w:after="0" w:line="283" w:lineRule="auto"/>
        <w:tabs>
          <w:tab w:leader="none" w:pos="685"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An Indemnified Party may conduct its own investigation and defense of, and may formulate its own strategy with respect to, any Indemnity Proceeding covered by this Section and, as provided above, all Indemnified Costs incurred by such Indemnified Party shall be reimbursed by the Borrower. No action taken by legal counsel chosen by an Indemnified Party in investigating or defending against any such Indemnity Proceeding shall vitiate or in any way impair the obligations and duties of the Borrower hereunder to indemnify and hold harmless each such Indemnified Party; provided, however, that if (i) the Borrower is required to indemnify an Indemnified Party pursuant hereto and (ii) the Borrower has provided evidence reasonably satisfactory to such Indemnified Party that the Borrower has the financial wherewithal to reimburse such Indemnified Party for any amount paid by such Indemnified Party with respect to such Indemnity Proceeding, such Indemnified Party shall not settle or compromise any such Indemnity Proceeding without the prior written consent of the Borrower (which consent shall not be unreasonably withheld or delayed). Notwithstanding the foregoing, an Indemnified Party may settle or compromise any such Indemnity Proceeding without the prior written consent of the Borrower where</w:t>
      </w:r>
    </w:p>
    <w:p>
      <w:pPr>
        <w:spacing w:after="0" w:line="6" w:lineRule="exact"/>
        <w:rPr>
          <w:rFonts w:ascii="Arial" w:cs="Arial" w:eastAsia="Arial" w:hAnsi="Arial"/>
          <w:sz w:val="16"/>
          <w:szCs w:val="16"/>
          <w:color w:val="auto"/>
        </w:rPr>
      </w:pPr>
    </w:p>
    <w:p>
      <w:pPr>
        <w:ind w:right="160" w:firstLine="4"/>
        <w:spacing w:after="0" w:line="255" w:lineRule="auto"/>
        <w:tabs>
          <w:tab w:leader="none" w:pos="2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 monetary relief is sought against such Indemnified Party in such Indemnity Proceeding, (y) there is an allegation of a violation of law by such Indemnified Party, or (z) the proposed settlement or compromise would otherwise be disadvantageous to such Indemnified Party as determined by it in its sole discretion.</w:t>
      </w:r>
    </w:p>
    <w:p>
      <w:pPr>
        <w:spacing w:after="0" w:line="122" w:lineRule="exact"/>
        <w:rPr>
          <w:rFonts w:ascii="Arial" w:cs="Arial" w:eastAsia="Arial" w:hAnsi="Arial"/>
          <w:sz w:val="18"/>
          <w:szCs w:val="18"/>
          <w:color w:val="auto"/>
        </w:rPr>
      </w:pPr>
    </w:p>
    <w:p>
      <w:pPr>
        <w:ind w:left="5380" w:hanging="103"/>
        <w:spacing w:after="0"/>
        <w:tabs>
          <w:tab w:leader="none" w:pos="5380" w:val="left"/>
        </w:tabs>
        <w:numPr>
          <w:ilvl w:val="2"/>
          <w:numId w:val="156"/>
        </w:numPr>
        <w:rPr>
          <w:rFonts w:ascii="Arial" w:cs="Arial" w:eastAsia="Arial" w:hAnsi="Arial"/>
          <w:sz w:val="18"/>
          <w:szCs w:val="18"/>
          <w:color w:val="auto"/>
        </w:rPr>
      </w:pPr>
      <w:r>
        <w:rPr>
          <w:rFonts w:ascii="Arial" w:cs="Arial" w:eastAsia="Arial" w:hAnsi="Arial"/>
          <w:sz w:val="18"/>
          <w:szCs w:val="18"/>
          <w:color w:val="auto"/>
        </w:rPr>
        <w:t>114 -</w:t>
      </w:r>
    </w:p>
    <w:p>
      <w:pPr>
        <w:sectPr>
          <w:pgSz w:w="11900" w:h="16838" w:orient="portrait"/>
          <w:cols w:equalWidth="0" w:num="1">
            <w:col w:w="11020"/>
          </w:cols>
          <w:pgMar w:left="440" w:top="274" w:right="439" w:bottom="1440" w:gutter="0" w:footer="0" w:header="0"/>
        </w:sectPr>
      </w:pPr>
    </w:p>
    <w:bookmarkStart w:id="123" w:name="page124"/>
    <w:bookmarkEnd w:id="123"/>
    <w:p>
      <w:pPr>
        <w:ind w:right="360" w:firstLine="444"/>
        <w:spacing w:after="0" w:line="308" w:lineRule="auto"/>
        <w:tabs>
          <w:tab w:leader="none" w:pos="665" w:val="left"/>
        </w:tabs>
        <w:numPr>
          <w:ilvl w:val="0"/>
          <w:numId w:val="15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and to the extent that the obligations of the Borrower under this Section are unenforceable for any reason, the Borrower hereby agrees to make the maximum contribution to the payment and satisfaction of such obligations which is permissible under Applicable Law.</w:t>
      </w:r>
    </w:p>
    <w:p>
      <w:pPr>
        <w:spacing w:after="0" w:line="38" w:lineRule="exact"/>
        <w:rPr>
          <w:rFonts w:ascii="Arial" w:cs="Arial" w:eastAsia="Arial" w:hAnsi="Arial"/>
          <w:sz w:val="17"/>
          <w:szCs w:val="17"/>
          <w:color w:val="auto"/>
        </w:rPr>
      </w:pPr>
    </w:p>
    <w:p>
      <w:pPr>
        <w:ind w:firstLine="444"/>
        <w:spacing w:after="0" w:line="264" w:lineRule="auto"/>
        <w:tabs>
          <w:tab w:leader="none" w:pos="69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Borrower’s obligations under this Section shall survive any termination of this Agreement and the other Loan Documents and the payment in full in cash of the Obligations, and are in addition to, and not in substitution of, any of the other obligations set forth in this Agreement or any other Loan Document to which it is a party.</w:t>
      </w:r>
    </w:p>
    <w:p>
      <w:pPr>
        <w:spacing w:after="0" w:line="18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References in this Section 12.10. to “Lender” or “Lenders” shall be deemed to include such Persons (and their Affiliates) in their capacity as Specified Derivatives Providers.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12.11. Termination; Survival.</w:t>
      </w:r>
    </w:p>
    <w:p>
      <w:pPr>
        <w:spacing w:after="0" w:line="121" w:lineRule="exact"/>
        <w:rPr>
          <w:sz w:val="20"/>
          <w:szCs w:val="20"/>
          <w:color w:val="auto"/>
        </w:rPr>
      </w:pPr>
    </w:p>
    <w:p>
      <w:pPr>
        <w:ind w:right="20" w:firstLine="441"/>
        <w:spacing w:after="0" w:line="270" w:lineRule="auto"/>
        <w:rPr>
          <w:sz w:val="20"/>
          <w:szCs w:val="20"/>
          <w:color w:val="auto"/>
        </w:rPr>
      </w:pPr>
      <w:r>
        <w:rPr>
          <w:rFonts w:ascii="Arial" w:cs="Arial" w:eastAsia="Arial" w:hAnsi="Arial"/>
          <w:sz w:val="17"/>
          <w:szCs w:val="17"/>
          <w:color w:val="auto"/>
        </w:rPr>
        <w:t>This Agreement shall terminate at such time as (a) all of the Commitments have been terminated, (b) all Letters of Credit have terminated or expired or been canceled (other than Extended Letters of Credit in respect of which the Borrower has satisfied the requirements to provide Cash Collateral as required in Section 2.3.(b)), (c) none of the Lenders is obligated any longer under this Agreement to make any Loans and the Issuing Bank is no longer obligated under this Agreement to issue Letters of Credit and (d) all Obligations (other than obligations which survive as provided in the following sentence) have been paid and satisfied in full. The indemnities to which the Administrative Agent, the Issuing Bank and the Lenders are entitled under the provisions of Sections 3.10., 4.1., 4.4., 11.6., 12.2. and 12.10. and any other provision of this Agreement and the other Loan Documents, and the provisions of Section 12.5., shall continue in full force and effect and shall protect the Administrative Agent, the Issuing Bank and the Lenders (i) notwithstanding any termination of this Agreement, or of the other Loan Documents, against events arising after such termination as well as before and (ii) at all times after any such party ceases to be a party to this Agreement with respect to all matters and events existing on or prior to the date such party ceased to be a party to this Agreement.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12.12. Severability of Provisions.</w:t>
      </w:r>
    </w:p>
    <w:p>
      <w:pPr>
        <w:spacing w:after="0" w:line="121" w:lineRule="exact"/>
        <w:rPr>
          <w:sz w:val="20"/>
          <w:szCs w:val="20"/>
          <w:color w:val="auto"/>
        </w:rPr>
      </w:pPr>
    </w:p>
    <w:p>
      <w:pPr>
        <w:jc w:val="both"/>
        <w:ind w:right="140" w:firstLine="441"/>
        <w:spacing w:after="0" w:line="264" w:lineRule="auto"/>
        <w:rPr>
          <w:sz w:val="20"/>
          <w:szCs w:val="20"/>
          <w:color w:val="auto"/>
        </w:rPr>
      </w:pPr>
      <w:r>
        <w:rPr>
          <w:rFonts w:ascii="Arial" w:cs="Arial" w:eastAsia="Arial" w:hAnsi="Arial"/>
          <w:sz w:val="18"/>
          <w:szCs w:val="18"/>
          <w:color w:val="auto"/>
        </w:rPr>
        <w:t>Any provision of this Agreement which is prohibited or unenforceable in any jurisdiction shall, as to such jurisdiction, be ineffective only to the extent of such prohibition or unenforceability without invalidating the remainder of such provision or the remaining provisions or affecting the validity or enforceability of such provision in any other jurisdiction.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12.13. GOVERNING LAW.</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THIS AGREEMENT SHALL BE GOVERNED BY, AND CONSTRUED IN ACCORDANCE WITH, THE LAWS OF THE STATE OF NEW YORK APPLICABLE TO CONTRACTS EXECUTED, AND TO BE FULLY PERFORMED, IN SUCH STATE.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- 115 -</w:t>
      </w:r>
    </w:p>
    <w:p>
      <w:pPr>
        <w:sectPr>
          <w:pgSz w:w="11900" w:h="16838" w:orient="portrait"/>
          <w:cols w:equalWidth="0" w:num="1">
            <w:col w:w="11020"/>
          </w:cols>
          <w:pgMar w:left="440" w:top="274" w:right="4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12.14. Counterparts.</w:t>
      </w:r>
    </w:p>
    <w:p>
      <w:pPr>
        <w:spacing w:after="0" w:line="121" w:lineRule="exact"/>
        <w:rPr>
          <w:sz w:val="20"/>
          <w:szCs w:val="20"/>
          <w:color w:val="auto"/>
        </w:rPr>
      </w:pPr>
    </w:p>
    <w:p>
      <w:pPr>
        <w:ind w:right="40" w:firstLine="441"/>
        <w:spacing w:after="0" w:line="297" w:lineRule="auto"/>
        <w:rPr>
          <w:sz w:val="20"/>
          <w:szCs w:val="20"/>
          <w:color w:val="auto"/>
        </w:rPr>
      </w:pPr>
      <w:r>
        <w:rPr>
          <w:rFonts w:ascii="Arial" w:cs="Arial" w:eastAsia="Arial" w:hAnsi="Arial"/>
          <w:sz w:val="16"/>
          <w:szCs w:val="16"/>
          <w:color w:val="auto"/>
        </w:rPr>
        <w:t>To facilitate execution, this Agreement and any amendments, waivers, consents or supplements may be executed in any number of counterparts as may be convenient or required (which may be effectively delivered by facsimile, in portable document format (“PDF”) or other similar electronic means). It shall not be necessary that the signature of, or on behalf of, each party, or that the signature of all persons required to bind any party, appear on each counterpart. All counterparts shall collectively constitute a single document. It shall not be necessary in making proof of this document to produce or account for more than a single counterpart containing the respective signatures of, or on behalf of, each of the parties hereto.</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12.15. Obligations with Respect to Loan Parties.</w:t>
      </w:r>
    </w:p>
    <w:p>
      <w:pPr>
        <w:spacing w:after="0" w:line="121" w:lineRule="exact"/>
        <w:rPr>
          <w:sz w:val="20"/>
          <w:szCs w:val="20"/>
          <w:color w:val="auto"/>
        </w:rPr>
      </w:pPr>
    </w:p>
    <w:p>
      <w:pPr>
        <w:ind w:right="280" w:firstLine="441"/>
        <w:spacing w:after="0" w:line="277" w:lineRule="auto"/>
        <w:rPr>
          <w:sz w:val="20"/>
          <w:szCs w:val="20"/>
          <w:color w:val="auto"/>
        </w:rPr>
      </w:pPr>
      <w:r>
        <w:rPr>
          <w:rFonts w:ascii="Arial" w:cs="Arial" w:eastAsia="Arial" w:hAnsi="Arial"/>
          <w:sz w:val="18"/>
          <w:szCs w:val="18"/>
          <w:color w:val="auto"/>
        </w:rPr>
        <w:t>The obligations of the Borrower to direct or prohibit the taking of certain actions by the other Loan Parties as specified herein shall be absolute and not subject to any defense the Borrower may have that the Borrower does not control such Loan Parties.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12.16. Independence of Covenants.</w:t>
      </w:r>
    </w:p>
    <w:p>
      <w:pPr>
        <w:spacing w:after="0" w:line="121" w:lineRule="exact"/>
        <w:rPr>
          <w:sz w:val="20"/>
          <w:szCs w:val="20"/>
          <w:color w:val="auto"/>
        </w:rPr>
      </w:pPr>
    </w:p>
    <w:p>
      <w:pPr>
        <w:ind w:right="40" w:firstLine="441"/>
        <w:spacing w:after="0" w:line="264" w:lineRule="auto"/>
        <w:rPr>
          <w:sz w:val="20"/>
          <w:szCs w:val="20"/>
          <w:color w:val="auto"/>
        </w:rPr>
      </w:pPr>
      <w:r>
        <w:rPr>
          <w:rFonts w:ascii="Arial" w:cs="Arial" w:eastAsia="Arial" w:hAnsi="Arial"/>
          <w:sz w:val="18"/>
          <w:szCs w:val="18"/>
          <w:color w:val="auto"/>
        </w:rPr>
        <w:t>If a particular action or condition is expressly prohibited by any covenant (the “prohibiting covenant”), the fact that it would be permitted by an exception to, or be otherwise within the limitations of, another covenant shall not avoid the occurrence of a Default or an Event of Default if such action is taken or condition exists in violation of the prohibiting covenant.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12.17. Limitation of Liability.</w:t>
      </w:r>
    </w:p>
    <w:p>
      <w:pPr>
        <w:spacing w:after="0" w:line="121"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None of the Administrative Agent, the Issuing Bank or any Lender, or any Affiliate, officer, director, employee, attorney, or agent of the Administrative Agent, the Issuing Bank or any Lender shall have any liability with respect to, and the Borrower hereby waives, releases, and agrees not to sue any of them upon, any claim for any special, indirect, incidental, or consequential damages suffered or incurred by the Borrower in connection with, arising out of, or in any way related to, this Agreement, any of the other Loan Documents or the Fee Letter, or any of the transactions contemplated by this Agreement or any of the other Loan Documents. The Borrower shall not have any liability with respect to any claim for any special, indirect, incidental or consequential damages suffered or incurred by the Administrative Agent, the Issuing Bank or any Lender (as distinct from special, indirect, incidental or consequential damages of a third party awarded against the Administrative Agent, the Issuing Bank or any Lender for which the Borrower may be responsible to the extent covered by Section 12.10.) in connection with, arising out of, or in any way related to, this Agreement, any of the other Loan Documents or the Fee Letter, or any of the transactions contemplated by this Agreement or any of the other Loan Documents. The parties hereto hereby waive, release, and agree not to any other party hereto for punitive damages in respect of any claim in connection with, arising out of, or in any way related to, this Agreement, any of the other Loan Documents, the Fee Letter, or any of the transactions contemplated by this Agreement or financed hereby (other than punitive damages of a third party awarded against the Administrative Agent, the Issuing Bank or any Lender for which the Borrower may be responsible to the extent covered by Section 12.10.).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12.18. Entire Agreement.</w:t>
      </w:r>
    </w:p>
    <w:p>
      <w:pPr>
        <w:spacing w:after="0" w:line="121" w:lineRule="exact"/>
        <w:rPr>
          <w:sz w:val="20"/>
          <w:szCs w:val="20"/>
          <w:color w:val="auto"/>
        </w:rPr>
      </w:pPr>
    </w:p>
    <w:p>
      <w:pPr>
        <w:ind w:right="80" w:firstLine="441"/>
        <w:spacing w:after="0" w:line="259" w:lineRule="auto"/>
        <w:rPr>
          <w:sz w:val="20"/>
          <w:szCs w:val="20"/>
          <w:color w:val="auto"/>
        </w:rPr>
      </w:pPr>
      <w:r>
        <w:rPr>
          <w:rFonts w:ascii="Arial" w:cs="Arial" w:eastAsia="Arial" w:hAnsi="Arial"/>
          <w:sz w:val="18"/>
          <w:szCs w:val="18"/>
          <w:color w:val="auto"/>
        </w:rPr>
        <w:t>This Agreement, the Notes, the other Loan Documents and the Fee Letter embody the final, entire agreement among the parties hereto and supersede any and all prior commitments, agreements, representations, and understandings, whether written or oral, relating to the subject matter hereof and thereof and may not be contradicted or varied by evidence of prior, contemporaneous, or subsequent oral agreements or discussions of the parties hereto. There are no oral agreements among the parties hereto.</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12.19. Construction.</w:t>
      </w:r>
    </w:p>
    <w:p>
      <w:pPr>
        <w:spacing w:after="0" w:line="121" w:lineRule="exact"/>
        <w:rPr>
          <w:sz w:val="20"/>
          <w:szCs w:val="20"/>
          <w:color w:val="auto"/>
        </w:rPr>
      </w:pPr>
    </w:p>
    <w:p>
      <w:pPr>
        <w:ind w:right="40" w:firstLine="441"/>
        <w:spacing w:after="0" w:line="259" w:lineRule="auto"/>
        <w:rPr>
          <w:sz w:val="20"/>
          <w:szCs w:val="20"/>
          <w:color w:val="auto"/>
        </w:rPr>
      </w:pPr>
      <w:r>
        <w:rPr>
          <w:rFonts w:ascii="Arial" w:cs="Arial" w:eastAsia="Arial" w:hAnsi="Arial"/>
          <w:sz w:val="18"/>
          <w:szCs w:val="18"/>
          <w:color w:val="auto"/>
        </w:rPr>
        <w:t>The Administrative Agent, the Issuing Bank, the Borrower and each Lender acknowledge that each of them has had the benefit of legal counsel of its own choice and has been afforded an opportunity to review this Agreement and the other Loan Documents with its legal counsel and that this Agreement and the other Loan Documents shall be construed as if jointly drafted by the Administrative Agent, the Issuing Bank, the Borrower and each Lender.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- 116 -</w:t>
      </w:r>
    </w:p>
    <w:p>
      <w:pPr>
        <w:sectPr>
          <w:pgSz w:w="11900" w:h="16838" w:orient="portrait"/>
          <w:cols w:equalWidth="0" w:num="1">
            <w:col w:w="11020"/>
          </w:cols>
          <w:pgMar w:left="440" w:top="270" w:right="4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12.20. Headings.</w:t>
      </w:r>
    </w:p>
    <w:p>
      <w:pPr>
        <w:spacing w:after="0" w:line="121" w:lineRule="exact"/>
        <w:rPr>
          <w:sz w:val="20"/>
          <w:szCs w:val="20"/>
          <w:color w:val="auto"/>
        </w:rPr>
      </w:pPr>
    </w:p>
    <w:p>
      <w:pPr>
        <w:ind w:right="420" w:firstLine="441"/>
        <w:spacing w:after="0" w:line="277" w:lineRule="auto"/>
        <w:rPr>
          <w:sz w:val="20"/>
          <w:szCs w:val="20"/>
          <w:color w:val="auto"/>
        </w:rPr>
      </w:pPr>
      <w:r>
        <w:rPr>
          <w:rFonts w:ascii="Arial" w:cs="Arial" w:eastAsia="Arial" w:hAnsi="Arial"/>
          <w:sz w:val="18"/>
          <w:szCs w:val="18"/>
          <w:color w:val="auto"/>
        </w:rPr>
        <w:t>The paragraph and section headings in this Agreement are provided for convenience of reference only and shall not affect its construction or interpretation.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12.21. Limitation of Liability of Trustees, Etc.</w:t>
      </w:r>
    </w:p>
    <w:p>
      <w:pPr>
        <w:spacing w:after="0" w:line="121"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NOTWITHSTANDING ANY OTHER PROVISION OF THIS AGREEMENT AND THE OTHER LOAN DOCUMENTS, THE AGENT AND THE LENDERS SHALL LOOK SOLELY TO THE BORROWER AND THE OTHER LOAN PARTIES FOR THE ENFORCEMENT OF ANY CLAIM AGAINST THE BORROWER AND SUCH LOAN PARTY UNDER OR IN RESPECT OF ANY OF THE LOAN DOCUMENTS AND ACCORDINGLY NEITHER THE TRUSTEES, OFFICERS, EMPLOYEES, NOR SHAREHOLDERS OF THE BORROWER SHALL HAVE ANY PERSONAL LIABILITY FOR OBLIGATIONS ENTERED INTO BY OR ON BEHALF OF THE BORROWER OR ANY OTHER LOAN PARTY.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12.22. Acknowledgement and Consent to Bail-In of EEA Financial Institutions.</w:t>
      </w:r>
    </w:p>
    <w:p>
      <w:pPr>
        <w:spacing w:after="0" w:line="121" w:lineRule="exact"/>
        <w:rPr>
          <w:sz w:val="20"/>
          <w:szCs w:val="20"/>
          <w:color w:val="auto"/>
        </w:rPr>
      </w:pPr>
    </w:p>
    <w:p>
      <w:pPr>
        <w:ind w:firstLine="441"/>
        <w:spacing w:after="0" w:line="259"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79" w:lineRule="exact"/>
        <w:rPr>
          <w:sz w:val="20"/>
          <w:szCs w:val="20"/>
          <w:color w:val="auto"/>
        </w:rPr>
      </w:pPr>
    </w:p>
    <w:p>
      <w:pPr>
        <w:ind w:right="260" w:firstLine="444"/>
        <w:spacing w:after="0" w:line="277" w:lineRule="auto"/>
        <w:tabs>
          <w:tab w:leader="none" w:pos="68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an EEA Resolution Authority to any such liabilities arising hereunder which may be payable to it by any party hereto that is an EEA Financial Institution; and</w:t>
      </w:r>
    </w:p>
    <w:p>
      <w:pPr>
        <w:spacing w:after="0" w:line="62" w:lineRule="exact"/>
        <w:rPr>
          <w:rFonts w:ascii="Arial" w:cs="Arial" w:eastAsia="Arial" w:hAnsi="Arial"/>
          <w:sz w:val="18"/>
          <w:szCs w:val="18"/>
          <w:color w:val="auto"/>
        </w:rPr>
      </w:pPr>
    </w:p>
    <w:p>
      <w:pPr>
        <w:ind w:left="700" w:hanging="256"/>
        <w:spacing w:after="0"/>
        <w:tabs>
          <w:tab w:leader="none" w:pos="7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158"/>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340" w:firstLine="428"/>
        <w:spacing w:after="0" w:line="312" w:lineRule="auto"/>
        <w:tabs>
          <w:tab w:leader="none" w:pos="1128" w:val="left"/>
        </w:tabs>
        <w:numPr>
          <w:ilvl w:val="1"/>
          <w:numId w:val="158"/>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EEA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38" w:lineRule="exact"/>
        <w:rPr>
          <w:rFonts w:ascii="Arial" w:cs="Arial" w:eastAsia="Arial" w:hAnsi="Arial"/>
          <w:sz w:val="16"/>
          <w:szCs w:val="16"/>
          <w:color w:val="auto"/>
        </w:rPr>
      </w:pPr>
    </w:p>
    <w:p>
      <w:pPr>
        <w:ind w:left="440" w:right="480" w:firstLine="428"/>
        <w:spacing w:after="0" w:line="277" w:lineRule="auto"/>
        <w:tabs>
          <w:tab w:leader="none" w:pos="1178" w:val="left"/>
        </w:tabs>
        <w:numPr>
          <w:ilvl w:val="1"/>
          <w:numId w:val="158"/>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any EEA Resolution Authority.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12.23. Effect of Amendment and Restatement.</w:t>
      </w:r>
    </w:p>
    <w:p>
      <w:pPr>
        <w:spacing w:after="0" w:line="121" w:lineRule="exact"/>
        <w:rPr>
          <w:sz w:val="20"/>
          <w:szCs w:val="20"/>
          <w:color w:val="auto"/>
        </w:rPr>
      </w:pPr>
    </w:p>
    <w:p>
      <w:pPr>
        <w:ind w:right="40" w:firstLine="444"/>
        <w:spacing w:after="0" w:line="312" w:lineRule="auto"/>
        <w:tabs>
          <w:tab w:leader="none" w:pos="68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Upon satisfaction of the conditions precedent set forth in Sections 6.1. and 6.2. of this Agreement, this Agreement and the other Loan Documents shall exclusively control and govern the mutual rights and obligations of the parties hereto with respect to the Existing Credit Agreement, and the Existing Credit Agreement shall be superseded in all respects, in each case, on a prospective basis.</w:t>
      </w:r>
    </w:p>
    <w:p>
      <w:pPr>
        <w:spacing w:after="0" w:line="79" w:lineRule="exact"/>
        <w:rPr>
          <w:rFonts w:ascii="Arial" w:cs="Arial" w:eastAsia="Arial" w:hAnsi="Arial"/>
          <w:sz w:val="16"/>
          <w:szCs w:val="16"/>
          <w:color w:val="auto"/>
        </w:rPr>
      </w:pPr>
    </w:p>
    <w:p>
      <w:pPr>
        <w:ind w:left="5380" w:hanging="103"/>
        <w:spacing w:after="0"/>
        <w:tabs>
          <w:tab w:leader="none" w:pos="538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117 -</w:t>
      </w:r>
    </w:p>
    <w:p>
      <w:pPr>
        <w:sectPr>
          <w:pgSz w:w="11900" w:h="16838" w:orient="portrait"/>
          <w:cols w:equalWidth="0" w:num="1">
            <w:col w:w="10980"/>
          </w:cols>
          <w:pgMar w:left="440" w:top="270" w:right="479" w:bottom="1440" w:gutter="0" w:footer="0" w:header="0"/>
        </w:sectPr>
      </w:pPr>
    </w:p>
    <w:bookmarkStart w:id="126" w:name="page127"/>
    <w:bookmarkEnd w:id="126"/>
    <w:p>
      <w:pPr>
        <w:ind w:right="100" w:firstLine="444"/>
        <w:spacing w:after="0" w:line="255" w:lineRule="auto"/>
        <w:tabs>
          <w:tab w:leader="none" w:pos="695" w:val="left"/>
        </w:tabs>
        <w:numPr>
          <w:ilvl w:val="0"/>
          <w:numId w:val="16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 NOVATION</w:t>
      </w:r>
      <w:r>
        <w:rPr>
          <w:rFonts w:ascii="Arial" w:cs="Arial" w:eastAsia="Arial" w:hAnsi="Arial"/>
          <w:sz w:val="18"/>
          <w:szCs w:val="18"/>
          <w:color w:val="auto"/>
        </w:rPr>
        <w:t>. THE PARTIES HERETO HAVE ENTERED INTO THIS AGREEMENT SOLELY TO AMEND AND RESTATE THE TERMS OF THE EXISTING CREDIT AGREEMENT. THE PARTIES DO NOT INTEND THIS AGREEMENT NOR THE TRANSACTIONS CONTEMPLATED HEREBY TO BE, AND THIS AGREEMENT AND THE TRANSACTIONS CONTEMPLATED HEREBY SHALL NOT BE CONSTRUED TO BE, A NOVATION OF ANY OF THE OBLIGATIONS OWING BY THE BORROWER OR ANY OTHER LOAN PARTY UNDER OR IN CONNECTION WITH THE EXISTING CREDIT AGREEMENT OR ANY OF THE OTHER LOAN DOCUMENTS (AS DEFINED IN THE EXISTING CREDIT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12.24. Acknowledgement Regarding Any Supported QFCs.</w:t>
      </w:r>
    </w:p>
    <w:p>
      <w:pPr>
        <w:spacing w:after="0" w:line="121"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To the extent that the Loan Documents provide support, through a guarantee or otherwise, for a Derivatives Contract or any other agreement or instrument that is a QFC (such support, “</w:t>
      </w:r>
      <w:r>
        <w:rPr>
          <w:rFonts w:ascii="Arial" w:cs="Arial" w:eastAsia="Arial" w:hAnsi="Arial"/>
          <w:sz w:val="18"/>
          <w:szCs w:val="18"/>
          <w:b w:val="1"/>
          <w:bCs w:val="1"/>
          <w:color w:val="auto"/>
        </w:rPr>
        <w:t>QFC Credit Support</w:t>
      </w:r>
      <w:r>
        <w:rPr>
          <w:rFonts w:ascii="Arial" w:cs="Arial" w:eastAsia="Arial" w:hAnsi="Arial"/>
          <w:sz w:val="18"/>
          <w:szCs w:val="18"/>
          <w:color w:val="auto"/>
        </w:rPr>
        <w:t>” and each such QFC a “</w:t>
      </w:r>
      <w:r>
        <w:rPr>
          <w:rFonts w:ascii="Arial" w:cs="Arial" w:eastAsia="Arial" w:hAnsi="Arial"/>
          <w:sz w:val="18"/>
          <w:szCs w:val="18"/>
          <w:b w:val="1"/>
          <w:bCs w:val="1"/>
          <w:color w:val="auto"/>
        </w:rPr>
        <w:t>Supported QFC</w:t>
      </w:r>
      <w:r>
        <w:rPr>
          <w:rFonts w:ascii="Arial" w:cs="Arial" w:eastAsia="Arial" w:hAnsi="Arial"/>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b w:val="1"/>
          <w:bCs w:val="1"/>
          <w:color w:val="auto"/>
        </w:rPr>
        <w:t>U.S. Special 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Regimes</w:t>
      </w:r>
      <w:r>
        <w:rPr>
          <w:rFonts w:ascii="Arial" w:cs="Arial" w:eastAsia="Arial" w:hAnsi="Arial"/>
          <w:sz w:val="18"/>
          <w:szCs w:val="18"/>
          <w:color w:val="auto"/>
        </w:rPr>
        <w:t>”) in respect of such Supported QFC and QFC Credit Support (with the provisions below applicable notwithstanding that the Loan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Supported QFC may in fact be stated to be governed by the laws of the State of New York and/or of the United States or any other state of the United States):</w:t>
      </w:r>
    </w:p>
    <w:p>
      <w:pPr>
        <w:spacing w:after="0" w:line="185"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In the event a Covered Entity that is party to a Supported QFC (each, a “</w:t>
      </w:r>
      <w:r>
        <w:rPr>
          <w:rFonts w:ascii="Arial" w:cs="Arial" w:eastAsia="Arial" w:hAnsi="Arial"/>
          <w:sz w:val="16"/>
          <w:szCs w:val="16"/>
          <w:b w:val="1"/>
          <w:bCs w:val="1"/>
          <w:color w:val="auto"/>
        </w:rPr>
        <w:t>Covered Party</w:t>
      </w:r>
      <w:r>
        <w:rPr>
          <w:rFonts w:ascii="Arial" w:cs="Arial" w:eastAsia="Arial" w:hAnsi="Arial"/>
          <w:sz w:val="16"/>
          <w:szCs w:val="16"/>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 on Following Pages]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- 118 -</w:t>
      </w:r>
    </w:p>
    <w:p>
      <w:pPr>
        <w:sectPr>
          <w:pgSz w:w="11900" w:h="16838" w:orient="portrait"/>
          <w:cols w:equalWidth="0" w:num="1">
            <w:col w:w="11000"/>
          </w:cols>
          <w:pgMar w:left="440" w:top="274" w:right="459" w:bottom="1440" w:gutter="0" w:footer="0" w:header="0"/>
        </w:sectPr>
      </w:pPr>
    </w:p>
    <w:bookmarkStart w:id="127" w:name="page128"/>
    <w:bookmarkEnd w:id="127"/>
    <w:p>
      <w:pPr>
        <w:ind w:firstLine="44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Credit Agreement to be executed by their authorized officers all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FEDERAL REALTY INVESTMENT TRUST</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Daniel Guglielmone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14605</wp:posOffset>
            </wp:positionV>
            <wp:extent cx="24269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Daniel Guglielmone</w:t>
      </w:r>
    </w:p>
    <w:p>
      <w:pPr>
        <w:spacing w:after="0" w:line="23" w:lineRule="exact"/>
        <w:rPr>
          <w:sz w:val="20"/>
          <w:szCs w:val="20"/>
          <w:color w:val="auto"/>
        </w:rPr>
      </w:pPr>
    </w:p>
    <w:p>
      <w:pPr>
        <w:jc w:val="both"/>
        <w:ind w:left="6620"/>
        <w:spacing w:after="0"/>
        <w:tabs>
          <w:tab w:leader="none" w:pos="7180" w:val="left"/>
        </w:tabs>
        <w:rPr>
          <w:sz w:val="20"/>
          <w:szCs w:val="20"/>
          <w:color w:val="auto"/>
        </w:rPr>
      </w:pPr>
      <w:r>
        <w:rPr>
          <w:rFonts w:ascii="Arial" w:cs="Arial" w:eastAsia="Arial" w:hAnsi="Arial"/>
          <w:sz w:val="18"/>
          <w:szCs w:val="18"/>
          <w:color w:val="auto"/>
        </w:rPr>
        <w:t>Title:</w:t>
        <w:tab/>
        <w:t>Executive Vice President-Chief</w:t>
      </w:r>
    </w:p>
    <w:p>
      <w:pPr>
        <w:spacing w:after="0" w:line="9" w:lineRule="exact"/>
        <w:rPr>
          <w:sz w:val="20"/>
          <w:szCs w:val="20"/>
          <w:color w:val="auto"/>
        </w:rPr>
      </w:pPr>
    </w:p>
    <w:p>
      <w:pPr>
        <w:jc w:val="right"/>
        <w:ind w:right="1360"/>
        <w:spacing w:after="0"/>
        <w:rPr>
          <w:sz w:val="20"/>
          <w:szCs w:val="20"/>
          <w:color w:val="auto"/>
        </w:rPr>
      </w:pPr>
      <w:r>
        <w:rPr>
          <w:rFonts w:ascii="Arial" w:cs="Arial" w:eastAsia="Arial" w:hAnsi="Arial"/>
          <w:sz w:val="18"/>
          <w:szCs w:val="18"/>
          <w:color w:val="auto"/>
        </w:rPr>
        <w:t>Financial Officer and Treasurer</w:t>
      </w:r>
    </w:p>
    <w:p>
      <w:pPr>
        <w:spacing w:after="0" w:line="2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10820"/>
          </w:cols>
          <w:pgMar w:left="440" w:top="274" w:right="639" w:bottom="1440" w:gutter="0" w:footer="0" w:header="0"/>
        </w:sectPr>
      </w:pPr>
    </w:p>
    <w:bookmarkStart w:id="128" w:name="page129"/>
    <w:bookmarkEnd w:id="128"/>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7"/>
          <w:szCs w:val="17"/>
          <w:b w:val="1"/>
          <w:bCs w:val="1"/>
          <w:color w:val="auto"/>
        </w:rPr>
        <w:t>WELLS FARGO BANK, NATIONAL ASSOCIATION</w:t>
      </w:r>
      <w:r>
        <w:rPr>
          <w:rFonts w:ascii="Arial" w:cs="Arial" w:eastAsia="Arial" w:hAnsi="Arial"/>
          <w:sz w:val="17"/>
          <w:szCs w:val="17"/>
          <w:color w:val="auto"/>
        </w:rPr>
        <w:t>,</w:t>
      </w:r>
    </w:p>
    <w:p>
      <w:pPr>
        <w:spacing w:after="0" w:line="3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as Administrative Agent, Issuing Bank and as a Lender</w:t>
      </w:r>
    </w:p>
    <w:p>
      <w:pPr>
        <w:spacing w:after="0" w:line="22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Brandon H.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Brandon H. Barry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900"/>
          </w:cols>
          <w:pgMar w:left="1440" w:top="270" w:right="559" w:bottom="1440" w:gutter="0" w:footer="0" w:header="0"/>
        </w:sectPr>
      </w:pPr>
    </w:p>
    <w:bookmarkStart w:id="129" w:name="page130"/>
    <w:bookmarkEnd w:id="129"/>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PNC BANK, NATIONAL ASSOCIATION, as an Issuing</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Bank and as a 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Katie Chowdhy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Katie Chowdhy</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780"/>
          </w:cols>
          <w:pgMar w:left="1440" w:top="270" w:right="679" w:bottom="1440" w:gutter="0" w:footer="0" w:header="0"/>
        </w:sectPr>
      </w:pPr>
    </w:p>
    <w:bookmarkStart w:id="130" w:name="page131"/>
    <w:bookmarkEnd w:id="130"/>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REGIONS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 Barrett Vawter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 Barrett Vawter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31" w:name="page132"/>
    <w:bookmarkEnd w:id="131"/>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SUNTRUST BANK,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Ryan Almond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Ryan Almond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32" w:name="page133"/>
    <w:bookmarkEnd w:id="132"/>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U.S. BANK NATIONAL ASSOCIATION,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Timothy J. Tillman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Timothy J. Tillman</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600"/>
          </w:cols>
          <w:pgMar w:left="1440" w:top="270" w:right="859" w:bottom="1440" w:gutter="0" w:footer="0" w:header="0"/>
        </w:sectPr>
      </w:pPr>
    </w:p>
    <w:bookmarkStart w:id="133" w:name="page134"/>
    <w:bookmarkEnd w:id="133"/>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TD BANK, as a Lender</w:t>
      </w:r>
    </w:p>
    <w:p>
      <w:pPr>
        <w:spacing w:after="0" w:line="225" w:lineRule="exact"/>
        <w:rPr>
          <w:sz w:val="20"/>
          <w:szCs w:val="20"/>
          <w:color w:val="auto"/>
        </w:rPr>
      </w:pPr>
    </w:p>
    <w:p>
      <w:pPr>
        <w:jc w:val="right"/>
        <w:ind w:right="1439"/>
        <w:spacing w:after="0"/>
        <w:rPr>
          <w:sz w:val="20"/>
          <w:szCs w:val="20"/>
          <w:color w:val="auto"/>
        </w:rPr>
      </w:pPr>
      <w:r>
        <w:rPr>
          <w:rFonts w:ascii="Arial" w:cs="Arial" w:eastAsia="Arial" w:hAnsi="Arial"/>
          <w:sz w:val="18"/>
          <w:szCs w:val="18"/>
          <w:color w:val="auto"/>
        </w:rPr>
        <w:t>By: /s/ William M. Brondt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William M. Brondt</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34" w:name="page135"/>
    <w:bookmarkEnd w:id="134"/>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BANK OF AMERICA, N.A.,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Cheryl Sneor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Cheryl Senor</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35" w:name="page136"/>
    <w:bookmarkEnd w:id="135"/>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jc w:val="right"/>
        <w:ind w:right="1179"/>
        <w:spacing w:after="0"/>
        <w:rPr>
          <w:sz w:val="20"/>
          <w:szCs w:val="20"/>
          <w:color w:val="auto"/>
        </w:rPr>
      </w:pPr>
      <w:r>
        <w:rPr>
          <w:rFonts w:ascii="Arial" w:cs="Arial" w:eastAsia="Arial" w:hAnsi="Arial"/>
          <w:sz w:val="18"/>
          <w:szCs w:val="18"/>
          <w:color w:val="auto"/>
        </w:rPr>
        <w:t>CITIBANK, N.A., as a Lender</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By: /s/ Christopher J. Albano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22225</wp:posOffset>
            </wp:positionV>
            <wp:extent cx="256413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Name: Christopher J. Albano</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019"/>
          </w:cols>
          <w:pgMar w:left="1440" w:top="270" w:right="1440" w:bottom="1440" w:gutter="0" w:footer="0" w:header="0"/>
        </w:sectPr>
      </w:pPr>
    </w:p>
    <w:bookmarkStart w:id="136" w:name="page137"/>
    <w:bookmarkEnd w:id="136"/>
    <w:p>
      <w:pPr>
        <w:ind w:left="16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 Page to Credit Agreement with Federal Realty Investment Trust]</w:t>
      </w:r>
    </w:p>
    <w:p>
      <w:pPr>
        <w:spacing w:after="0" w:line="256"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DEUTSCHE BANK AG NEW YORK BRANCH, as a</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Virginia Cosenza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Virginia Cosenza</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Ming K. 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Ming K. Chu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316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600"/>
          </w:cols>
          <w:pgMar w:left="1440" w:top="270" w:right="859" w:bottom="1440" w:gutter="0" w:footer="0" w:header="0"/>
        </w:sectPr>
      </w:pPr>
    </w:p>
    <w:bookmarkStart w:id="137" w:name="page138"/>
    <w:bookmarkEnd w:id="137"/>
    <w:p>
      <w:pPr>
        <w:jc w:val="center"/>
        <w:ind w:right="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JPMORGAN CHASE BANK, N.A., as a Lender</w:t>
      </w:r>
    </w:p>
    <w:p>
      <w:pPr>
        <w:spacing w:after="0" w:line="24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Mindy R. Ginsburg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Mindy R. Ginsburg</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[Signatures Continued on Next Page]</w:t>
      </w:r>
    </w:p>
    <w:p>
      <w:pPr>
        <w:sectPr>
          <w:pgSz w:w="11900" w:h="16838" w:orient="portrait"/>
          <w:cols w:equalWidth="0" w:num="1">
            <w:col w:w="9140"/>
          </w:cols>
          <w:pgMar w:left="1440" w:top="270" w:right="131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 Page to Credit Agreement with Federal Realty Investment Trust]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THE BANK OF NOVA SCOTIA, as a Lender</w:t>
      </w:r>
    </w:p>
    <w:p>
      <w:pPr>
        <w:spacing w:after="0" w:line="23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Michael Grad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5641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 Michael Grad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[Signatures Continued on Next Page]</w:t>
      </w:r>
    </w:p>
    <w:sectPr>
      <w:pgSz w:w="11900" w:h="16838" w:orient="portrait"/>
      <w:cols w:equalWidth="0" w:num="1">
        <w:col w:w="9019"/>
      </w:cols>
      <w:pgMar w:left="14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962813B"/>
    <w:multiLevelType w:val="hybridMultilevel"/>
    <w:lvl w:ilvl="0">
      <w:lvlJc w:val="left"/>
      <w:lvlText w:val="☐"/>
      <w:numFmt w:val="bullet"/>
      <w:start w:val="1"/>
    </w:lvl>
  </w:abstractNum>
  <w:abstractNum w:abstractNumId="1">
    <w:nsid w:val="60B6DF70"/>
    <w:multiLevelType w:val="hybridMultilevel"/>
    <w:lvl w:ilvl="0">
      <w:lvlJc w:val="left"/>
      <w:lvlText w:val="(%1)"/>
      <w:numFmt w:val="decimal"/>
      <w:start w:val="1"/>
    </w:lvl>
    <w:lvl w:ilvl="1">
      <w:lvlJc w:val="left"/>
      <w:lvlText w:val="-"/>
      <w:numFmt w:val="bullet"/>
      <w:start w:val="1"/>
    </w:lvl>
  </w:abstractNum>
  <w:abstractNum w:abstractNumId="2">
    <w:nsid w:val="6A5EE64"/>
    <w:multiLevelType w:val="hybridMultilevel"/>
    <w:lvl w:ilvl="0">
      <w:lvlJc w:val="left"/>
      <w:lvlText w:val="(%1)"/>
      <w:numFmt w:val="decimal"/>
      <w:start w:val="2"/>
    </w:lvl>
  </w:abstractNum>
  <w:abstractNum w:abstractNumId="3">
    <w:nsid w:val="14330624"/>
    <w:multiLevelType w:val="hybridMultilevel"/>
    <w:lvl w:ilvl="0">
      <w:lvlJc w:val="left"/>
      <w:lvlText w:val="(%1)"/>
      <w:numFmt w:val="decimal"/>
      <w:start w:val="1"/>
    </w:lvl>
  </w:abstractNum>
  <w:abstractNum w:abstractNumId="4">
    <w:nsid w:val="7FFFCA11"/>
    <w:multiLevelType w:val="hybridMultilevel"/>
    <w:lvl w:ilvl="0">
      <w:lvlJc w:val="left"/>
      <w:lvlText w:val="(%1)"/>
      <w:numFmt w:val="lowerLetter"/>
      <w:start w:val="1"/>
    </w:lvl>
    <w:lvl w:ilvl="1">
      <w:lvlJc w:val="left"/>
      <w:lvlText w:val="-"/>
      <w:numFmt w:val="bullet"/>
      <w:start w:val="1"/>
    </w:lvl>
  </w:abstractNum>
  <w:abstractNum w:abstractNumId="5">
    <w:nsid w:val="1A27709E"/>
    <w:multiLevelType w:val="hybridMultilevel"/>
    <w:lvl w:ilvl="0">
      <w:lvlJc w:val="left"/>
      <w:lvlText w:val="(%1)"/>
      <w:numFmt w:val="lowerLetter"/>
      <w:start w:val="1"/>
    </w:lvl>
  </w:abstractNum>
  <w:abstractNum w:abstractNumId="6">
    <w:nsid w:val="71EA1109"/>
    <w:multiLevelType w:val="hybridMultilevel"/>
    <w:lvl w:ilvl="0">
      <w:lvlJc w:val="left"/>
      <w:lvlText w:val="(%1)"/>
      <w:numFmt w:val="decimal"/>
      <w:start w:val="1"/>
    </w:lvl>
  </w:abstractNum>
  <w:abstractNum w:abstractNumId="7">
    <w:nsid w:val="100F59DC"/>
    <w:multiLevelType w:val="hybridMultilevel"/>
    <w:lvl w:ilvl="0">
      <w:lvlJc w:val="left"/>
      <w:lvlText w:val="(%1)"/>
      <w:numFmt w:val="lowerLetter"/>
      <w:start w:val="3"/>
    </w:lvl>
  </w:abstractNum>
  <w:abstractNum w:abstractNumId="8">
    <w:nsid w:val="7FB7E0AA"/>
    <w:multiLevelType w:val="hybridMultilevel"/>
    <w:lvl w:ilvl="0">
      <w:lvlJc w:val="left"/>
      <w:lvlText w:val="(%1)"/>
      <w:numFmt w:val="lowerLetter"/>
      <w:start w:val="35"/>
    </w:lvl>
  </w:abstractNum>
  <w:abstractNum w:abstractNumId="9">
    <w:nsid w:val="6EB5BD4"/>
    <w:multiLevelType w:val="hybridMultilevel"/>
    <w:lvl w:ilvl="0">
      <w:lvlJc w:val="left"/>
      <w:lvlText w:val="(%1)"/>
      <w:numFmt w:val="lowerLetter"/>
      <w:start w:val="2"/>
    </w:lvl>
  </w:abstractNum>
  <w:abstractNum w:abstractNumId="10">
    <w:nsid w:val="6F6DD9AC"/>
    <w:multiLevelType w:val="hybridMultilevel"/>
    <w:lvl w:ilvl="0">
      <w:lvlJc w:val="left"/>
      <w:lvlText w:val="(%1)"/>
      <w:numFmt w:val="lowerLetter"/>
      <w:start w:val="2"/>
    </w:lvl>
  </w:abstractNum>
  <w:abstractNum w:abstractNumId="11">
    <w:nsid w:val="94211F2"/>
    <w:multiLevelType w:val="hybridMultilevel"/>
    <w:lvl w:ilvl="0">
      <w:lvlJc w:val="left"/>
      <w:lvlText w:val="(%1)"/>
      <w:numFmt w:val="lowerRoman"/>
      <w:start w:val="1"/>
    </w:lvl>
  </w:abstractNum>
  <w:abstractNum w:abstractNumId="12">
    <w:nsid w:val="885E1B"/>
    <w:multiLevelType w:val="hybridMultilevel"/>
    <w:lvl w:ilvl="0">
      <w:lvlJc w:val="left"/>
      <w:lvlText w:val="(%1)"/>
      <w:numFmt w:val="lowerLetter"/>
      <w:start w:val="1"/>
    </w:lvl>
  </w:abstractNum>
  <w:abstractNum w:abstractNumId="13">
    <w:nsid w:val="76272110"/>
    <w:multiLevelType w:val="hybridMultilevel"/>
    <w:lvl w:ilvl="0">
      <w:lvlJc w:val="left"/>
      <w:lvlText w:val="(%1)"/>
      <w:numFmt w:val="lowerLetter"/>
      <w:start w:val="1"/>
    </w:lvl>
  </w:abstractNum>
  <w:abstractNum w:abstractNumId="14">
    <w:nsid w:val="4C04A8AF"/>
    <w:multiLevelType w:val="hybridMultilevel"/>
    <w:lvl w:ilvl="0">
      <w:lvlJc w:val="left"/>
      <w:lvlText w:val="(%1)"/>
      <w:numFmt w:val="lowerLetter"/>
      <w:start w:val="2"/>
    </w:lvl>
  </w:abstractNum>
  <w:abstractNum w:abstractNumId="15">
    <w:nsid w:val="1716703B"/>
    <w:multiLevelType w:val="hybridMultilevel"/>
    <w:lvl w:ilvl="0">
      <w:lvlJc w:val="left"/>
      <w:lvlText w:val="(%1)"/>
      <w:numFmt w:val="lowerLetter"/>
      <w:start w:val="5"/>
    </w:lvl>
  </w:abstractNum>
  <w:abstractNum w:abstractNumId="16">
    <w:nsid w:val="14E17E33"/>
    <w:multiLevelType w:val="hybridMultilevel"/>
    <w:lvl w:ilvl="0">
      <w:lvlJc w:val="left"/>
      <w:lvlText w:val="(%1)"/>
      <w:numFmt w:val="lowerLetter"/>
      <w:start w:val="2"/>
    </w:lvl>
    <w:lvl w:ilvl="1">
      <w:lvlJc w:val="left"/>
      <w:lvlText w:val="-"/>
      <w:numFmt w:val="bullet"/>
      <w:start w:val="1"/>
    </w:lvl>
  </w:abstractNum>
  <w:abstractNum w:abstractNumId="17">
    <w:nsid w:val="3222E7CD"/>
    <w:multiLevelType w:val="hybridMultilevel"/>
    <w:lvl w:ilvl="0">
      <w:lvlJc w:val="left"/>
      <w:lvlText w:val="(%1)"/>
      <w:numFmt w:val="lowerLetter"/>
      <w:start w:val="2"/>
    </w:lvl>
  </w:abstractNum>
  <w:abstractNum w:abstractNumId="18">
    <w:nsid w:val="74DE0EE3"/>
    <w:multiLevelType w:val="hybridMultilevel"/>
    <w:lvl w:ilvl="0">
      <w:lvlJc w:val="left"/>
      <w:lvlText w:val="(%1)"/>
      <w:numFmt w:val="lowerLetter"/>
      <w:start w:val="4"/>
    </w:lvl>
  </w:abstractNum>
  <w:abstractNum w:abstractNumId="19">
    <w:nsid w:val="68EBC550"/>
    <w:multiLevelType w:val="hybridMultilevel"/>
    <w:lvl w:ilvl="0">
      <w:lvlJc w:val="left"/>
      <w:lvlText w:val="(%1)"/>
      <w:numFmt w:val="lowerLetter"/>
      <w:start w:val="2"/>
    </w:lvl>
  </w:abstractNum>
  <w:abstractNum w:abstractNumId="20">
    <w:nsid w:val="2DF6D648"/>
    <w:multiLevelType w:val="hybridMultilevel"/>
    <w:lvl w:ilvl="0">
      <w:lvlJc w:val="left"/>
      <w:lvlText w:val="(%1)"/>
      <w:numFmt w:val="lowerLetter"/>
      <w:start w:val="1"/>
    </w:lvl>
    <w:lvl w:ilvl="1">
      <w:lvlJc w:val="left"/>
      <w:lvlText w:val="-"/>
      <w:numFmt w:val="bullet"/>
      <w:start w:val="1"/>
    </w:lvl>
  </w:abstractNum>
  <w:abstractNum w:abstractNumId="21">
    <w:nsid w:val="46B7D447"/>
    <w:multiLevelType w:val="hybridMultilevel"/>
    <w:lvl w:ilvl="0">
      <w:lvlJc w:val="left"/>
      <w:lvlText w:val="(%1)"/>
      <w:numFmt w:val="lowerLetter"/>
      <w:start w:val="2"/>
    </w:lvl>
    <w:lvl w:ilvl="1">
      <w:lvlJc w:val="left"/>
      <w:lvlText w:val="-"/>
      <w:numFmt w:val="bullet"/>
      <w:start w:val="1"/>
    </w:lvl>
  </w:abstractNum>
  <w:abstractNum w:abstractNumId="22">
    <w:nsid w:val="4A2AC315"/>
    <w:multiLevelType w:val="hybridMultilevel"/>
    <w:lvl w:ilvl="0">
      <w:lvlJc w:val="left"/>
      <w:lvlText w:val="(%1)"/>
      <w:numFmt w:val="lowerLetter"/>
      <w:start w:val="5"/>
    </w:lvl>
  </w:abstractNum>
  <w:abstractNum w:abstractNumId="23">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4">
    <w:nsid w:val="57FC4FB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25">
    <w:nsid w:val="CC1016F"/>
    <w:multiLevelType w:val="hybridMultilevel"/>
    <w:lvl w:ilvl="0">
      <w:lvlJc w:val="left"/>
      <w:lvlText w:val="(%1)"/>
      <w:numFmt w:val="lowerRoman"/>
      <w:start w:val="2"/>
    </w:lvl>
  </w:abstractNum>
  <w:abstractNum w:abstractNumId="26">
    <w:nsid w:val="43F18422"/>
    <w:multiLevelType w:val="hybridMultilevel"/>
    <w:lvl w:ilvl="0">
      <w:lvlJc w:val="left"/>
      <w:lvlText w:val="(%1)"/>
      <w:numFmt w:val="lowerLetter"/>
      <w:start w:val="3"/>
    </w:lvl>
    <w:lvl w:ilvl="1">
      <w:lvlJc w:val="left"/>
      <w:lvlText w:val="(%2)"/>
      <w:numFmt w:val="lowerLetter"/>
      <w:start w:val="9"/>
    </w:lvl>
  </w:abstractNum>
  <w:abstractNum w:abstractNumId="27">
    <w:nsid w:val="60EF0119"/>
    <w:multiLevelType w:val="hybridMultilevel"/>
    <w:lvl w:ilvl="0">
      <w:lvlJc w:val="left"/>
      <w:lvlText w:val="(%1)"/>
      <w:numFmt w:val="lowerLetter"/>
      <w:start w:val="25"/>
    </w:lvl>
    <w:lvl w:ilvl="1">
      <w:lvlJc w:val="left"/>
      <w:lvlText w:val="%2"/>
      <w:numFmt w:val="lowerLetter"/>
      <w:start w:val="1"/>
    </w:lvl>
  </w:abstractNum>
  <w:abstractNum w:abstractNumId="28">
    <w:nsid w:val="26F324BA"/>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29">
    <w:nsid w:val="7F01579B"/>
    <w:multiLevelType w:val="hybridMultilevel"/>
    <w:lvl w:ilvl="0">
      <w:lvlJc w:val="left"/>
      <w:lvlText w:val="(%1)"/>
      <w:numFmt w:val="upperLetter"/>
      <w:start w:val="4"/>
    </w:lvl>
  </w:abstractNum>
  <w:abstractNum w:abstractNumId="30">
    <w:nsid w:val="49DA307D"/>
    <w:multiLevelType w:val="hybridMultilevel"/>
    <w:lvl w:ilvl="0">
      <w:lvlJc w:val="left"/>
      <w:lvlText w:val="%1"/>
      <w:numFmt w:val="decimal"/>
      <w:start w:val="1"/>
    </w:lvl>
    <w:lvl w:ilvl="1">
      <w:lvlJc w:val="left"/>
      <w:lvlText w:val="(%2)"/>
      <w:numFmt w:val="lowerLetter"/>
      <w:start w:val="4"/>
    </w:lvl>
  </w:abstractNum>
  <w:abstractNum w:abstractNumId="31">
    <w:nsid w:val="7055A5F5"/>
    <w:multiLevelType w:val="hybridMultilevel"/>
    <w:lvl w:ilvl="0">
      <w:lvlJc w:val="left"/>
      <w:lvlText w:val="(%1)"/>
      <w:numFmt w:val="decimal"/>
      <w:start w:val="3"/>
    </w:lvl>
    <w:lvl w:ilvl="1">
      <w:lvlJc w:val="left"/>
      <w:lvlText w:val="%2"/>
      <w:numFmt w:val="lowerLetter"/>
      <w:start w:val="1"/>
    </w:lvl>
  </w:abstractNum>
  <w:abstractNum w:abstractNumId="32">
    <w:nsid w:val="5FB8370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3">
    <w:nsid w:val="50801EE1"/>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34">
    <w:nsid w:val="488AC1A"/>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abstractNum>
  <w:abstractNum w:abstractNumId="35">
    <w:nsid w:val="5FB8011C"/>
    <w:multiLevelType w:val="hybridMultilevel"/>
    <w:lvl w:ilvl="0">
      <w:lvlJc w:val="left"/>
      <w:lvlText w:val="(%1)"/>
      <w:numFmt w:val="lowerLetter"/>
      <w:start w:val="6"/>
    </w:lvl>
    <w:lvl w:ilvl="1">
      <w:lvlJc w:val="left"/>
      <w:lvlText w:val="%2"/>
      <w:numFmt w:val="lowerLetter"/>
      <w:start w:val="1"/>
    </w:lvl>
    <w:lvl w:ilvl="2">
      <w:lvlJc w:val="left"/>
      <w:lvlText w:val="%3"/>
      <w:numFmt w:val="upperLetter"/>
      <w:start w:val="1"/>
    </w:lvl>
  </w:abstractNum>
  <w:abstractNum w:abstractNumId="36">
    <w:nsid w:val="6AA78F7F"/>
    <w:multiLevelType w:val="hybridMultilevel"/>
    <w:lvl w:ilvl="0">
      <w:lvlJc w:val="left"/>
      <w:lvlText w:val="(%1)"/>
      <w:numFmt w:val="lowerLetter"/>
      <w:start w:val="1"/>
    </w:lvl>
    <w:lvl w:ilvl="1">
      <w:lvlJc w:val="left"/>
      <w:lvlText w:val="-"/>
      <w:numFmt w:val="bullet"/>
      <w:start w:val="1"/>
    </w:lvl>
  </w:abstractNum>
  <w:abstractNum w:abstractNumId="37">
    <w:nsid w:val="7672BD23"/>
    <w:multiLevelType w:val="hybridMultilevel"/>
    <w:lvl w:ilvl="0">
      <w:lvlJc w:val="left"/>
      <w:lvlText w:val="(%1)"/>
      <w:numFmt w:val="lowerLetter"/>
      <w:start w:val="3"/>
    </w:lvl>
    <w:lvl w:ilvl="1">
      <w:lvlJc w:val="left"/>
      <w:lvlText w:val="-"/>
      <w:numFmt w:val="bullet"/>
      <w:start w:val="1"/>
    </w:lvl>
  </w:abstractNum>
  <w:abstractNum w:abstractNumId="38">
    <w:nsid w:val="6FC75AF8"/>
    <w:multiLevelType w:val="hybridMultilevel"/>
    <w:lvl w:ilvl="0">
      <w:lvlJc w:val="left"/>
      <w:lvlText w:val="(%1)"/>
      <w:numFmt w:val="lowerLetter"/>
      <w:start w:val="4"/>
    </w:lvl>
    <w:lvl w:ilvl="1">
      <w:lvlJc w:val="left"/>
      <w:lvlText w:val="-"/>
      <w:numFmt w:val="bullet"/>
      <w:start w:val="1"/>
    </w:lvl>
  </w:abstractNum>
  <w:abstractNum w:abstractNumId="39">
    <w:nsid w:val="6A5F7029"/>
    <w:multiLevelType w:val="hybridMultilevel"/>
    <w:lvl w:ilvl="0">
      <w:lvlJc w:val="left"/>
      <w:lvlText w:val="(%1)"/>
      <w:numFmt w:val="lowerLetter"/>
      <w:start w:val="8"/>
    </w:lvl>
    <w:lvl w:ilvl="1">
      <w:lvlJc w:val="left"/>
      <w:lvlText w:val="-"/>
      <w:numFmt w:val="bullet"/>
      <w:start w:val="1"/>
    </w:lvl>
  </w:abstractNum>
  <w:abstractNum w:abstractNumId="40">
    <w:nsid w:val="7D5E18F8"/>
    <w:multiLevelType w:val="hybridMultilevel"/>
    <w:lvl w:ilvl="0">
      <w:lvlJc w:val="left"/>
      <w:lvlText w:val="(%1)"/>
      <w:numFmt w:val="lowerLetter"/>
      <w:start w:val="11"/>
    </w:lvl>
  </w:abstractNum>
  <w:abstractNum w:abstractNumId="41">
    <w:nsid w:val="5F3534A4"/>
    <w:multiLevelType w:val="hybridMultilevel"/>
    <w:lvl w:ilvl="0">
      <w:lvlJc w:val="left"/>
      <w:lvlText w:val="(%1)"/>
      <w:numFmt w:val="lowerLetter"/>
      <w:start w:val="1"/>
    </w:lvl>
    <w:lvl w:ilvl="1">
      <w:lvlJc w:val="left"/>
      <w:lvlText w:val="-"/>
      <w:numFmt w:val="bullet"/>
      <w:start w:val="1"/>
    </w:lvl>
  </w:abstractNum>
  <w:abstractNum w:abstractNumId="42">
    <w:nsid w:val="73A1821B"/>
    <w:multiLevelType w:val="hybridMultilevel"/>
    <w:lvl w:ilvl="0">
      <w:lvlJc w:val="left"/>
      <w:lvlText w:val="%1"/>
      <w:numFmt w:val="lowerLetter"/>
      <w:start w:val="1"/>
    </w:lvl>
    <w:lvl w:ilvl="1">
      <w:lvlJc w:val="left"/>
      <w:lvlText w:val="(%2)"/>
      <w:numFmt w:val="lowerLetter"/>
      <w:start w:val="4"/>
    </w:lvl>
    <w:lvl w:ilvl="2">
      <w:lvlJc w:val="left"/>
      <w:lvlText w:val="-"/>
      <w:numFmt w:val="bullet"/>
      <w:start w:val="1"/>
    </w:lvl>
  </w:abstractNum>
  <w:abstractNum w:abstractNumId="43">
    <w:nsid w:val="7DE67713"/>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44">
    <w:nsid w:val="555C55B5"/>
    <w:multiLevelType w:val="hybridMultilevel"/>
    <w:lvl w:ilvl="0">
      <w:lvlJc w:val="left"/>
      <w:lvlText w:val="(%1)"/>
      <w:numFmt w:val="lowerLetter"/>
      <w:start w:val="1"/>
    </w:lvl>
    <w:lvl w:ilvl="1">
      <w:lvlJc w:val="left"/>
      <w:lvlText w:val="(%2)"/>
      <w:numFmt w:val="lowerRoman"/>
      <w:start w:val="1"/>
    </w:lvl>
  </w:abstractNum>
  <w:abstractNum w:abstractNumId="45">
    <w:nsid w:val="3FA62ACA"/>
    <w:multiLevelType w:val="hybridMultilevel"/>
    <w:lvl w:ilvl="0">
      <w:lvlJc w:val="left"/>
      <w:lvlText w:val="(%1)"/>
      <w:numFmt w:val="lowerLetter"/>
      <w:start w:val="2"/>
    </w:lvl>
    <w:lvl w:ilvl="1">
      <w:lvlJc w:val="left"/>
      <w:lvlText w:val="-"/>
      <w:numFmt w:val="bullet"/>
      <w:start w:val="1"/>
    </w:lvl>
  </w:abstractNum>
  <w:abstractNum w:abstractNumId="46">
    <w:nsid w:val="14FCE74E"/>
    <w:multiLevelType w:val="hybridMultilevel"/>
    <w:lvl w:ilvl="0">
      <w:lvlJc w:val="left"/>
      <w:lvlText w:val="(%1)"/>
      <w:numFmt w:val="lowerLetter"/>
      <w:start w:val="3"/>
    </w:lvl>
    <w:lvl w:ilvl="1">
      <w:lvlJc w:val="left"/>
      <w:lvlText w:val="(%2)"/>
      <w:numFmt w:val="lowerRoman"/>
      <w:start w:val="1"/>
    </w:lvl>
  </w:abstractNum>
  <w:abstractNum w:abstractNumId="47">
    <w:nsid w:val="6A3DD3E8"/>
    <w:multiLevelType w:val="hybridMultilevel"/>
    <w:lvl w:ilvl="0">
      <w:lvlJc w:val="left"/>
      <w:lvlText w:val="(%1)"/>
      <w:numFmt w:val="lowerLetter"/>
      <w:start w:val="1"/>
    </w:lvl>
  </w:abstractNum>
  <w:abstractNum w:abstractNumId="48">
    <w:nsid w:val="71C91298"/>
    <w:multiLevelType w:val="hybridMultilevel"/>
    <w:lvl w:ilvl="0">
      <w:lvlJc w:val="left"/>
      <w:lvlText w:val="(%1)"/>
      <w:numFmt w:val="lowerLetter"/>
      <w:start w:val="1"/>
    </w:lvl>
    <w:lvl w:ilvl="1">
      <w:lvlJc w:val="left"/>
      <w:lvlText w:val="-"/>
      <w:numFmt w:val="bullet"/>
      <w:start w:val="1"/>
    </w:lvl>
  </w:abstractNum>
  <w:abstractNum w:abstractNumId="49">
    <w:nsid w:val="9DAF632"/>
    <w:multiLevelType w:val="hybridMultilevel"/>
    <w:lvl w:ilvl="0">
      <w:lvlJc w:val="left"/>
      <w:lvlText w:val="(%1)"/>
      <w:numFmt w:val="lowerLetter"/>
      <w:start w:val="1"/>
    </w:lvl>
    <w:lvl w:ilvl="1">
      <w:lvlJc w:val="left"/>
      <w:lvlText w:val="(%2)"/>
      <w:numFmt w:val="lowerRoman"/>
      <w:start w:val="1"/>
    </w:lvl>
  </w:abstractNum>
  <w:abstractNum w:abstractNumId="50">
    <w:nsid w:val="53299938"/>
    <w:multiLevelType w:val="hybridMultilevel"/>
    <w:lvl w:ilvl="0">
      <w:lvlJc w:val="left"/>
      <w:lvlText w:val="(%1)"/>
      <w:numFmt w:val="lowerLetter"/>
      <w:start w:val="2"/>
    </w:lvl>
    <w:lvl w:ilvl="1">
      <w:lvlJc w:val="left"/>
      <w:lvlText w:val="-"/>
      <w:numFmt w:val="bullet"/>
      <w:start w:val="1"/>
    </w:lvl>
  </w:abstractNum>
  <w:abstractNum w:abstractNumId="51">
    <w:nsid w:val="1FBFE8E0"/>
    <w:multiLevelType w:val="hybridMultilevel"/>
    <w:lvl w:ilvl="0">
      <w:lvlJc w:val="left"/>
      <w:lvlText w:val="(%1)"/>
      <w:numFmt w:val="lowerLetter"/>
      <w:start w:val="1"/>
    </w:lvl>
    <w:lvl w:ilvl="1">
      <w:lvlJc w:val="left"/>
      <w:lvlText w:val="-"/>
      <w:numFmt w:val="bullet"/>
      <w:start w:val="1"/>
    </w:lvl>
  </w:abstractNum>
  <w:abstractNum w:abstractNumId="52">
    <w:nsid w:val="5092CA79"/>
    <w:multiLevelType w:val="hybridMultilevel"/>
    <w:lvl w:ilvl="0">
      <w:lvlJc w:val="left"/>
      <w:lvlText w:val="(%1)"/>
      <w:numFmt w:val="lowerLetter"/>
      <w:start w:val="3"/>
    </w:lvl>
  </w:abstractNum>
  <w:abstractNum w:abstractNumId="53">
    <w:nsid w:val="1D545C4D"/>
    <w:multiLevelType w:val="hybridMultilevel"/>
    <w:lvl w:ilvl="0">
      <w:lvlJc w:val="left"/>
      <w:lvlText w:val="(%1)"/>
      <w:numFmt w:val="lowerLetter"/>
      <w:start w:val="1"/>
    </w:lvl>
  </w:abstractNum>
  <w:abstractNum w:abstractNumId="54">
    <w:nsid w:val="59ADEA3D"/>
    <w:multiLevelType w:val="hybridMultilevel"/>
    <w:lvl w:ilvl="0">
      <w:lvlJc w:val="left"/>
      <w:lvlText w:val="(%1)"/>
      <w:numFmt w:val="lowerRoman"/>
      <w:start w:val="2"/>
    </w:lvl>
  </w:abstractNum>
  <w:abstractNum w:abstractNumId="55">
    <w:nsid w:val="288F1A34"/>
    <w:multiLevelType w:val="hybridMultilevel"/>
    <w:lvl w:ilvl="0">
      <w:lvlJc w:val="left"/>
      <w:lvlText w:val="(%1)"/>
      <w:numFmt w:val="lowerLetter"/>
      <w:start w:val="1"/>
    </w:lvl>
    <w:lvl w:ilvl="1">
      <w:lvlJc w:val="left"/>
      <w:lvlText w:val="-"/>
      <w:numFmt w:val="bullet"/>
      <w:start w:val="1"/>
    </w:lvl>
  </w:abstractNum>
  <w:abstractNum w:abstractNumId="56">
    <w:nsid w:val="2A155DBC"/>
    <w:multiLevelType w:val="hybridMultilevel"/>
    <w:lvl w:ilvl="0">
      <w:lvlJc w:val="left"/>
      <w:lvlText w:val="(%1)"/>
      <w:numFmt w:val="lowerLetter"/>
      <w:start w:val="2"/>
    </w:lvl>
  </w:abstractNum>
  <w:abstractNum w:abstractNumId="57">
    <w:nsid w:val="1D9F6E5F"/>
    <w:multiLevelType w:val="hybridMultilevel"/>
    <w:lvl w:ilvl="0">
      <w:lvlJc w:val="left"/>
      <w:lvlText w:val="(%1)"/>
      <w:numFmt w:val="lowerRoman"/>
      <w:start w:val="2"/>
    </w:lvl>
    <w:lvl w:ilvl="1">
      <w:lvlJc w:val="left"/>
      <w:lvlText w:val="-"/>
      <w:numFmt w:val="bullet"/>
      <w:start w:val="1"/>
    </w:lvl>
  </w:abstractNum>
  <w:abstractNum w:abstractNumId="58">
    <w:nsid w:val="97E1B4E"/>
    <w:multiLevelType w:val="hybridMultilevel"/>
    <w:lvl w:ilvl="0">
      <w:lvlJc w:val="left"/>
      <w:lvlText w:val="(%1)"/>
      <w:numFmt w:val="lowerLetter"/>
      <w:start w:val="1"/>
    </w:lvl>
    <w:lvl w:ilvl="1">
      <w:lvlJc w:val="left"/>
      <w:lvlText w:val="-"/>
      <w:numFmt w:val="bullet"/>
      <w:start w:val="1"/>
    </w:lvl>
  </w:abstractNum>
  <w:abstractNum w:abstractNumId="59">
    <w:nsid w:val="51088277"/>
    <w:multiLevelType w:val="hybridMultilevel"/>
    <w:lvl w:ilvl="0">
      <w:lvlJc w:val="left"/>
      <w:lvlText w:val="%1"/>
      <w:numFmt w:val="lowerRoman"/>
      <w:start w:val="1"/>
    </w:lvl>
    <w:lvl w:ilvl="1">
      <w:lvlJc w:val="left"/>
      <w:lvlText w:val="(%2)"/>
      <w:numFmt w:val="lowerLetter"/>
      <w:start w:val="3"/>
    </w:lvl>
  </w:abstractNum>
  <w:abstractNum w:abstractNumId="60">
    <w:nsid w:val="1CA0C5FA"/>
    <w:multiLevelType w:val="hybridMultilevel"/>
    <w:lvl w:ilvl="0">
      <w:lvlJc w:val="left"/>
      <w:lvlText w:val="(%1)"/>
      <w:numFmt w:val="lowerRoman"/>
      <w:start w:val="4"/>
    </w:lvl>
    <w:lvl w:ilvl="1">
      <w:lvlJc w:val="left"/>
      <w:lvlText w:val="(%2)"/>
      <w:numFmt w:val="lowerLetter"/>
      <w:start w:val="4"/>
    </w:lvl>
  </w:abstractNum>
  <w:abstractNum w:abstractNumId="61">
    <w:nsid w:val="53584BCB"/>
    <w:multiLevelType w:val="hybridMultilevel"/>
    <w:lvl w:ilvl="0">
      <w:lvlJc w:val="left"/>
      <w:lvlText w:val="(%1)"/>
      <w:numFmt w:val="lowerLetter"/>
      <w:start w:val="6"/>
    </w:lvl>
  </w:abstractNum>
  <w:abstractNum w:abstractNumId="62">
    <w:nsid w:val="415E286C"/>
    <w:multiLevelType w:val="hybridMultilevel"/>
    <w:lvl w:ilvl="0">
      <w:lvlJc w:val="left"/>
      <w:lvlText w:val="(%1)"/>
      <w:numFmt w:val="lowerLetter"/>
      <w:start w:val="1"/>
    </w:lvl>
    <w:lvl w:ilvl="1">
      <w:lvlJc w:val="left"/>
      <w:lvlText w:val="-"/>
      <w:numFmt w:val="bullet"/>
      <w:start w:val="1"/>
    </w:lvl>
  </w:abstractNum>
  <w:abstractNum w:abstractNumId="63">
    <w:nsid w:val="7C58FD05"/>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64">
    <w:nsid w:val="23D86AAC"/>
    <w:multiLevelType w:val="hybridMultilevel"/>
    <w:lvl w:ilvl="0">
      <w:lvlJc w:val="left"/>
      <w:lvlText w:val="(%1)"/>
      <w:numFmt w:val="lowerLetter"/>
      <w:start w:val="5"/>
    </w:lvl>
    <w:lvl w:ilvl="1">
      <w:lvlJc w:val="left"/>
      <w:lvlText w:val="(%2)"/>
      <w:numFmt w:val="lowerRoman"/>
      <w:start w:val="1"/>
    </w:lvl>
    <w:lvl w:ilvl="2">
      <w:lvlJc w:val="left"/>
      <w:lvlText w:val="-"/>
      <w:numFmt w:val="bullet"/>
      <w:start w:val="1"/>
    </w:lvl>
  </w:abstractNum>
  <w:abstractNum w:abstractNumId="65">
    <w:nsid w:val="45E6D486"/>
    <w:multiLevelType w:val="hybridMultilevel"/>
    <w:lvl w:ilvl="0">
      <w:lvlJc w:val="left"/>
      <w:lvlText w:val="(%1)"/>
      <w:numFmt w:val="lowerLetter"/>
      <w:start w:val="6"/>
    </w:lvl>
  </w:abstractNum>
  <w:abstractNum w:abstractNumId="66">
    <w:nsid w:val="5C10FE21"/>
    <w:multiLevelType w:val="hybridMultilevel"/>
    <w:lvl w:ilvl="0">
      <w:lvlJc w:val="left"/>
      <w:lvlText w:val="(%1)"/>
      <w:numFmt w:val="lowerLetter"/>
      <w:start w:val="1"/>
    </w:lvl>
    <w:lvl w:ilvl="1">
      <w:lvlJc w:val="left"/>
      <w:lvlText w:val="-"/>
      <w:numFmt w:val="bullet"/>
      <w:start w:val="1"/>
    </w:lvl>
  </w:abstractNum>
  <w:abstractNum w:abstractNumId="67">
    <w:nsid w:val="E7FFA2B"/>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68">
    <w:nsid w:val="3C5991AA"/>
    <w:multiLevelType w:val="hybridMultilevel"/>
    <w:lvl w:ilvl="0">
      <w:lvlJc w:val="left"/>
      <w:lvlText w:val="(%1)"/>
      <w:numFmt w:val="lowerLetter"/>
      <w:start w:val="9"/>
    </w:lvl>
    <w:lvl w:ilvl="1">
      <w:lvlJc w:val="left"/>
      <w:lvlText w:val="(%2)"/>
      <w:numFmt w:val="lowerLetter"/>
      <w:start w:val="6"/>
    </w:lvl>
    <w:lvl w:ilvl="2">
      <w:lvlJc w:val="left"/>
      <w:lvlText w:val="(%3)"/>
      <w:numFmt w:val="lowerRoman"/>
      <w:start w:val="1"/>
    </w:lvl>
    <w:lvl w:ilvl="3">
      <w:lvlJc w:val="left"/>
      <w:lvlText w:val="-"/>
      <w:numFmt w:val="bullet"/>
      <w:start w:val="1"/>
    </w:lvl>
  </w:abstractNum>
  <w:abstractNum w:abstractNumId="69">
    <w:nsid w:val="4BD8591A"/>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9"/>
    </w:lvl>
  </w:abstractNum>
  <w:abstractNum w:abstractNumId="70">
    <w:nsid w:val="78DF6A55"/>
    <w:multiLevelType w:val="hybridMultilevel"/>
    <w:lvl w:ilvl="0">
      <w:lvlJc w:val="left"/>
      <w:lvlText w:val="(%1)"/>
      <w:numFmt w:val="upperLetter"/>
      <w:start w:val="35"/>
    </w:lvl>
  </w:abstractNum>
  <w:abstractNum w:abstractNumId="71">
    <w:nsid w:val="39B7AAA2"/>
    <w:multiLevelType w:val="hybridMultilevel"/>
    <w:lvl w:ilvl="0">
      <w:lvlJc w:val="left"/>
      <w:lvlText w:val="(%1)"/>
      <w:numFmt w:val="upperLetter"/>
      <w:start w:val="61"/>
    </w:lvl>
  </w:abstractNum>
  <w:abstractNum w:abstractNumId="72">
    <w:nsid w:val="2B0D8DBE"/>
    <w:multiLevelType w:val="hybridMultilevel"/>
    <w:lvl w:ilvl="0">
      <w:lvlJc w:val="left"/>
      <w:lvlText w:val="(%1)"/>
      <w:numFmt w:val="upperLetter"/>
      <w:start w:val="3"/>
    </w:lvl>
  </w:abstractNum>
  <w:abstractNum w:abstractNumId="73">
    <w:nsid w:val="6C80EC70"/>
    <w:multiLevelType w:val="hybridMultilevel"/>
    <w:lvl w:ilvl="0">
      <w:lvlJc w:val="left"/>
      <w:lvlText w:val="(%1)"/>
      <w:numFmt w:val="lowerLetter"/>
      <w:start w:val="8"/>
    </w:lvl>
    <w:lvl w:ilvl="1">
      <w:lvlJc w:val="left"/>
      <w:lvlText w:val="-"/>
      <w:numFmt w:val="bullet"/>
      <w:start w:val="1"/>
    </w:lvl>
  </w:abstractNum>
  <w:abstractNum w:abstractNumId="74">
    <w:nsid w:val="379E21B5"/>
    <w:multiLevelType w:val="hybridMultilevel"/>
    <w:lvl w:ilvl="0">
      <w:lvlJc w:val="left"/>
      <w:lvlText w:val="(%1)"/>
      <w:numFmt w:val="lowerRoman"/>
      <w:start w:val="1"/>
    </w:lvl>
  </w:abstractNum>
  <w:abstractNum w:abstractNumId="75">
    <w:nsid w:val="69E373"/>
    <w:multiLevelType w:val="hybridMultilevel"/>
    <w:lvl w:ilvl="0">
      <w:lvlJc w:val="left"/>
      <w:lvlText w:val="(%1)"/>
      <w:numFmt w:val="lowerLetter"/>
      <w:start w:val="1"/>
    </w:lvl>
    <w:lvl w:ilvl="1">
      <w:lvlJc w:val="left"/>
      <w:lvlText w:val="-"/>
      <w:numFmt w:val="bullet"/>
      <w:start w:val="1"/>
    </w:lvl>
  </w:abstractNum>
  <w:abstractNum w:abstractNumId="76">
    <w:nsid w:val="2C27173B"/>
    <w:multiLevelType w:val="hybridMultilevel"/>
    <w:lvl w:ilvl="0">
      <w:lvlJc w:val="left"/>
      <w:lvlText w:val="%1"/>
      <w:numFmt w:val="lowerLetter"/>
      <w:start w:val="1"/>
    </w:lvl>
    <w:lvl w:ilvl="1">
      <w:lvlJc w:val="left"/>
      <w:lvlText w:val="(%2)"/>
      <w:numFmt w:val="lowerLetter"/>
      <w:start w:val="3"/>
    </w:lvl>
    <w:lvl w:ilvl="2">
      <w:lvlJc w:val="left"/>
      <w:lvlText w:val="-"/>
      <w:numFmt w:val="bullet"/>
      <w:start w:val="1"/>
    </w:lvl>
  </w:abstractNum>
  <w:abstractNum w:abstractNumId="77">
    <w:nsid w:val="4C9B0904"/>
    <w:multiLevelType w:val="hybridMultilevel"/>
    <w:lvl w:ilvl="0">
      <w:lvlJc w:val="left"/>
      <w:lvlText w:val="(%1)"/>
      <w:numFmt w:val="lowerLetter"/>
      <w:start w:val="2"/>
    </w:lvl>
    <w:lvl w:ilvl="1">
      <w:lvlJc w:val="left"/>
      <w:lvlText w:val="(%2)"/>
      <w:numFmt w:val="lowerLetter"/>
      <w:start w:val="5"/>
    </w:lvl>
    <w:lvl w:ilvl="2">
      <w:lvlJc w:val="left"/>
      <w:lvlText w:val="-"/>
      <w:numFmt w:val="bullet"/>
      <w:start w:val="1"/>
    </w:lvl>
  </w:abstractNum>
  <w:abstractNum w:abstractNumId="78">
    <w:nsid w:val="6AA7B75C"/>
    <w:multiLevelType w:val="hybridMultilevel"/>
    <w:lvl w:ilvl="0">
      <w:lvlJc w:val="left"/>
      <w:lvlText w:val="(%1)"/>
      <w:numFmt w:val="lowerLetter"/>
      <w:start w:val="1"/>
    </w:lvl>
    <w:lvl w:ilvl="1">
      <w:lvlJc w:val="left"/>
      <w:lvlText w:val="-"/>
      <w:numFmt w:val="bullet"/>
      <w:start w:val="1"/>
    </w:lvl>
  </w:abstractNum>
  <w:abstractNum w:abstractNumId="79">
    <w:nsid w:val="1DF029D3"/>
    <w:multiLevelType w:val="hybridMultilevel"/>
    <w:lvl w:ilvl="0">
      <w:lvlJc w:val="left"/>
      <w:lvlText w:val="(%1)"/>
      <w:numFmt w:val="lowerLetter"/>
      <w:start w:val="5"/>
    </w:lvl>
  </w:abstractNum>
  <w:abstractNum w:abstractNumId="80">
    <w:nsid w:val="5675FF36"/>
    <w:multiLevelType w:val="hybridMultilevel"/>
    <w:lvl w:ilvl="0">
      <w:lvlJc w:val="left"/>
      <w:lvlText w:val="(%1)"/>
      <w:numFmt w:val="lowerLetter"/>
      <w:start w:val="1"/>
    </w:lvl>
  </w:abstractNum>
  <w:abstractNum w:abstractNumId="81">
    <w:nsid w:val="3DD15094"/>
    <w:multiLevelType w:val="hybridMultilevel"/>
    <w:lvl w:ilvl="0">
      <w:lvlJc w:val="left"/>
      <w:lvlText w:val="(%1)"/>
      <w:numFmt w:val="lowerLetter"/>
      <w:start w:val="1"/>
    </w:lvl>
    <w:lvl w:ilvl="1">
      <w:lvlJc w:val="left"/>
      <w:lvlText w:val="(%2)"/>
      <w:numFmt w:val="lowerRoman"/>
      <w:start w:val="1"/>
    </w:lvl>
  </w:abstractNum>
  <w:abstractNum w:abstractNumId="82">
    <w:nsid w:val="3DB012B3"/>
    <w:multiLevelType w:val="hybridMultilevel"/>
    <w:lvl w:ilvl="0">
      <w:lvlJc w:val="left"/>
      <w:lvlText w:val="(%1)"/>
      <w:numFmt w:val="lowerLetter"/>
      <w:start w:val="2"/>
    </w:lvl>
  </w:abstractNum>
  <w:abstractNum w:abstractNumId="83">
    <w:nsid w:val="2708C9A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4">
    <w:nsid w:val="5B25ACE2"/>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85">
    <w:nsid w:val="175DFCF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86">
    <w:nsid w:val="4F97E3E4"/>
    <w:multiLevelType w:val="hybridMultilevel"/>
    <w:lvl w:ilvl="0">
      <w:lvlJc w:val="left"/>
      <w:lvlText w:val="(%1)"/>
      <w:numFmt w:val="lowerRoman"/>
      <w:start w:val="2"/>
    </w:lvl>
  </w:abstractNum>
  <w:abstractNum w:abstractNumId="87">
    <w:nsid w:val="53B0A9E"/>
    <w:multiLevelType w:val="hybridMultilevel"/>
    <w:lvl w:ilvl="0">
      <w:lvlJc w:val="left"/>
      <w:lvlText w:val="(%1)"/>
      <w:numFmt w:val="lowerLetter"/>
      <w:start w:val="2"/>
    </w:lvl>
    <w:lvl w:ilvl="1">
      <w:lvlJc w:val="left"/>
      <w:lvlText w:val="-"/>
      <w:numFmt w:val="bullet"/>
      <w:start w:val="1"/>
    </w:lvl>
  </w:abstractNum>
  <w:abstractNum w:abstractNumId="88">
    <w:nsid w:val="34FD6B4F"/>
    <w:multiLevelType w:val="hybridMultilevel"/>
    <w:lvl w:ilvl="0">
      <w:lvlJc w:val="left"/>
      <w:lvlText w:val="(%1)"/>
      <w:numFmt w:val="lowerLetter"/>
      <w:start w:val="1"/>
    </w:lvl>
    <w:lvl w:ilvl="1">
      <w:lvlJc w:val="left"/>
      <w:lvlText w:val="-"/>
      <w:numFmt w:val="bullet"/>
      <w:start w:val="1"/>
    </w:lvl>
  </w:abstractNum>
  <w:abstractNum w:abstractNumId="89">
    <w:nsid w:val="5915FF32"/>
    <w:multiLevelType w:val="hybridMultilevel"/>
    <w:lvl w:ilvl="0">
      <w:lvlJc w:val="left"/>
      <w:lvlText w:val="(%1)"/>
      <w:numFmt w:val="lowerLetter"/>
      <w:start w:val="3"/>
    </w:lvl>
    <w:lvl w:ilvl="1">
      <w:lvlJc w:val="left"/>
      <w:lvlText w:val="-"/>
      <w:numFmt w:val="bullet"/>
      <w:start w:val="1"/>
    </w:lvl>
  </w:abstractNum>
  <w:abstractNum w:abstractNumId="90">
    <w:nsid w:val="56438D15"/>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91">
    <w:nsid w:val="519E3149"/>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92">
    <w:nsid w:val="2C6E4AFD"/>
    <w:multiLevelType w:val="hybridMultilevel"/>
    <w:lvl w:ilvl="0">
      <w:lvlJc w:val="left"/>
      <w:lvlText w:val="(%1)"/>
      <w:numFmt w:val="lowerLetter"/>
      <w:start w:val="14"/>
    </w:lvl>
    <w:lvl w:ilvl="1">
      <w:lvlJc w:val="left"/>
      <w:lvlText w:val="%2"/>
      <w:numFmt w:val="lowerRoman"/>
      <w:start w:val="1"/>
    </w:lvl>
    <w:lvl w:ilvl="2">
      <w:lvlJc w:val="left"/>
      <w:lvlText w:val="-"/>
      <w:numFmt w:val="bullet"/>
      <w:start w:val="1"/>
    </w:lvl>
  </w:abstractNum>
  <w:abstractNum w:abstractNumId="93">
    <w:nsid w:val="17A1B582"/>
    <w:multiLevelType w:val="hybridMultilevel"/>
    <w:lvl w:ilvl="0">
      <w:lvlJc w:val="left"/>
      <w:lvlText w:val="(%1)"/>
      <w:numFmt w:val="lowerLetter"/>
      <w:start w:val="16"/>
    </w:lvl>
    <w:lvl w:ilvl="1">
      <w:lvlJc w:val="left"/>
      <w:lvlText w:val="-"/>
      <w:numFmt w:val="bullet"/>
      <w:start w:val="1"/>
    </w:lvl>
  </w:abstractNum>
  <w:abstractNum w:abstractNumId="94">
    <w:nsid w:val="4DF72E4E"/>
    <w:multiLevelType w:val="hybridMultilevel"/>
    <w:lvl w:ilvl="0">
      <w:lvlJc w:val="left"/>
      <w:lvlText w:val="(%1)"/>
      <w:numFmt w:val="lowerLetter"/>
      <w:start w:val="22"/>
    </w:lvl>
    <w:lvl w:ilvl="1">
      <w:lvlJc w:val="left"/>
      <w:lvlText w:val="(%2)"/>
      <w:numFmt w:val="lowerRoman"/>
      <w:start w:val="1"/>
    </w:lvl>
    <w:lvl w:ilvl="2">
      <w:lvlJc w:val="left"/>
      <w:lvlText w:val="-"/>
      <w:numFmt w:val="bullet"/>
      <w:start w:val="1"/>
    </w:lvl>
  </w:abstractNum>
  <w:abstractNum w:abstractNumId="95">
    <w:nsid w:val="5046B5A9"/>
    <w:multiLevelType w:val="hybridMultilevel"/>
    <w:lvl w:ilvl="0">
      <w:lvlJc w:val="left"/>
      <w:lvlText w:val="%1"/>
      <w:numFmt w:val="lowerLetter"/>
      <w:start w:val="1"/>
    </w:lvl>
    <w:lvl w:ilvl="1">
      <w:lvlJc w:val="left"/>
      <w:lvlText w:val="(%2)"/>
      <w:numFmt w:val="lowerRoman"/>
      <w:start w:val="3"/>
    </w:lvl>
  </w:abstractNum>
  <w:abstractNum w:abstractNumId="96">
    <w:nsid w:val="5D888A08"/>
    <w:multiLevelType w:val="hybridMultilevel"/>
    <w:lvl w:ilvl="0">
      <w:lvlJc w:val="left"/>
      <w:lvlText w:val="(%1)"/>
      <w:numFmt w:val="lowerLetter"/>
      <w:start w:val="25"/>
    </w:lvl>
    <w:lvl w:ilvl="1">
      <w:lvlJc w:val="left"/>
      <w:lvlText w:val="%2"/>
      <w:numFmt w:val="lowerRoman"/>
      <w:start w:val="1"/>
    </w:lvl>
  </w:abstractNum>
  <w:abstractNum w:abstractNumId="97">
    <w:nsid w:val="2A082C70"/>
    <w:multiLevelType w:val="hybridMultilevel"/>
    <w:lvl w:ilvl="0">
      <w:lvlJc w:val="left"/>
      <w:lvlText w:val="(%1)"/>
      <w:numFmt w:val="lowerLetter"/>
      <w:start w:val="2"/>
    </w:lvl>
  </w:abstractNum>
  <w:abstractNum w:abstractNumId="98">
    <w:nsid w:val="5EC6AFD4"/>
    <w:multiLevelType w:val="hybridMultilevel"/>
    <w:lvl w:ilvl="0">
      <w:lvlJc w:val="left"/>
      <w:lvlText w:val="(%1)"/>
      <w:numFmt w:val="lowerLetter"/>
      <w:start w:val="3"/>
    </w:lvl>
  </w:abstractNum>
  <w:abstractNum w:abstractNumId="99">
    <w:nsid w:val="19E21BB2"/>
    <w:multiLevelType w:val="hybridMultilevel"/>
    <w:lvl w:ilvl="0">
      <w:lvlJc w:val="left"/>
      <w:lvlText w:val="(%1)"/>
      <w:numFmt w:val="lowerLetter"/>
      <w:start w:val="2"/>
    </w:lvl>
  </w:abstractNum>
  <w:abstractNum w:abstractNumId="100">
    <w:nsid w:val="75E0858A"/>
    <w:multiLevelType w:val="hybridMultilevel"/>
    <w:lvl w:ilvl="0">
      <w:lvlJc w:val="left"/>
      <w:lvlText w:val="(%1)"/>
      <w:numFmt w:val="lowerLetter"/>
      <w:start w:val="1"/>
    </w:lvl>
    <w:lvl w:ilvl="1">
      <w:lvlJc w:val="left"/>
      <w:lvlText w:val="(%2)"/>
      <w:numFmt w:val="lowerLetter"/>
      <w:start w:val="24"/>
    </w:lvl>
    <w:lvl w:ilvl="2">
      <w:lvlJc w:val="left"/>
      <w:lvlText w:val="-"/>
      <w:numFmt w:val="bullet"/>
      <w:start w:val="1"/>
    </w:lvl>
  </w:abstractNum>
  <w:abstractNum w:abstractNumId="101">
    <w:nsid w:val="57A61A29"/>
    <w:multiLevelType w:val="hybridMultilevel"/>
    <w:lvl w:ilvl="0">
      <w:lvlJc w:val="left"/>
      <w:lvlText w:val="(%1)"/>
      <w:numFmt w:val="lowerLetter"/>
      <w:start w:val="3"/>
    </w:lvl>
  </w:abstractNum>
  <w:abstractNum w:abstractNumId="102">
    <w:nsid w:val="5399C654"/>
    <w:multiLevelType w:val="hybridMultilevel"/>
    <w:lvl w:ilvl="0">
      <w:lvlJc w:val="left"/>
      <w:lvlText w:val="(%1)"/>
      <w:numFmt w:val="lowerRoman"/>
      <w:start w:val="3"/>
    </w:lvl>
  </w:abstractNum>
  <w:abstractNum w:abstractNumId="103">
    <w:nsid w:val="20EE1348"/>
    <w:multiLevelType w:val="hybridMultilevel"/>
    <w:lvl w:ilvl="0">
      <w:lvlJc w:val="left"/>
      <w:lvlText w:val="(%1)"/>
      <w:numFmt w:val="lowerLetter"/>
      <w:start w:val="1"/>
    </w:lvl>
    <w:lvl w:ilvl="1">
      <w:lvlJc w:val="left"/>
      <w:lvlText w:val="-"/>
      <w:numFmt w:val="bullet"/>
      <w:start w:val="1"/>
    </w:lvl>
  </w:abstractNum>
  <w:abstractNum w:abstractNumId="104">
    <w:nsid w:val="4427069A"/>
    <w:multiLevelType w:val="hybridMultilevel"/>
    <w:lvl w:ilvl="0">
      <w:lvlJc w:val="left"/>
      <w:lvlText w:val="(%1)"/>
      <w:numFmt w:val="lowerLetter"/>
      <w:start w:val="5"/>
    </w:lvl>
    <w:lvl w:ilvl="1">
      <w:lvlJc w:val="left"/>
      <w:lvlText w:val="-"/>
      <w:numFmt w:val="bullet"/>
      <w:start w:val="1"/>
    </w:lvl>
  </w:abstractNum>
  <w:abstractNum w:abstractNumId="105">
    <w:nsid w:val="B37E80A"/>
    <w:multiLevelType w:val="hybridMultilevel"/>
    <w:lvl w:ilvl="0">
      <w:lvlJc w:val="left"/>
      <w:lvlText w:val="(%1)"/>
      <w:numFmt w:val="lowerLetter"/>
      <w:start w:val="16"/>
    </w:lvl>
  </w:abstractNum>
  <w:abstractNum w:abstractNumId="106">
    <w:nsid w:val="2157F6BC"/>
    <w:multiLevelType w:val="hybridMultilevel"/>
    <w:lvl w:ilvl="0">
      <w:lvlJc w:val="left"/>
      <w:lvlText w:val="(%1)"/>
      <w:numFmt w:val="lowerLetter"/>
      <w:start w:val="1"/>
    </w:lvl>
    <w:lvl w:ilvl="1">
      <w:lvlJc w:val="left"/>
      <w:lvlText w:val="-"/>
      <w:numFmt w:val="bullet"/>
      <w:start w:val="1"/>
    </w:lvl>
  </w:abstractNum>
  <w:abstractNum w:abstractNumId="107">
    <w:nsid w:val="704E1DD5"/>
    <w:multiLevelType w:val="hybridMultilevel"/>
    <w:lvl w:ilvl="0">
      <w:lvlJc w:val="left"/>
      <w:lvlText w:val="(%1)"/>
      <w:numFmt w:val="lowerLetter"/>
      <w:start w:val="2"/>
    </w:lvl>
  </w:abstractNum>
  <w:abstractNum w:abstractNumId="108">
    <w:nsid w:val="57D2F10E"/>
    <w:multiLevelType w:val="hybridMultilevel"/>
    <w:lvl w:ilvl="0">
      <w:lvlJc w:val="left"/>
      <w:lvlText w:val="(%1)"/>
      <w:numFmt w:val="lowerLetter"/>
      <w:start w:val="1"/>
    </w:lvl>
    <w:lvl w:ilvl="1">
      <w:lvlJc w:val="left"/>
      <w:lvlText w:val="-"/>
      <w:numFmt w:val="bullet"/>
      <w:start w:val="1"/>
    </w:lvl>
  </w:abstractNum>
  <w:abstractNum w:abstractNumId="109">
    <w:nsid w:val="BFFAE18"/>
    <w:multiLevelType w:val="hybridMultilevel"/>
    <w:lvl w:ilvl="0">
      <w:lvlJc w:val="left"/>
      <w:lvlText w:val="(%1)"/>
      <w:numFmt w:val="lowerLetter"/>
      <w:start w:val="3"/>
    </w:lvl>
  </w:abstractNum>
  <w:abstractNum w:abstractNumId="110">
    <w:nsid w:val="E3E47A8"/>
    <w:multiLevelType w:val="hybridMultilevel"/>
    <w:lvl w:ilvl="0">
      <w:lvlJc w:val="left"/>
      <w:lvlText w:val="(%1)"/>
      <w:numFmt w:val="lowerLetter"/>
      <w:start w:val="1"/>
    </w:lvl>
    <w:lvl w:ilvl="1">
      <w:lvlJc w:val="left"/>
      <w:lvlText w:val="-"/>
      <w:numFmt w:val="bullet"/>
      <w:start w:val="1"/>
    </w:lvl>
  </w:abstractNum>
  <w:abstractNum w:abstractNumId="111">
    <w:nsid w:val="2E48F044"/>
    <w:multiLevelType w:val="hybridMultilevel"/>
    <w:lvl w:ilvl="0">
      <w:lvlJc w:val="left"/>
      <w:lvlText w:val="(%1)"/>
      <w:numFmt w:val="lowerLetter"/>
      <w:start w:val="2"/>
    </w:lvl>
  </w:abstractNum>
  <w:abstractNum w:abstractNumId="112">
    <w:nsid w:val="49D0FEAC"/>
    <w:multiLevelType w:val="hybridMultilevel"/>
    <w:lvl w:ilvl="0">
      <w:lvlJc w:val="left"/>
      <w:lvlText w:val="(%1)"/>
      <w:numFmt w:val="lowerLetter"/>
      <w:start w:val="2"/>
    </w:lvl>
  </w:abstractNum>
  <w:abstractNum w:abstractNumId="113">
    <w:nsid w:val="4BEE5A5B"/>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14">
    <w:nsid w:val="5551B9F3"/>
    <w:multiLevelType w:val="hybridMultilevel"/>
    <w:lvl w:ilvl="0">
      <w:lvlJc w:val="left"/>
      <w:lvlText w:val="(%1)"/>
      <w:numFmt w:val="upperLetter"/>
      <w:start w:val="2"/>
    </w:lvl>
    <w:lvl w:ilvl="1">
      <w:lvlJc w:val="left"/>
      <w:lvlText w:val="%2"/>
      <w:numFmt w:val="lowerRoman"/>
      <w:start w:val="1"/>
    </w:lvl>
    <w:lvl w:ilvl="2">
      <w:lvlJc w:val="left"/>
      <w:lvlText w:val="-"/>
      <w:numFmt w:val="bullet"/>
      <w:start w:val="1"/>
    </w:lvl>
  </w:abstractNum>
  <w:abstractNum w:abstractNumId="115">
    <w:nsid w:val="24F6AB8E"/>
    <w:multiLevelType w:val="hybridMultilevel"/>
    <w:lvl w:ilvl="0">
      <w:lvlJc w:val="left"/>
      <w:lvlText w:val="(%1)"/>
      <w:numFmt w:val="decimal"/>
      <w:start w:val="2"/>
    </w:lvl>
    <w:lvl w:ilvl="1">
      <w:lvlJc w:val="left"/>
      <w:lvlText w:val="%2"/>
      <w:numFmt w:val="lowerRoman"/>
      <w:start w:val="1"/>
    </w:lvl>
  </w:abstractNum>
  <w:abstractNum w:abstractNumId="116">
    <w:nsid w:val="634C574C"/>
    <w:multiLevelType w:val="hybridMultilevel"/>
    <w:lvl w:ilvl="0">
      <w:lvlJc w:val="left"/>
      <w:lvlText w:val="(%1)"/>
      <w:numFmt w:val="decimal"/>
      <w:start w:val="4"/>
    </w:lvl>
    <w:lvl w:ilvl="1">
      <w:lvlJc w:val="left"/>
      <w:lvlText w:val="(%2)"/>
      <w:numFmt w:val="lowerRoman"/>
      <w:start w:val="2"/>
    </w:lvl>
  </w:abstractNum>
  <w:abstractNum w:abstractNumId="117">
    <w:nsid w:val="24E99DD7"/>
    <w:multiLevelType w:val="hybridMultilevel"/>
    <w:lvl w:ilvl="0">
      <w:lvlJc w:val="left"/>
      <w:lvlText w:val="(%1)"/>
      <w:numFmt w:val="lowerLetter"/>
      <w:start w:val="1"/>
    </w:lvl>
  </w:abstractNum>
  <w:abstractNum w:abstractNumId="118">
    <w:nsid w:val="2A31B62D"/>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19">
    <w:nsid w:val="1849C29B"/>
    <w:multiLevelType w:val="hybridMultilevel"/>
    <w:lvl w:ilvl="0">
      <w:lvlJc w:val="left"/>
      <w:lvlText w:val="(%1)"/>
      <w:numFmt w:val="lowerLetter"/>
      <w:start w:val="9"/>
    </w:lvl>
    <w:lvl w:ilvl="1">
      <w:lvlJc w:val="left"/>
      <w:lvlText w:val="(%2)"/>
      <w:numFmt w:val="lowerLetter"/>
      <w:start w:val="2"/>
    </w:lvl>
    <w:lvl w:ilvl="2">
      <w:lvlJc w:val="left"/>
      <w:lvlText w:val="-"/>
      <w:numFmt w:val="bullet"/>
      <w:start w:val="1"/>
    </w:lvl>
  </w:abstractNum>
  <w:abstractNum w:abstractNumId="120">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21">
    <w:nsid w:val="754342"/>
    <w:multiLevelType w:val="hybridMultilevel"/>
    <w:lvl w:ilvl="0">
      <w:lvlJc w:val="left"/>
      <w:lvlText w:val="(%1)"/>
      <w:numFmt w:val="lowerLetter"/>
      <w:start w:val="35"/>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122">
    <w:nsid w:val="69E7F3E5"/>
    <w:multiLevelType w:val="hybridMultilevel"/>
    <w:lvl w:ilvl="0">
      <w:lvlJc w:val="left"/>
      <w:lvlText w:val="(%1)"/>
      <w:numFmt w:val="lowerRoman"/>
      <w:start w:val="2"/>
    </w:lvl>
  </w:abstractNum>
  <w:abstractNum w:abstractNumId="123">
    <w:nsid w:val="2A6DE806"/>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124">
    <w:nsid w:val="1816F8C4"/>
    <w:multiLevelType w:val="hybridMultilevel"/>
    <w:lvl w:ilvl="0">
      <w:lvlJc w:val="left"/>
      <w:lvlText w:val="(%1)"/>
      <w:numFmt w:val="lowerLetter"/>
      <w:start w:val="61"/>
    </w:lvl>
    <w:lvl w:ilvl="1">
      <w:lvlJc w:val="left"/>
      <w:lvlText w:val="(%2)"/>
      <w:numFmt w:val="lowerLetter"/>
      <w:start w:val="6"/>
    </w:lvl>
    <w:lvl w:ilvl="2">
      <w:lvlJc w:val="left"/>
      <w:lvlText w:val="-"/>
      <w:numFmt w:val="bullet"/>
      <w:start w:val="1"/>
    </w:lvl>
  </w:abstractNum>
  <w:abstractNum w:abstractNumId="125">
    <w:nsid w:val="37DF2233"/>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126">
    <w:nsid w:val="7AB49DAF"/>
    <w:multiLevelType w:val="hybridMultilevel"/>
    <w:lvl w:ilvl="0">
      <w:lvlJc w:val="left"/>
      <w:lvlText w:val="(%1)"/>
      <w:numFmt w:val="decimal"/>
      <w:start w:val="30"/>
    </w:lvl>
    <w:lvl w:ilvl="1">
      <w:lvlJc w:val="left"/>
      <w:lvlText w:val="(%2)"/>
      <w:numFmt w:val="lowerLetter"/>
      <w:start w:val="9"/>
    </w:lvl>
    <w:lvl w:ilvl="2">
      <w:lvlJc w:val="left"/>
      <w:lvlText w:val="(%3)"/>
      <w:numFmt w:val="lowerRoman"/>
      <w:start w:val="1"/>
    </w:lvl>
    <w:lvl w:ilvl="3">
      <w:lvlJc w:val="left"/>
      <w:lvlText w:val="-"/>
      <w:numFmt w:val="bullet"/>
      <w:start w:val="1"/>
    </w:lvl>
  </w:abstractNum>
  <w:abstractNum w:abstractNumId="127">
    <w:nsid w:val="759F82CD"/>
    <w:multiLevelType w:val="hybridMultilevel"/>
    <w:lvl w:ilvl="0">
      <w:lvlJc w:val="left"/>
      <w:lvlText w:val="(%1)"/>
      <w:numFmt w:val="lowerLetter"/>
      <w:start w:val="1"/>
    </w:lvl>
    <w:lvl w:ilvl="1">
      <w:lvlJc w:val="left"/>
      <w:lvlText w:val="(%2)"/>
      <w:numFmt w:val="lowerRoman"/>
      <w:start w:val="1"/>
    </w:lvl>
  </w:abstractNum>
  <w:abstractNum w:abstractNumId="128">
    <w:nsid w:val="61E74EA3"/>
    <w:multiLevelType w:val="hybridMultilevel"/>
    <w:lvl w:ilvl="0">
      <w:lvlJc w:val="left"/>
      <w:lvlText w:val="(%1)"/>
      <w:numFmt w:val="decimal"/>
      <w:start w:val="1"/>
    </w:lvl>
  </w:abstractNum>
  <w:abstractNum w:abstractNumId="129">
    <w:nsid w:val="597B4D84"/>
    <w:multiLevelType w:val="hybridMultilevel"/>
    <w:lvl w:ilvl="0">
      <w:lvlJc w:val="left"/>
      <w:lvlText w:val="(%1)"/>
      <w:numFmt w:val="lowerLetter"/>
      <w:start w:val="2"/>
    </w:lvl>
    <w:lvl w:ilvl="1">
      <w:lvlJc w:val="left"/>
      <w:lvlText w:val="-"/>
      <w:numFmt w:val="bullet"/>
      <w:start w:val="1"/>
    </w:lvl>
  </w:abstractNum>
  <w:abstractNum w:abstractNumId="130">
    <w:nsid w:val="F819E7F"/>
    <w:multiLevelType w:val="hybridMultilevel"/>
    <w:lvl w:ilvl="0">
      <w:lvlJc w:val="left"/>
      <w:lvlText w:val="(%1)"/>
      <w:numFmt w:val="lowerLetter"/>
      <w:start w:val="5"/>
    </w:lvl>
  </w:abstractNum>
  <w:abstractNum w:abstractNumId="131">
    <w:nsid w:val="57C7D42D"/>
    <w:multiLevelType w:val="hybridMultilevel"/>
    <w:lvl w:ilvl="0">
      <w:lvlJc w:val="left"/>
      <w:lvlText w:val="(%1)"/>
      <w:numFmt w:val="lowerLetter"/>
      <w:start w:val="1"/>
    </w:lvl>
    <w:lvl w:ilvl="1">
      <w:lvlJc w:val="left"/>
      <w:lvlText w:val="-"/>
      <w:numFmt w:val="bullet"/>
      <w:start w:val="1"/>
    </w:lvl>
  </w:abstractNum>
  <w:abstractNum w:abstractNumId="132">
    <w:nsid w:val="312167AD"/>
    <w:multiLevelType w:val="hybridMultilevel"/>
    <w:lvl w:ilvl="0">
      <w:lvlJc w:val="left"/>
      <w:lvlText w:val="(%1)"/>
      <w:numFmt w:val="lowerLetter"/>
      <w:start w:val="4"/>
    </w:lvl>
  </w:abstractNum>
  <w:abstractNum w:abstractNumId="133">
    <w:nsid w:val="631B64D4"/>
    <w:multiLevelType w:val="hybridMultilevel"/>
    <w:lvl w:ilvl="0">
      <w:lvlJc w:val="left"/>
      <w:lvlText w:val="(%1)"/>
      <w:numFmt w:val="lowerLetter"/>
      <w:start w:val="1"/>
    </w:lvl>
    <w:lvl w:ilvl="1">
      <w:lvlJc w:val="left"/>
      <w:lvlText w:val="-"/>
      <w:numFmt w:val="bullet"/>
      <w:start w:val="1"/>
    </w:lvl>
  </w:abstractNum>
  <w:abstractNum w:abstractNumId="134">
    <w:nsid w:val="78B5E776"/>
    <w:multiLevelType w:val="hybridMultilevel"/>
    <w:lvl w:ilvl="0">
      <w:lvlJc w:val="left"/>
      <w:lvlText w:val="(%1)"/>
      <w:numFmt w:val="lowerLetter"/>
      <w:start w:val="4"/>
    </w:lvl>
  </w:abstractNum>
  <w:abstractNum w:abstractNumId="135">
    <w:nsid w:val="75486E47"/>
    <w:multiLevelType w:val="hybridMultilevel"/>
    <w:lvl w:ilvl="0">
      <w:lvlJc w:val="left"/>
      <w:lvlText w:val="(%1)"/>
      <w:numFmt w:val="lowerLetter"/>
      <w:start w:val="1"/>
    </w:lvl>
  </w:abstractNum>
  <w:abstractNum w:abstractNumId="136">
    <w:nsid w:val="6E534CDE"/>
    <w:multiLevelType w:val="hybridMultilevel"/>
    <w:lvl w:ilvl="0">
      <w:lvlJc w:val="left"/>
      <w:lvlText w:val="(%1)"/>
      <w:numFmt w:val="decimal"/>
      <w:start w:val="10"/>
    </w:lvl>
  </w:abstractNum>
  <w:abstractNum w:abstractNumId="137">
    <w:nsid w:val="1A0DDE32"/>
    <w:multiLevelType w:val="hybridMultilevel"/>
    <w:lvl w:ilvl="0">
      <w:lvlJc w:val="left"/>
      <w:lvlText w:val="(%1)"/>
      <w:numFmt w:val="lowerRoman"/>
      <w:start w:val="1"/>
    </w:lvl>
    <w:lvl w:ilvl="1">
      <w:lvlJc w:val="left"/>
      <w:lvlText w:val="-"/>
      <w:numFmt w:val="bullet"/>
      <w:start w:val="1"/>
    </w:lvl>
  </w:abstractNum>
  <w:abstractNum w:abstractNumId="138">
    <w:nsid w:val="65968C1C"/>
    <w:multiLevelType w:val="hybridMultilevel"/>
    <w:lvl w:ilvl="0">
      <w:lvlJc w:val="left"/>
      <w:lvlText w:val="(%1)"/>
      <w:numFmt w:val="lowerLetter"/>
      <w:start w:val="1"/>
    </w:lvl>
    <w:lvl w:ilvl="1">
      <w:lvlJc w:val="left"/>
      <w:lvlText w:val="-"/>
      <w:numFmt w:val="bullet"/>
      <w:start w:val="1"/>
    </w:lvl>
  </w:abstractNum>
  <w:abstractNum w:abstractNumId="139">
    <w:nsid w:val="46263DEC"/>
    <w:multiLevelType w:val="hybridMultilevel"/>
    <w:lvl w:ilvl="0">
      <w:lvlJc w:val="left"/>
      <w:lvlText w:val="(%1)"/>
      <w:numFmt w:val="lowerLetter"/>
      <w:start w:val="3"/>
    </w:lvl>
  </w:abstractNum>
  <w:abstractNum w:abstractNumId="140">
    <w:nsid w:val="260D8C4A"/>
    <w:multiLevelType w:val="hybridMultilevel"/>
    <w:lvl w:ilvl="0">
      <w:lvlJc w:val="left"/>
      <w:lvlText w:val="(%1)"/>
      <w:numFmt w:val="lowerLetter"/>
      <w:start w:val="1"/>
    </w:lvl>
    <w:lvl w:ilvl="1">
      <w:lvlJc w:val="left"/>
      <w:lvlText w:val="-"/>
      <w:numFmt w:val="bullet"/>
      <w:start w:val="1"/>
    </w:lvl>
  </w:abstractNum>
  <w:abstractNum w:abstractNumId="141">
    <w:nsid w:val="73D4D3C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42">
    <w:nsid w:val="746F2E30"/>
    <w:multiLevelType w:val="hybridMultilevel"/>
    <w:lvl w:ilvl="0">
      <w:lvlJc w:val="left"/>
      <w:lvlText w:val="%1"/>
      <w:numFmt w:val="lowerRoman"/>
      <w:start w:val="1"/>
    </w:lvl>
    <w:lvl w:ilvl="1">
      <w:lvlJc w:val="left"/>
      <w:lvlText w:val="(%2)"/>
      <w:numFmt w:val="upperLetter"/>
      <w:start w:val="3"/>
    </w:lvl>
  </w:abstractNum>
  <w:abstractNum w:abstractNumId="143">
    <w:nsid w:val="6FDE8AF6"/>
    <w:multiLevelType w:val="hybridMultilevel"/>
    <w:lvl w:ilvl="0">
      <w:lvlJc w:val="left"/>
      <w:lvlText w:val="(%1)"/>
      <w:numFmt w:val="lowerRoman"/>
      <w:start w:val="4"/>
    </w:lvl>
    <w:lvl w:ilvl="1">
      <w:lvlJc w:val="left"/>
      <w:lvlText w:val="%2"/>
      <w:numFmt w:val="upperLetter"/>
      <w:start w:val="1"/>
    </w:lvl>
  </w:abstractNum>
  <w:abstractNum w:abstractNumId="144">
    <w:nsid w:val="3FC32E20"/>
    <w:multiLevelType w:val="hybridMultilevel"/>
    <w:lvl w:ilvl="0">
      <w:lvlJc w:val="left"/>
      <w:lvlText w:val="(%1)"/>
      <w:numFmt w:val="lowerLetter"/>
      <w:start w:val="3"/>
    </w:lvl>
    <w:lvl w:ilvl="1">
      <w:lvlJc w:val="left"/>
      <w:lvlText w:val="-"/>
      <w:numFmt w:val="bullet"/>
      <w:start w:val="1"/>
    </w:lvl>
  </w:abstractNum>
  <w:abstractNum w:abstractNumId="145">
    <w:nsid w:val="49C0E823"/>
    <w:multiLevelType w:val="hybridMultilevel"/>
    <w:lvl w:ilvl="0">
      <w:lvlJc w:val="left"/>
      <w:lvlText w:val="(%1)"/>
      <w:numFmt w:val="lowerLetter"/>
      <w:start w:val="4"/>
    </w:lvl>
    <w:lvl w:ilvl="1">
      <w:lvlJc w:val="left"/>
      <w:lvlText w:val="-"/>
      <w:numFmt w:val="bullet"/>
      <w:start w:val="1"/>
    </w:lvl>
  </w:abstractNum>
  <w:abstractNum w:abstractNumId="146">
    <w:nsid w:val="14D53685"/>
    <w:multiLevelType w:val="hybridMultilevel"/>
    <w:lvl w:ilvl="0">
      <w:lvlJc w:val="left"/>
      <w:lvlText w:val="(%1)"/>
      <w:numFmt w:val="lowerLetter"/>
      <w:start w:val="8"/>
    </w:lvl>
  </w:abstractNum>
  <w:abstractNum w:abstractNumId="147">
    <w:nsid w:val="230F856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48">
    <w:nsid w:val="6EAA85FB"/>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149">
    <w:nsid w:val="3F06ECB2"/>
    <w:multiLevelType w:val="hybridMultilevel"/>
    <w:lvl w:ilvl="0">
      <w:lvlJc w:val="left"/>
      <w:lvlText w:val="(%1)"/>
      <w:numFmt w:val="lowerLetter"/>
      <w:start w:val="2"/>
    </w:lvl>
    <w:lvl w:ilvl="1">
      <w:lvlJc w:val="left"/>
      <w:lvlText w:val="(%2)"/>
      <w:numFmt w:val="lowerRoman"/>
      <w:start w:val="1"/>
    </w:lvl>
  </w:abstractNum>
  <w:abstractNum w:abstractNumId="150">
    <w:nsid w:val="3B594807"/>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151">
    <w:nsid w:val="6CAA230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52">
    <w:nsid w:val="3F7C2FF4"/>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53">
    <w:nsid w:val="25413BEC"/>
    <w:multiLevelType w:val="hybridMultilevel"/>
    <w:lvl w:ilvl="0">
      <w:lvlJc w:val="left"/>
      <w:lvlText w:val="(%1)"/>
      <w:numFmt w:val="upperLetter"/>
      <w:start w:val="1"/>
    </w:lvl>
    <w:lvl w:ilvl="1">
      <w:lvlJc w:val="left"/>
      <w:lvlText w:val="%2"/>
      <w:numFmt w:val="lowerLetter"/>
      <w:start w:val="1"/>
    </w:lvl>
    <w:lvl w:ilvl="2">
      <w:lvlJc w:val="left"/>
      <w:lvlText w:val="-"/>
      <w:numFmt w:val="bullet"/>
      <w:start w:val="1"/>
    </w:lvl>
  </w:abstractNum>
  <w:abstractNum w:abstractNumId="154">
    <w:nsid w:val="17180B0B"/>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55">
    <w:nsid w:val="579328B9"/>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156">
    <w:nsid w:val="5D205E20"/>
    <w:multiLevelType w:val="hybridMultilevel"/>
    <w:lvl w:ilvl="0">
      <w:lvlJc w:val="left"/>
      <w:lvlText w:val="(%1)"/>
      <w:numFmt w:val="lowerLetter"/>
      <w:start w:val="6"/>
    </w:lvl>
  </w:abstractNum>
  <w:abstractNum w:abstractNumId="157">
    <w:nsid w:val="11CCA8BA"/>
    <w:multiLevelType w:val="hybridMultilevel"/>
    <w:lvl w:ilvl="0">
      <w:lvlJc w:val="left"/>
      <w:lvlText w:val="(%1)"/>
      <w:numFmt w:val="lowerLetter"/>
      <w:start w:val="1"/>
    </w:lvl>
    <w:lvl w:ilvl="1">
      <w:lvlJc w:val="left"/>
      <w:lvlText w:val="(%2)"/>
      <w:numFmt w:val="lowerRoman"/>
      <w:start w:val="1"/>
    </w:lvl>
  </w:abstractNum>
  <w:abstractNum w:abstractNumId="158">
    <w:nsid w:val="4D32AB86"/>
    <w:multiLevelType w:val="hybridMultilevel"/>
    <w:lvl w:ilvl="0">
      <w:lvlJc w:val="left"/>
      <w:lvlText w:val="(%1)"/>
      <w:numFmt w:val="lowerLetter"/>
      <w:start w:val="1"/>
    </w:lvl>
    <w:lvl w:ilvl="1">
      <w:lvlJc w:val="left"/>
      <w:lvlText w:val="-"/>
      <w:numFmt w:val="bullet"/>
      <w:start w:val="1"/>
    </w:lvl>
  </w:abstractNum>
  <w:abstractNum w:abstractNumId="159">
    <w:nsid w:val="3F07ACC3"/>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2019-12-28T09:57:33Z</dcterms:created>
  <dcterms:modified xsi:type="dcterms:W3CDTF">2019-12-28T09:57:33Z</dcterms:modified>
</cp:coreProperties>
</file>