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June 20, 2017, Federal Realty Investment Trust (the “Registrant”) entered into an underwriting agreement with Citigroup Global Markets Inc., Deutsche Bank Securities Inc., J.P. Morgan Securities LLC and Wells Fargo Securities, LLC, as representatives of the several underwriters named in Schedule I to the related pricing agreement, whereby the Registrant agreed to issue and sell (i) $300,000,000 aggregate principal amount of 3.25% Notes due 2027 (the “2027 Notes”) and (ii) $100,000,000 aggregate principal amount of 4.50% Notes due 2044 (the “2044 Notes” and, together with the 2027 Notes, collectively the “Notes”) in an underwritten public offering. The 2044 Notes are of the same series as the 4.50% Notes due 2044 that the Registrant first issued on November 14, 2014.The offering of the Notes closed on June 23, 2017.</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Notes are be governed by the Indenture, dated as of September 1, 1998, between the Registrant and U.S. Bank National Association (successor trustee to Wachovia Bank, National Association (successor trustee to First Union National Bank)).</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Notes are senior unsecured obligations of the Registrant and rank equally with all of the Registrant’s other senior unsecured indebtedness. The 2027 Notes bear interest at 3.25% per annum, and interest is payable on January 15 and July 15 of each year, beginning on January 15, 2018. The 2027 Notes will mature on July 15, 2027. The 2044 Notes bear interest at 4.50% per annum, and interest is payable on June 1 and December 1 of each year, with the next interest payment date being December 1, 2017. The 2044 Notes will mature on December 1, 2044.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line="151" w:lineRule="exact"/>
              <w:rPr>
                <w:sz w:val="20"/>
                <w:szCs w:val="20"/>
                <w:color w:val="auto"/>
              </w:rPr>
            </w:pPr>
            <w:r>
              <w:rPr>
                <w:rFonts w:ascii="Arial" w:cs="Arial" w:eastAsia="Arial" w:hAnsi="Arial"/>
                <w:sz w:val="14"/>
                <w:szCs w:val="14"/>
                <w:b w:val="1"/>
                <w:bCs w:val="1"/>
                <w:color w:val="auto"/>
              </w:rPr>
              <w:t>No.</w:t>
            </w:r>
          </w:p>
        </w:tc>
        <w:tc>
          <w:tcPr>
            <w:tcW w:w="1090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54"/>
              <w:spacing w:after="0"/>
              <w:rPr>
                <w:sz w:val="20"/>
                <w:szCs w:val="20"/>
                <w:color w:val="auto"/>
              </w:rPr>
            </w:pPr>
            <w:r>
              <w:rPr>
                <w:rFonts w:ascii="Arial" w:cs="Arial" w:eastAsia="Arial" w:hAnsi="Arial"/>
                <w:sz w:val="18"/>
                <w:szCs w:val="18"/>
                <w:color w:val="auto"/>
              </w:rPr>
              <w:t>1.1</w:t>
            </w:r>
          </w:p>
        </w:tc>
        <w:tc>
          <w:tcPr>
            <w:tcW w:w="5400" w:type="dxa"/>
            <w:vAlign w:val="bottom"/>
            <w:vMerge w:val="restart"/>
          </w:tcPr>
          <w:p>
            <w:pPr>
              <w:ind w:left="560"/>
              <w:spacing w:after="0"/>
              <w:rPr>
                <w:sz w:val="20"/>
                <w:szCs w:val="20"/>
                <w:color w:val="auto"/>
              </w:rPr>
            </w:pPr>
            <w:r>
              <w:rPr>
                <w:rFonts w:ascii="Arial" w:cs="Arial" w:eastAsia="Arial" w:hAnsi="Arial"/>
                <w:sz w:val="18"/>
                <w:szCs w:val="18"/>
                <w:color w:val="auto"/>
                <w:w w:val="92"/>
              </w:rPr>
              <w:t>Underwriting Agreement, dated June 20, 2017, by and among the</w:t>
            </w:r>
          </w:p>
        </w:tc>
        <w:tc>
          <w:tcPr>
            <w:tcW w:w="720" w:type="dxa"/>
            <w:vAlign w:val="bottom"/>
            <w:tcBorders>
              <w:bottom w:val="single" w:sz="8" w:color="auto"/>
            </w:tcBorders>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8"/>
                <w:szCs w:val="18"/>
                <w:color w:val="auto"/>
                <w:w w:val="91"/>
              </w:rPr>
              <w:t>and Citigroup Global Markets Inc., Deutsche Bank Securities Inc.,</w:t>
            </w:r>
          </w:p>
        </w:tc>
        <w:tc>
          <w:tcPr>
            <w:tcW w:w="0" w:type="dxa"/>
            <w:vAlign w:val="bottom"/>
          </w:tcPr>
          <w:p>
            <w:pPr>
              <w:spacing w:after="0" w:line="20" w:lineRule="exact"/>
              <w:rPr>
                <w:sz w:val="1"/>
                <w:szCs w:val="1"/>
                <w:color w:val="auto"/>
              </w:rPr>
            </w:pPr>
          </w:p>
        </w:tc>
      </w:tr>
      <w:tr>
        <w:trPr>
          <w:trHeight w:val="182"/>
        </w:trPr>
        <w:tc>
          <w:tcPr>
            <w:tcW w:w="460" w:type="dxa"/>
            <w:vAlign w:val="bottom"/>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720" w:type="dxa"/>
            <w:vAlign w:val="bottom"/>
          </w:tcPr>
          <w:p>
            <w:pPr>
              <w:spacing w:after="0" w:line="182" w:lineRule="exact"/>
              <w:rPr>
                <w:sz w:val="20"/>
                <w:szCs w:val="20"/>
                <w:color w:val="auto"/>
              </w:rPr>
            </w:pPr>
            <w:r>
              <w:rPr>
                <w:rFonts w:ascii="Arial" w:cs="Arial" w:eastAsia="Arial" w:hAnsi="Arial"/>
                <w:sz w:val="18"/>
                <w:szCs w:val="18"/>
                <w:color w:val="auto"/>
                <w:w w:val="85"/>
              </w:rPr>
              <w:t>Registrant</w:t>
            </w:r>
          </w:p>
        </w:tc>
        <w:tc>
          <w:tcPr>
            <w:tcW w:w="4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J.P. Morgan Securities LLC and Wells Fargo Securities, LLC, as representatives of the several underwriters named in Schedule I to the related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pricing agreement</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Pricing Agreement, dated June 20, 2017, by and among the Registrant and Citigroup Global Markets Inc., Deutsche Bank Securities Inc., J.P.</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Morgan Securities LLC and Wells Fargo Securities, LLC, as representatives of the underwriters named therein</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of 3.25% Note due 2027</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of 4.50% Note due 2044</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securities being issued by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Statement Regarding Computation of Ratio of Earnings to Fixed Charges</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940" w:val="left"/>
          <w:tab w:leader="none" w:pos="7520" w:val="left"/>
        </w:tabs>
        <w:rPr>
          <w:sz w:val="20"/>
          <w:szCs w:val="20"/>
          <w:color w:val="auto"/>
        </w:rPr>
      </w:pPr>
      <w:r>
        <w:rPr>
          <w:rFonts w:ascii="Arial" w:cs="Arial" w:eastAsia="Arial" w:hAnsi="Arial"/>
          <w:sz w:val="18"/>
          <w:szCs w:val="18"/>
          <w:color w:val="auto"/>
        </w:rPr>
        <w:t>Date: June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Executive Vice President-General Counsel and</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20,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Schedules II-A and II-B to such Pricing Agreement (with respect to the Securities specified in such Schedules II-A and II-B, the “Designated Securities”).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73" w:lineRule="exact"/>
        <w:rPr>
          <w:sz w:val="20"/>
          <w:szCs w:val="20"/>
          <w:color w:val="auto"/>
        </w:rPr>
      </w:pPr>
    </w:p>
    <w:p>
      <w:pPr>
        <w:ind w:firstLine="464"/>
        <w:spacing w:after="0" w:line="286" w:lineRule="auto"/>
        <w:tabs>
          <w:tab w:leader="none" w:pos="636"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2.The Company represents and warrants to, and agrees with, each of the Underwriters as of the date hereof, the Applicable Time referred to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2(c) hereof and the Time of Delivery referred to in Section 4 hereof that:</w:t>
      </w:r>
    </w:p>
    <w:p>
      <w:pPr>
        <w:spacing w:after="0" w:line="103" w:lineRule="exact"/>
        <w:rPr>
          <w:sz w:val="20"/>
          <w:szCs w:val="20"/>
          <w:color w:val="auto"/>
        </w:rPr>
      </w:pPr>
    </w:p>
    <w:p>
      <w:pPr>
        <w:ind w:left="460" w:firstLine="443"/>
        <w:spacing w:after="0" w:line="297" w:lineRule="auto"/>
        <w:tabs>
          <w:tab w:leader="none" w:pos="11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61" w:lineRule="exact"/>
        <w:rPr>
          <w:sz w:val="20"/>
          <w:szCs w:val="20"/>
          <w:color w:val="auto"/>
        </w:rPr>
      </w:pPr>
    </w:p>
    <w:p>
      <w:pPr>
        <w:ind w:right="80" w:firstLine="438"/>
        <w:spacing w:after="0" w:line="271" w:lineRule="auto"/>
        <w:rPr>
          <w:sz w:val="20"/>
          <w:szCs w:val="20"/>
          <w:color w:val="auto"/>
        </w:rPr>
      </w:pPr>
      <w:r>
        <w:rPr>
          <w:rFonts w:ascii="Arial" w:cs="Arial" w:eastAsia="Arial" w:hAnsi="Arial"/>
          <w:sz w:val="17"/>
          <w:szCs w:val="17"/>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1" w:lineRule="exact"/>
        <w:rPr>
          <w:sz w:val="20"/>
          <w:szCs w:val="20"/>
          <w:color w:val="auto"/>
        </w:rPr>
      </w:pPr>
    </w:p>
    <w:p>
      <w:pPr>
        <w:ind w:right="220" w:firstLine="443"/>
        <w:spacing w:after="0" w:line="279" w:lineRule="auto"/>
        <w:tabs>
          <w:tab w:leader="none" w:pos="693" w:val="left"/>
        </w:tabs>
        <w:numPr>
          <w:ilvl w:val="0"/>
          <w:numId w:val="4"/>
        </w:numPr>
        <w:rPr>
          <w:rFonts w:ascii="Arial" w:cs="Arial" w:eastAsia="Arial" w:hAnsi="Arial"/>
          <w:sz w:val="17"/>
          <w:szCs w:val="17"/>
          <w:color w:val="auto"/>
        </w:rPr>
      </w:pPr>
      <w:r>
        <w:rPr>
          <w:rFonts w:ascii="Arial" w:cs="Arial" w:eastAsia="Arial" w:hAnsi="Arial"/>
          <w:sz w:val="17"/>
          <w:szCs w:val="17"/>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6" w:name="page7"/>
    <w:bookmarkEnd w:id="6"/>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70" w:lineRule="exact"/>
        <w:rPr>
          <w:sz w:val="20"/>
          <w:szCs w:val="20"/>
          <w:color w:val="auto"/>
        </w:rPr>
      </w:pPr>
    </w:p>
    <w:p>
      <w:pPr>
        <w:jc w:val="both"/>
        <w:ind w:right="100" w:firstLine="443"/>
        <w:spacing w:after="0" w:line="302"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54" w:lineRule="exact"/>
        <w:rPr>
          <w:sz w:val="20"/>
          <w:szCs w:val="20"/>
          <w:color w:val="auto"/>
        </w:rPr>
      </w:pPr>
    </w:p>
    <w:p>
      <w:pPr>
        <w:ind w:firstLine="43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88" w:lineRule="exact"/>
        <w:rPr>
          <w:sz w:val="20"/>
          <w:szCs w:val="20"/>
          <w:color w:val="auto"/>
        </w:rPr>
      </w:pPr>
    </w:p>
    <w:p>
      <w:pPr>
        <w:ind w:right="100" w:firstLine="443"/>
        <w:spacing w:after="0" w:line="255" w:lineRule="auto"/>
        <w:tabs>
          <w:tab w:leader="none" w:pos="733"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7" w:name="page8"/>
    <w:bookmarkEnd w:id="7"/>
    <w:p>
      <w:pPr>
        <w:ind w:right="140" w:firstLine="438"/>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73" w:lineRule="exact"/>
        <w:rPr>
          <w:sz w:val="20"/>
          <w:szCs w:val="20"/>
          <w:color w:val="auto"/>
        </w:rPr>
      </w:pPr>
    </w:p>
    <w:p>
      <w:pPr>
        <w:ind w:right="300" w:firstLine="438"/>
        <w:spacing w:after="0" w:line="257"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154" w:lineRule="exact"/>
        <w:rPr>
          <w:sz w:val="20"/>
          <w:szCs w:val="20"/>
          <w:color w:val="auto"/>
        </w:rPr>
      </w:pPr>
    </w:p>
    <w:p>
      <w:pPr>
        <w:ind w:right="20" w:firstLine="438"/>
        <w:spacing w:after="0" w:line="302"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225" w:lineRule="exact"/>
        <w:rPr>
          <w:sz w:val="20"/>
          <w:szCs w:val="20"/>
          <w:color w:val="auto"/>
        </w:rPr>
      </w:pPr>
    </w:p>
    <w:p>
      <w:pPr>
        <w:ind w:right="200" w:firstLine="438"/>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170" w:lineRule="exact"/>
        <w:rPr>
          <w:sz w:val="20"/>
          <w:szCs w:val="20"/>
          <w:color w:val="auto"/>
        </w:rPr>
      </w:pPr>
    </w:p>
    <w:p>
      <w:pPr>
        <w:ind w:right="140" w:firstLine="438"/>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8" w:name="page9"/>
    <w:bookmarkEnd w:id="8"/>
    <w:p>
      <w:pPr>
        <w:ind w:right="16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57" w:lineRule="exact"/>
        <w:rPr>
          <w:sz w:val="20"/>
          <w:szCs w:val="20"/>
          <w:color w:val="auto"/>
        </w:rPr>
      </w:pPr>
    </w:p>
    <w:p>
      <w:pPr>
        <w:ind w:right="36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right="160" w:firstLine="443"/>
        <w:spacing w:after="0" w:line="255"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firstLine="443"/>
        <w:spacing w:after="0" w:line="270" w:lineRule="auto"/>
        <w:tabs>
          <w:tab w:leader="none" w:pos="66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89" w:lineRule="exact"/>
        <w:rPr>
          <w:sz w:val="20"/>
          <w:szCs w:val="20"/>
          <w:color w:val="auto"/>
        </w:rPr>
      </w:pPr>
    </w:p>
    <w:p>
      <w:pPr>
        <w:ind w:firstLine="443"/>
        <w:spacing w:after="0" w:line="285"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November 4, 2016 between the Company and Wells Fargo Securities, LLC, (b) the Equity Distribution Agreement dated November 4, 2016 between the Company and Merrill Lynch, Pierce, Fenner &amp; Smith Incorporated and (c) 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10" w:name="page11"/>
    <w:bookmarkEnd w:id="10"/>
    <w:p>
      <w:pPr>
        <w:ind w:right="40" w:firstLine="443"/>
        <w:spacing w:after="0" w:line="25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0" w:lineRule="exact"/>
        <w:rPr>
          <w:rFonts w:ascii="Arial" w:cs="Arial" w:eastAsia="Arial" w:hAnsi="Arial"/>
          <w:sz w:val="18"/>
          <w:szCs w:val="18"/>
          <w:color w:val="auto"/>
        </w:rPr>
      </w:pPr>
    </w:p>
    <w:p>
      <w:pPr>
        <w:ind w:right="460" w:firstLine="443"/>
        <w:spacing w:after="0" w:line="277" w:lineRule="auto"/>
        <w:tabs>
          <w:tab w:leader="none" w:pos="65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full right, power and authority under its organizational documents to enter into this Underwriting Agreement, and this Underwriting Agreement has been duly and validly authorized, executed and delivered by the Company.</w:t>
      </w:r>
    </w:p>
    <w:p>
      <w:pPr>
        <w:spacing w:after="0" w:line="62" w:lineRule="exact"/>
        <w:rPr>
          <w:rFonts w:ascii="Arial" w:cs="Arial" w:eastAsia="Arial" w:hAnsi="Arial"/>
          <w:sz w:val="18"/>
          <w:szCs w:val="18"/>
          <w:color w:val="auto"/>
        </w:rPr>
      </w:pPr>
    </w:p>
    <w:p>
      <w:pPr>
        <w:ind w:right="140" w:firstLine="443"/>
        <w:spacing w:after="0" w:line="289" w:lineRule="auto"/>
        <w:tabs>
          <w:tab w:leader="none" w:pos="65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58" w:lineRule="exact"/>
        <w:rPr>
          <w:rFonts w:ascii="Arial" w:cs="Arial" w:eastAsia="Arial" w:hAnsi="Arial"/>
          <w:sz w:val="16"/>
          <w:szCs w:val="16"/>
          <w:color w:val="auto"/>
        </w:rPr>
      </w:pPr>
    </w:p>
    <w:p>
      <w:pPr>
        <w:ind w:firstLine="443"/>
        <w:spacing w:after="0" w:line="255"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1" w:name="page12"/>
    <w:bookmarkEnd w:id="11"/>
    <w:p>
      <w:pPr>
        <w:ind w:right="6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w:t>
      </w:r>
    </w:p>
    <w:p>
      <w:pPr>
        <w:ind w:firstLine="4"/>
        <w:spacing w:after="0" w:line="323" w:lineRule="auto"/>
        <w:tabs>
          <w:tab w:leader="none" w:pos="3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30" w:lineRule="exact"/>
        <w:rPr>
          <w:rFonts w:ascii="Arial" w:cs="Arial" w:eastAsia="Arial" w:hAnsi="Arial"/>
          <w:sz w:val="16"/>
          <w:szCs w:val="16"/>
          <w:color w:val="auto"/>
        </w:rPr>
      </w:pPr>
    </w:p>
    <w:p>
      <w:pPr>
        <w:ind w:right="20" w:firstLine="443"/>
        <w:spacing w:after="0" w:line="268" w:lineRule="auto"/>
        <w:tabs>
          <w:tab w:leader="none" w:pos="653"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79" w:lineRule="exact"/>
        <w:rPr>
          <w:rFonts w:ascii="Arial" w:cs="Arial" w:eastAsia="Arial" w:hAnsi="Arial"/>
          <w:sz w:val="17"/>
          <w:szCs w:val="17"/>
          <w:color w:val="auto"/>
        </w:rPr>
      </w:pPr>
    </w:p>
    <w:p>
      <w:pPr>
        <w:ind w:firstLine="443"/>
        <w:spacing w:after="0" w:line="255" w:lineRule="auto"/>
        <w:tabs>
          <w:tab w:leader="none" w:pos="7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2" w:name="page13"/>
    <w:bookmarkEnd w:id="12"/>
    <w:p>
      <w:pPr>
        <w:ind w:firstLine="443"/>
        <w:spacing w:after="0" w:line="272" w:lineRule="auto"/>
        <w:tabs>
          <w:tab w:leader="none" w:pos="693"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69" w:lineRule="exact"/>
        <w:rPr>
          <w:rFonts w:ascii="Arial" w:cs="Arial" w:eastAsia="Arial" w:hAnsi="Arial"/>
          <w:sz w:val="17"/>
          <w:szCs w:val="17"/>
          <w:color w:val="auto"/>
        </w:rPr>
      </w:pPr>
    </w:p>
    <w:p>
      <w:pPr>
        <w:ind w:right="20" w:firstLine="443"/>
        <w:spacing w:after="0" w:line="259"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firstLine="443"/>
        <w:spacing w:after="0" w:line="257"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73" w:lineRule="exact"/>
        <w:rPr>
          <w:rFonts w:ascii="Arial" w:cs="Arial" w:eastAsia="Arial" w:hAnsi="Arial"/>
          <w:sz w:val="18"/>
          <w:szCs w:val="18"/>
          <w:color w:val="auto"/>
        </w:rPr>
      </w:pPr>
    </w:p>
    <w:p>
      <w:pPr>
        <w:ind w:right="80" w:firstLine="443"/>
        <w:spacing w:after="0" w:line="257" w:lineRule="auto"/>
        <w:tabs>
          <w:tab w:leader="none" w:pos="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2016 and the consolidated statements of comprehensive income, consolidated statements of shareholders’ equity and consolidated statements of cash flows for the year ended December 31, 2016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13" w:name="page14"/>
    <w:bookmarkEnd w:id="13"/>
    <w:p>
      <w:pPr>
        <w:ind w:firstLine="443"/>
        <w:spacing w:after="0" w:line="286" w:lineRule="auto"/>
        <w:tabs>
          <w:tab w:leader="none" w:pos="673"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3" w:lineRule="exact"/>
        <w:rPr>
          <w:rFonts w:ascii="Arial" w:cs="Arial" w:eastAsia="Arial" w:hAnsi="Arial"/>
          <w:sz w:val="16"/>
          <w:szCs w:val="16"/>
          <w:color w:val="auto"/>
        </w:rPr>
      </w:pPr>
    </w:p>
    <w:p>
      <w:pPr>
        <w:ind w:right="280" w:firstLine="443"/>
        <w:spacing w:after="0" w:line="308" w:lineRule="auto"/>
        <w:tabs>
          <w:tab w:leader="none" w:pos="6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38" w:lineRule="exact"/>
        <w:rPr>
          <w:rFonts w:ascii="Arial" w:cs="Arial" w:eastAsia="Arial" w:hAnsi="Arial"/>
          <w:sz w:val="17"/>
          <w:szCs w:val="17"/>
          <w:color w:val="auto"/>
        </w:rPr>
      </w:pPr>
    </w:p>
    <w:p>
      <w:pPr>
        <w:ind w:right="40" w:firstLine="443"/>
        <w:spacing w:after="0" w:line="272"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74" w:right="299" w:bottom="1440" w:gutter="0" w:footer="0" w:header="0"/>
        </w:sectPr>
      </w:pPr>
    </w:p>
    <w:bookmarkStart w:id="14" w:name="page15"/>
    <w:bookmarkEnd w:id="14"/>
    <w:p>
      <w:pPr>
        <w:ind w:right="120" w:firstLine="443"/>
        <w:spacing w:after="0" w:line="257"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80" w:lineRule="exact"/>
        <w:rPr>
          <w:rFonts w:ascii="Arial" w:cs="Arial" w:eastAsia="Arial" w:hAnsi="Arial"/>
          <w:sz w:val="18"/>
          <w:szCs w:val="18"/>
          <w:color w:val="auto"/>
        </w:rPr>
      </w:pPr>
    </w:p>
    <w:p>
      <w:pPr>
        <w:ind w:firstLine="443"/>
        <w:spacing w:after="0" w:line="293" w:lineRule="auto"/>
        <w:tabs>
          <w:tab w:leader="none" w:pos="7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6" w:lineRule="exact"/>
        <w:rPr>
          <w:rFonts w:ascii="Arial" w:cs="Arial" w:eastAsia="Arial" w:hAnsi="Arial"/>
          <w:sz w:val="16"/>
          <w:szCs w:val="16"/>
          <w:color w:val="auto"/>
        </w:rPr>
      </w:pPr>
    </w:p>
    <w:p>
      <w:pPr>
        <w:ind w:right="60" w:firstLine="443"/>
        <w:spacing w:after="0" w:line="288"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61" w:lineRule="exact"/>
        <w:rPr>
          <w:rFonts w:ascii="Arial" w:cs="Arial" w:eastAsia="Arial" w:hAnsi="Arial"/>
          <w:sz w:val="16"/>
          <w:szCs w:val="16"/>
          <w:color w:val="auto"/>
        </w:rPr>
      </w:pPr>
    </w:p>
    <w:p>
      <w:pPr>
        <w:ind w:left="700" w:hanging="257"/>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recordkeeping and reporting requirements of the Currency and Foreign Transactions Reporting Act of 1970, as amended, the money laundering statutes of all jurisdictions, the rules and regulations thereunder and any related or similar rules, regulations or</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5" w:name="page16"/>
    <w:bookmarkEnd w:id="15"/>
    <w:p>
      <w:pPr>
        <w:ind w:left="42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3" w:lineRule="exact"/>
        <w:rPr>
          <w:sz w:val="20"/>
          <w:szCs w:val="20"/>
          <w:color w:val="auto"/>
        </w:rPr>
      </w:pPr>
    </w:p>
    <w:p>
      <w:pPr>
        <w:ind w:left="420" w:right="60" w:firstLine="443"/>
        <w:spacing w:after="0" w:line="291" w:lineRule="auto"/>
        <w:tabs>
          <w:tab w:leader="none" w:pos="11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sz w:val="20"/>
          <w:szCs w:val="20"/>
          <w:color w:val="auto"/>
        </w:rPr>
      </w:pPr>
    </w:p>
    <w:p>
      <w:pPr>
        <w:jc w:val="both"/>
        <w:ind w:left="420" w:right="160" w:firstLine="443"/>
        <w:spacing w:after="0" w:line="342" w:lineRule="auto"/>
        <w:tabs>
          <w:tab w:leader="none" w:pos="1183"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5" w:lineRule="exact"/>
        <w:rPr>
          <w:rFonts w:ascii="Arial" w:cs="Arial" w:eastAsia="Arial" w:hAnsi="Arial"/>
          <w:sz w:val="16"/>
          <w:szCs w:val="16"/>
          <w:color w:val="auto"/>
        </w:rPr>
      </w:pPr>
    </w:p>
    <w:p>
      <w:pPr>
        <w:jc w:val="both"/>
        <w:ind w:left="-40" w:right="40" w:firstLine="464"/>
        <w:spacing w:after="0" w:line="264" w:lineRule="auto"/>
        <w:tabs>
          <w:tab w:leader="none" w:pos="5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73" w:lineRule="exact"/>
        <w:rPr>
          <w:rFonts w:ascii="Arial" w:cs="Arial" w:eastAsia="Arial" w:hAnsi="Arial"/>
          <w:sz w:val="18"/>
          <w:szCs w:val="18"/>
          <w:color w:val="auto"/>
        </w:rPr>
      </w:pPr>
    </w:p>
    <w:p>
      <w:pPr>
        <w:ind w:left="-40" w:firstLine="464"/>
        <w:spacing w:after="0" w:line="291"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6" w:name="page17"/>
    <w:bookmarkEnd w:id="16"/>
    <w:p>
      <w:pPr>
        <w:ind w:left="180" w:hanging="176"/>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agrees with each of the Underwriters of any Designated Securities that:</w:t>
      </w:r>
    </w:p>
    <w:p>
      <w:pPr>
        <w:spacing w:after="0" w:line="117" w:lineRule="exact"/>
        <w:rPr>
          <w:rFonts w:ascii="Arial" w:cs="Arial" w:eastAsia="Arial" w:hAnsi="Arial"/>
          <w:sz w:val="18"/>
          <w:szCs w:val="18"/>
          <w:color w:val="auto"/>
        </w:rPr>
      </w:pPr>
    </w:p>
    <w:p>
      <w:pPr>
        <w:ind w:firstLine="443"/>
        <w:spacing w:after="0" w:line="285" w:lineRule="auto"/>
        <w:tabs>
          <w:tab w:leader="none" w:pos="683"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283" w:lineRule="exact"/>
        <w:rPr>
          <w:rFonts w:ascii="Arial" w:cs="Arial" w:eastAsia="Arial" w:hAnsi="Arial"/>
          <w:sz w:val="16"/>
          <w:szCs w:val="16"/>
          <w:color w:val="auto"/>
        </w:rPr>
      </w:pPr>
    </w:p>
    <w:p>
      <w:pPr>
        <w:ind w:right="40" w:firstLine="443"/>
        <w:spacing w:after="0" w:line="255" w:lineRule="auto"/>
        <w:tabs>
          <w:tab w:leader="none" w:pos="6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7" w:name="page18"/>
    <w:bookmarkEnd w:id="1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57" w:lineRule="exact"/>
        <w:rPr>
          <w:sz w:val="20"/>
          <w:szCs w:val="20"/>
          <w:color w:val="auto"/>
        </w:rPr>
      </w:pPr>
    </w:p>
    <w:p>
      <w:pPr>
        <w:ind w:right="20" w:firstLine="443"/>
        <w:spacing w:after="0" w:line="270" w:lineRule="auto"/>
        <w:tabs>
          <w:tab w:leader="none" w:pos="6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69" w:lineRule="exact"/>
        <w:rPr>
          <w:rFonts w:ascii="Arial" w:cs="Arial" w:eastAsia="Arial" w:hAnsi="Arial"/>
          <w:sz w:val="17"/>
          <w:szCs w:val="17"/>
          <w:color w:val="auto"/>
        </w:rPr>
      </w:pPr>
    </w:p>
    <w:p>
      <w:pPr>
        <w:ind w:right="80" w:firstLine="443"/>
        <w:spacing w:after="0" w:line="257"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0" w:lineRule="exact"/>
        <w:rPr>
          <w:rFonts w:ascii="Arial" w:cs="Arial" w:eastAsia="Arial" w:hAnsi="Arial"/>
          <w:sz w:val="18"/>
          <w:szCs w:val="18"/>
          <w:color w:val="auto"/>
        </w:rPr>
      </w:pPr>
    </w:p>
    <w:p>
      <w:pPr>
        <w:ind w:right="100" w:firstLine="443"/>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74" w:right="239" w:bottom="1440" w:gutter="0" w:footer="0" w:header="0"/>
        </w:sectPr>
      </w:pPr>
    </w:p>
    <w:bookmarkStart w:id="18" w:name="page19"/>
    <w:bookmarkEnd w:id="18"/>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63" w:lineRule="exact"/>
        <w:rPr>
          <w:sz w:val="20"/>
          <w:szCs w:val="20"/>
          <w:color w:val="auto"/>
        </w:rPr>
      </w:pPr>
    </w:p>
    <w:p>
      <w:pPr>
        <w:ind w:firstLine="443"/>
        <w:spacing w:after="0" w:line="270" w:lineRule="auto"/>
        <w:tabs>
          <w:tab w:leader="none" w:pos="6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69" w:lineRule="exact"/>
        <w:rPr>
          <w:rFonts w:ascii="Arial" w:cs="Arial" w:eastAsia="Arial" w:hAnsi="Arial"/>
          <w:sz w:val="17"/>
          <w:szCs w:val="17"/>
          <w:color w:val="auto"/>
        </w:rPr>
      </w:pPr>
    </w:p>
    <w:p>
      <w:pPr>
        <w:ind w:firstLine="443"/>
        <w:spacing w:after="0" w:line="269" w:lineRule="auto"/>
        <w:tabs>
          <w:tab w:leader="none" w:pos="69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19" w:name="page20"/>
    <w:bookmarkEnd w:id="1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0" w:lineRule="exact"/>
        <w:rPr>
          <w:sz w:val="20"/>
          <w:szCs w:val="20"/>
          <w:color w:val="auto"/>
        </w:rPr>
      </w:pPr>
    </w:p>
    <w:p>
      <w:pPr>
        <w:ind w:right="160" w:firstLine="443"/>
        <w:spacing w:after="0" w:line="264" w:lineRule="auto"/>
        <w:tabs>
          <w:tab w:leader="none" w:pos="6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firstLine="443"/>
        <w:spacing w:after="0" w:line="291" w:lineRule="auto"/>
        <w:tabs>
          <w:tab w:leader="none" w:pos="6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w:t>
      </w:r>
    </w:p>
    <w:p>
      <w:pPr>
        <w:ind w:right="100" w:firstLine="4"/>
        <w:spacing w:after="0" w:line="302"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47" w:lineRule="exact"/>
        <w:rPr>
          <w:rFonts w:ascii="Arial" w:cs="Arial" w:eastAsia="Arial" w:hAnsi="Arial"/>
          <w:sz w:val="16"/>
          <w:szCs w:val="16"/>
          <w:color w:val="auto"/>
        </w:rPr>
      </w:pPr>
    </w:p>
    <w:p>
      <w:pPr>
        <w:ind w:right="280" w:firstLine="443"/>
        <w:spacing w:after="0" w:line="277" w:lineRule="auto"/>
        <w:tabs>
          <w:tab w:leader="none" w:pos="6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right="420" w:firstLine="443"/>
        <w:spacing w:after="0" w:line="277" w:lineRule="auto"/>
        <w:tabs>
          <w:tab w:leader="none" w:pos="69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700" w:top="274" w:right="339" w:bottom="1440" w:gutter="0" w:footer="0" w:header="0"/>
        </w:sectPr>
      </w:pPr>
    </w:p>
    <w:bookmarkStart w:id="20" w:name="page21"/>
    <w:bookmarkEnd w:id="20"/>
    <w:p>
      <w:pPr>
        <w:ind w:left="452" w:right="100" w:firstLine="443"/>
        <w:spacing w:after="0" w:line="288" w:lineRule="auto"/>
        <w:tabs>
          <w:tab w:leader="none" w:pos="1105" w:val="left"/>
        </w:tabs>
        <w:numPr>
          <w:ilvl w:val="2"/>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69" w:lineRule="exact"/>
        <w:rPr>
          <w:rFonts w:ascii="Arial" w:cs="Arial" w:eastAsia="Arial" w:hAnsi="Arial"/>
          <w:sz w:val="16"/>
          <w:szCs w:val="16"/>
          <w:color w:val="auto"/>
        </w:rPr>
      </w:pPr>
    </w:p>
    <w:p>
      <w:pPr>
        <w:ind w:left="-8" w:right="40" w:firstLine="464"/>
        <w:spacing w:after="0" w:line="284" w:lineRule="auto"/>
        <w:tabs>
          <w:tab w:leader="none" w:pos="628"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w:t>
      </w:r>
    </w:p>
    <w:p>
      <w:pPr>
        <w:spacing w:after="0" w:line="1" w:lineRule="exact"/>
        <w:rPr>
          <w:rFonts w:ascii="Arial" w:cs="Arial" w:eastAsia="Arial" w:hAnsi="Arial"/>
          <w:sz w:val="16"/>
          <w:szCs w:val="16"/>
          <w:color w:val="auto"/>
        </w:rPr>
      </w:pPr>
    </w:p>
    <w:p>
      <w:pPr>
        <w:ind w:left="-8" w:firstLine="8"/>
        <w:spacing w:after="0" w:line="251" w:lineRule="auto"/>
        <w:tabs>
          <w:tab w:leader="none" w:pos="2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3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74" w:right="279" w:bottom="1440" w:gutter="0" w:footer="0" w:header="0"/>
        </w:sectPr>
      </w:pPr>
    </w:p>
    <w:bookmarkStart w:id="21" w:name="page22"/>
    <w:bookmarkEnd w:id="21"/>
    <w:p>
      <w:pPr>
        <w:ind w:left="-20" w:right="140" w:firstLine="464"/>
        <w:spacing w:after="0" w:line="257" w:lineRule="auto"/>
        <w:tabs>
          <w:tab w:leader="none" w:pos="61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440" w:right="20" w:firstLine="443"/>
        <w:spacing w:after="0" w:line="270" w:lineRule="auto"/>
        <w:tabs>
          <w:tab w:leader="none" w:pos="1123"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73" w:lineRule="exact"/>
        <w:rPr>
          <w:rFonts w:ascii="Arial" w:cs="Arial" w:eastAsia="Arial" w:hAnsi="Arial"/>
          <w:sz w:val="17"/>
          <w:szCs w:val="17"/>
          <w:color w:val="auto"/>
        </w:rPr>
      </w:pPr>
    </w:p>
    <w:p>
      <w:pPr>
        <w:ind w:left="440" w:right="60" w:firstLine="443"/>
        <w:spacing w:after="0" w:line="276" w:lineRule="auto"/>
        <w:tabs>
          <w:tab w:leader="none" w:pos="1133"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Sidley Austin </w:t>
      </w:r>
      <w:r>
        <w:rPr>
          <w:rFonts w:ascii="Arial" w:cs="Arial" w:eastAsia="Arial" w:hAnsi="Arial"/>
          <w:sz w:val="14"/>
          <w:szCs w:val="14"/>
          <w:color w:val="auto"/>
        </w:rPr>
        <w:t>LLP</w:t>
      </w:r>
      <w:r>
        <w:rPr>
          <w:rFonts w:ascii="Arial" w:cs="Arial" w:eastAsia="Arial" w:hAnsi="Arial"/>
          <w:sz w:val="17"/>
          <w:szCs w:val="17"/>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7"/>
          <w:szCs w:val="17"/>
          <w:color w:val="auto"/>
        </w:rPr>
        <w:t xml:space="preserve"> may rely, as to all matters arising under or governed by the laws of the State of Maryland, on the opinion of Pillsbury Winthrop Shaw Pittman LLP);</w:t>
      </w:r>
    </w:p>
    <w:p>
      <w:pPr>
        <w:spacing w:after="0" w:line="64" w:lineRule="exact"/>
        <w:rPr>
          <w:rFonts w:ascii="Arial" w:cs="Arial" w:eastAsia="Arial" w:hAnsi="Arial"/>
          <w:sz w:val="17"/>
          <w:szCs w:val="17"/>
          <w:color w:val="auto"/>
        </w:rPr>
      </w:pPr>
    </w:p>
    <w:p>
      <w:pPr>
        <w:ind w:left="440" w:firstLine="443"/>
        <w:spacing w:after="0" w:line="312" w:lineRule="auto"/>
        <w:tabs>
          <w:tab w:leader="none" w:pos="1123" w:val="left"/>
        </w:tabs>
        <w:numPr>
          <w:ilvl w:val="1"/>
          <w:numId w:val="25"/>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38" w:lineRule="exact"/>
        <w:rPr>
          <w:rFonts w:ascii="Arial" w:cs="Arial" w:eastAsia="Arial" w:hAnsi="Arial"/>
          <w:sz w:val="16"/>
          <w:szCs w:val="16"/>
          <w:color w:val="auto"/>
        </w:rPr>
      </w:pPr>
    </w:p>
    <w:p>
      <w:pPr>
        <w:jc w:val="both"/>
        <w:ind w:left="440" w:right="500" w:firstLine="443"/>
        <w:spacing w:after="0" w:line="264" w:lineRule="auto"/>
        <w:tabs>
          <w:tab w:leader="none" w:pos="1133"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4" w:right="239" w:bottom="1440" w:gutter="0" w:footer="0" w:header="0"/>
        </w:sectPr>
      </w:pPr>
    </w:p>
    <w:bookmarkStart w:id="22" w:name="page23"/>
    <w:bookmarkEnd w:id="22"/>
    <w:p>
      <w:pPr>
        <w:jc w:val="both"/>
        <w:ind w:right="180" w:firstLine="443"/>
        <w:spacing w:after="0" w:line="312" w:lineRule="auto"/>
        <w:tabs>
          <w:tab w:leader="none" w:pos="68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38" w:lineRule="exact"/>
        <w:rPr>
          <w:rFonts w:ascii="Arial" w:cs="Arial" w:eastAsia="Arial" w:hAnsi="Arial"/>
          <w:sz w:val="16"/>
          <w:szCs w:val="16"/>
          <w:color w:val="auto"/>
        </w:rPr>
      </w:pPr>
    </w:p>
    <w:p>
      <w:pPr>
        <w:ind w:firstLine="443"/>
        <w:spacing w:after="0" w:line="285" w:lineRule="auto"/>
        <w:tabs>
          <w:tab w:leader="none" w:pos="6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November 4, 2016 between the Company and Wells Fargo Securities, LLC, (b) the Equity Distribution Agreement dated November 4, 2016 between the Company and Merrill Lynch, Pierce, Fenner &amp; Smith Incorporated and (c) 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3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74" w:right="299" w:bottom="1440" w:gutter="0" w:footer="0" w:header="0"/>
        </w:sectPr>
      </w:pPr>
    </w:p>
    <w:bookmarkStart w:id="23" w:name="page24"/>
    <w:bookmarkEnd w:id="23"/>
    <w:p>
      <w:pPr>
        <w:ind w:left="440" w:right="120" w:firstLine="443"/>
        <w:spacing w:after="0" w:line="279" w:lineRule="auto"/>
        <w:tabs>
          <w:tab w:leader="none" w:pos="1133" w:val="left"/>
        </w:tabs>
        <w:numPr>
          <w:ilvl w:val="1"/>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63" w:lineRule="exact"/>
        <w:rPr>
          <w:rFonts w:ascii="Arial" w:cs="Arial" w:eastAsia="Arial" w:hAnsi="Arial"/>
          <w:sz w:val="17"/>
          <w:szCs w:val="17"/>
          <w:color w:val="auto"/>
        </w:rPr>
      </w:pPr>
    </w:p>
    <w:p>
      <w:pPr>
        <w:ind w:left="440" w:firstLine="443"/>
        <w:spacing w:after="0" w:line="254" w:lineRule="auto"/>
        <w:tabs>
          <w:tab w:leader="none" w:pos="1133"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4" w:lineRule="exact"/>
        <w:rPr>
          <w:rFonts w:ascii="Arial" w:cs="Arial" w:eastAsia="Arial" w:hAnsi="Arial"/>
          <w:sz w:val="18"/>
          <w:szCs w:val="18"/>
          <w:color w:val="auto"/>
        </w:rPr>
      </w:pPr>
    </w:p>
    <w:p>
      <w:pPr>
        <w:ind w:left="440" w:right="320" w:firstLine="443"/>
        <w:spacing w:after="0" w:line="27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40" w:firstLine="443"/>
        <w:spacing w:after="0" w:line="257" w:lineRule="auto"/>
        <w:tabs>
          <w:tab w:leader="none" w:pos="10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88" w:lineRule="exact"/>
        <w:rPr>
          <w:rFonts w:ascii="Arial" w:cs="Arial" w:eastAsia="Arial" w:hAnsi="Arial"/>
          <w:sz w:val="18"/>
          <w:szCs w:val="18"/>
          <w:color w:val="auto"/>
        </w:rPr>
      </w:pPr>
    </w:p>
    <w:p>
      <w:pPr>
        <w:jc w:val="both"/>
        <w:ind w:left="-20" w:right="260" w:firstLine="464"/>
        <w:spacing w:after="0" w:line="259" w:lineRule="auto"/>
        <w:tabs>
          <w:tab w:leader="none" w:pos="6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24" w:name="page25"/>
    <w:bookmarkEnd w:id="24"/>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61" w:lineRule="exact"/>
        <w:rPr>
          <w:sz w:val="20"/>
          <w:szCs w:val="20"/>
          <w:color w:val="auto"/>
        </w:rPr>
      </w:pPr>
    </w:p>
    <w:p>
      <w:pPr>
        <w:ind w:firstLine="464"/>
        <w:spacing w:after="0" w:line="286"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ind w:left="-8" w:firstLine="464"/>
        <w:spacing w:after="0" w:line="286" w:lineRule="auto"/>
        <w:tabs>
          <w:tab w:leader="none" w:pos="693"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63" w:lineRule="exact"/>
        <w:rPr>
          <w:rFonts w:ascii="Arial" w:cs="Arial" w:eastAsia="Arial" w:hAnsi="Arial"/>
          <w:sz w:val="16"/>
          <w:szCs w:val="16"/>
          <w:color w:val="auto"/>
        </w:rPr>
      </w:pPr>
    </w:p>
    <w:p>
      <w:pPr>
        <w:ind w:left="712" w:hanging="256"/>
        <w:spacing w:after="0"/>
        <w:tabs>
          <w:tab w:leader="none" w:pos="71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46" w:lineRule="exact"/>
        <w:rPr>
          <w:rFonts w:ascii="Arial" w:cs="Arial" w:eastAsia="Arial" w:hAnsi="Arial"/>
          <w:sz w:val="16"/>
          <w:szCs w:val="16"/>
          <w:color w:val="auto"/>
        </w:rPr>
      </w:pPr>
    </w:p>
    <w:p>
      <w:pPr>
        <w:ind w:left="-8" w:right="20" w:firstLine="8"/>
        <w:spacing w:after="0" w:line="285" w:lineRule="auto"/>
        <w:tabs>
          <w:tab w:leader="none" w:pos="2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72"/>
          </w:cols>
          <w:pgMar w:left="248" w:top="274" w:right="27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61" w:lineRule="exact"/>
        <w:rPr>
          <w:sz w:val="20"/>
          <w:szCs w:val="20"/>
          <w:color w:val="auto"/>
        </w:rPr>
      </w:pPr>
    </w:p>
    <w:p>
      <w:pPr>
        <w:ind w:right="120" w:firstLine="464"/>
        <w:spacing w:after="0" w:line="257"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80" w:lineRule="exact"/>
        <w:rPr>
          <w:sz w:val="20"/>
          <w:szCs w:val="20"/>
          <w:color w:val="auto"/>
        </w:rPr>
      </w:pPr>
    </w:p>
    <w:p>
      <w:pPr>
        <w:ind w:right="20" w:firstLine="464"/>
        <w:spacing w:after="0" w:line="270" w:lineRule="auto"/>
        <w:tabs>
          <w:tab w:leader="none" w:pos="6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right="6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63" w:lineRule="exact"/>
        <w:rPr>
          <w:sz w:val="20"/>
          <w:szCs w:val="20"/>
          <w:color w:val="auto"/>
        </w:rPr>
      </w:pPr>
    </w:p>
    <w:p>
      <w:pPr>
        <w:ind w:firstLine="464"/>
        <w:spacing w:after="0" w:line="271" w:lineRule="auto"/>
        <w:tabs>
          <w:tab w:leader="none" w:pos="711"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70" w:lineRule="exact"/>
        <w:rPr>
          <w:rFonts w:ascii="Arial" w:cs="Arial" w:eastAsia="Arial" w:hAnsi="Arial"/>
          <w:sz w:val="17"/>
          <w:szCs w:val="17"/>
          <w:color w:val="auto"/>
        </w:rPr>
      </w:pPr>
    </w:p>
    <w:p>
      <w:pPr>
        <w:ind w:right="180" w:firstLine="464"/>
        <w:spacing w:after="0" w:line="288" w:lineRule="auto"/>
        <w:tabs>
          <w:tab w:leader="none" w:pos="701"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w:t>
      </w:r>
    </w:p>
    <w:p>
      <w:pPr>
        <w:jc w:val="both"/>
        <w:ind w:right="140" w:firstLine="8"/>
        <w:spacing w:after="0" w:line="271"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71" w:lineRule="exact"/>
        <w:rPr>
          <w:sz w:val="20"/>
          <w:szCs w:val="20"/>
          <w:color w:val="auto"/>
        </w:rPr>
      </w:pPr>
    </w:p>
    <w:p>
      <w:pPr>
        <w:ind w:right="60" w:firstLine="464"/>
        <w:spacing w:after="0" w:line="302" w:lineRule="auto"/>
        <w:tabs>
          <w:tab w:leader="none" w:pos="7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ind w:right="20" w:firstLine="464"/>
        <w:spacing w:after="0" w:line="255"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81" w:lineRule="exact"/>
        <w:rPr>
          <w:rFonts w:ascii="Arial" w:cs="Arial" w:eastAsia="Arial" w:hAnsi="Arial"/>
          <w:sz w:val="18"/>
          <w:szCs w:val="18"/>
          <w:color w:val="auto"/>
        </w:rPr>
      </w:pPr>
    </w:p>
    <w:p>
      <w:pPr>
        <w:ind w:right="40" w:firstLine="464"/>
        <w:spacing w:after="0" w:line="286" w:lineRule="auto"/>
        <w:tabs>
          <w:tab w:leader="none" w:pos="7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66"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70" w:lineRule="exact"/>
        <w:rPr>
          <w:sz w:val="20"/>
          <w:szCs w:val="20"/>
          <w:color w:val="auto"/>
        </w:rPr>
      </w:pPr>
    </w:p>
    <w:p>
      <w:pPr>
        <w:ind w:right="140" w:firstLine="464"/>
        <w:spacing w:after="0" w:line="277" w:lineRule="auto"/>
        <w:tabs>
          <w:tab w:leader="none" w:pos="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8"/>
          <w:szCs w:val="18"/>
          <w:color w:val="auto"/>
        </w:rPr>
      </w:pPr>
    </w:p>
    <w:p>
      <w:pPr>
        <w:ind w:firstLine="464"/>
        <w:spacing w:after="0" w:line="276" w:lineRule="auto"/>
        <w:tabs>
          <w:tab w:leader="none" w:pos="7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ind w:right="380" w:firstLine="464"/>
        <w:spacing w:after="0" w:line="277" w:lineRule="auto"/>
        <w:tabs>
          <w:tab w:leader="none" w:pos="726"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shall be of the essence of each Pricing Agreement. As used herein, “business day” shall mean any day when the Commission’s office in Washington, D.C. is open for business.</w:t>
      </w:r>
    </w:p>
    <w:p>
      <w:pPr>
        <w:spacing w:after="0" w:line="62" w:lineRule="exact"/>
        <w:rPr>
          <w:rFonts w:ascii="Arial" w:cs="Arial" w:eastAsia="Arial" w:hAnsi="Arial"/>
          <w:sz w:val="18"/>
          <w:szCs w:val="18"/>
          <w:color w:val="auto"/>
        </w:rPr>
      </w:pPr>
    </w:p>
    <w:p>
      <w:pPr>
        <w:ind w:left="740" w:hanging="276"/>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York.</w:t>
      </w:r>
    </w:p>
    <w:p>
      <w:pPr>
        <w:spacing w:after="0" w:line="102" w:lineRule="exact"/>
        <w:rPr>
          <w:rFonts w:ascii="Arial" w:cs="Arial" w:eastAsia="Arial" w:hAnsi="Arial"/>
          <w:sz w:val="16"/>
          <w:szCs w:val="16"/>
          <w:color w:val="auto"/>
        </w:rPr>
      </w:pPr>
    </w:p>
    <w:p>
      <w:pPr>
        <w:ind w:firstLine="464"/>
        <w:spacing w:after="0" w:line="342" w:lineRule="auto"/>
        <w:tabs>
          <w:tab w:leader="none" w:pos="72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27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00" w:lineRule="exact"/>
        <w:rPr>
          <w:sz w:val="20"/>
          <w:szCs w:val="20"/>
          <w:color w:val="auto"/>
        </w:rPr>
      </w:pPr>
    </w:p>
    <w:p>
      <w:pPr>
        <w:spacing w:after="0" w:line="26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Executive Vice President-Chief Financial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Treasurer</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740"/>
          </w:cols>
          <w:pgMar w:left="700" w:top="274"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Achal Sakaria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Achal Sakaria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Jared Birnbaum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 Debt Capital Markets Coverage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Corporates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Patrick M. Käufer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Patrick M. Käufer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Som Bhattacharyya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219"/>
          </w:cols>
          <w:pgMar w:left="2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20,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June 20, 2017 (the “Underwriting Agreement”), between the Company on the one hand and Citigroup Global Markets Inc., Deutsche Bank Securities Inc., J.P. Morgan Securities LLC and Wells Fargo Securities, LLC acting for themselves and as representatives of the Underwriters named in Schedule I hereto (collectively, the “Underwriters”), on the other hand, to issue and sell to the Underwriters the Securities specified in Schedules II-A and II-B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0"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8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Schedules II-A and II-B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380"/>
          </w:cols>
          <w:pgMar w:left="240" w:top="274" w:right="279" w:bottom="1440" w:gutter="0" w:footer="0" w:header="0"/>
        </w:sectPr>
      </w:pPr>
    </w:p>
    <w:bookmarkStart w:id="34" w:name="page35"/>
    <w:bookmarkEnd w:id="3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356"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58"/>
        </w:trPr>
        <w:tc>
          <w:tcPr>
            <w:tcW w:w="8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2027 Notes</w:t>
            </w:r>
          </w:p>
        </w:tc>
        <w:tc>
          <w:tcPr>
            <w:tcW w:w="200" w:type="dxa"/>
            <w:vAlign w:val="bottom"/>
          </w:tcPr>
          <w:p>
            <w:pPr>
              <w:spacing w:after="0"/>
              <w:rPr>
                <w:sz w:val="13"/>
                <w:szCs w:val="13"/>
                <w:color w:val="auto"/>
              </w:rPr>
            </w:pPr>
          </w:p>
        </w:tc>
        <w:tc>
          <w:tcPr>
            <w:tcW w:w="11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2044 Notes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Notes due 2027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99.083% of the principal amount of the Designated Securities, plus accrued interest from 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98.433%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15, 2027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beginning on January 15,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II-A to Exhibit A, Page 1</w:t>
      </w:r>
    </w:p>
    <w:p>
      <w:pPr>
        <w:sectPr>
          <w:pgSz w:w="11900" w:h="16838" w:orient="portrait"/>
          <w:cols w:equalWidth="0" w:num="1">
            <w:col w:w="11040"/>
          </w:cols>
          <w:pgMar w:left="240" w:top="274" w:right="6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3:50 p.m. (Eastern time) on June 20, 2017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291-1469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Investment Grade Syndicate Desk – 3rd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834-6081</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Sch. II-A to Exhibit A, Page 2</w:t>
      </w:r>
    </w:p>
    <w:p>
      <w:pPr>
        <w:sectPr>
          <w:pgSz w:w="11900" w:h="16838" w:orient="portrait"/>
          <w:cols w:equalWidth="0" w:num="1">
            <w:col w:w="10219"/>
          </w:cols>
          <w:pgMar w:left="240" w:top="270"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143"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Sch. II-A to Exhibit A, Page 3</w:t>
      </w:r>
    </w:p>
    <w:p>
      <w:pPr>
        <w:sectPr>
          <w:pgSz w:w="11900" w:h="16838" w:orient="portrait"/>
          <w:cols w:equalWidth="0" w:num="1">
            <w:col w:w="9759"/>
          </w:cols>
          <w:pgMar w:left="700" w:top="274" w:right="1440"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II-B</w:t>
      </w:r>
      <w:r>
        <w:rPr>
          <w:rFonts w:ascii="Arial" w:cs="Arial" w:eastAsia="Arial" w:hAnsi="Arial"/>
          <w:sz w:val="15"/>
          <w:szCs w:val="15"/>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105.760% of the principal amount of the Designated Securities, plus accrued interest of $275,000.00 from and including June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104.885% of the principal amount of the Designated Securities, plus accrued interest of $275,000.00 from and including June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December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64"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terms of the 4.50% Notes due 2044, other than their issue date, initial interest accrual date, initial interest payment date and issue price, will be identical to the terms of and will be part of the same series as the $250,000,000 aggregate principal amount of 4.50% Notes due 2044 issued by Federal Realty Investment Trust on November 14, 2014.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II-B to Exhibit A, Page 1</w:t>
      </w:r>
    </w:p>
    <w:p>
      <w:pPr>
        <w:sectPr>
          <w:pgSz w:w="11900" w:h="16838" w:orient="portrait"/>
          <w:cols w:equalWidth="0" w:num="1">
            <w:col w:w="11360"/>
          </w:cols>
          <w:pgMar w:left="240" w:top="274"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p.m. (Eastern time) on June 20,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291-1469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II-B to Exhibit A, Page 2</w:t>
      </w:r>
    </w:p>
    <w:p>
      <w:pPr>
        <w:sectPr>
          <w:pgSz w:w="11900" w:h="16838" w:orient="portrait"/>
          <w:cols w:equalWidth="0" w:num="1">
            <w:col w:w="11040"/>
          </w:cols>
          <w:pgMar w:left="240" w:top="270" w:right="6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Investment Grade Syndicate Desk –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834-6081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143"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Sch. II-B to Exhibit A, Page 3</w:t>
      </w:r>
    </w:p>
    <w:p>
      <w:pPr>
        <w:sectPr>
          <w:pgSz w:w="11900" w:h="16838" w:orient="portrait"/>
          <w:cols w:equalWidth="0" w:num="1">
            <w:col w:w="9759"/>
          </w:cols>
          <w:pgMar w:left="70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Final Term Sheet, attached hereto as Schedule I to this Exhibit B</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0960"/>
          </w:cols>
          <w:pgMar w:left="700" w:top="27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Exhibit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June 20, 2017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333-203999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June 20, 2017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8,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080" w:type="dxa"/>
            <w:vAlign w:val="bottom"/>
            <w:gridSpan w:val="2"/>
          </w:tcPr>
          <w:p>
            <w:pPr>
              <w:jc w:val="center"/>
              <w:ind w:right="3170"/>
              <w:spacing w:after="0"/>
              <w:rPr>
                <w:sz w:val="20"/>
                <w:szCs w:val="20"/>
                <w:color w:val="auto"/>
              </w:rPr>
            </w:pPr>
            <w:r>
              <w:rPr>
                <w:rFonts w:ascii="Arial" w:cs="Arial" w:eastAsia="Arial" w:hAnsi="Arial"/>
                <w:sz w:val="18"/>
                <w:szCs w:val="18"/>
                <w:b w:val="1"/>
                <w:bCs w:val="1"/>
                <w:color w:val="auto"/>
                <w:w w:val="91"/>
              </w:rPr>
              <w:t>Federal Realty Investment Trust</w:t>
            </w:r>
          </w:p>
        </w:tc>
      </w:tr>
      <w:tr>
        <w:trPr>
          <w:trHeight w:val="216"/>
        </w:trPr>
        <w:tc>
          <w:tcPr>
            <w:tcW w:w="3300" w:type="dxa"/>
            <w:vAlign w:val="bottom"/>
          </w:tcPr>
          <w:p>
            <w:pPr>
              <w:spacing w:after="0"/>
              <w:rPr>
                <w:sz w:val="18"/>
                <w:szCs w:val="18"/>
                <w:color w:val="auto"/>
              </w:rPr>
            </w:pPr>
          </w:p>
        </w:tc>
        <w:tc>
          <w:tcPr>
            <w:tcW w:w="8080" w:type="dxa"/>
            <w:vAlign w:val="bottom"/>
            <w:gridSpan w:val="2"/>
          </w:tcPr>
          <w:p>
            <w:pPr>
              <w:jc w:val="center"/>
              <w:ind w:right="3170"/>
              <w:spacing w:after="0"/>
              <w:rPr>
                <w:sz w:val="20"/>
                <w:szCs w:val="20"/>
                <w:color w:val="auto"/>
              </w:rPr>
            </w:pPr>
            <w:r>
              <w:rPr>
                <w:rFonts w:ascii="Arial" w:cs="Arial" w:eastAsia="Arial" w:hAnsi="Arial"/>
                <w:sz w:val="18"/>
                <w:szCs w:val="18"/>
                <w:b w:val="1"/>
                <w:bCs w:val="1"/>
                <w:color w:val="auto"/>
                <w:w w:val="90"/>
              </w:rPr>
              <w:t>3.25% Notes due 2027</w:t>
            </w:r>
          </w:p>
        </w:tc>
      </w:tr>
      <w:tr>
        <w:trPr>
          <w:trHeight w:val="234"/>
        </w:trPr>
        <w:tc>
          <w:tcPr>
            <w:tcW w:w="3300" w:type="dxa"/>
            <w:vAlign w:val="bottom"/>
          </w:tcPr>
          <w:p>
            <w:pPr>
              <w:spacing w:after="0"/>
              <w:rPr>
                <w:sz w:val="20"/>
                <w:szCs w:val="20"/>
                <w:color w:val="auto"/>
              </w:rPr>
            </w:pPr>
          </w:p>
        </w:tc>
        <w:tc>
          <w:tcPr>
            <w:tcW w:w="8080" w:type="dxa"/>
            <w:vAlign w:val="bottom"/>
            <w:gridSpan w:val="2"/>
          </w:tcPr>
          <w:p>
            <w:pPr>
              <w:jc w:val="center"/>
              <w:ind w:right="3170"/>
              <w:spacing w:after="0"/>
              <w:rPr>
                <w:sz w:val="20"/>
                <w:szCs w:val="20"/>
                <w:color w:val="auto"/>
              </w:rPr>
            </w:pPr>
            <w:r>
              <w:rPr>
                <w:rFonts w:ascii="Arial" w:cs="Arial" w:eastAsia="Arial" w:hAnsi="Arial"/>
                <w:sz w:val="18"/>
                <w:szCs w:val="18"/>
                <w:b w:val="1"/>
                <w:bCs w:val="1"/>
                <w:color w:val="auto"/>
                <w:w w:val="90"/>
              </w:rPr>
              <w:t>4.50% Notes due 2044</w:t>
            </w:r>
          </w:p>
        </w:tc>
      </w:tr>
      <w:tr>
        <w:trPr>
          <w:trHeight w:val="432"/>
        </w:trPr>
        <w:tc>
          <w:tcPr>
            <w:tcW w:w="3300" w:type="dxa"/>
            <w:vAlign w:val="bottom"/>
          </w:tcPr>
          <w:p>
            <w:pPr>
              <w:spacing w:after="0"/>
              <w:rPr>
                <w:sz w:val="24"/>
                <w:szCs w:val="24"/>
                <w:color w:val="auto"/>
              </w:rPr>
            </w:pPr>
          </w:p>
        </w:tc>
        <w:tc>
          <w:tcPr>
            <w:tcW w:w="8080" w:type="dxa"/>
            <w:vAlign w:val="bottom"/>
            <w:gridSpan w:val="2"/>
          </w:tcPr>
          <w:p>
            <w:pPr>
              <w:jc w:val="center"/>
              <w:ind w:right="3170"/>
              <w:spacing w:after="0"/>
              <w:rPr>
                <w:sz w:val="20"/>
                <w:szCs w:val="20"/>
                <w:color w:val="auto"/>
              </w:rPr>
            </w:pPr>
            <w:r>
              <w:rPr>
                <w:rFonts w:ascii="Arial" w:cs="Arial" w:eastAsia="Arial" w:hAnsi="Arial"/>
                <w:sz w:val="18"/>
                <w:szCs w:val="18"/>
                <w:color w:val="auto"/>
                <w:w w:val="87"/>
              </w:rPr>
              <w:t>Term Sheet dated June 20, 2017</w:t>
            </w:r>
          </w:p>
        </w:tc>
      </w:tr>
      <w:tr>
        <w:trPr>
          <w:trHeight w:val="459"/>
        </w:trPr>
        <w:tc>
          <w:tcPr>
            <w:tcW w:w="3300" w:type="dxa"/>
            <w:vAlign w:val="bottom"/>
          </w:tcPr>
          <w:p>
            <w:pPr>
              <w:spacing w:after="0"/>
              <w:rPr>
                <w:sz w:val="20"/>
                <w:szCs w:val="20"/>
                <w:color w:val="auto"/>
              </w:rPr>
            </w:pPr>
            <w:r>
              <w:rPr>
                <w:rFonts w:ascii="Arial" w:cs="Arial" w:eastAsia="Arial" w:hAnsi="Arial"/>
                <w:sz w:val="18"/>
                <w:szCs w:val="18"/>
                <w:color w:val="auto"/>
              </w:rPr>
              <w:t>Issuer:</w:t>
            </w: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Security:</w:t>
            </w: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3.25% Notes due 2027 (the “2027 Notes”)</w:t>
            </w:r>
          </w:p>
        </w:tc>
      </w:tr>
      <w:tr>
        <w:trPr>
          <w:trHeight w:val="324"/>
        </w:trPr>
        <w:tc>
          <w:tcPr>
            <w:tcW w:w="3300" w:type="dxa"/>
            <w:vAlign w:val="bottom"/>
          </w:tcPr>
          <w:p>
            <w:pPr>
              <w:spacing w:after="0"/>
              <w:rPr>
                <w:sz w:val="24"/>
                <w:szCs w:val="24"/>
                <w:color w:val="auto"/>
              </w:rPr>
            </w:pP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4.50% Notes due 2044 (the “2044 Notes”)</w:t>
            </w:r>
          </w:p>
        </w:tc>
      </w:tr>
      <w:tr>
        <w:trPr>
          <w:trHeight w:val="310"/>
        </w:trPr>
        <w:tc>
          <w:tcPr>
            <w:tcW w:w="3300" w:type="dxa"/>
            <w:vAlign w:val="bottom"/>
          </w:tcPr>
          <w:p>
            <w:pPr>
              <w:spacing w:after="0"/>
              <w:rPr>
                <w:sz w:val="20"/>
                <w:szCs w:val="20"/>
                <w:color w:val="auto"/>
              </w:rPr>
            </w:pPr>
            <w:r>
              <w:rPr>
                <w:rFonts w:ascii="Arial" w:cs="Arial" w:eastAsia="Arial" w:hAnsi="Arial"/>
                <w:sz w:val="18"/>
                <w:szCs w:val="18"/>
                <w:color w:val="auto"/>
              </w:rPr>
              <w:t>Expected Ratings*:</w:t>
            </w: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A3/A-</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(Moody’s / S&amp;P)</w:t>
            </w:r>
          </w:p>
        </w:tc>
        <w:tc>
          <w:tcPr>
            <w:tcW w:w="314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2027</w:t>
            </w:r>
          </w:p>
        </w:tc>
        <w:tc>
          <w:tcPr>
            <w:tcW w:w="4940" w:type="dxa"/>
            <w:vAlign w:val="bottom"/>
          </w:tcPr>
          <w:p>
            <w:pPr>
              <w:ind w:left="20"/>
              <w:spacing w:after="0"/>
              <w:rPr>
                <w:sz w:val="20"/>
                <w:szCs w:val="20"/>
                <w:color w:val="auto"/>
              </w:rPr>
            </w:pPr>
            <w:r>
              <w:rPr>
                <w:rFonts w:ascii="Arial" w:cs="Arial" w:eastAsia="Arial" w:hAnsi="Arial"/>
                <w:sz w:val="18"/>
                <w:szCs w:val="18"/>
                <w:color w:val="auto"/>
              </w:rPr>
              <w:t>Notes: $300,000,000</w:t>
            </w:r>
          </w:p>
        </w:tc>
      </w:tr>
      <w:tr>
        <w:trPr>
          <w:trHeight w:val="310"/>
        </w:trPr>
        <w:tc>
          <w:tcPr>
            <w:tcW w:w="3300" w:type="dxa"/>
            <w:vAlign w:val="bottom"/>
          </w:tcPr>
          <w:p>
            <w:pPr>
              <w:spacing w:after="0"/>
              <w:rPr>
                <w:sz w:val="24"/>
                <w:szCs w:val="24"/>
                <w:color w:val="auto"/>
              </w:rPr>
            </w:pP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2044</w:t>
            </w:r>
          </w:p>
        </w:tc>
        <w:tc>
          <w:tcPr>
            <w:tcW w:w="4940" w:type="dxa"/>
            <w:vAlign w:val="bottom"/>
          </w:tcPr>
          <w:p>
            <w:pPr>
              <w:ind w:left="20"/>
              <w:spacing w:after="0"/>
              <w:rPr>
                <w:sz w:val="20"/>
                <w:szCs w:val="20"/>
                <w:color w:val="auto"/>
              </w:rPr>
            </w:pPr>
            <w:r>
              <w:rPr>
                <w:rFonts w:ascii="Arial" w:cs="Arial" w:eastAsia="Arial" w:hAnsi="Arial"/>
                <w:sz w:val="18"/>
                <w:szCs w:val="18"/>
                <w:color w:val="auto"/>
                <w:w w:val="90"/>
              </w:rPr>
              <w:t>Notes: $100,000,000 (the 2044 Notes will be part of the same series</w:t>
            </w:r>
          </w:p>
        </w:tc>
      </w:tr>
      <w:tr>
        <w:trPr>
          <w:trHeight w:val="216"/>
        </w:trPr>
        <w:tc>
          <w:tcPr>
            <w:tcW w:w="3300" w:type="dxa"/>
            <w:vAlign w:val="bottom"/>
          </w:tcPr>
          <w:p>
            <w:pPr>
              <w:spacing w:after="0"/>
              <w:rPr>
                <w:sz w:val="18"/>
                <w:szCs w:val="18"/>
                <w:color w:val="auto"/>
              </w:rPr>
            </w:pP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w w:val="97"/>
              </w:rPr>
              <w:t>of notes as the $450,000,000 aggregate principal amount of Federal</w:t>
            </w:r>
          </w:p>
        </w:tc>
      </w:tr>
      <w:tr>
        <w:trPr>
          <w:trHeight w:val="216"/>
        </w:trPr>
        <w:tc>
          <w:tcPr>
            <w:tcW w:w="3300" w:type="dxa"/>
            <w:vAlign w:val="bottom"/>
          </w:tcPr>
          <w:p>
            <w:pPr>
              <w:spacing w:after="0"/>
              <w:rPr>
                <w:sz w:val="18"/>
                <w:szCs w:val="18"/>
                <w:color w:val="auto"/>
              </w:rPr>
            </w:pP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w w:val="91"/>
              </w:rPr>
              <w:t>Realty Investment Trust’s 4.50% Notes due 2044, $250,000,000 of which</w:t>
            </w:r>
          </w:p>
        </w:tc>
      </w:tr>
      <w:tr>
        <w:trPr>
          <w:trHeight w:val="216"/>
        </w:trPr>
        <w:tc>
          <w:tcPr>
            <w:tcW w:w="3300" w:type="dxa"/>
            <w:vAlign w:val="bottom"/>
          </w:tcPr>
          <w:p>
            <w:pPr>
              <w:spacing w:after="0"/>
              <w:rPr>
                <w:sz w:val="18"/>
                <w:szCs w:val="18"/>
                <w:color w:val="auto"/>
              </w:rPr>
            </w:pP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w w:val="91"/>
              </w:rPr>
              <w:t>were originally issued on November 14, 2014 and $200,000,000 of which</w:t>
            </w:r>
          </w:p>
        </w:tc>
      </w:tr>
      <w:tr>
        <w:trPr>
          <w:trHeight w:val="230"/>
        </w:trPr>
        <w:tc>
          <w:tcPr>
            <w:tcW w:w="3300" w:type="dxa"/>
            <w:vAlign w:val="bottom"/>
          </w:tcPr>
          <w:p>
            <w:pPr>
              <w:spacing w:after="0"/>
              <w:rPr>
                <w:sz w:val="20"/>
                <w:szCs w:val="20"/>
                <w:color w:val="auto"/>
              </w:rPr>
            </w:pP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were subsequently issued on March 16, 2015)</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Trade Date:</w:t>
            </w: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June 20, 2017</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Settlement Date:</w:t>
            </w:r>
          </w:p>
        </w:tc>
        <w:tc>
          <w:tcPr>
            <w:tcW w:w="8080" w:type="dxa"/>
            <w:vAlign w:val="bottom"/>
            <w:gridSpan w:val="2"/>
          </w:tcPr>
          <w:p>
            <w:pPr>
              <w:ind w:left="2760"/>
              <w:spacing w:after="0"/>
              <w:rPr>
                <w:sz w:val="20"/>
                <w:szCs w:val="20"/>
                <w:color w:val="auto"/>
              </w:rPr>
            </w:pPr>
            <w:r>
              <w:rPr>
                <w:rFonts w:ascii="Arial" w:cs="Arial" w:eastAsia="Arial" w:hAnsi="Arial"/>
                <w:sz w:val="18"/>
                <w:szCs w:val="18"/>
                <w:color w:val="auto"/>
              </w:rPr>
              <w:t>June 23, 2017 (T+3)</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Maturity Date:</w:t>
            </w: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2027</w:t>
            </w:r>
          </w:p>
        </w:tc>
        <w:tc>
          <w:tcPr>
            <w:tcW w:w="4940" w:type="dxa"/>
            <w:vAlign w:val="bottom"/>
          </w:tcPr>
          <w:p>
            <w:pPr>
              <w:ind w:left="20"/>
              <w:spacing w:after="0"/>
              <w:rPr>
                <w:sz w:val="20"/>
                <w:szCs w:val="20"/>
                <w:color w:val="auto"/>
              </w:rPr>
            </w:pPr>
            <w:r>
              <w:rPr>
                <w:rFonts w:ascii="Arial" w:cs="Arial" w:eastAsia="Arial" w:hAnsi="Arial"/>
                <w:sz w:val="18"/>
                <w:szCs w:val="18"/>
                <w:color w:val="auto"/>
              </w:rPr>
              <w:t>Notes: July 15, 2027</w:t>
            </w:r>
          </w:p>
        </w:tc>
      </w:tr>
      <w:tr>
        <w:trPr>
          <w:trHeight w:val="324"/>
        </w:trPr>
        <w:tc>
          <w:tcPr>
            <w:tcW w:w="3300" w:type="dxa"/>
            <w:vAlign w:val="bottom"/>
          </w:tcPr>
          <w:p>
            <w:pPr>
              <w:spacing w:after="0"/>
              <w:rPr>
                <w:sz w:val="24"/>
                <w:szCs w:val="24"/>
                <w:color w:val="auto"/>
              </w:rPr>
            </w:pP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2044</w:t>
            </w:r>
          </w:p>
        </w:tc>
        <w:tc>
          <w:tcPr>
            <w:tcW w:w="4940" w:type="dxa"/>
            <w:vAlign w:val="bottom"/>
          </w:tcPr>
          <w:p>
            <w:pPr>
              <w:ind w:left="20"/>
              <w:spacing w:after="0"/>
              <w:rPr>
                <w:sz w:val="20"/>
                <w:szCs w:val="20"/>
                <w:color w:val="auto"/>
              </w:rPr>
            </w:pPr>
            <w:r>
              <w:rPr>
                <w:rFonts w:ascii="Arial" w:cs="Arial" w:eastAsia="Arial" w:hAnsi="Arial"/>
                <w:sz w:val="18"/>
                <w:szCs w:val="18"/>
                <w:color w:val="auto"/>
              </w:rPr>
              <w:t>Notes: December 1, 2044</w:t>
            </w:r>
          </w:p>
        </w:tc>
      </w:tr>
      <w:tr>
        <w:trPr>
          <w:trHeight w:val="324"/>
        </w:trPr>
        <w:tc>
          <w:tcPr>
            <w:tcW w:w="33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2027</w:t>
            </w:r>
          </w:p>
        </w:tc>
        <w:tc>
          <w:tcPr>
            <w:tcW w:w="4940" w:type="dxa"/>
            <w:vAlign w:val="bottom"/>
          </w:tcPr>
          <w:p>
            <w:pPr>
              <w:ind w:left="20"/>
              <w:spacing w:after="0"/>
              <w:rPr>
                <w:sz w:val="20"/>
                <w:szCs w:val="20"/>
                <w:color w:val="auto"/>
              </w:rPr>
            </w:pPr>
            <w:r>
              <w:rPr>
                <w:rFonts w:ascii="Arial" w:cs="Arial" w:eastAsia="Arial" w:hAnsi="Arial"/>
                <w:sz w:val="18"/>
                <w:szCs w:val="18"/>
                <w:color w:val="auto"/>
                <w:w w:val="97"/>
              </w:rPr>
              <w:t>Notes: January 15 and July 15, beginning on January 15, 2018</w:t>
            </w:r>
          </w:p>
        </w:tc>
      </w:tr>
      <w:tr>
        <w:trPr>
          <w:trHeight w:val="324"/>
        </w:trPr>
        <w:tc>
          <w:tcPr>
            <w:tcW w:w="3300" w:type="dxa"/>
            <w:vAlign w:val="bottom"/>
          </w:tcPr>
          <w:p>
            <w:pPr>
              <w:spacing w:after="0"/>
              <w:rPr>
                <w:sz w:val="24"/>
                <w:szCs w:val="24"/>
                <w:color w:val="auto"/>
              </w:rPr>
            </w:pPr>
          </w:p>
        </w:tc>
        <w:tc>
          <w:tcPr>
            <w:tcW w:w="3140" w:type="dxa"/>
            <w:vAlign w:val="bottom"/>
          </w:tcPr>
          <w:p>
            <w:pPr>
              <w:ind w:left="2760"/>
              <w:spacing w:after="0"/>
              <w:rPr>
                <w:sz w:val="20"/>
                <w:szCs w:val="20"/>
                <w:color w:val="auto"/>
              </w:rPr>
            </w:pPr>
            <w:r>
              <w:rPr>
                <w:rFonts w:ascii="Arial" w:cs="Arial" w:eastAsia="Arial" w:hAnsi="Arial"/>
                <w:sz w:val="18"/>
                <w:szCs w:val="18"/>
                <w:color w:val="auto"/>
                <w:w w:val="89"/>
              </w:rPr>
              <w:t>2044</w:t>
            </w:r>
          </w:p>
        </w:tc>
        <w:tc>
          <w:tcPr>
            <w:tcW w:w="4940" w:type="dxa"/>
            <w:vAlign w:val="bottom"/>
          </w:tcPr>
          <w:p>
            <w:pPr>
              <w:ind w:left="20"/>
              <w:spacing w:after="0"/>
              <w:rPr>
                <w:sz w:val="20"/>
                <w:szCs w:val="20"/>
                <w:color w:val="auto"/>
              </w:rPr>
            </w:pPr>
            <w:r>
              <w:rPr>
                <w:rFonts w:ascii="Arial" w:cs="Arial" w:eastAsia="Arial" w:hAnsi="Arial"/>
                <w:sz w:val="18"/>
                <w:szCs w:val="18"/>
                <w:color w:val="auto"/>
                <w:w w:val="95"/>
              </w:rPr>
              <w:t>Notes: June 1 and December 1, beginning on December 1, 2017</w:t>
            </w:r>
          </w:p>
        </w:tc>
      </w:tr>
      <w:tr>
        <w:trPr>
          <w:trHeight w:val="365"/>
        </w:trPr>
        <w:tc>
          <w:tcPr>
            <w:tcW w:w="3300" w:type="dxa"/>
            <w:vAlign w:val="bottom"/>
          </w:tcPr>
          <w:p>
            <w:pPr>
              <w:spacing w:after="0"/>
              <w:rPr>
                <w:sz w:val="24"/>
                <w:szCs w:val="24"/>
                <w:color w:val="auto"/>
              </w:rPr>
            </w:pPr>
          </w:p>
        </w:tc>
        <w:tc>
          <w:tcPr>
            <w:tcW w:w="8080" w:type="dxa"/>
            <w:vAlign w:val="bottom"/>
            <w:gridSpan w:val="2"/>
          </w:tcPr>
          <w:p>
            <w:pPr>
              <w:jc w:val="center"/>
              <w:ind w:right="3150"/>
              <w:spacing w:after="0"/>
              <w:rPr>
                <w:sz w:val="20"/>
                <w:szCs w:val="20"/>
                <w:color w:val="auto"/>
              </w:rPr>
            </w:pPr>
            <w:r>
              <w:rPr>
                <w:rFonts w:ascii="Arial" w:cs="Arial" w:eastAsia="Arial" w:hAnsi="Arial"/>
                <w:sz w:val="18"/>
                <w:szCs w:val="18"/>
                <w:color w:val="auto"/>
                <w:w w:val="91"/>
              </w:rPr>
              <w:t>Sch. I to Exhibit B, Page 1</w:t>
            </w:r>
          </w:p>
        </w:tc>
      </w:tr>
    </w:tbl>
    <w:p>
      <w:pPr>
        <w:sectPr>
          <w:pgSz w:w="11900" w:h="16838" w:orient="portrait"/>
          <w:cols w:equalWidth="0" w:num="1">
            <w:col w:w="11420"/>
          </w:cols>
          <w:pgMar w:left="240" w:top="27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Benchmark Treasury: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Price/Yield: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Spread to Benchmark Treasury: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Arial" w:cs="Arial" w:eastAsia="Arial" w:hAnsi="Arial"/>
          <w:sz w:val="18"/>
          <w:szCs w:val="18"/>
          <w:color w:val="auto"/>
        </w:rPr>
        <w:t>2027 Notes: 2.375% due May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-284480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2044 Notes: 3.000% due February 15, 2047</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2027 Notes: 101-29+ / 2.158%</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2044 Notes: 105-05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2.743%</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2027 Notes: +120 basis points</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2044 Notes: +140 basis points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2027 Notes: 3.358%</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2044 Notes: 4.143%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2027 Notes: 3.25% per year</w:t>
      </w:r>
    </w:p>
    <w:p>
      <w:pPr>
        <w:spacing w:after="0" w:line="117"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2044 Notes: 4.50% per year (interest on the 2044 Notes will accrue from June 1, 2017)</w:t>
      </w:r>
    </w:p>
    <w:p>
      <w:pPr>
        <w:spacing w:after="0" w:line="62"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2027 Notes: 99.083% of principal amount, plus accrued interest, if any, from June 23, 2017</w:t>
      </w:r>
    </w:p>
    <w:p>
      <w:pPr>
        <w:spacing w:after="0" w:line="62" w:lineRule="exact"/>
        <w:rPr>
          <w:sz w:val="20"/>
          <w:szCs w:val="20"/>
          <w:color w:val="auto"/>
        </w:rPr>
      </w:pPr>
    </w:p>
    <w:p>
      <w:pPr>
        <w:ind w:left="1300" w:right="460"/>
        <w:spacing w:after="0" w:line="277" w:lineRule="auto"/>
        <w:rPr>
          <w:sz w:val="20"/>
          <w:szCs w:val="20"/>
          <w:color w:val="auto"/>
        </w:rPr>
      </w:pPr>
      <w:r>
        <w:rPr>
          <w:rFonts w:ascii="Arial" w:cs="Arial" w:eastAsia="Arial" w:hAnsi="Arial"/>
          <w:sz w:val="18"/>
          <w:szCs w:val="18"/>
          <w:color w:val="auto"/>
        </w:rPr>
        <w:t>2044 Notes: 105.760% of principal amount, plus accrued interest of $275,000.00 from June 1, 2017</w:t>
      </w:r>
    </w:p>
    <w:p>
      <w:pPr>
        <w:spacing w:after="0" w:line="62" w:lineRule="exact"/>
        <w:rPr>
          <w:sz w:val="20"/>
          <w:szCs w:val="20"/>
          <w:color w:val="auto"/>
        </w:rPr>
      </w:pPr>
    </w:p>
    <w:p>
      <w:pPr>
        <w:ind w:left="1300"/>
        <w:spacing w:after="0" w:line="284" w:lineRule="auto"/>
        <w:rPr>
          <w:sz w:val="20"/>
          <w:szCs w:val="20"/>
          <w:color w:val="auto"/>
        </w:rPr>
      </w:pPr>
      <w:r>
        <w:rPr>
          <w:rFonts w:ascii="Arial" w:cs="Arial" w:eastAsia="Arial" w:hAnsi="Arial"/>
          <w:sz w:val="16"/>
          <w:szCs w:val="16"/>
          <w:color w:val="auto"/>
        </w:rPr>
        <w:t>2027 Notes: At any time before April 15, 2027, make-whole call based on U.S. Treasury plus 20 basis points (0.20%); if redeemed on or after April 15, 2027, at 100% of the principal amount of the notes being redeemed, in each case plus accrued and unpaid interest thereon to, but excluding, the redemption date 2044 Notes: At any time before June 1, 2044, make-whole call based on U.S. Treasury plus 25 basis points</w:t>
      </w:r>
    </w:p>
    <w:p>
      <w:pPr>
        <w:spacing w:after="0" w:line="5" w:lineRule="exact"/>
        <w:rPr>
          <w:sz w:val="20"/>
          <w:szCs w:val="20"/>
          <w:color w:val="auto"/>
        </w:rPr>
      </w:pPr>
    </w:p>
    <w:p>
      <w:pPr>
        <w:ind w:left="1300" w:right="220"/>
        <w:spacing w:after="0" w:line="302" w:lineRule="auto"/>
        <w:rPr>
          <w:sz w:val="20"/>
          <w:szCs w:val="20"/>
          <w:color w:val="auto"/>
        </w:rPr>
      </w:pPr>
      <w:r>
        <w:rPr>
          <w:rFonts w:ascii="Arial" w:cs="Arial" w:eastAsia="Arial" w:hAnsi="Arial"/>
          <w:sz w:val="16"/>
          <w:szCs w:val="16"/>
          <w:color w:val="auto"/>
        </w:rPr>
        <w:t>(0.25%); if redeemed on or after June 1, 2044, at 100% of the principal amount of the notes being redeemed, in each case plus accrued and unpaid interest thereon to, but excluding, the redemption date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2">
            <w:col w:w="4040" w:space="720"/>
            <w:col w:w="6640"/>
          </w:cols>
          <w:pgMar w:left="240" w:top="382" w:right="25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2027 Note: 313747 AY3 / US313747AY39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-269875</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340" w:space="720"/>
            <w:col w:w="5300"/>
          </w:cols>
          <w:pgMar w:left="240" w:top="382" w:right="299" w:bottom="1440" w:gutter="0" w:footer="0" w:header="0"/>
        </w:sectPr>
      </w:pPr>
    </w:p>
    <w:p>
      <w:pPr>
        <w:ind w:left="6060"/>
        <w:spacing w:after="0"/>
        <w:rPr>
          <w:sz w:val="20"/>
          <w:szCs w:val="20"/>
          <w:color w:val="auto"/>
        </w:rPr>
      </w:pPr>
      <w:r>
        <w:rPr>
          <w:rFonts w:ascii="Arial" w:cs="Arial" w:eastAsia="Arial" w:hAnsi="Arial"/>
          <w:sz w:val="16"/>
          <w:szCs w:val="16"/>
          <w:color w:val="auto"/>
        </w:rPr>
        <w:t>2044 Note: 313747 AV9 / US313747AV99</w:t>
      </w:r>
    </w:p>
    <w:p>
      <w:pPr>
        <w:sectPr>
          <w:pgSz w:w="11900" w:h="16838" w:orient="portrait"/>
          <w:cols w:equalWidth="0" w:num="1">
            <w:col w:w="11360"/>
          </w:cols>
          <w:pgMar w:left="240" w:top="382" w:right="29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114" w:lineRule="exact"/>
        <w:rPr>
          <w:sz w:val="20"/>
          <w:szCs w:val="20"/>
          <w:color w:val="auto"/>
        </w:rPr>
      </w:pPr>
    </w:p>
    <w:p>
      <w:pPr>
        <w:sectPr>
          <w:pgSz w:w="11900" w:h="16838" w:orient="portrait"/>
          <w:cols w:equalWidth="0" w:num="2">
            <w:col w:w="5340" w:space="720"/>
            <w:col w:w="5300"/>
          </w:cols>
          <w:pgMar w:left="240" w:top="382" w:right="29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PNC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5340" w:space="720"/>
            <w:col w:w="5300"/>
          </w:cols>
          <w:pgMar w:left="240" w:top="382" w:right="29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information in the preliminary prospectus supplement dated June 20, 2017 and the prospectus dated May 8, 2015, including, without limitation, the information under the captions “Description of Notes” and “Description of Debt Securities,” shall also apply to the 2044 Notes and, unless the context otherwise requires, references in such documents to “notes” shall also include the 2044 Notes.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terms of the 2044 Notes, other than their issue date, initial interest accrual date, initial interest payment date and issue price, will be identical to the terms of and will be part of the same series as the $250,000,000 aggregate principal amount of 4.50% Notes due 2044 issued by Federal Realty Investment Trust on November 14, 2014. The 2044 Notes offered hereby will have the same CUSIP number as such other notes and will trade interchangeably with such other notes immediately upon settlement. Upon consummation of this offering, the aggregate principal amount outstanding of Federal Realty Investment Trust’s 4.50% Notes due 2044, including the 2044 Notes offered hereby, will be $550,000,000.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Tax Considerations for the 2044 Notes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Qualified Reopening</w:t>
      </w:r>
      <w:r>
        <w:rPr>
          <w:rFonts w:ascii="Arial" w:cs="Arial" w:eastAsia="Arial" w:hAnsi="Arial"/>
          <w:sz w:val="16"/>
          <w:szCs w:val="16"/>
          <w:color w:val="auto"/>
        </w:rPr>
        <w:t>. For U.S. federal income tax purposes, we currently intend to treat the 2044 Notes offered hereby (the “reopened notes”) as being issued</w:t>
      </w:r>
      <w:r>
        <w:rPr>
          <w:rFonts w:ascii="Arial" w:cs="Arial" w:eastAsia="Arial" w:hAnsi="Arial"/>
          <w:sz w:val="16"/>
          <w:szCs w:val="16"/>
          <w:i w:val="1"/>
          <w:iCs w:val="1"/>
          <w:color w:val="auto"/>
        </w:rPr>
        <w:t xml:space="preserve"> </w:t>
      </w:r>
      <w:r>
        <w:rPr>
          <w:rFonts w:ascii="Arial" w:cs="Arial" w:eastAsia="Arial" w:hAnsi="Arial"/>
          <w:sz w:val="16"/>
          <w:szCs w:val="16"/>
          <w:color w:val="auto"/>
        </w:rPr>
        <w:t>in a “qualified reopening” of the currently outstanding 4.50% Notes due 2044 (the “existing notes”). For U.S. federal income tax purposes, debt instruments issued in a qualified reopening are deemed to be part of the same issue as the original debt instruments. Under the treatment described in this paragraph, the reopened notes offered hereby will have the same issue date and the same issue price as the existing notes for U.S. federal income tax purposes. The issue price of the existing notes was $988.60 per $1,000 face amount and the issue date of the existing notes was November 14, 2014. Because the existing notes were not issued with “original issue discount,” or OID, under the qualified reopening rules, the reopened notes also will not be issued with OID. The remainder of this discussion assumes the correctness of the treatment described in this paragraph.</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 to Exhibit B, Page 3</w:t>
      </w:r>
    </w:p>
    <w:p>
      <w:pPr>
        <w:sectPr>
          <w:pgSz w:w="11900" w:h="16838" w:orient="portrait"/>
          <w:cols w:equalWidth="0" w:num="1">
            <w:col w:w="11360"/>
          </w:cols>
          <w:pgMar w:left="240" w:top="382" w:right="299" w:bottom="1440" w:gutter="0" w:footer="0" w:header="0"/>
          <w:type w:val="continuous"/>
        </w:sectPr>
      </w:pPr>
    </w:p>
    <w:bookmarkStart w:id="47" w:name="page48"/>
    <w:bookmarkEnd w:id="47"/>
    <w:p>
      <w:pPr>
        <w:ind w:right="20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Payments of Interest. </w:t>
      </w:r>
      <w:r>
        <w:rPr>
          <w:rFonts w:ascii="Arial" w:cs="Arial" w:eastAsia="Arial" w:hAnsi="Arial"/>
          <w:sz w:val="18"/>
          <w:szCs w:val="18"/>
          <w:color w:val="auto"/>
        </w:rPr>
        <w:t>In general, interest on the reopened notes, other than any accrued interest to which a portion of the purchase price is allocated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under “Pre-Acquisition Accrued Interest” below), will be included in the income of a U.S. Holder as ordinary income at the time it is received or accrued, in accordance with such holder’s regular method of accounting for U.S. federal income tax purposes.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Pre-Acquisition Accrued Interest. </w:t>
      </w:r>
      <w:r>
        <w:rPr>
          <w:rFonts w:ascii="Arial" w:cs="Arial" w:eastAsia="Arial" w:hAnsi="Arial"/>
          <w:sz w:val="16"/>
          <w:szCs w:val="16"/>
          <w:color w:val="auto"/>
        </w:rPr>
        <w:t>A portion of the price paid for the reopened notes is attributable to the amount of interest accrued from June 1, 2017</w:t>
      </w:r>
      <w:r>
        <w:rPr>
          <w:rFonts w:ascii="Arial" w:cs="Arial" w:eastAsia="Arial" w:hAnsi="Arial"/>
          <w:sz w:val="16"/>
          <w:szCs w:val="16"/>
          <w:i w:val="1"/>
          <w:iCs w:val="1"/>
          <w:color w:val="auto"/>
        </w:rPr>
        <w:t xml:space="preserve"> </w:t>
      </w:r>
      <w:r>
        <w:rPr>
          <w:rFonts w:ascii="Arial" w:cs="Arial" w:eastAsia="Arial" w:hAnsi="Arial"/>
          <w:sz w:val="16"/>
          <w:szCs w:val="16"/>
          <w:color w:val="auto"/>
        </w:rPr>
        <w:t>(“pre-acquisition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reopened note by a corresponding amount. You are urged to consult your own tax advisors regarding the tax treatment of pre-acquisition accrued interest.</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Amortizable Bond Premium. </w:t>
      </w:r>
      <w:r>
        <w:rPr>
          <w:rFonts w:ascii="Arial" w:cs="Arial" w:eastAsia="Arial" w:hAnsi="Arial"/>
          <w:sz w:val="16"/>
          <w:szCs w:val="16"/>
          <w:color w:val="auto"/>
        </w:rPr>
        <w:t>If a reopened note is purchased at a price in excess of such reopened note’s stated principal amount (excluding any amounts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treated as pre-acquisition accrued interest as described above under “Pre-Acquisition Accrued Interest”), a U.S. Holder will have bond premium with respect to that reopened note in an amount equal to such excess. A U.S. Holder generally may elect to amortize bond premium using the constant yield method over the remaining term of the reopened note and may offset stated interest income otherwise required to be included in respect of the reopened note during any taxable year by the amortized amount of bond premium for the taxable year. However, because we may call the reopened notes under certain circumstances at a price in excess of their stated principal amount, such amortization may be reduced and/or deferred.</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reopened note. You are urged to consult your own tax advisors with respect to the rules relating to amortizable bond premium and the application to your particular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60" w:right="1280" w:hanging="4752"/>
        <w:spacing w:after="0" w:line="449" w:lineRule="auto"/>
        <w:tabs>
          <w:tab w:leader="none" w:pos="2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subject to revision or withdrawal at any time. Sch. I to Exhibit B, Page 4</w:t>
      </w:r>
    </w:p>
    <w:p>
      <w:pPr>
        <w:sectPr>
          <w:pgSz w:w="11900" w:h="16838" w:orient="portrait"/>
          <w:cols w:equalWidth="0" w:num="1">
            <w:col w:w="11380"/>
          </w:cols>
          <w:pgMar w:left="240" w:top="274" w:right="279" w:bottom="1440" w:gutter="0" w:footer="0" w:header="0"/>
        </w:sectPr>
      </w:pPr>
    </w:p>
    <w:bookmarkStart w:id="48" w:name="page49"/>
    <w:bookmarkEnd w:id="48"/>
    <w:p>
      <w:pPr>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6"/>
          <w:szCs w:val="16"/>
          <w:color w:val="auto"/>
        </w:rPr>
        <w:t>A</w:t>
      </w:r>
      <w:r>
        <w:rPr>
          <w:rFonts w:ascii="Arial" w:cs="Arial" w:eastAsia="Arial" w:hAnsi="Arial"/>
          <w:sz w:val="16"/>
          <w:szCs w:val="16"/>
          <w:b w:val="1"/>
          <w:bCs w:val="1"/>
          <w:color w:val="auto"/>
        </w:rPr>
        <w:t>lternatively, the issuer, any underwriter or any dealer participating in the offering will arrange to send you the prospectus supplement and prospectus if you request it from (i) Citigroup Global Markets Inc. toll free at 1-800-831-9146, (ii) Deutsche Bank Securities Inc. toll free at 1-800-503-4611, (iii) J.P. Morgan Securities LLC collect at 1-212-834-4533, or (iv) Wells Fargo Securities, LLC toll free at 1-800-645-3751.</w:t>
      </w:r>
    </w:p>
    <w:p>
      <w:pPr>
        <w:spacing w:after="0" w:line="162"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 I to Exhibit B, Page 5</w:t>
      </w:r>
    </w:p>
    <w:p>
      <w:pPr>
        <w:sectPr>
          <w:pgSz w:w="11900" w:h="16838" w:orient="portrait"/>
          <w:cols w:equalWidth="0" w:num="1">
            <w:col w:w="11360"/>
          </w:cols>
          <w:pgMar w:left="240" w:top="270"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20,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June 20, 2017 (the “Underwriting Agreement”), between the Company on the one hand and Citigroup Global Markets Inc., Deutsche Bank Securities Inc., J.P. Morgan Securities LLC and Wells Fargo Securities, LLC acting for themselves and as representatives of the Underwriters named in Schedule I hereto (collectively, the “Underwriters”), on the other hand, to issue and sell to the Underwriters the Securities specified in Schedules II-A and II-B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w:t>
      </w:r>
    </w:p>
    <w:p>
      <w:pPr>
        <w:sectPr>
          <w:pgSz w:w="11900" w:h="16838" w:orient="portrait"/>
          <w:cols w:equalWidth="0" w:num="1">
            <w:col w:w="11420"/>
          </w:cols>
          <w:pgMar w:left="240" w:top="121" w:right="239" w:bottom="1440" w:gutter="0" w:footer="0" w:header="0"/>
        </w:sectPr>
      </w:pPr>
    </w:p>
    <w:bookmarkStart w:id="50" w:name="page51"/>
    <w:bookmarkEnd w:id="5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Schedules II-A and II-B hereto, the principal amount of Designated Securities set forth opposite the name of such Underwriter in Schedule I 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51" w:name="page52"/>
    <w:bookmarkEnd w:id="5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Title: Executive Vice President-Chief Financial Officer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Treasurer</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340"/>
          </w:cols>
          <w:pgMar w:left="240" w:top="274"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color w:val="auto"/>
        </w:rPr>
        <w:t>ITIGROUP</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M</w:t>
      </w:r>
      <w:r>
        <w:rPr>
          <w:rFonts w:ascii="Arial" w:cs="Arial" w:eastAsia="Arial" w:hAnsi="Arial"/>
          <w:sz w:val="15"/>
          <w:szCs w:val="15"/>
          <w:color w:val="auto"/>
        </w:rPr>
        <w:t>ARKETS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EUTSCHE</w:t>
      </w:r>
      <w:r>
        <w:rPr>
          <w:rFonts w:ascii="Arial" w:cs="Arial" w:eastAsia="Arial" w:hAnsi="Arial"/>
          <w:sz w:val="18"/>
          <w:szCs w:val="18"/>
          <w:color w:val="auto"/>
        </w:rPr>
        <w:t xml:space="preserve"> B</w:t>
      </w:r>
      <w:r>
        <w:rPr>
          <w:rFonts w:ascii="Arial" w:cs="Arial" w:eastAsia="Arial" w:hAnsi="Arial"/>
          <w:sz w:val="15"/>
          <w:szCs w:val="15"/>
          <w:color w:val="auto"/>
        </w:rPr>
        <w:t>ANK</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Achal Sakaria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Achal Sakaria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Jared Birnbaum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Jared Birnbaum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 Debt Capital Markets Coverage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Corporates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Patrick M. Käufer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Patrick M. Käufer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Som Bhattacharyya</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219"/>
          </w:cols>
          <w:pgMar w:left="240" w:top="274"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58"/>
        </w:trPr>
        <w:tc>
          <w:tcPr>
            <w:tcW w:w="8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2027 Notes</w:t>
            </w:r>
          </w:p>
        </w:tc>
        <w:tc>
          <w:tcPr>
            <w:tcW w:w="200" w:type="dxa"/>
            <w:vAlign w:val="bottom"/>
          </w:tcPr>
          <w:p>
            <w:pPr>
              <w:spacing w:after="0"/>
              <w:rPr>
                <w:sz w:val="13"/>
                <w:szCs w:val="13"/>
                <w:color w:val="auto"/>
              </w:rPr>
            </w:pPr>
          </w:p>
        </w:tc>
        <w:tc>
          <w:tcPr>
            <w:tcW w:w="11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2044 Notes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60,000,000</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60,000,000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420"/>
          </w:cols>
          <w:pgMar w:left="240" w:top="274" w:right="239" w:bottom="1440" w:gutter="0" w:footer="0" w:header="0"/>
        </w:sectPr>
      </w:pPr>
    </w:p>
    <w:bookmarkStart w:id="54" w:name="page55"/>
    <w:bookmarkEnd w:id="54"/>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Notes due 2027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99.083% of the principal amount of the Designated Securities, plus accrued interest from 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98.433%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15, 2027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3.25%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15 and July 15, beginning on January 15,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II-A</w:t>
      </w:r>
    </w:p>
    <w:p>
      <w:pPr>
        <w:sectPr>
          <w:pgSz w:w="11900" w:h="16838" w:orient="portrait"/>
          <w:cols w:equalWidth="0" w:num="1">
            <w:col w:w="11040"/>
          </w:cols>
          <w:pgMar w:left="240" w:top="274" w:right="6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3:50 p.m. (Eastern time) on June 20, 2017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291-1469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Investment Grade Syndicate Desk – 3rd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834-6081</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Sch. II-A</w:t>
      </w:r>
    </w:p>
    <w:p>
      <w:pPr>
        <w:sectPr>
          <w:pgSz w:w="11900" w:h="16838" w:orient="portrait"/>
          <w:cols w:equalWidth="0" w:num="1">
            <w:col w:w="10219"/>
          </w:cols>
          <w:pgMar w:left="240" w:top="270"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143"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Sch. II-A</w:t>
      </w:r>
    </w:p>
    <w:p>
      <w:pPr>
        <w:sectPr>
          <w:pgSz w:w="11900" w:h="16838" w:orient="portrait"/>
          <w:cols w:equalWidth="0" w:num="1">
            <w:col w:w="9759"/>
          </w:cols>
          <w:pgMar w:left="700" w:top="274" w:right="1440"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II-B</w:t>
      </w:r>
      <w:r>
        <w:rPr>
          <w:rFonts w:ascii="Arial" w:cs="Arial" w:eastAsia="Arial" w:hAnsi="Arial"/>
          <w:sz w:val="15"/>
          <w:szCs w:val="15"/>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Notes due 2044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105.760% of the principal amount of the Designated Securities, plus accrued interest of $275,000.00 from and including June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104.885% of the principal amount of the Designated Securities, plus accrued interest of $275,000.00 from and including June 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1, 2044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1 and December 1, beginning on December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line="264"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 terms of the 4.50% Notes due 2044, other than their issue date, initial interest accrual date, initial interest payment date and issue price, will be identical to the terms of and will be part of the same series as the $250,000,000 aggregate principal amount of 4.50% Notes due 2044 issued by Federal Realty Investment Trust on November 14, 2014.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II-B</w:t>
      </w:r>
    </w:p>
    <w:p>
      <w:pPr>
        <w:sectPr>
          <w:pgSz w:w="11900" w:h="16838" w:orient="portrait"/>
          <w:cols w:equalWidth="0" w:num="1">
            <w:col w:w="11360"/>
          </w:cols>
          <w:pgMar w:left="240" w:top="274"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p.m. (Eastern time) on June 20,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23,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291-1469</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374-1071</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Sch. II-B</w:t>
      </w:r>
    </w:p>
    <w:p>
      <w:pPr>
        <w:sectPr>
          <w:pgSz w:w="11900" w:h="16838" w:orient="portrait"/>
          <w:cols w:equalWidth="0" w:num="1">
            <w:col w:w="11040"/>
          </w:cols>
          <w:pgMar w:left="240" w:top="270" w:right="61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Investment Grade Syndicate Desk –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834-6081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143"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Sch. II-B</w:t>
      </w:r>
    </w:p>
    <w:p>
      <w:pPr>
        <w:sectPr>
          <w:pgSz w:w="11900" w:h="16838" w:orient="portrait"/>
          <w:cols w:equalWidth="0" w:num="1">
            <w:col w:w="9759"/>
          </w:cols>
          <w:pgMar w:left="700" w:top="274"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3.25% Note due 2027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CUSIP No. 313747 AY3</w:t>
            </w:r>
          </w:p>
        </w:tc>
        <w:tc>
          <w:tcPr>
            <w:tcW w:w="5300" w:type="dxa"/>
            <w:vAlign w:val="bottom"/>
          </w:tcPr>
          <w:p>
            <w:pPr>
              <w:jc w:val="right"/>
              <w:spacing w:after="0"/>
              <w:rPr>
                <w:sz w:val="20"/>
                <w:szCs w:val="20"/>
                <w:color w:val="auto"/>
              </w:rPr>
            </w:pPr>
            <w:r>
              <w:rPr>
                <w:rFonts w:ascii="Arial" w:cs="Arial" w:eastAsia="Arial" w:hAnsi="Arial"/>
                <w:sz w:val="18"/>
                <w:szCs w:val="18"/>
                <w:color w:val="auto"/>
              </w:rPr>
              <w:t>$300,000,000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58"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Three Hundred Million Dollars ($300,000,000) on July 15, 2027 (the “Stated Maturity Date”) or the date fixed for earlier redemption (the “Redemption Date,” and together with the Stated Maturity Date with respect to principal repayable on such date, the “Maturity Date”), and to pay interest on the outstanding principal amount thereof from June 23, 2017, or from the most recent interest payment date to which interest has been paid or duly provided for, semi-annually on January 15 and July 15 in each year (each, an “Interest Payment Date”), commencing January 15, 2018, at the rate of</w:t>
      </w:r>
    </w:p>
    <w:p>
      <w:pPr>
        <w:spacing w:after="0" w:line="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3.25%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 or July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1" w:right="239" w:bottom="1440" w:gutter="0" w:footer="0" w:header="0"/>
        </w:sectPr>
      </w:pPr>
    </w:p>
    <w:bookmarkStart w:id="61" w:name="page62"/>
    <w:bookmarkEnd w:id="6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June 23, 2017,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2" w:name="page63"/>
    <w:bookmarkEnd w:id="6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President-Managing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 Mixed-Use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Darlene Hough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720"/>
          </w:cols>
          <w:pgMar w:left="240" w:top="274" w:right="9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3.25% Note due 2027</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“3.25% Notes due 2027” (collectively, the “Notes”), and the aggregate principal amount of the Notes to be issued under such series is limited to $300,000,000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8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 the performance, or a breach, of any covenant or agreement by the Company under the Indenture (other than a covenant or agreement a default in whose</w:t>
      </w:r>
    </w:p>
    <w:p>
      <w:pPr>
        <w:sectPr>
          <w:pgSz w:w="11900" w:h="16838" w:orient="portrait"/>
          <w:cols w:equalWidth="0" w:num="1">
            <w:col w:w="11400"/>
          </w:cols>
          <w:pgMar w:left="240" w:top="274" w:right="259" w:bottom="1440" w:gutter="0" w:footer="0" w:header="0"/>
        </w:sectPr>
      </w:pPr>
    </w:p>
    <w:bookmarkStart w:id="64" w:name="page65"/>
    <w:bookmarkEnd w:id="6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79" w:lineRule="exact"/>
        <w:rPr>
          <w:sz w:val="20"/>
          <w:szCs w:val="20"/>
          <w:color w:val="auto"/>
        </w:rPr>
      </w:pPr>
    </w:p>
    <w:p>
      <w:pPr>
        <w:ind w:firstLine="443"/>
        <w:spacing w:after="0" w:line="290" w:lineRule="auto"/>
        <w:tabs>
          <w:tab w:leader="none" w:pos="6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65" w:name="page66"/>
    <w:bookmarkEnd w:id="65"/>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April 15, 2027 (the “Par Call Date”),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79"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right="22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(1) Citigroup Global Markets Inc., Deutsche Bank Securities Inc., J.P. Morgan Securities LLC and Wells Fargo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6" w:name="page67"/>
    <w:bookmarkEnd w:id="66"/>
    <w:p>
      <w:pPr>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LLC and their respective successors; provided, however, that if any of the Reference Treasury Dealers ceases to be a primary U.S. Government securities dealer (a “Primary Treasury Dealer”), the Company will substitute therefor another Primary Treasury Dealer; and (2) any three other Primary Treasury Dealers selected by the Company.</w:t>
      </w:r>
    </w:p>
    <w:p>
      <w:pPr>
        <w:spacing w:after="0" w:line="73"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67" w:name="page68"/>
    <w:bookmarkEnd w:id="67"/>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5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8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68" w:name="page69"/>
    <w:bookmarkEnd w:id="68"/>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69" w:name="page70"/>
    <w:bookmarkEnd w:id="6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71"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6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70" w:name="page71"/>
    <w:bookmarkEnd w:id="70"/>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 Note due 2044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CUSIP No. 313747 AV9</w:t>
            </w:r>
          </w:p>
        </w:tc>
        <w:tc>
          <w:tcPr>
            <w:tcW w:w="5220" w:type="dxa"/>
            <w:vAlign w:val="bottom"/>
          </w:tcPr>
          <w:p>
            <w:pPr>
              <w:jc w:val="right"/>
              <w:spacing w:after="0"/>
              <w:rPr>
                <w:sz w:val="20"/>
                <w:szCs w:val="20"/>
                <w:color w:val="auto"/>
              </w:rPr>
            </w:pPr>
            <w:r>
              <w:rPr>
                <w:rFonts w:ascii="Arial" w:cs="Arial" w:eastAsia="Arial" w:hAnsi="Arial"/>
                <w:sz w:val="18"/>
                <w:szCs w:val="18"/>
                <w:color w:val="auto"/>
              </w:rPr>
              <w:t>$100,000,000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Million Dollars ($100,000,000) on December 1, 2044 (the “Stated Maturity Date”) or the date fixed for earlier redemption (the “Redemption Date,” and together with the Stated Maturity Date with respect to principal repayable on such date, the “Maturity Date”), and to pay interest on the outstanding principal amount thereof from November 14, 2014 or from the most recent interest payment date to which interest has been paid or duly provided for, semi-annually on June 1 and December 1 in each year (each, an “Interest Payment Date”), commencing June 1, 2015, at the rate of 4.50%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or November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420"/>
          </w:cols>
          <w:pgMar w:left="240" w:top="121" w:right="239" w:bottom="1440" w:gutter="0" w:footer="0" w:header="0"/>
        </w:sectPr>
      </w:pPr>
    </w:p>
    <w:bookmarkStart w:id="72" w:name="page73"/>
    <w:bookmarkEnd w:id="7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November 14, 2014,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60" w:firstLine="913"/>
        <w:spacing w:after="0" w:line="258"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3" w:name="page74"/>
    <w:bookmarkEnd w:id="7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President-Managing Director Mixed-Use</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Darlene Hough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340"/>
          </w:cols>
          <w:pgMar w:left="240" w:top="274" w:right="31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 Note due 2044</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“4.50% Notes due 2044” (collectively, the “Notes”), and the aggregate principal amount of the Notes to be issued under such series is limited to $550,000,000 as of the date hereof (except for Notes authenticated and delivered upon transfer of, or in exchange for, or in lieu of other Notes). This Note forms a single series with the 4.50% Notes due 2044 first issued by the Company as of November 14, 2014.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48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400"/>
          </w:cols>
          <w:pgMar w:left="240" w:top="274" w:right="259" w:bottom="1440" w:gutter="0" w:footer="0" w:header="0"/>
        </w:sectPr>
      </w:pPr>
    </w:p>
    <w:bookmarkStart w:id="75" w:name="page76"/>
    <w:bookmarkEnd w:id="75"/>
    <w:p>
      <w:pPr>
        <w:ind w:right="80" w:firstLine="443"/>
        <w:spacing w:after="0" w:line="276" w:lineRule="auto"/>
        <w:tabs>
          <w:tab w:leader="none" w:pos="693"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64" w:lineRule="exact"/>
        <w:rPr>
          <w:rFonts w:ascii="Arial" w:cs="Arial" w:eastAsia="Arial" w:hAnsi="Arial"/>
          <w:sz w:val="17"/>
          <w:szCs w:val="17"/>
          <w:color w:val="auto"/>
        </w:rPr>
      </w:pPr>
    </w:p>
    <w:p>
      <w:pPr>
        <w:ind w:firstLine="443"/>
        <w:spacing w:after="0" w:line="290"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700" w:hanging="25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either of its property, or</w:t>
      </w:r>
    </w:p>
    <w:p>
      <w:pPr>
        <w:spacing w:after="0" w:line="117" w:lineRule="exact"/>
        <w:rPr>
          <w:rFonts w:ascii="Arial" w:cs="Arial" w:eastAsia="Arial" w:hAnsi="Arial"/>
          <w:sz w:val="18"/>
          <w:szCs w:val="18"/>
          <w:color w:val="auto"/>
        </w:rPr>
      </w:pPr>
    </w:p>
    <w:p>
      <w:pPr>
        <w:ind w:left="1040" w:right="320" w:hanging="8"/>
        <w:spacing w:after="0" w:line="277" w:lineRule="auto"/>
        <w:tabs>
          <w:tab w:leader="none" w:pos="1285" w:val="left"/>
        </w:tabs>
        <w:numPr>
          <w:ilvl w:val="1"/>
          <w:numId w:val="47"/>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80" w:hanging="248"/>
        <w:spacing w:after="0"/>
        <w:tabs>
          <w:tab w:leader="none" w:pos="1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76" w:name="page77"/>
    <w:bookmarkEnd w:id="76"/>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June 1, 2044,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(twenty-five one-hundredths of one percent) plus, in each case, accrued interest thereon to, but excluding, the Redemption Date or (y) if the Notes are redeemed on or after June 1, 2044,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7" w:lineRule="exact"/>
        <w:rPr>
          <w:sz w:val="20"/>
          <w:szCs w:val="20"/>
          <w:color w:val="auto"/>
        </w:rPr>
      </w:pPr>
    </w:p>
    <w:p>
      <w:pPr>
        <w:ind w:left="460" w:right="22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60" w:firstLine="43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a Primary Treasury Dealer (as defined below) selected by Wells Fargo Securities, LLC, Merrill Lynch, Pierce, Fenner &amp; Smith Incorporated and Deutsche Bank Securities Inc.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7" w:name="page78"/>
    <w:bookmarkEnd w:id="77"/>
    <w:p>
      <w:pPr>
        <w:ind w:left="460" w:right="2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20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78" w:name="page79"/>
    <w:bookmarkEnd w:id="7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8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9" w:name="page80"/>
    <w:bookmarkEnd w:id="79"/>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3"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3"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60" w:right="120" w:firstLine="43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 accepted accounting principles to the extent, in the case of items of indebtedness under (i)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80" w:name="page81"/>
    <w:bookmarkEnd w:id="80"/>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59"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right="14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38"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3"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81" w:name="page82"/>
    <w:bookmarkEnd w:id="81"/>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w:t>
      </w:r>
    </w:p>
    <w:p>
      <w:pPr>
        <w:spacing w:after="0" w:line="24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June 23,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of (i) $300,000,000 aggregate principal amount of 3.25% Notes due 2027 of the Company and (ii) $100,000,000 aggregate principal amount of 4.50% Notes due 2044 of the Company (collectively, the “Notes”), pursuant to the Underwriting Agreement and related Pricing Agreement, each dated June 20, 2017,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certificates dated June 23, 2017 setting forth the terms of the Notes, the “Indenture”).</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333-203999) (the “Registration Statement”) filed by the Company to register the offer and sale of the Notes with the Securities and Exchange Commission (the “Commission”) under the Securities Act of 1933 (the “Securities Act”), (d) the Prospectus dated May 8, 2015, as supplemented by the Prospectus Supplement dated June 20, 2017,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ectPr>
          <w:pgSz w:w="11900" w:h="16838" w:orient="portrait"/>
          <w:cols w:equalWidth="0" w:num="1">
            <w:col w:w="11420"/>
          </w:cols>
          <w:pgMar w:left="240" w:top="121" w:right="239" w:bottom="1440" w:gutter="0" w:footer="0" w:header="0"/>
        </w:sectPr>
      </w:pPr>
    </w:p>
    <w:bookmarkStart w:id="83" w:name="page84"/>
    <w:bookmarkEnd w:id="83"/>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filed by the Company with the Commission on June 26, 2017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80"/>
          </w:cols>
          <w:pgMar w:left="240" w:top="274" w:right="37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preliminary and a final prospectus supplement both dated June 20, 2017 (together, the “Prospectus Supplement”), and a free writing prospectus and term sheet supplement dated June 20, 2017,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5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(2017) taxable year and for future taxable years, and (iii) the discussions in (w) the Base Prospectus under the caption “Material Federal Income Tax Considerations” (x) the Prospectus Supplement under the caption “Additional Material Federal Income Tax Considerations,”</w:t>
      </w:r>
    </w:p>
    <w:p>
      <w:pPr>
        <w:spacing w:after="0" w:line="5" w:lineRule="exact"/>
        <w:rPr>
          <w:sz w:val="20"/>
          <w:szCs w:val="20"/>
          <w:color w:val="auto"/>
        </w:rPr>
      </w:pPr>
    </w:p>
    <w:p>
      <w:pPr>
        <w:ind w:right="20" w:firstLine="8"/>
        <w:spacing w:after="0" w:line="288"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free writing prospectus and term sheet dated June 20, 2017 under the caption “Supplemental Tax Considerations for the 2044 Notes,” and (z) the Company’s Annual Report on Form 10-K for the year ended December 31, 2016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ectPr>
          <w:pgSz w:w="11900" w:h="16838" w:orient="portrait"/>
          <w:cols w:equalWidth="0" w:num="1">
            <w:col w:w="11400"/>
          </w:cols>
          <w:pgMar w:left="240" w:top="274"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340"/>
          </w:cols>
          <w:pgMar w:left="240" w:top="274" w:right="31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color w:val="auto"/>
              </w:rPr>
              <w:t>3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7"/>
          </w:tcPr>
          <w:p>
            <w:pPr>
              <w:jc w:val="right"/>
              <w:ind w:right="860"/>
              <w:spacing w:after="0"/>
              <w:rPr>
                <w:sz w:val="20"/>
                <w:szCs w:val="20"/>
                <w:color w:val="auto"/>
              </w:rPr>
            </w:pPr>
            <w:r>
              <w:rPr>
                <w:rFonts w:ascii="Arial" w:cs="Arial" w:eastAsia="Arial" w:hAnsi="Arial"/>
                <w:sz w:val="14"/>
                <w:szCs w:val="14"/>
                <w:color w:val="auto"/>
              </w:rPr>
              <w:t>Year Ended December 31,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ind w:left="340"/>
              <w:spacing w:after="0" w:line="201" w:lineRule="exact"/>
              <w:rPr>
                <w:sz w:val="20"/>
                <w:szCs w:val="20"/>
                <w:color w:val="auto"/>
              </w:rPr>
            </w:pPr>
            <w:r>
              <w:rPr>
                <w:rFonts w:ascii="Arial" w:cs="Arial" w:eastAsia="Arial" w:hAnsi="Arial"/>
                <w:sz w:val="18"/>
                <w:szCs w:val="18"/>
                <w:color w:val="auto"/>
                <w:w w:val="97"/>
              </w:rPr>
              <w:t>Income from continuing operations before income or loss from</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520"/>
              <w:spacing w:after="0"/>
              <w:rPr>
                <w:sz w:val="20"/>
                <w:szCs w:val="20"/>
                <w:color w:val="auto"/>
              </w:rPr>
            </w:pPr>
            <w:r>
              <w:rPr>
                <w:rFonts w:ascii="Arial" w:cs="Arial" w:eastAsia="Arial" w:hAnsi="Arial"/>
                <w:sz w:val="18"/>
                <w:szCs w:val="18"/>
                <w:color w:val="auto"/>
              </w:rPr>
              <w:t>equity investees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58,223</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227,487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$189,317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$165,655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$134,986</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96,293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112,543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105,137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118,920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Noncontrolling interests in income of subsidiaries with no fixed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(4,691)</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319,696</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300,357</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253,198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23,758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94,994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$ 111,625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$104,486</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$ 118,281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$ 113,336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18,022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20,971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16,181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1,299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114,315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130,665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135,101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124,171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2"/>
    </w:lvl>
  </w:abstractNum>
  <w:abstractNum w:abstractNumId="4">
    <w:nsid w:val="71F32454"/>
    <w:multiLevelType w:val="hybridMultilevel"/>
    <w:lvl w:ilvl="0">
      <w:lvlJc w:val="left"/>
      <w:lvlText w:val="(%1)"/>
      <w:numFmt w:val="lowerLetter"/>
      <w:start w:val="3"/>
    </w:lvl>
  </w:abstractNum>
  <w:abstractNum w:abstractNumId="5">
    <w:nsid w:val="2CA88611"/>
    <w:multiLevelType w:val="hybridMultilevel"/>
    <w:lvl w:ilvl="0">
      <w:lvlJc w:val="left"/>
      <w:lvlText w:val="(%1)"/>
      <w:numFmt w:val="upperLetter"/>
      <w:start w:val="1"/>
    </w:lvl>
  </w:abstractNum>
  <w:abstractNum w:abstractNumId="6">
    <w:nsid w:val="836C40E"/>
    <w:multiLevelType w:val="hybridMultilevel"/>
    <w:lvl w:ilvl="0">
      <w:lvlJc w:val="left"/>
      <w:lvlText w:val="(%1)"/>
      <w:numFmt w:val="lowerLetter"/>
      <w:start w:val="4"/>
    </w:lvl>
  </w:abstractNum>
  <w:abstractNum w:abstractNumId="7">
    <w:nsid w:val="2901D82"/>
    <w:multiLevelType w:val="hybridMultilevel"/>
    <w:lvl w:ilvl="0">
      <w:lvlJc w:val="left"/>
      <w:lvlText w:val="(%1)"/>
      <w:numFmt w:val="lowerLetter"/>
      <w:start w:val="7"/>
    </w:lvl>
  </w:abstractNum>
  <w:abstractNum w:abstractNumId="8">
    <w:nsid w:val="3A95F874"/>
    <w:multiLevelType w:val="hybridMultilevel"/>
    <w:lvl w:ilvl="0">
      <w:lvlJc w:val="left"/>
      <w:lvlText w:val="(%1)"/>
      <w:numFmt w:val="lowerLetter"/>
      <w:start w:val="8"/>
    </w:lvl>
  </w:abstractNum>
  <w:abstractNum w:abstractNumId="9">
    <w:nsid w:val="8138641"/>
    <w:multiLevelType w:val="hybridMultilevel"/>
    <w:lvl w:ilvl="0">
      <w:lvlJc w:val="left"/>
      <w:lvlText w:val="(%1)"/>
      <w:numFmt w:val="lowerRoman"/>
      <w:start w:val="4"/>
    </w:lvl>
    <w:lvl w:ilvl="1">
      <w:lvlJc w:val="left"/>
      <w:lvlText w:val="(%2)"/>
      <w:numFmt w:val="lowerLetter"/>
      <w:start w:val="12"/>
    </w:lvl>
  </w:abstractNum>
  <w:abstractNum w:abstractNumId="10">
    <w:nsid w:val="1E7FF521"/>
    <w:multiLevelType w:val="hybridMultilevel"/>
    <w:lvl w:ilvl="0">
      <w:lvlJc w:val="left"/>
      <w:lvlText w:val="(%1)"/>
      <w:numFmt w:val="lowerLetter"/>
      <w:start w:val="14"/>
    </w:lvl>
  </w:abstractNum>
  <w:abstractNum w:abstractNumId="11">
    <w:nsid w:val="7C3DBD3D"/>
    <w:multiLevelType w:val="hybridMultilevel"/>
    <w:lvl w:ilvl="0">
      <w:lvlJc w:val="left"/>
      <w:lvlText w:val="(%1)"/>
      <w:numFmt w:val="lowerLetter"/>
      <w:start w:val="19"/>
    </w:lvl>
  </w:abstractNum>
  <w:abstractNum w:abstractNumId="12">
    <w:nsid w:val="737B8DDC"/>
    <w:multiLevelType w:val="hybridMultilevel"/>
    <w:lvl w:ilvl="0">
      <w:lvlJc w:val="left"/>
      <w:lvlText w:val="(%1)"/>
      <w:numFmt w:val="lowerLetter"/>
      <w:start w:val="22"/>
    </w:lvl>
  </w:abstractNum>
  <w:abstractNum w:abstractNumId="13">
    <w:nsid w:val="6CEAF087"/>
    <w:multiLevelType w:val="hybridMultilevel"/>
    <w:lvl w:ilvl="0">
      <w:lvlJc w:val="left"/>
      <w:lvlText w:val="(%1)"/>
      <w:numFmt w:val="lowerLetter"/>
      <w:start w:val="26"/>
    </w:lvl>
  </w:abstractNum>
  <w:abstractNum w:abstractNumId="14">
    <w:nsid w:val="22221A70"/>
    <w:multiLevelType w:val="hybridMultilevel"/>
    <w:lvl w:ilvl="0">
      <w:lvlJc w:val="left"/>
      <w:lvlText w:val="%1"/>
      <w:numFmt w:val="decimal"/>
      <w:start w:val="1"/>
    </w:lvl>
    <w:lvl w:ilvl="1">
      <w:lvlJc w:val="left"/>
      <w:lvlText w:val="(%2)"/>
      <w:numFmt w:val="lowerLetter"/>
      <w:start w:val="27"/>
    </w:lvl>
  </w:abstractNum>
  <w:abstractNum w:abstractNumId="15">
    <w:nsid w:val="4516DDE9"/>
    <w:multiLevelType w:val="hybridMultilevel"/>
    <w:lvl w:ilvl="0">
      <w:lvlJc w:val="left"/>
      <w:lvlText w:val="%1."/>
      <w:numFmt w:val="decimal"/>
      <w:start w:val="3"/>
    </w:lvl>
    <w:lvl w:ilvl="1">
      <w:lvlJc w:val="left"/>
      <w:lvlText w:val="%2"/>
      <w:numFmt w:val="lowerLetter"/>
      <w:start w:val="1"/>
    </w:lvl>
  </w:abstractNum>
  <w:abstractNum w:abstractNumId="16">
    <w:nsid w:val="3006C83E"/>
    <w:multiLevelType w:val="hybridMultilevel"/>
    <w:lvl w:ilvl="0">
      <w:lvlJc w:val="left"/>
      <w:lvlText w:val="%1."/>
      <w:numFmt w:val="decimal"/>
      <w:start w:val="5"/>
    </w:lvl>
    <w:lvl w:ilvl="1">
      <w:lvlJc w:val="left"/>
      <w:lvlText w:val="(%2)"/>
      <w:numFmt w:val="lowerLetter"/>
      <w:start w:val="1"/>
    </w:lvl>
  </w:abstractNum>
  <w:abstractNum w:abstractNumId="17">
    <w:nsid w:val="614FD4A1"/>
    <w:multiLevelType w:val="hybridMultilevel"/>
    <w:lvl w:ilvl="0">
      <w:lvlJc w:val="left"/>
      <w:lvlText w:val="(%1)"/>
      <w:numFmt w:val="lowerLetter"/>
      <w:start w:val="3"/>
    </w:lvl>
  </w:abstractNum>
  <w:abstractNum w:abstractNumId="18">
    <w:nsid w:val="419AC241"/>
    <w:multiLevelType w:val="hybridMultilevel"/>
    <w:lvl w:ilvl="0">
      <w:lvlJc w:val="left"/>
      <w:lvlText w:val="(%1)"/>
      <w:numFmt w:val="lowerLetter"/>
      <w:start w:val="6"/>
    </w:lvl>
  </w:abstractNum>
  <w:abstractNum w:abstractNumId="19">
    <w:nsid w:val="5577F8E1"/>
    <w:multiLevelType w:val="hybridMultilevel"/>
    <w:lvl w:ilvl="0">
      <w:lvlJc w:val="left"/>
      <w:lvlText w:val="%1"/>
      <w:numFmt w:val="lowerLetter"/>
      <w:start w:val="1"/>
    </w:lvl>
    <w:lvl w:ilvl="1">
      <w:lvlJc w:val="left"/>
      <w:lvlText w:val="(%2)"/>
      <w:numFmt w:val="lowerLetter"/>
      <w:start w:val="8"/>
    </w:lvl>
  </w:abstractNum>
  <w:abstractNum w:abstractNumId="20">
    <w:nsid w:val="440BADFC"/>
    <w:multiLevelType w:val="hybridMultilevel"/>
    <w:lvl w:ilvl="0">
      <w:lvlJc w:val="left"/>
      <w:lvlText w:val="(%1)"/>
      <w:numFmt w:val="lowerLetter"/>
      <w:start w:val="35"/>
    </w:lvl>
    <w:lvl w:ilvl="1">
      <w:lvlJc w:val="left"/>
      <w:lvlText w:val="(%2)"/>
      <w:numFmt w:val="lowerLetter"/>
      <w:start w:val="10"/>
    </w:lvl>
  </w:abstractNum>
  <w:abstractNum w:abstractNumId="21">
    <w:nsid w:val="507236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2"/>
    </w:lvl>
  </w:abstractNum>
  <w:abstractNum w:abstractNumId="22">
    <w:nsid w:val="3804823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3">
    <w:nsid w:val="77465F0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24">
    <w:nsid w:val="7724C67E"/>
    <w:multiLevelType w:val="hybridMultilevel"/>
    <w:lvl w:ilvl="0">
      <w:lvlJc w:val="left"/>
      <w:lvlText w:val="%1."/>
      <w:numFmt w:val="decimal"/>
      <w:start w:val="7"/>
    </w:lvl>
    <w:lvl w:ilvl="1">
      <w:lvlJc w:val="left"/>
      <w:lvlText w:val="(%2)"/>
      <w:numFmt w:val="lowerLetter"/>
      <w:start w:val="1"/>
    </w:lvl>
  </w:abstractNum>
  <w:abstractNum w:abstractNumId="25">
    <w:nsid w:val="5C482A97"/>
    <w:multiLevelType w:val="hybridMultilevel"/>
    <w:lvl w:ilvl="0">
      <w:lvlJc w:val="left"/>
      <w:lvlText w:val="(%1)"/>
      <w:numFmt w:val="lowerLetter"/>
      <w:start w:val="5"/>
    </w:lvl>
  </w:abstractNum>
  <w:abstractNum w:abstractNumId="26">
    <w:nsid w:val="2463B9EA"/>
    <w:multiLevelType w:val="hybridMultilevel"/>
    <w:lvl w:ilvl="0">
      <w:lvlJc w:val="left"/>
      <w:lvlText w:val="%1"/>
      <w:numFmt w:val="decimal"/>
      <w:start w:val="1"/>
    </w:lvl>
    <w:lvl w:ilvl="1">
      <w:lvlJc w:val="left"/>
      <w:lvlText w:val="(%2)"/>
      <w:numFmt w:val="lowerLetter"/>
      <w:start w:val="7"/>
    </w:lvl>
  </w:abstractNum>
  <w:abstractNum w:abstractNumId="27">
    <w:nsid w:val="5E884ADC"/>
    <w:multiLevelType w:val="hybridMultilevel"/>
    <w:lvl w:ilvl="0">
      <w:lvlJc w:val="left"/>
      <w:lvlText w:val="%1."/>
      <w:numFmt w:val="decimal"/>
      <w:start w:val="8"/>
    </w:lvl>
    <w:lvl w:ilvl="1">
      <w:lvlJc w:val="left"/>
      <w:lvlText w:val="%2"/>
      <w:numFmt w:val="lowerLetter"/>
      <w:start w:val="1"/>
    </w:lvl>
  </w:abstractNum>
  <w:abstractNum w:abstractNumId="28">
    <w:nsid w:val="51EAD36B"/>
    <w:multiLevelType w:val="hybridMultilevel"/>
    <w:lvl w:ilvl="0">
      <w:lvlJc w:val="left"/>
      <w:lvlText w:val="(%1)"/>
      <w:numFmt w:val="lowerLetter"/>
      <w:start w:val="2"/>
    </w:lvl>
  </w:abstractNum>
  <w:abstractNum w:abstractNumId="29">
    <w:nsid w:val="2D517796"/>
    <w:multiLevelType w:val="hybridMultilevel"/>
    <w:lvl w:ilvl="0">
      <w:lvlJc w:val="left"/>
      <w:lvlText w:val="%1"/>
      <w:numFmt w:val="lowerLetter"/>
      <w:start w:val="1"/>
    </w:lvl>
    <w:lvl w:ilvl="1">
      <w:lvlJc w:val="left"/>
      <w:lvlText w:val="(%2)"/>
      <w:numFmt w:val="lowerLetter"/>
      <w:start w:val="3"/>
    </w:lvl>
  </w:abstractNum>
  <w:abstractNum w:abstractNumId="30">
    <w:nsid w:val="580BD78F"/>
    <w:multiLevelType w:val="hybridMultilevel"/>
    <w:lvl w:ilvl="0">
      <w:lvlJc w:val="left"/>
      <w:lvlText w:val="(%1)"/>
      <w:numFmt w:val="lowerLetter"/>
      <w:start w:val="2"/>
    </w:lvl>
    <w:lvl w:ilvl="1">
      <w:lvlJc w:val="left"/>
      <w:lvlText w:val="%2"/>
      <w:numFmt w:val="lowerLetter"/>
      <w:start w:val="1"/>
    </w:lvl>
  </w:abstractNum>
  <w:abstractNum w:abstractNumId="31">
    <w:nsid w:val="153EA438"/>
    <w:multiLevelType w:val="hybridMultilevel"/>
    <w:lvl w:ilvl="0">
      <w:lvlJc w:val="left"/>
      <w:lvlText w:val="(%1)"/>
      <w:numFmt w:val="lowerLetter"/>
      <w:start w:val="5"/>
    </w:lvl>
  </w:abstractNum>
  <w:abstractNum w:abstractNumId="32">
    <w:nsid w:val="3855585C"/>
    <w:multiLevelType w:val="hybridMultilevel"/>
    <w:lvl w:ilvl="0">
      <w:lvlJc w:val="left"/>
      <w:lvlText w:val="%1."/>
      <w:numFmt w:val="decimal"/>
      <w:start w:val="9"/>
    </w:lvl>
  </w:abstractNum>
  <w:abstractNum w:abstractNumId="33">
    <w:nsid w:val="70A64E2A"/>
    <w:multiLevelType w:val="hybridMultilevel"/>
    <w:lvl w:ilvl="0">
      <w:lvlJc w:val="left"/>
      <w:lvlText w:val="%1"/>
      <w:numFmt w:val="lowerLetter"/>
      <w:start w:val="1"/>
    </w:lvl>
    <w:lvl w:ilvl="1">
      <w:lvlJc w:val="left"/>
      <w:lvlText w:val="(%2)"/>
      <w:numFmt w:val="lowerLetter"/>
      <w:start w:val="2"/>
    </w:lvl>
  </w:abstractNum>
  <w:abstractNum w:abstractNumId="34">
    <w:nsid w:val="6A2342EC"/>
    <w:multiLevelType w:val="hybridMultilevel"/>
    <w:lvl w:ilvl="0">
      <w:lvlJc w:val="left"/>
      <w:lvlText w:val="(%1)"/>
      <w:numFmt w:val="lowerLetter"/>
      <w:start w:val="2"/>
    </w:lvl>
    <w:lvl w:ilvl="1">
      <w:lvlJc w:val="left"/>
      <w:lvlText w:val="%2"/>
      <w:numFmt w:val="lowerLetter"/>
      <w:start w:val="1"/>
    </w:lvl>
  </w:abstractNum>
  <w:abstractNum w:abstractNumId="35">
    <w:nsid w:val="2A487CB0"/>
    <w:multiLevelType w:val="hybridMultilevel"/>
    <w:lvl w:ilvl="0">
      <w:lvlJc w:val="left"/>
      <w:lvlText w:val="%1."/>
      <w:numFmt w:val="decimal"/>
      <w:start w:val="10"/>
    </w:lvl>
  </w:abstractNum>
  <w:abstractNum w:abstractNumId="36">
    <w:nsid w:val="1D4ED43B"/>
    <w:multiLevelType w:val="hybridMultilevel"/>
    <w:lvl w:ilvl="0">
      <w:lvlJc w:val="left"/>
      <w:lvlText w:val="%1."/>
      <w:numFmt w:val="decimal"/>
      <w:start w:val="11"/>
    </w:lvl>
  </w:abstractNum>
  <w:abstractNum w:abstractNumId="37">
    <w:nsid w:val="725A06FB"/>
    <w:multiLevelType w:val="hybridMultilevel"/>
    <w:lvl w:ilvl="0">
      <w:lvlJc w:val="left"/>
      <w:lvlText w:val="%1."/>
      <w:numFmt w:val="decimal"/>
      <w:start w:val="13"/>
    </w:lvl>
  </w:abstractNum>
  <w:abstractNum w:abstractNumId="38">
    <w:nsid w:val="2CD89A32"/>
    <w:multiLevelType w:val="hybridMultilevel"/>
    <w:lvl w:ilvl="0">
      <w:lvlJc w:val="left"/>
      <w:lvlText w:val="%1."/>
      <w:numFmt w:val="decimal"/>
      <w:start w:val="15"/>
    </w:lvl>
  </w:abstractNum>
  <w:abstractNum w:abstractNumId="39">
    <w:nsid w:val="57E4CCAF"/>
    <w:multiLevelType w:val="hybridMultilevel"/>
    <w:lvl w:ilvl="0">
      <w:lvlJc w:val="left"/>
      <w:lvlText w:val="1"/>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5"/>
    </w:lvl>
    <w:lvl w:ilvl="1">
      <w:lvlJc w:val="left"/>
      <w:lvlText w:val="(%2)"/>
      <w:numFmt w:val="lowerLetter"/>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4"/>
    </w:lvl>
    <w:lvl w:ilvl="1">
      <w:lvlJc w:val="left"/>
      <w:lvlText w:val="(%2)"/>
      <w:numFmt w:val="lowerLetter"/>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2019-12-05T03:00:32Z</dcterms:created>
  <dcterms:modified xsi:type="dcterms:W3CDTF">2019-12-05T03:00:32Z</dcterms:modified>
</cp:coreProperties>
</file>