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361"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b w:val="1"/>
          <w:bCs w:val="1"/>
          <w:color w:val="DE1A1E"/>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DE1A1E"/>
        </w:rPr>
        <w:t>SUBJECT TO COMPLETION, DATED MARCH 11, 2015</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4"/>
          <w:szCs w:val="24"/>
          <w:color w:val="auto"/>
        </w:rPr>
      </w:pPr>
    </w:p>
    <w:p>
      <w:pPr>
        <w:jc w:val="center"/>
        <w:ind w:right="42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139700</wp:posOffset>
            </wp:positionV>
            <wp:extent cx="225552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4.50% Notes due 2044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4"/>
          <w:szCs w:val="24"/>
          <w:color w:val="auto"/>
        </w:rPr>
      </w:pPr>
    </w:p>
    <w:p>
      <w:pPr>
        <w:jc w:val="both"/>
        <w:ind w:right="160"/>
        <w:spacing w:after="0" w:line="306" w:lineRule="auto"/>
        <w:rPr>
          <w:sz w:val="20"/>
          <w:szCs w:val="20"/>
          <w:color w:val="auto"/>
        </w:rPr>
      </w:pPr>
      <w:r>
        <w:rPr>
          <w:rFonts w:ascii="Arial" w:cs="Arial" w:eastAsia="Arial" w:hAnsi="Arial"/>
          <w:sz w:val="16"/>
          <w:szCs w:val="16"/>
          <w:color w:val="auto"/>
        </w:rPr>
        <w:t>We are offering $ aggregate principal amount of our 4.50% Notes due 2044. The notes offered hereby consist of an additional issuance of our 4.50% Notes due 2044, $250 million aggregate principal amount of which were previously issued and are outstanding. The notes offered hereby will become part of the same series as the outstanding 4.50% Notes due 2044 for all purposes and are referred to herein, together with such outstanding notes, as the notes.</w:t>
      </w:r>
    </w:p>
    <w:p>
      <w:pPr>
        <w:spacing w:after="0" w:line="10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notes bear interest at the rate of 4.50% per year. Interest on the notes is payable on June 1 and December 1 of each year, beginning on June 1, 2015. The notes will mature on December 1, 2044. We may redeem some or all of the notes at any time before maturity at the applicable redemption price discussed under the caption “Description of Notes — Optional Redemption.”</w:t>
      </w:r>
    </w:p>
    <w:p>
      <w:pPr>
        <w:spacing w:after="0" w:line="140" w:lineRule="exact"/>
        <w:rPr>
          <w:sz w:val="24"/>
          <w:szCs w:val="24"/>
          <w:color w:val="auto"/>
        </w:rPr>
      </w:pPr>
    </w:p>
    <w:p>
      <w:pPr>
        <w:ind w:right="520"/>
        <w:spacing w:after="0" w:line="259" w:lineRule="auto"/>
        <w:rPr>
          <w:sz w:val="20"/>
          <w:szCs w:val="20"/>
          <w:color w:val="auto"/>
        </w:rPr>
      </w:pPr>
      <w:r>
        <w:rPr>
          <w:rFonts w:ascii="Arial" w:cs="Arial" w:eastAsia="Arial" w:hAnsi="Arial"/>
          <w:sz w:val="18"/>
          <w:szCs w:val="18"/>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We do not intend to apply to list the notes on any securities exchange. An active trading market for the notes may not be maintained.</w:t>
      </w:r>
    </w:p>
    <w:p>
      <w:pPr>
        <w:spacing w:after="0" w:line="152" w:lineRule="exact"/>
        <w:rPr>
          <w:sz w:val="24"/>
          <w:szCs w:val="24"/>
          <w:color w:val="auto"/>
        </w:rPr>
      </w:pPr>
    </w:p>
    <w:p>
      <w:pPr>
        <w:jc w:val="center"/>
        <w:ind w:left="26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on page 3 of the accompanying prospectus and in our Annual Report on Form 10-K for the year ended December 31, 2014, filed with the Securities and Exchange Commission, or the SEC, on February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Note</w:t>
            </w:r>
          </w:p>
        </w:tc>
        <w:tc>
          <w:tcPr>
            <w:tcW w:w="620" w:type="dxa"/>
            <w:vAlign w:val="bottom"/>
          </w:tcPr>
          <w:p>
            <w:pPr>
              <w:jc w:val="right"/>
              <w:ind w:right="40"/>
              <w:spacing w:after="0"/>
              <w:rPr>
                <w:sz w:val="20"/>
                <w:szCs w:val="20"/>
                <w:color w:val="auto"/>
              </w:rPr>
            </w:pPr>
            <w:r>
              <w:rPr>
                <w:rFonts w:ascii="Arial" w:cs="Arial" w:eastAsia="Arial" w:hAnsi="Arial"/>
                <w:sz w:val="18"/>
                <w:szCs w:val="18"/>
                <w:b w:val="1"/>
                <w:bCs w:val="1"/>
                <w:color w:val="auto"/>
              </w:rPr>
              <w:t>Total</w:t>
            </w:r>
          </w:p>
        </w:tc>
      </w:tr>
      <w:tr>
        <w:trPr>
          <w:trHeight w:val="212"/>
        </w:trPr>
        <w:tc>
          <w:tcPr>
            <w:tcW w:w="79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18"/>
                <w:szCs w:val="18"/>
                <w:color w:val="auto"/>
              </w:rPr>
            </w:pPr>
          </w:p>
        </w:tc>
        <w:tc>
          <w:tcPr>
            <w:tcW w:w="620" w:type="dxa"/>
            <w:vAlign w:val="bottom"/>
          </w:tcPr>
          <w:p>
            <w:pPr>
              <w:jc w:val="right"/>
              <w:ind w:right="460"/>
              <w:spacing w:after="0"/>
              <w:rPr>
                <w:sz w:val="20"/>
                <w:szCs w:val="20"/>
                <w:color w:val="auto"/>
              </w:rPr>
            </w:pPr>
            <w:r>
              <w:rPr>
                <w:rFonts w:ascii="Arial" w:cs="Arial" w:eastAsia="Arial" w:hAnsi="Arial"/>
                <w:sz w:val="15"/>
                <w:szCs w:val="15"/>
                <w:color w:val="auto"/>
                <w:w w:val="71"/>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r>
    </w:tbl>
    <w:p>
      <w:pPr>
        <w:ind w:right="820" w:firstLine="8"/>
        <w:spacing w:after="0" w:line="258" w:lineRule="auto"/>
        <w:tabs>
          <w:tab w:leader="none" w:pos="175" w:val="left"/>
        </w:tabs>
        <w:numPr>
          <w:ilvl w:val="0"/>
          <w:numId w:val="1"/>
        </w:numPr>
        <w:rPr>
          <w:rFonts w:ascii="Arial" w:cs="Arial" w:eastAsia="Arial" w:hAnsi="Arial"/>
          <w:sz w:val="11"/>
          <w:szCs w:val="11"/>
          <w:color w:val="auto"/>
        </w:rPr>
      </w:pPr>
      <w:r>
        <w:rPr>
          <w:rFonts w:ascii="Arial" w:cs="Arial" w:eastAsia="Arial" w:hAnsi="Arial"/>
          <w:sz w:val="18"/>
          <w:szCs w:val="18"/>
          <w:color w:val="auto"/>
        </w:rPr>
        <w:t>Plus accrued interest from and including November 14, 2014 (the date of issuance of the $250 million aggregate principal amount of notes currently outstanding) to, but not including, the issuance date of the notes offered hereby.</w:t>
      </w:r>
    </w:p>
    <w:p>
      <w:pPr>
        <w:spacing w:after="0" w:line="141"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The underwriters expect to deliver the notes offered hereby to purchasers in book-entry only form through the facilities of The Depository Trust Company on or about March , 2015.</w:t>
      </w:r>
    </w:p>
    <w:p>
      <w:pPr>
        <w:spacing w:after="0" w:line="126" w:lineRule="exact"/>
        <w:rPr>
          <w:sz w:val="24"/>
          <w:szCs w:val="24"/>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pacing w:after="0" w:line="50" w:lineRule="exact"/>
        <w:rPr>
          <w:sz w:val="24"/>
          <w:szCs w:val="24"/>
          <w:color w:val="auto"/>
        </w:rPr>
      </w:pPr>
    </w:p>
    <w:p>
      <w:pPr>
        <w:spacing w:after="0"/>
        <w:tabs>
          <w:tab w:leader="none" w:pos="4740" w:val="left"/>
          <w:tab w:leader="none" w:pos="9060" w:val="left"/>
        </w:tabs>
        <w:rPr>
          <w:sz w:val="20"/>
          <w:szCs w:val="20"/>
          <w:color w:val="auto"/>
        </w:rPr>
      </w:pP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19"/>
          <w:szCs w:val="19"/>
          <w:b w:val="1"/>
          <w:bCs w:val="1"/>
          <w:color w:val="auto"/>
        </w:rPr>
        <w:t>Deutsche Bank Securities</w:t>
      </w:r>
    </w:p>
    <w:p>
      <w:pPr>
        <w:sectPr>
          <w:pgSz w:w="11900" w:h="16838" w:orient="portrait"/>
          <w:cols w:equalWidth="0" w:num="1">
            <w:col w:w="11420"/>
          </w:cols>
          <w:pgMar w:left="240" w:top="230" w:right="239" w:bottom="1440" w:gutter="0" w:footer="0" w:header="0"/>
        </w:sectPr>
      </w:pPr>
    </w:p>
    <w:p>
      <w:pPr>
        <w:spacing w:after="0" w:line="84"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The date of this prospectus supplement is March</w:t>
      </w:r>
      <w:r>
        <w:rPr>
          <w:sz w:val="20"/>
          <w:szCs w:val="20"/>
          <w:color w:val="auto"/>
        </w:rPr>
        <w:tab/>
      </w:r>
      <w:r>
        <w:rPr>
          <w:rFonts w:ascii="Arial" w:cs="Arial" w:eastAsia="Arial" w:hAnsi="Arial"/>
          <w:sz w:val="15"/>
          <w:szCs w:val="15"/>
          <w:b w:val="1"/>
          <w:bCs w:val="1"/>
          <w:color w:val="auto"/>
        </w:rPr>
        <w:t>,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7"/>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460" w:type="dxa"/>
            <w:vAlign w:val="bottom"/>
            <w:gridSpan w:val="4"/>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7"/>
            <w:vMerge w:val="continue"/>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1"/>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4"/>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4000" w:type="dxa"/>
            <w:vAlign w:val="bottom"/>
            <w:gridSpan w:val="9"/>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420" w:type="dxa"/>
            <w:vAlign w:val="bottom"/>
            <w:gridSpan w:val="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1"/>
            <w:vMerge w:val="restart"/>
          </w:tcPr>
          <w:p>
            <w:pPr>
              <w:spacing w:after="0"/>
              <w:rPr>
                <w:sz w:val="20"/>
                <w:szCs w:val="20"/>
                <w:color w:val="auto"/>
              </w:rPr>
            </w:pPr>
            <w:r>
              <w:rPr>
                <w:rFonts w:ascii="Arial" w:cs="Arial" w:eastAsia="Arial" w:hAnsi="Arial"/>
                <w:sz w:val="18"/>
                <w:szCs w:val="18"/>
                <w:color w:val="auto"/>
              </w:rPr>
              <w:t>About this Prospectus</w:t>
            </w: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02"/>
        </w:trPr>
        <w:tc>
          <w:tcPr>
            <w:tcW w:w="4900" w:type="dxa"/>
            <w:vAlign w:val="bottom"/>
            <w:gridSpan w:val="11"/>
            <w:vMerge w:val="continue"/>
          </w:tcPr>
          <w:p>
            <w:pPr>
              <w:spacing w:after="0"/>
              <w:rPr>
                <w:sz w:val="17"/>
                <w:szCs w:val="17"/>
                <w:color w:val="auto"/>
              </w:rPr>
            </w:pPr>
          </w:p>
        </w:tc>
        <w:tc>
          <w:tcPr>
            <w:tcW w:w="6060" w:type="dxa"/>
            <w:vAlign w:val="bottom"/>
            <w:gridSpan w:val="2"/>
          </w:tcPr>
          <w:p>
            <w:pPr>
              <w:spacing w:after="0"/>
              <w:rPr>
                <w:sz w:val="17"/>
                <w:szCs w:val="17"/>
                <w:color w:val="auto"/>
              </w:rPr>
            </w:pPr>
          </w:p>
        </w:tc>
        <w:tc>
          <w:tcPr>
            <w:tcW w:w="3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Forward-Looking Statements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Prospectus Summary</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Risk Factors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Use of Proceeds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Description of Debt Securities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Description of Shares of Beneficial Interest</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Material Federal Income Tax Considerations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Plan of Distribution</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Legal Matters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Experts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11"/>
          </w:tcPr>
          <w:p>
            <w:pPr>
              <w:spacing w:after="0"/>
              <w:rPr>
                <w:sz w:val="20"/>
                <w:szCs w:val="20"/>
                <w:color w:val="auto"/>
              </w:rPr>
            </w:pPr>
            <w:r>
              <w:rPr>
                <w:rFonts w:ascii="Arial" w:cs="Arial" w:eastAsia="Arial" w:hAnsi="Arial"/>
                <w:sz w:val="18"/>
                <w:szCs w:val="18"/>
                <w:color w:val="auto"/>
              </w:rPr>
              <w:t>Where You Can Find More Information</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2014, filed with the SEC on February 10, 2015,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62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29629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firstLine="443"/>
        <w:spacing w:after="0" w:line="310" w:lineRule="auto"/>
        <w:rPr>
          <w:sz w:val="20"/>
          <w:szCs w:val="20"/>
          <w:color w:val="auto"/>
        </w:rPr>
      </w:pPr>
      <w:r>
        <w:rPr>
          <w:rFonts w:ascii="Arial" w:cs="Arial" w:eastAsia="Arial" w:hAnsi="Arial"/>
          <w:sz w:val="15"/>
          <w:szCs w:val="15"/>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2014, we owned or had a controlling interest in community and neighborhood shopping centers and mixed-use properties which are operated as 89 predominantly retail real estate projects comprising approximately 20.2 million square feet (excludes unconsolidated joint venture properties). In total, the real estate projects were 95.6% leased and 94.7% occupied at December 31, 2014. A joint venture in which we own a 30% interest owned six retail real estate projects totaling approximately 0.8 million square feet as of December 31, 2014. In total, the joint venture properties in which we own a 30% interest were 86.1% leased and 82.8% occupied at December 31, 2014. We have paid quarterly dividends to our shareholders continuously since our founding in 1962 and have increased our dividends per common share for 47 consecutive years.</w:t>
      </w:r>
    </w:p>
    <w:p>
      <w:pPr>
        <w:spacing w:after="0" w:line="2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40" w:type="dxa"/>
            <w:vAlign w:val="bottom"/>
            <w:gridSpan w:val="7"/>
          </w:tcPr>
          <w:p>
            <w:pPr>
              <w:ind w:left="160"/>
              <w:spacing w:after="0"/>
              <w:rPr>
                <w:sz w:val="20"/>
                <w:szCs w:val="20"/>
                <w:color w:val="auto"/>
              </w:rPr>
            </w:pPr>
            <w:r>
              <w:rPr>
                <w:rFonts w:ascii="Arial" w:cs="Arial" w:eastAsia="Arial" w:hAnsi="Arial"/>
                <w:sz w:val="18"/>
                <w:szCs w:val="18"/>
                <w:b w:val="1"/>
                <w:bCs w:val="1"/>
                <w:color w:val="auto"/>
              </w:rPr>
              <w:t>For the Years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6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2014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2013</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2010</w:t>
            </w:r>
          </w:p>
        </w:tc>
        <w:tc>
          <w:tcPr>
            <w:tcW w:w="100" w:type="dxa"/>
            <w:vAlign w:val="bottom"/>
          </w:tcPr>
          <w:p>
            <w:pPr>
              <w:spacing w:after="0"/>
              <w:rPr>
                <w:sz w:val="18"/>
                <w:szCs w:val="18"/>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280" w:firstLine="443"/>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Issuer</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Securities offered</w:t>
            </w:r>
          </w:p>
        </w:tc>
        <w:tc>
          <w:tcPr>
            <w:tcW w:w="1420" w:type="dxa"/>
            <w:vAlign w:val="bottom"/>
          </w:tcPr>
          <w:p>
            <w:pPr>
              <w:ind w:left="980"/>
              <w:spacing w:after="0"/>
              <w:rPr>
                <w:sz w:val="20"/>
                <w:szCs w:val="20"/>
                <w:color w:val="auto"/>
              </w:rPr>
            </w:pPr>
            <w:r>
              <w:rPr>
                <w:rFonts w:ascii="Arial" w:cs="Arial" w:eastAsia="Arial" w:hAnsi="Arial"/>
                <w:sz w:val="18"/>
                <w:szCs w:val="18"/>
                <w:color w:val="auto"/>
              </w:rPr>
              <w:t>$</w:t>
            </w:r>
          </w:p>
        </w:tc>
        <w:tc>
          <w:tcPr>
            <w:tcW w:w="6280" w:type="dxa"/>
            <w:vAlign w:val="bottom"/>
          </w:tcPr>
          <w:p>
            <w:pPr>
              <w:ind w:left="40"/>
              <w:spacing w:after="0"/>
              <w:rPr>
                <w:sz w:val="20"/>
                <w:szCs w:val="20"/>
                <w:color w:val="auto"/>
              </w:rPr>
            </w:pPr>
            <w:r>
              <w:rPr>
                <w:rFonts w:ascii="Arial" w:cs="Arial" w:eastAsia="Arial" w:hAnsi="Arial"/>
                <w:sz w:val="18"/>
                <w:szCs w:val="18"/>
                <w:color w:val="auto"/>
              </w:rPr>
              <w:t>million aggregate principal amount of 4.50% Notes due 2044.</w:t>
            </w:r>
          </w:p>
        </w:tc>
      </w:tr>
      <w:tr>
        <w:trPr>
          <w:trHeight w:val="304"/>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0"/>
              </w:rPr>
              <w:t>Unless redeemed prior to maturity as described below, the notes will mature on December 1,</w:t>
            </w:r>
          </w:p>
        </w:tc>
      </w:tr>
      <w:tr>
        <w:trPr>
          <w:trHeight w:val="222"/>
        </w:trPr>
        <w:tc>
          <w:tcPr>
            <w:tcW w:w="3320" w:type="dxa"/>
            <w:vAlign w:val="bottom"/>
          </w:tcPr>
          <w:p>
            <w:pPr>
              <w:spacing w:after="0"/>
              <w:rPr>
                <w:sz w:val="19"/>
                <w:szCs w:val="19"/>
                <w:color w:val="auto"/>
              </w:rPr>
            </w:pPr>
          </w:p>
        </w:tc>
        <w:tc>
          <w:tcPr>
            <w:tcW w:w="1420" w:type="dxa"/>
            <w:vAlign w:val="bottom"/>
          </w:tcPr>
          <w:p>
            <w:pPr>
              <w:ind w:left="980"/>
              <w:spacing w:after="0"/>
              <w:rPr>
                <w:sz w:val="20"/>
                <w:szCs w:val="20"/>
                <w:color w:val="auto"/>
              </w:rPr>
            </w:pPr>
            <w:r>
              <w:rPr>
                <w:rFonts w:ascii="Arial" w:cs="Arial" w:eastAsia="Arial" w:hAnsi="Arial"/>
                <w:sz w:val="18"/>
                <w:szCs w:val="18"/>
                <w:color w:val="auto"/>
                <w:w w:val="93"/>
              </w:rPr>
              <w:t>2044.</w:t>
            </w:r>
          </w:p>
        </w:tc>
        <w:tc>
          <w:tcPr>
            <w:tcW w:w="628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1"/>
              </w:rPr>
              <w:t>Interest on the notes is payable semi-annually in arrears on June 1 and December 1 of each</w:t>
            </w:r>
          </w:p>
        </w:tc>
      </w:tr>
      <w:tr>
        <w:trPr>
          <w:trHeight w:val="222"/>
        </w:trPr>
        <w:tc>
          <w:tcPr>
            <w:tcW w:w="3320" w:type="dxa"/>
            <w:vAlign w:val="bottom"/>
          </w:tcPr>
          <w:p>
            <w:pPr>
              <w:spacing w:after="0"/>
              <w:rPr>
                <w:sz w:val="19"/>
                <w:szCs w:val="19"/>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year, beginning on June 1, 2015, and at maturity.</w:t>
            </w: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Ranking</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0"/>
              </w:rPr>
              <w:t xml:space="preserve">The notes are our senior unsecured obligations and rank </w:t>
            </w:r>
            <w:r>
              <w:rPr>
                <w:rFonts w:ascii="Arial" w:cs="Arial" w:eastAsia="Arial" w:hAnsi="Arial"/>
                <w:sz w:val="18"/>
                <w:szCs w:val="18"/>
                <w:i w:val="1"/>
                <w:iCs w:val="1"/>
                <w:color w:val="auto"/>
                <w:w w:val="90"/>
              </w:rPr>
              <w:t>pari passu</w:t>
            </w:r>
            <w:r>
              <w:rPr>
                <w:rFonts w:ascii="Arial" w:cs="Arial" w:eastAsia="Arial" w:hAnsi="Arial"/>
                <w:sz w:val="18"/>
                <w:szCs w:val="18"/>
                <w:color w:val="auto"/>
                <w:w w:val="90"/>
              </w:rPr>
              <w:t>, or equally, with all of our</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6"/>
              </w:rPr>
              <w:t>other unsecured and unsubordinated indebtedness. The notes are effectively subordinated to the</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7"/>
              </w:rPr>
              <w:t>prior claims of each secured mortgage lender to any specific property that secures such lender’s</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9"/>
              </w:rPr>
              <w:t>mortgage and to all of the unsecured indebtedness of our subsidiaries. At December 31, 2014,</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6"/>
              </w:rPr>
              <w:t>we had outstanding approximately $555 million (excluding net unamortized premium) of</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0"/>
              </w:rPr>
              <w:t>secured indebtedness, collateralized by all or parts of 14 properties, which ranks senior to the</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9"/>
              </w:rPr>
              <w:t>notes to the extent of the securing collateral (approximately $405 million of this amount, which</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3"/>
              </w:rPr>
              <w:t>was issued by our subsidiaries, is also structurally senior to the notes), approximately $16</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8"/>
              </w:rPr>
              <w:t>million of unsecured indebtedness issued by our subsidiaries, which is structurally senior to the</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8"/>
              </w:rPr>
              <w:t>notes, and approximately $1,769 million of unsecured indebtedness (excluding net unamortized</w:t>
            </w:r>
          </w:p>
        </w:tc>
      </w:tr>
      <w:tr>
        <w:trPr>
          <w:trHeight w:val="222"/>
        </w:trPr>
        <w:tc>
          <w:tcPr>
            <w:tcW w:w="3320" w:type="dxa"/>
            <w:vAlign w:val="bottom"/>
          </w:tcPr>
          <w:p>
            <w:pPr>
              <w:spacing w:after="0"/>
              <w:rPr>
                <w:sz w:val="19"/>
                <w:szCs w:val="19"/>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discount), which ranks equally with the notes.</w:t>
            </w: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Use of proceeds</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2"/>
              </w:rPr>
              <w:t>We intend to use the net proceeds from this offering to redeem all of our outstanding 6.20%</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8"/>
              </w:rPr>
              <w:t>Notes due 2017 and for general corporate purposes or may use the net proceeds to temporarily</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0"/>
              </w:rPr>
              <w:t>repay amounts outstanding under our revolving credit facility. See “Use of Proceeds” on page</w:t>
            </w:r>
          </w:p>
        </w:tc>
      </w:tr>
      <w:tr>
        <w:trPr>
          <w:trHeight w:val="222"/>
        </w:trPr>
        <w:tc>
          <w:tcPr>
            <w:tcW w:w="3320" w:type="dxa"/>
            <w:vAlign w:val="bottom"/>
          </w:tcPr>
          <w:p>
            <w:pPr>
              <w:spacing w:after="0"/>
              <w:rPr>
                <w:sz w:val="19"/>
                <w:szCs w:val="19"/>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S-8 for more information.</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320" w:type="dxa"/>
            <w:vAlign w:val="bottom"/>
          </w:tcPr>
          <w:p>
            <w:pPr>
              <w:spacing w:after="0"/>
              <w:rPr>
                <w:sz w:val="24"/>
                <w:szCs w:val="24"/>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6"/>
              </w:rPr>
              <w:t>(1) we will not, and will not permit any subsidiary to, incur any Debt if, immediately after</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2"/>
              </w:rPr>
              <w:t>giving effect to the incurrence of such Debt and the application of the proceeds thereof, the</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0"/>
              </w:rPr>
              <w:t>consolidated basis determined in accordance with generally accepted accounting principles is</w:t>
            </w:r>
          </w:p>
        </w:tc>
      </w:tr>
      <w:tr>
        <w:trPr>
          <w:trHeight w:val="216"/>
        </w:trPr>
        <w:tc>
          <w:tcPr>
            <w:tcW w:w="3320" w:type="dxa"/>
            <w:vAlign w:val="bottom"/>
          </w:tcPr>
          <w:p>
            <w:pPr>
              <w:spacing w:after="0"/>
              <w:rPr>
                <w:sz w:val="18"/>
                <w:szCs w:val="18"/>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95"/>
              </w:rPr>
              <w:t>greater than 60% of the sum of (without duplication) (a) Total Assets as of the end of the</w:t>
            </w:r>
          </w:p>
        </w:tc>
      </w:tr>
      <w:tr>
        <w:trPr>
          <w:trHeight w:val="222"/>
        </w:trPr>
        <w:tc>
          <w:tcPr>
            <w:tcW w:w="3320" w:type="dxa"/>
            <w:vAlign w:val="bottom"/>
          </w:tcPr>
          <w:p>
            <w:pPr>
              <w:spacing w:after="0"/>
              <w:rPr>
                <w:sz w:val="19"/>
                <w:szCs w:val="19"/>
                <w:color w:val="auto"/>
              </w:rPr>
            </w:pPr>
          </w:p>
        </w:tc>
        <w:tc>
          <w:tcPr>
            <w:tcW w:w="7700" w:type="dxa"/>
            <w:vAlign w:val="bottom"/>
            <w:gridSpan w:val="2"/>
          </w:tcPr>
          <w:p>
            <w:pPr>
              <w:ind w:left="980"/>
              <w:spacing w:after="0"/>
              <w:rPr>
                <w:sz w:val="20"/>
                <w:szCs w:val="20"/>
                <w:color w:val="auto"/>
              </w:rPr>
            </w:pPr>
            <w:r>
              <w:rPr>
                <w:rFonts w:ascii="Arial" w:cs="Arial" w:eastAsia="Arial" w:hAnsi="Arial"/>
                <w:sz w:val="18"/>
                <w:szCs w:val="18"/>
                <w:color w:val="auto"/>
                <w:w w:val="89"/>
              </w:rPr>
              <w:t>calendar quarter covered in our Annual Report on Form 10-K or Quarterly Report on Form 10-</w:t>
            </w:r>
          </w:p>
        </w:tc>
      </w:tr>
    </w:tbl>
    <w:p>
      <w:pPr>
        <w:ind w:left="4500"/>
        <w:spacing w:after="0" w:line="288" w:lineRule="auto"/>
        <w:rPr>
          <w:sz w:val="20"/>
          <w:szCs w:val="20"/>
          <w:color w:val="auto"/>
        </w:rPr>
      </w:pPr>
      <w:r>
        <w:rPr>
          <w:rFonts w:ascii="Arial" w:cs="Arial" w:eastAsia="Arial" w:hAnsi="Arial"/>
          <w:sz w:val="16"/>
          <w:szCs w:val="16"/>
          <w:color w:val="auto"/>
        </w:rPr>
        <w:t>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80" w:type="dxa"/>
            <w:vAlign w:val="bottom"/>
            <w:tcBorders>
              <w:top w:val="single" w:sz="8" w:color="auto"/>
              <w:left w:val="single" w:sz="8" w:color="auto"/>
            </w:tcBorders>
          </w:tcPr>
          <w:p>
            <w:pPr>
              <w:spacing w:after="0"/>
              <w:rPr>
                <w:sz w:val="24"/>
                <w:szCs w:val="24"/>
                <w:color w:val="auto"/>
              </w:rPr>
            </w:pPr>
          </w:p>
        </w:tc>
        <w:tc>
          <w:tcPr>
            <w:tcW w:w="838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2"/>
              </w:rPr>
              <w:t>(2) we will not, and will not permit any subsidiary to, incur any Debt secured by any mortgage,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lien, charge, pledge, encumbrance or security interest of any kind upon any of our or any of our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subsidiaries’ property if, immediately after giving effect to the incurrence of such Debt and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application of the proceeds thereof, the aggregate principal amount of all of our and our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subsidiaries’ outstanding Debt on a consolidated basis which is secured by any mortgage, lien,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charge, pledge, encumbrance or security interest on our or our subsidiaries’ property is greater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than 40% of the sum of (without duplication) (a) Total Assets as of the end of the calendar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quarter covered in our Annual Report on Form 10-K or Quarterly Report on Form 10-Q, as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case may be, most recently filed with the SEC (or, if such filing is not permitted under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Exchange Act, with the trustee) prior to the incurrence of such additional Debt and (b)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88"/>
              </w:rPr>
              <w:t>purchase price of any real estate assets or mortgages receivable acquired, and the amount of any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0"/>
              </w:rPr>
              <w:t>securities offering proceeds received (to the extent such proceeds were not used to acquire real</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89"/>
              </w:rPr>
              <w:t>estate assets or mortgages receivable or used to reduce Debt), by us or any subsidiary since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end of such calendar quarter, including those proceeds obtained in connection with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 xml:space="preserve">incurrence of such additional Debt; </w:t>
            </w:r>
            <w:r>
              <w:rPr>
                <w:rFonts w:ascii="Arial" w:cs="Arial" w:eastAsia="Arial" w:hAnsi="Arial"/>
                <w:sz w:val="18"/>
                <w:szCs w:val="18"/>
                <w:i w:val="1"/>
                <w:iCs w:val="1"/>
                <w:color w:val="auto"/>
                <w:w w:val="93"/>
              </w:rPr>
              <w:t>provided that</w:t>
            </w:r>
            <w:r>
              <w:rPr>
                <w:rFonts w:ascii="Arial" w:cs="Arial" w:eastAsia="Arial" w:hAnsi="Arial"/>
                <w:sz w:val="18"/>
                <w:szCs w:val="18"/>
                <w:color w:val="auto"/>
                <w:w w:val="93"/>
              </w:rPr>
              <w:t xml:space="preserve"> for purposes of this limitation, the amount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obligations under capital leases shown as a liability on our consolidated balance sheet shall be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deducted from Debt and from Total Assets;</w:t>
            </w:r>
          </w:p>
        </w:tc>
      </w:tr>
      <w:tr>
        <w:trPr>
          <w:trHeight w:val="291"/>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Consolidated Income Available for Debt Service to the Annual Debt Service Charge for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four consecutive fiscal quarters most recently ended prior to the date on which such additional</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Debt is to be incurred shall have been less than 1.5 to 1, on an unaudited pro forma basis after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giving effect thereto and to the application of the proceeds therefrom and calculated on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assumption that (a) such Debt and any other Debt incurred by us and our subsidiaries since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first day of such four-quarter period and the application of the proceeds therefrom, including to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refinance other Debt, had occurred at the beginning of such period; (b) the repayment or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retirement of any other Debt by us and our subsidiaries since the first day of such four-quarter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period had been repaid or retired at the beginning of such period (except that, in making such</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computation, the amount of Debt under any revolving credit facility shall be computed based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upon the average daily balance of such Debt during such period); (c) in the case of Acquired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Debt or Debt incurred in connection with any acquisition since the first day of such four-quarter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period, the related acquisition had occurred as of the first day of such period, with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appropriate adjustments with respect to such acquisition being included in such unaudited pro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forma calculation; and (d) in the case of any acquisition or disposition by us or our subsidiaries</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of any asset or group of assets since the first day of such four-quarter period, whether by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0"/>
              </w:rPr>
              <w:t>merger, stock purchase or sale, or asset purchase or sale, such acquisition or disposition or any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related repayment of Debt had occurred as of the first day of such period, with the appropriate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adjustments with respect to such acquisition or disposition being included in such unaudited pro</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forma calculation; and</w:t>
            </w:r>
          </w:p>
        </w:tc>
      </w:tr>
      <w:tr>
        <w:trPr>
          <w:trHeight w:val="291"/>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(4) we, together with our subsidiaries, will maintain an Unencumbered Total Asset Value in an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amount not less than 150% of the aggregate outstanding principal amount of all of our and our</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subsidiaries’ unsecured Debt, taken as a whole.</w:t>
            </w:r>
          </w:p>
        </w:tc>
      </w:tr>
      <w:tr>
        <w:trPr>
          <w:trHeight w:val="291"/>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notes are redeemable at any time at our option, in whole or in part. If the notes are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redeemed before June 1, 2044, the redemption price will be equal to the greater of (1) 100%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the principal amount of the notes being redeemed, or (2) the sum of the present values of the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remaining scheduled payments of</w:t>
            </w:r>
          </w:p>
        </w:tc>
      </w:tr>
      <w:tr>
        <w:trPr>
          <w:trHeight w:val="161"/>
        </w:trPr>
        <w:tc>
          <w:tcPr>
            <w:tcW w:w="3080" w:type="dxa"/>
            <w:vAlign w:val="bottom"/>
            <w:tcBorders>
              <w:left w:val="single" w:sz="8" w:color="auto"/>
              <w:bottom w:val="single" w:sz="8" w:color="auto"/>
            </w:tcBorders>
          </w:tcPr>
          <w:p>
            <w:pPr>
              <w:spacing w:after="0"/>
              <w:rPr>
                <w:sz w:val="13"/>
                <w:szCs w:val="13"/>
                <w:color w:val="auto"/>
              </w:rPr>
            </w:pPr>
          </w:p>
        </w:tc>
        <w:tc>
          <w:tcPr>
            <w:tcW w:w="8380" w:type="dxa"/>
            <w:vAlign w:val="bottom"/>
            <w:tcBorders>
              <w:bottom w:val="single" w:sz="8" w:color="auto"/>
              <w:right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838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860" w:type="dxa"/>
            <w:vAlign w:val="bottom"/>
            <w:tcBorders>
              <w:top w:val="single" w:sz="8" w:color="auto"/>
              <w:left w:val="single" w:sz="8" w:color="auto"/>
            </w:tcBorders>
          </w:tcPr>
          <w:p>
            <w:pPr>
              <w:spacing w:after="0"/>
              <w:rPr>
                <w:sz w:val="24"/>
                <w:szCs w:val="24"/>
                <w:color w:val="auto"/>
              </w:rPr>
            </w:pPr>
          </w:p>
        </w:tc>
        <w:tc>
          <w:tcPr>
            <w:tcW w:w="76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1"/>
              </w:rPr>
              <w:t>principal and interest thereon, discounted to the redemption date on a semi-annual basis at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Adjusted Treasury Rate plus 25 basis points (0.25%), plus, in each case, accrued and unpaid</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interest thereon to, but excluding, the redemption date. If the notes are redeemed on or after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June 1, 2044, the redemption price will be equal to 100% of the principal amount of the notes</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89"/>
              </w:rPr>
              <w:t>being redeemed plus accrued and unpaid interest thereon to, but excluding, the redemption date.</w:t>
            </w:r>
          </w:p>
        </w:tc>
      </w:tr>
      <w:tr>
        <w:trPr>
          <w:trHeight w:val="311"/>
        </w:trPr>
        <w:tc>
          <w:tcPr>
            <w:tcW w:w="386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For a description of the material U.S. federal income tax considerations of an investment in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notes, please review the disclosure in this prospectus supplement under “Additional Material</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6"/>
              </w:rPr>
              <w:t>Federal Income Tax Considerations” and in the accompanying prospectus under “Material</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Federal Income Tax Considerations.”</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Investing in the notes involves risks. Please review the risk factors discussed beginning on page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7"/>
              </w:rPr>
              <w:t>S-6 of this prospectus supplement, on page 3 of the accompanying prospectus and in our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5"/>
              </w:rPr>
              <w:t>Annual Report on Form 10-K for the year ended December 31, 2014, filed with the SEC on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5"/>
              </w:rPr>
              <w:t>February 10, 2015, and the other information contained or incorporated by reference in this</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prospectus supplement and the accompanying prospectus for a discussion of factors you should</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consider before deciding to invest in the notes. You may obtain a copy of our Annual Report on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Form 10-K and the other documents incorporated by reference in this prospectus supplement</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and the accompanying prospectus by following the procedures described under “Where You</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Can Find More Information” on page 53 of the accompanying prospectus.</w:t>
            </w:r>
          </w:p>
        </w:tc>
      </w:tr>
      <w:tr>
        <w:trPr>
          <w:trHeight w:val="161"/>
        </w:trPr>
        <w:tc>
          <w:tcPr>
            <w:tcW w:w="3860" w:type="dxa"/>
            <w:vAlign w:val="bottom"/>
            <w:tcBorders>
              <w:left w:val="single" w:sz="8" w:color="auto"/>
              <w:bottom w:val="single" w:sz="8" w:color="auto"/>
            </w:tcBorders>
          </w:tcPr>
          <w:p>
            <w:pPr>
              <w:spacing w:after="0"/>
              <w:rPr>
                <w:sz w:val="13"/>
                <w:szCs w:val="13"/>
                <w:color w:val="auto"/>
              </w:rPr>
            </w:pPr>
          </w:p>
        </w:tc>
        <w:tc>
          <w:tcPr>
            <w:tcW w:w="7600" w:type="dxa"/>
            <w:vAlign w:val="bottom"/>
            <w:tcBorders>
              <w:bottom w:val="single" w:sz="8" w:color="auto"/>
              <w:right w:val="single" w:sz="8" w:color="auto"/>
            </w:tcBorders>
          </w:tcPr>
          <w:p>
            <w:pPr>
              <w:spacing w:after="0"/>
              <w:rPr>
                <w:sz w:val="13"/>
                <w:szCs w:val="13"/>
                <w:color w:val="auto"/>
              </w:rPr>
            </w:pPr>
          </w:p>
        </w:tc>
      </w:tr>
      <w:tr>
        <w:trPr>
          <w:trHeight w:val="359"/>
        </w:trPr>
        <w:tc>
          <w:tcPr>
            <w:tcW w:w="3860" w:type="dxa"/>
            <w:vAlign w:val="bottom"/>
          </w:tcPr>
          <w:p>
            <w:pPr>
              <w:spacing w:after="0"/>
              <w:rPr>
                <w:sz w:val="24"/>
                <w:szCs w:val="24"/>
                <w:color w:val="auto"/>
              </w:rPr>
            </w:pPr>
          </w:p>
        </w:tc>
        <w:tc>
          <w:tcPr>
            <w:tcW w:w="7600" w:type="dxa"/>
            <w:vAlign w:val="bottom"/>
          </w:tcPr>
          <w:p>
            <w:pPr>
              <w:ind w:left="17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2014 filed with the SEC on February 10, 2015 before you decide to purchase the notes. The risks and uncertainties described below and in the incorporated Form 10-K for the year ended December 31, 2014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intercompany cash flows to satisfy our obligations under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claims of our subsidiaries’ creditors and our subsidiaries’ preferred equity holders.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2014, our subsidiaries had approximately $420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unsecured and are effectively subordinated to our secured indebtedness.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December 31, 2014, we had approximately $555 million (excluding net unamortized premium) of secured debt outstanding, all of which was effectively senior to the notes to the extent of the value of the securing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the notes may not be maintained.</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do not intend to apply for listing of the notes on any securities exchange or on any automated dealer quotation system, a trading market currently exists for the $250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notes are traded after their initial issuance, they may trade at a discount from their initial offering price, depending upon prevailing interest rates and other factors, including those listed above.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6"/>
          <w:szCs w:val="16"/>
          <w:color w:val="auto"/>
        </w:rPr>
        <w:t>The net proceeds to us from the issuance and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w:t>
      </w:r>
    </w:p>
    <w:p>
      <w:pPr>
        <w:spacing w:after="0" w:line="3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deducting the underwriting discount and other estimated expenses of this offering payable by us. We intend to use these net proceeds to redeem all of our outstanding 6.20% Notes due 2017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2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2014, 6.20% Notes due 2017 with an aggregate principal amount of $200 million were outstanding. In addition to the payment of outstanding principal amount and accrued but unpaid interest, redemption of the 6.20% Notes due 2017 will be subject to a make-whole premium in the aggregate amount of approximately $19 million. The 6.20% Notes due 2017 are scheduled to mature on January 15, 2017.</w:t>
      </w:r>
    </w:p>
    <w:p>
      <w:pPr>
        <w:spacing w:after="0" w:line="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December 31, 2014, we had no amount outstanding under our revolving credit facility (which has increased to $57.5 million as of March 10, 2015).</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Affiliates of certain of the underwriters may be beneficial owners of some of our 6.20% Notes due 2017. Any such affiliates will receive pro rata portions of the net proceeds from this offering used to redeem our 6.20% Notes due 2017.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offering $ million of our 4.50% notes maturing on December 1, 2044, which may be redeemed prior to that date in accordance with their terms. The notes offered hereby consist of an additional issuance of our 4.50% Notes due 2044, $250 million aggregate principal amount of which were previously issued and are outstanding. The notes offered hereby will become part of the same series as the outstanding 4.50% Notes due 2044 for all purposes.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will pay interest on the notes semi-annually in arrears on June 1 and December 1 of each year, beginning June 1, 2015, to the registered holders of the notes on the preceding May 15 and November 15.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offered hereby will be issued only in registered form in denominations of $2,000 and integral multiples of $1,000 in excess thereof.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are not entitled to the benefit of any sinking fund.</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offering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notes are our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December 31, 2014, we had outstanding approximately $555 million (excluding net unamortized premium) of secured indebtedness collateralized by all or parts of 14 properties, which ranks senior to the notes to the extent of securing collateral (approximately $405 million of this amount, which was issued by our subsidiaries, is also structurally senior to the notes), approximately $16 million of unsecured indebtedness issued by our subsidiaries, which is structurally senior to the notes, and approximately $1,769 million of unsecured indebtedness (excluding net unamortized discount), which ranks equally.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June 1, 2044,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(0.25%), plus, in each case, accrued and unpaid interest thereon to, but excluding, the redemption date. If the notes are redeemed on or after June 1, 2044, the redemption price will be equal to 100% of the principal amount of the notes being redeemed plus accrued and unpaid interest thereon to, but excluding, the redemption date.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(2) Merrill Lynch, Pierce, Fenner &amp; Smith Incorporated and Deutsche Bank Securities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(3) any two other Primary Treasury Dealers selected by us.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20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1" w:lineRule="exact"/>
        <w:rPr>
          <w:sz w:val="20"/>
          <w:szCs w:val="20"/>
          <w:color w:val="auto"/>
        </w:rPr>
      </w:pPr>
    </w:p>
    <w:p>
      <w:pPr>
        <w:ind w:right="40" w:firstLine="8"/>
        <w:spacing w:after="0" w:line="29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for purposes of this limitation, the amount of obligations under capital leases shown as a liability on our consolidated balance sheet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deducted from Debt and from Total Assets.</w:t>
      </w:r>
    </w:p>
    <w:p>
      <w:pPr>
        <w:spacing w:after="0" w:line="4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and will cause each of our subsidiaries to, maintain insurance with financially sound and reputable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Events of Default.</w:t>
      </w:r>
      <w:r>
        <w:rPr>
          <w:sz w:val="20"/>
          <w:szCs w:val="20"/>
          <w:color w:val="auto"/>
        </w:rPr>
        <w:tab/>
      </w:r>
      <w:r>
        <w:rPr>
          <w:rFonts w:ascii="Arial" w:cs="Arial" w:eastAsia="Arial" w:hAnsi="Arial"/>
          <w:sz w:val="16"/>
          <w:szCs w:val="16"/>
          <w:color w:val="auto"/>
        </w:rPr>
        <w:t>The notes are subject to the following events of default:</w:t>
      </w:r>
    </w:p>
    <w:p>
      <w:pPr>
        <w:spacing w:after="0" w:line="90" w:lineRule="exact"/>
        <w:rPr>
          <w:sz w:val="20"/>
          <w:szCs w:val="20"/>
          <w:color w:val="auto"/>
        </w:rPr>
      </w:pPr>
    </w:p>
    <w:p>
      <w:pPr>
        <w:ind w:left="460" w:right="40" w:firstLine="443"/>
        <w:spacing w:after="0" w:line="268" w:lineRule="auto"/>
        <w:tabs>
          <w:tab w:leader="none" w:pos="1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720" w:hanging="379"/>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720" w:hanging="379"/>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90 days.</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700" w:firstLine="421"/>
        <w:spacing w:after="0" w:line="268"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71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offered pursuant to this prospectus supplement. This discussion applies only to initial beneficial owners of the notes who purchase notes in this offering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4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60" w:hanging="206"/>
        <w:spacing w:after="0" w:line="357"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2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or a disregarded entity for U.S. federal income tax purposes.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Qualified Reopening</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For U.S. federal income tax purposes, we currently intend to treat the notes offered hereby as being issued in a “qualified reopening” of the currently outstanding 4.50% notes due 2044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$988.60 per $1,000 face amount and the issue date of the existing notes was November 14, 2014. The remainder of this discussion assumes the correctness of the treatment described in this paragraph.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Revised Guidance on Treatment of Distressed Mortgage Loans. </w:t>
      </w:r>
      <w:r>
        <w:rPr>
          <w:rFonts w:ascii="Arial" w:cs="Arial" w:eastAsia="Arial" w:hAnsi="Arial"/>
          <w:sz w:val="16"/>
          <w:szCs w:val="16"/>
          <w:color w:val="auto"/>
        </w:rPr>
        <w:t>As described in the accompanying prospectus, in the case of the acquisition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loan secured by both real property and other property, the IRS had previously issued favorable guidance concerning the portion of such loan that could be treated as a real estate asset where the value of the real estate securing the acquired loan had declined since the loan was originally made. However, in response to concerns as to the potentially adverse effect of that guidance if the real estate value subsequently increased, the IRS recently revised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prior guidance. Under the revised guidance, the IRS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fair market value of the loan.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Pre-Acquisition Accrued Interest on the Notes. </w:t>
      </w:r>
      <w:r>
        <w:rPr>
          <w:rFonts w:ascii="Arial" w:cs="Arial" w:eastAsia="Arial" w:hAnsi="Arial"/>
          <w:sz w:val="16"/>
          <w:szCs w:val="16"/>
          <w:color w:val="auto"/>
        </w:rPr>
        <w:t>A portion of the price paid for the notes is attributable to the amount of interest accrued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14, 2014 (the “pre-acquisition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You are urged to consult your own tax advisors regarding the tax treatment of pre-acquisition accrued interest.</w:t>
      </w:r>
    </w:p>
    <w:p>
      <w:pPr>
        <w:spacing w:after="0" w:line="3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(other than pre-acquisition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OID and Issue Price of the Notes. </w:t>
      </w:r>
      <w:r>
        <w:rPr>
          <w:rFonts w:ascii="Arial" w:cs="Arial" w:eastAsia="Arial" w:hAnsi="Arial"/>
          <w:sz w:val="16"/>
          <w:szCs w:val="16"/>
          <w:color w:val="auto"/>
        </w:rPr>
        <w:t>A debt instrument generally has original issue discount, or OID, if its “stated redemption price at maturity” exceeds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 price” by an amount that is equal to or greater than a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 debt instrument’s stated redemption price at maturity includes all principal and interest payable over the term of the debt instrument, other than qualified stated interest. The issue price of the notes is the first price at which a substantial amount of the notes were sold to the public (excluding bond houses, brokers, or similar persons or organizations acting in the capacity of underwriters, placement agents, or wholesalers). The stated redemption price of the existing notes did not exceed the issue price by more than the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Accordingly, the existing notes did not have OID.</w:t>
      </w:r>
    </w:p>
    <w:p>
      <w:pPr>
        <w:spacing w:after="0" w:line="3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As discussed above, under the qualified reopening rules the issue price of the notes offered hereby will be deemed to be the same as the issue price of the existing notes. As a result, the notes will, like the existing notes, not be subject to the OID rules, so that holders will generally be taxed on the stated interest on the notes in the manner as described above under “— Stated Interest on the Notes” (except that any pre-acquisition accrued interest will be excluded from gross income).</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Amortizable Bond Premium. </w:t>
      </w:r>
      <w:r>
        <w:rPr>
          <w:rFonts w:ascii="Arial" w:cs="Arial" w:eastAsia="Arial" w:hAnsi="Arial"/>
          <w:sz w:val="16"/>
          <w:szCs w:val="16"/>
          <w:color w:val="auto"/>
        </w:rPr>
        <w:t>If a note is purchased at a price in excess of such note’s stated principal amount (excluding any amounts that are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pre-acquisition accrued interest as described above under “Pre-Acquisition Accrued Interest on the Notes”), a U.S. Holder will have bond premium with respect to that new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 However, because we may call the notes under certain circumstances at a price in excess of their stated principal amount, such amortization may be reduced and/or deferred. A U.S. Holder’s election to amortize bond premium on a constant yield method, once made, will also apply to all other debt obligations with bond premium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are urged to consult your own tax advisors with respect to the rules relating to amortizable bond premium and the application to their particular circumstances.</w:t>
      </w:r>
    </w:p>
    <w:p>
      <w:pPr>
        <w:spacing w:after="0" w:line="4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Other Taxable Disposition of the Notes. </w:t>
      </w:r>
      <w:r>
        <w:rPr>
          <w:rFonts w:ascii="Arial" w:cs="Arial" w:eastAsia="Arial" w:hAnsi="Arial"/>
          <w:sz w:val="15"/>
          <w:szCs w:val="15"/>
          <w:color w:val="auto"/>
        </w:rPr>
        <w:t>Unless a non-recognition provision applies, upon the sale, exchange,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b w:val="1"/>
          <w:bCs w:val="1"/>
          <w:i w:val="1"/>
          <w:iCs w:val="1"/>
          <w:color w:val="auto"/>
        </w:rPr>
        <w:t>Interest on the Notes.</w:t>
      </w:r>
      <w:r>
        <w:rPr>
          <w:sz w:val="20"/>
          <w:szCs w:val="20"/>
          <w:color w:val="auto"/>
        </w:rPr>
        <w:tab/>
      </w:r>
      <w:r>
        <w:rPr>
          <w:rFonts w:ascii="Arial" w:cs="Arial" w:eastAsia="Arial" w:hAnsi="Arial"/>
          <w:sz w:val="16"/>
          <w:szCs w:val="16"/>
          <w:color w:val="auto"/>
        </w:rPr>
        <w:t>Subject to the rules described below under “— Information Reporting and Backup Withholding” and “— FATCA Regime,” a Non-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Holder generally will not be subject to U.S. federal income or withholding tax on payments of interest on a note, provided that:</w:t>
      </w:r>
    </w:p>
    <w:p>
      <w:pPr>
        <w:spacing w:after="0" w:line="8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generally will be required to be periodically updated.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660" w:right="56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if such gain is treated as U.S. source)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imposes a U.S. federal withholding tax of 30% on certain payments to foreign financial institutions (which term generally includes investment funds) and non-financial foreign entities that fail to comply with certain certification and information reporting requirements (unless alternative procedures apply pursuant to an applicable intergovernmental agreement between the United States and the relevant foreign government). In certain cases, the relevant foreign financial institution or non-financial foreign entity may qualify for an exemption from, or be deemed to be in compliance with, these rules. The obligation to withhold under FATCA applies to payments of U.S.-source interest and OID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obligations made on or after July 1, 2014 and payments of gross proceeds from the sale or other disposition of such obligations made on or after January 1, 2017 (or such other date as may be specified in guidance issued by the U.S. Treasury Department). We will not pay any additional amounts in respect of any amounts withheld under FATCA.</w:t>
      </w:r>
    </w:p>
    <w:p>
      <w:pPr>
        <w:spacing w:after="0" w:line="59" w:lineRule="exact"/>
        <w:rPr>
          <w:sz w:val="20"/>
          <w:szCs w:val="20"/>
          <w:color w:val="auto"/>
        </w:rPr>
      </w:pPr>
    </w:p>
    <w:p>
      <w:pPr>
        <w:jc w:val="center"/>
        <w:ind w:left="460" w:right="240"/>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Current Tax Rates for U.S. Individuals, Estates and Trusts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extended most of the reduced rates for U.S. individuals, estates and trusts with respect to ordinary income, qualified dividend income and long-term capital gains that had expired on December 31, 2012. The 2012 Relief Act, however, did not extend all of the reduced rates for high-income taxpayers. For 2014, in the case of married couples filing joint returns with taxable income in excess of $457,600, heads of households with taxable income in excess of $432,200 and other individuals with taxable income in excess of $406,750, the maximum tax rate on ordinary income is 39.6% and the maximum tax rate on long-term capital gains and qualified dividend income is 20%. Estates and trusts have more compressed rate schedules. The income thresholds for each rate schedule are indexed for inflation. Prospective investors are urged to consult their tax advisors regarding the effect of the tax rates and other tax provisions in the 2012 Relief Act on an investment in the notes.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offer the notes offered hereby through the underwriters named below, for whom Wells Fargo Securities, LLC, Deutsche Bank Securities Inc.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9520" w:type="dxa"/>
            <w:vAlign w:val="bottom"/>
            <w:vMerge w:val="restart"/>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9520" w:type="dxa"/>
            <w:vAlign w:val="bottom"/>
            <w:vMerge w:val="continue"/>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10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5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we do not intend to apply for listing of the notes on any securities exchange or on any automated dealer quotation system, a trading market currently exists for the $250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$400,000.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u w:val="single" w:color="auto"/>
          <w:color w:val="auto"/>
        </w:rPr>
        <w:t>Paid by Us</w:t>
      </w:r>
    </w:p>
    <w:p>
      <w:pPr>
        <w:spacing w:after="0" w:line="21" w:lineRule="exact"/>
        <w:rPr>
          <w:sz w:val="20"/>
          <w:szCs w:val="20"/>
          <w:color w:val="auto"/>
        </w:rPr>
      </w:pPr>
    </w:p>
    <w:p>
      <w:pPr>
        <w:spacing w:after="0"/>
        <w:tabs>
          <w:tab w:leader="none" w:pos="11200" w:val="left"/>
        </w:tabs>
        <w:rPr>
          <w:sz w:val="20"/>
          <w:szCs w:val="20"/>
          <w:color w:val="auto"/>
        </w:rPr>
      </w:pPr>
      <w:r>
        <w:rPr>
          <w:rFonts w:ascii="Arial" w:cs="Arial" w:eastAsia="Arial" w:hAnsi="Arial"/>
          <w:sz w:val="18"/>
          <w:szCs w:val="18"/>
          <w:color w:val="auto"/>
        </w:rPr>
        <w:t>Per note</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Affiliates of certain of the underwriters may be beneficial owners of some of our 6.20% Notes due 2017. Any such affiliates will receive pro rata portions of the net proceeds from this offering used to redeem our 6.20% Notes due 2017.</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audited consolidated financial statements, schedules and management’s assessment of the effectiveness of internal control over financial reporting included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0"/>
          <w:szCs w:val="20"/>
          <w:color w:val="auto"/>
        </w:rPr>
      </w:pPr>
    </w:p>
    <w:p>
      <w:pPr>
        <w:ind w:left="5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614680</wp:posOffset>
            </wp:positionV>
            <wp:extent cx="2255520" cy="875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142875</wp:posOffset>
            </wp:positionV>
            <wp:extent cx="15862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3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194945</wp:posOffset>
            </wp:positionV>
            <wp:extent cx="15862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Deutsche Bank Securities</w:t>
      </w:r>
    </w:p>
    <w:p>
      <w:pPr>
        <w:spacing w:after="0" w:line="232" w:lineRule="exact"/>
        <w:rPr>
          <w:sz w:val="20"/>
          <w:szCs w:val="20"/>
          <w:color w:val="auto"/>
        </w:rPr>
      </w:pPr>
    </w:p>
    <w:p>
      <w:pPr>
        <w:ind w:left="5140"/>
        <w:spacing w:after="0"/>
        <w:tabs>
          <w:tab w:leader="none" w:pos="5840" w:val="left"/>
        </w:tabs>
        <w:rPr>
          <w:sz w:val="20"/>
          <w:szCs w:val="20"/>
          <w:color w:val="auto"/>
        </w:rPr>
      </w:pPr>
      <w:r>
        <w:rPr>
          <w:rFonts w:ascii="Arial" w:cs="Arial" w:eastAsia="Arial" w:hAnsi="Arial"/>
          <w:sz w:val="18"/>
          <w:szCs w:val="18"/>
          <w:b w:val="1"/>
          <w:bCs w:val="1"/>
          <w:color w:val="auto"/>
        </w:rPr>
        <w:t>March</w:t>
        <w:tab/>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lvl w:ilvl="1">
      <w:lvlJc w:val="left"/>
      <w:lvlText w:val="•"/>
      <w:numFmt w:val="bullet"/>
      <w:start w:val="1"/>
    </w:lvl>
  </w:abstractNum>
  <w:abstractNum w:abstractNumId="2">
    <w:nsid w:val="6DE91B18"/>
    <w:multiLevelType w:val="hybridMultilevel"/>
    <w:lvl w:ilvl="0">
      <w:lvlJc w:val="left"/>
      <w:lvlText w:val="(%1)"/>
      <w:numFmt w:val="lowerLetter"/>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lvl w:ilvl="1">
      <w:lvlJc w:val="left"/>
      <w:lvlText w:val="(%2)"/>
      <w:numFmt w:val="lowerLetter"/>
      <w:start w:val="1"/>
    </w:lvl>
  </w:abstractNum>
  <w:abstractNum w:abstractNumId="7">
    <w:nsid w:val="579478FE"/>
    <w:multiLevelType w:val="hybridMultilevel"/>
    <w:lvl w:ilvl="0">
      <w:lvlJc w:val="left"/>
      <w:lvlText w:val="%1."/>
      <w:numFmt w:val="decimal"/>
      <w:start w:val="6"/>
    </w:lvl>
    <w:lvl w:ilvl="1">
      <w:lvlJc w:val="left"/>
      <w:lvlText w:val="(%2)"/>
      <w:numFmt w:val="lowerLetter"/>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lvl w:ilvl="1">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1)"/>
      <w:numFmt w:val="lowerLetter"/>
      <w:start w:val="3"/>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lvl w:ilvl="1">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lvl w:ilvl="1">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decimal"/>
      <w:start w:val="1"/>
    </w:lvl>
    <w:lvl w:ilvl="1">
      <w:lvlJc w:val="left"/>
      <w:lvlText w:val="(%2)"/>
      <w:numFmt w:val="lowerLetter"/>
      <w:start w:val="1"/>
    </w:lvl>
  </w:abstractNum>
  <w:abstractNum w:abstractNumId="40">
    <w:nsid w:val="1DBABF00"/>
    <w:multiLevelType w:val="hybridMultilevel"/>
    <w:lvl w:ilvl="0">
      <w:lvlJc w:val="left"/>
      <w:lvlText w:val="%1."/>
      <w:numFmt w:val="decimal"/>
      <w:start w:val="7"/>
    </w:lvl>
    <w:lvl w:ilvl="1">
      <w:lvlJc w:val="left"/>
      <w:lvlText w:val="(%2)"/>
      <w:numFmt w:val="lowerLetter"/>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lvl w:ilvl="1">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upperLetter"/>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lvl w:ilvl="1">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lvl w:ilvl="1">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lowerRoman"/>
      <w:start w:val="3"/>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lvl w:ilvl="1">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1)"/>
      <w:numFmt w:val="lowerRoman"/>
      <w:start w:val="2"/>
    </w:lvl>
  </w:abstractNum>
  <w:abstractNum w:abstractNumId="83">
    <w:nsid w:val="4C04A8AF"/>
    <w:multiLevelType w:val="hybridMultilevel"/>
    <w:lvl w:ilvl="0">
      <w:lvlJc w:val="left"/>
      <w:lvlText w:val="\emdash "/>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4"/>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2019-12-05T10:03:49Z</dcterms:created>
  <dcterms:modified xsi:type="dcterms:W3CDTF">2019-12-05T10:03:49Z</dcterms:modified>
</cp:coreProperties>
</file>