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Registration No. 333-224701</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Fee(1)</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3.20% Notes due 2029</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103.813%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$103,813,000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$12,583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640" w:right="120" w:hanging="436"/>
        <w:spacing w:after="0" w:line="286" w:lineRule="auto"/>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filing fee is calculated in accordance with Rule 457(r) under the Securities Act of 1933, as amended (the “Securities Act”), and relates to the Registration Statement on Form S-3 (No. 333-224701) filed on May 7, 2018 (the “Registration Statement”). In accordance with Rules 456(b) and 457(r) under the Securities Act, the registrant deferred payment of the registration fee for the Registration Statement.</w:t>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 PROSPECTUS DATED MAY 7, 2018)</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178435</wp:posOffset>
            </wp:positionV>
            <wp:extent cx="2178050" cy="875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3.20%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192405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We are offering $100,000,000 aggregate principal amount of our 3.20% Notes due 2029. The notes offered hereby consist of an additional issuance of our 3.20% Notes due 2029, $300 million aggregate principal amount of which were previously issued and are outstanding. The notes offered hereby will become part of the same series as the outstanding 3.20% Notes due 2029 for all purposes and are referred to herein, together with such outstanding notes, as the notes.</w:t>
      </w:r>
    </w:p>
    <w:p>
      <w:pPr>
        <w:spacing w:after="0" w:line="119" w:lineRule="exact"/>
        <w:rPr>
          <w:sz w:val="20"/>
          <w:szCs w:val="20"/>
          <w:color w:val="auto"/>
        </w:rPr>
      </w:pPr>
    </w:p>
    <w:p>
      <w:pPr>
        <w:jc w:val="both"/>
        <w:ind w:left="200" w:right="160"/>
        <w:spacing w:after="0" w:line="286" w:lineRule="auto"/>
        <w:rPr>
          <w:sz w:val="20"/>
          <w:szCs w:val="20"/>
          <w:color w:val="auto"/>
        </w:rPr>
      </w:pPr>
      <w:r>
        <w:rPr>
          <w:rFonts w:ascii="Arial" w:cs="Arial" w:eastAsia="Arial" w:hAnsi="Arial"/>
          <w:sz w:val="17"/>
          <w:szCs w:val="17"/>
          <w:color w:val="auto"/>
        </w:rPr>
        <w:t>The notes bear interest at the rate of 3.20% per year. Interest on the notes is payable semi-annually in arears on June 15 and December 15 of each year, beginning on December 15, 2019. The notes will mature on June 15, 2029. We may redeem some or all of the notes at any time before maturity at the applicable redemption price discussed under the caption “Description of Notes — Optional Redemption.”</w:t>
      </w:r>
    </w:p>
    <w:p>
      <w:pPr>
        <w:spacing w:after="0" w:line="9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notes are our senior unsecured obligations and rank equally with all of our other unsecured and unsubordinated indebtedness. The notes are effectively subordinated to the prior claims of each secured mortgage lender to any specific property that secures such lender’s mortgage and to all of the unsecured indebtedness of our subsidiaries.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do not intend to apply to list the notes on any securities exchange. An active trading market for the notes may not be maintained.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186690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5" w:lineRule="exact"/>
        <w:rPr>
          <w:sz w:val="20"/>
          <w:szCs w:val="20"/>
          <w:color w:val="auto"/>
        </w:rPr>
      </w:pPr>
    </w:p>
    <w:p>
      <w:pPr>
        <w:ind w:left="200" w:right="20"/>
        <w:spacing w:after="0" w:line="301"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the notes involves risks. See “</w:t>
      </w:r>
      <w:hyperlink w:anchor="page10">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S-5 of this prospectus supplement, on page 3 of the accompanying prospectus and in our Annual Report on Form 10-K for the year ended December 31, 2018, filed with the Securities and Exchange Commission, or the SEC, on February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130175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1"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 Note</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103.813%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103,813,000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Underwriting discount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0.650%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650,000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 (1)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103.163%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103,163,000</w:t>
            </w:r>
          </w:p>
        </w:tc>
        <w:tc>
          <w:tcPr>
            <w:tcW w:w="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64"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interest from and including June 7, 2019 (the date of issuance of the $300 million aggregate principal amount of notes currently outstanding) to, but not including, the issuance date of the notes offered hereby, in the amount of $657,777.78. This accrued interest must be paid by the purchasers of the notes offered hereby.</w:t>
      </w:r>
    </w:p>
    <w:p>
      <w:pPr>
        <w:spacing w:after="0" w:line="114"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The underwriters expect to deliver the notes offered hereby to purchasers in book-entry only form through the facilities of The Depository Trust Company on or about August 21, 2019.</w:t>
      </w:r>
    </w:p>
    <w:p>
      <w:pPr>
        <w:spacing w:after="0" w:line="85" w:lineRule="exact"/>
        <w:rPr>
          <w:sz w:val="20"/>
          <w:szCs w:val="20"/>
          <w:color w:val="auto"/>
        </w:rPr>
      </w:pPr>
    </w:p>
    <w:p>
      <w:pPr>
        <w:ind w:left="200" w:right="840"/>
        <w:spacing w:after="0" w:line="386" w:lineRule="auto"/>
        <w:rPr>
          <w:sz w:val="20"/>
          <w:szCs w:val="20"/>
          <w:color w:val="auto"/>
        </w:rPr>
      </w:pPr>
      <w:r>
        <w:rPr>
          <w:rFonts w:ascii="Arial" w:cs="Arial" w:eastAsia="Arial" w:hAnsi="Arial"/>
          <w:sz w:val="15"/>
          <w:szCs w:val="15"/>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105410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220"/>
          </w:cols>
          <w:pgMar w:left="240" w:top="459" w:right="439" w:bottom="1440" w:gutter="0" w:footer="0" w:header="0"/>
        </w:sectPr>
      </w:pPr>
    </w:p>
    <w:p>
      <w:pPr>
        <w:spacing w:after="0" w:line="145"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auto"/>
        </w:rPr>
        <w:t>BofA Merrill Lynch</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Wells Fargo Securities</w:t>
      </w:r>
    </w:p>
    <w:p>
      <w:pPr>
        <w:spacing w:after="0" w:line="186" w:lineRule="exact"/>
        <w:rPr>
          <w:sz w:val="20"/>
          <w:szCs w:val="20"/>
          <w:color w:val="auto"/>
        </w:rPr>
      </w:pPr>
    </w:p>
    <w:p>
      <w:pPr>
        <w:sectPr>
          <w:pgSz w:w="11900" w:h="16838" w:orient="portrait"/>
          <w:cols w:equalWidth="0" w:num="3">
            <w:col w:w="4660" w:space="720"/>
            <w:col w:w="3060" w:space="720"/>
            <w:col w:w="2060"/>
          </w:cols>
          <w:pgMar w:left="240" w:top="459" w:right="439" w:bottom="1440" w:gutter="0" w:footer="0" w:header="0"/>
          <w:type w:val="continuous"/>
        </w:sectPr>
      </w:pPr>
    </w:p>
    <w:p>
      <w:pPr>
        <w:jc w:val="center"/>
        <w:ind w:right="-219"/>
        <w:spacing w:after="0"/>
        <w:rPr>
          <w:sz w:val="20"/>
          <w:szCs w:val="20"/>
          <w:color w:val="auto"/>
        </w:rPr>
      </w:pPr>
      <w:r>
        <w:rPr>
          <w:rFonts w:ascii="Arial" w:cs="Arial" w:eastAsia="Arial" w:hAnsi="Arial"/>
          <w:sz w:val="16"/>
          <w:szCs w:val="16"/>
          <w:i w:val="1"/>
          <w:iCs w:val="1"/>
          <w:color w:val="auto"/>
        </w:rPr>
        <w:t>Co-Managers</w:t>
      </w:r>
    </w:p>
    <w:p>
      <w:pPr>
        <w:sectPr>
          <w:pgSz w:w="11900" w:h="16838" w:orient="portrait"/>
          <w:cols w:equalWidth="0" w:num="1">
            <w:col w:w="11220"/>
          </w:cols>
          <w:pgMar w:left="240" w:top="459" w:right="439" w:bottom="1440" w:gutter="0" w:footer="0" w:header="0"/>
          <w:type w:val="continuous"/>
        </w:sectPr>
      </w:pP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Citigroup</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Scotiabank</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Deutsche Bank Securities</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SunTrust Robinson Humphrey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J.P. Morgan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TD Securities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right"/>
        <w:spacing w:after="0" w:line="282" w:lineRule="auto"/>
        <w:rPr>
          <w:sz w:val="20"/>
          <w:szCs w:val="20"/>
          <w:color w:val="auto"/>
        </w:rPr>
      </w:pPr>
      <w:r>
        <w:rPr>
          <w:rFonts w:ascii="Arial" w:cs="Arial" w:eastAsia="Arial" w:hAnsi="Arial"/>
          <w:sz w:val="18"/>
          <w:szCs w:val="18"/>
          <w:b w:val="1"/>
          <w:bCs w:val="1"/>
          <w:color w:val="auto"/>
        </w:rPr>
        <w:t>Regions Securities LLC US Bancorp</w:t>
      </w:r>
    </w:p>
    <w:p>
      <w:pPr>
        <w:spacing w:after="0" w:line="94" w:lineRule="exact"/>
        <w:rPr>
          <w:sz w:val="20"/>
          <w:szCs w:val="20"/>
          <w:color w:val="auto"/>
        </w:rPr>
      </w:pPr>
    </w:p>
    <w:p>
      <w:pPr>
        <w:sectPr>
          <w:pgSz w:w="11900" w:h="16838" w:orient="portrait"/>
          <w:cols w:equalWidth="0" w:num="4">
            <w:col w:w="2380" w:space="720"/>
            <w:col w:w="3500" w:space="720"/>
            <w:col w:w="1360" w:space="720"/>
            <w:col w:w="1820"/>
          </w:cols>
          <w:pgMar w:left="240" w:top="459" w:right="439" w:bottom="1440" w:gutter="0" w:footer="0" w:header="0"/>
          <w:type w:val="continuous"/>
        </w:sectPr>
      </w:pPr>
    </w:p>
    <w:p>
      <w:pPr>
        <w:jc w:val="center"/>
        <w:ind w:right="-219"/>
        <w:spacing w:after="0"/>
        <w:rPr>
          <w:sz w:val="20"/>
          <w:szCs w:val="20"/>
          <w:color w:val="auto"/>
        </w:rPr>
      </w:pPr>
      <w:r>
        <w:rPr>
          <w:rFonts w:ascii="Arial" w:cs="Arial" w:eastAsia="Arial" w:hAnsi="Arial"/>
          <w:sz w:val="15"/>
          <w:szCs w:val="15"/>
          <w:b w:val="1"/>
          <w:bCs w:val="1"/>
          <w:color w:val="auto"/>
        </w:rPr>
        <w:t>The date of this prospectus supplement is August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185420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227965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60" w:type="dxa"/>
            <w:vAlign w:val="bottom"/>
            <w:gridSpan w:val="1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w:t>
              </w:r>
            </w:hyperlink>
          </w:p>
        </w:tc>
        <w:tc>
          <w:tcPr>
            <w:tcW w:w="572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4860" w:type="dxa"/>
            <w:vAlign w:val="bottom"/>
            <w:gridSpan w:val="16"/>
            <w:vMerge w:val="continue"/>
          </w:tcPr>
          <w:p>
            <w:pPr>
              <w:spacing w:after="0"/>
              <w:rPr>
                <w:sz w:val="13"/>
                <w:szCs w:val="13"/>
                <w:color w:val="auto"/>
              </w:rPr>
            </w:pPr>
          </w:p>
        </w:tc>
        <w:tc>
          <w:tcPr>
            <w:tcW w:w="5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6"/>
                <w:szCs w:val="16"/>
                <w:color w:val="auto"/>
              </w:rPr>
              <w:t>ii</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Cautionary Statement Concerning Forward-Looking Statements</w:t>
              </w:r>
            </w:hyperlink>
          </w:p>
        </w:tc>
        <w:tc>
          <w:tcPr>
            <w:tcW w:w="2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Prospectus Supplement Summary</w:t>
              </w:r>
            </w:hyperlink>
          </w:p>
        </w:tc>
        <w:tc>
          <w:tcPr>
            <w:tcW w:w="2380" w:type="dxa"/>
            <w:vAlign w:val="bottom"/>
            <w:gridSpan w:val="7"/>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196"/>
        </w:trPr>
        <w:tc>
          <w:tcPr>
            <w:tcW w:w="4860" w:type="dxa"/>
            <w:vAlign w:val="bottom"/>
            <w:gridSpan w:val="1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Use of Proceeds</w:t>
              </w:r>
            </w:hyperlink>
          </w:p>
        </w:tc>
        <w:tc>
          <w:tcPr>
            <w:tcW w:w="3680" w:type="dxa"/>
            <w:vAlign w:val="bottom"/>
            <w:gridSpan w:val="12"/>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196"/>
        </w:trPr>
        <w:tc>
          <w:tcPr>
            <w:tcW w:w="4860" w:type="dxa"/>
            <w:vAlign w:val="bottom"/>
            <w:gridSpan w:val="1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Notes</w:t>
              </w:r>
            </w:hyperlink>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Additional Material Federal Income Tax Considerations</w:t>
              </w:r>
            </w:hyperlink>
          </w:p>
        </w:tc>
        <w:tc>
          <w:tcPr>
            <w:tcW w:w="820" w:type="dxa"/>
            <w:vAlign w:val="bottom"/>
            <w:gridSpan w:val="2"/>
          </w:tcPr>
          <w:p>
            <w:pPr>
              <w:spacing w:after="0"/>
              <w:rPr>
                <w:sz w:val="17"/>
                <w:szCs w:val="17"/>
                <w:color w:val="auto"/>
              </w:rPr>
            </w:pPr>
          </w:p>
        </w:tc>
        <w:tc>
          <w:tcPr>
            <w:tcW w:w="572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Underwriting (Conflicts of Interest)</w:t>
              </w:r>
            </w:hyperlink>
          </w:p>
        </w:tc>
        <w:tc>
          <w:tcPr>
            <w:tcW w:w="2280" w:type="dxa"/>
            <w:vAlign w:val="bottom"/>
            <w:gridSpan w:val="6"/>
          </w:tcPr>
          <w:p>
            <w:pPr>
              <w:spacing w:after="0"/>
              <w:rPr>
                <w:sz w:val="17"/>
                <w:szCs w:val="17"/>
                <w:color w:val="auto"/>
              </w:rPr>
            </w:pPr>
          </w:p>
        </w:tc>
        <w:tc>
          <w:tcPr>
            <w:tcW w:w="572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S-21</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Experts</w:t>
              </w:r>
            </w:hyperlink>
          </w:p>
        </w:tc>
        <w:tc>
          <w:tcPr>
            <w:tcW w:w="4300" w:type="dxa"/>
            <w:vAlign w:val="bottom"/>
            <w:gridSpan w:val="15"/>
          </w:tcPr>
          <w:p>
            <w:pPr>
              <w:spacing w:after="0"/>
              <w:rPr>
                <w:sz w:val="17"/>
                <w:szCs w:val="17"/>
                <w:color w:val="auto"/>
              </w:rPr>
            </w:pPr>
          </w:p>
        </w:tc>
        <w:tc>
          <w:tcPr>
            <w:tcW w:w="572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S-24</w:t>
            </w:r>
          </w:p>
        </w:tc>
        <w:tc>
          <w:tcPr>
            <w:tcW w:w="0" w:type="dxa"/>
            <w:vAlign w:val="bottom"/>
          </w:tcPr>
          <w:p>
            <w:pPr>
              <w:spacing w:after="0"/>
              <w:rPr>
                <w:sz w:val="1"/>
                <w:szCs w:val="1"/>
                <w:color w:val="auto"/>
              </w:rPr>
            </w:pPr>
          </w:p>
        </w:tc>
      </w:tr>
      <w:tr>
        <w:trPr>
          <w:trHeight w:val="196"/>
        </w:trPr>
        <w:tc>
          <w:tcPr>
            <w:tcW w:w="4860" w:type="dxa"/>
            <w:vAlign w:val="bottom"/>
            <w:gridSpan w:val="1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Legal Matters</w:t>
              </w:r>
            </w:hyperlink>
          </w:p>
        </w:tc>
        <w:tc>
          <w:tcPr>
            <w:tcW w:w="572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S-24</w:t>
            </w:r>
          </w:p>
        </w:tc>
        <w:tc>
          <w:tcPr>
            <w:tcW w:w="0" w:type="dxa"/>
            <w:vAlign w:val="bottom"/>
          </w:tcPr>
          <w:p>
            <w:pPr>
              <w:spacing w:after="0"/>
              <w:rPr>
                <w:sz w:val="1"/>
                <w:szCs w:val="1"/>
                <w:color w:val="auto"/>
              </w:rPr>
            </w:pPr>
          </w:p>
        </w:tc>
      </w:tr>
      <w:tr>
        <w:trPr>
          <w:trHeight w:val="669"/>
        </w:trPr>
        <w:tc>
          <w:tcPr>
            <w:tcW w:w="5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20" w:type="dxa"/>
            <w:vAlign w:val="bottom"/>
            <w:gridSpan w:val="3"/>
          </w:tcPr>
          <w:p>
            <w:pPr>
              <w:jc w:val="right"/>
              <w:ind w:right="4953"/>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392"/>
        </w:trPr>
        <w:tc>
          <w:tcPr>
            <w:tcW w:w="4860" w:type="dxa"/>
            <w:vAlign w:val="bottom"/>
            <w:gridSpan w:val="16"/>
            <w:vMerge w:val="restart"/>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About this Prospectus</w:t>
              </w:r>
            </w:hyperlink>
          </w:p>
        </w:tc>
        <w:tc>
          <w:tcPr>
            <w:tcW w:w="57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4860" w:type="dxa"/>
            <w:vAlign w:val="bottom"/>
            <w:gridSpan w:val="16"/>
            <w:vMerge w:val="continue"/>
          </w:tcPr>
          <w:p>
            <w:pPr>
              <w:spacing w:after="0"/>
              <w:rPr>
                <w:sz w:val="13"/>
                <w:szCs w:val="13"/>
                <w:color w:val="auto"/>
              </w:rPr>
            </w:pPr>
          </w:p>
        </w:tc>
        <w:tc>
          <w:tcPr>
            <w:tcW w:w="5820" w:type="dxa"/>
            <w:vAlign w:val="bottom"/>
            <w:gridSpan w:val="2"/>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Forward-Looking Statements</w:t>
              </w:r>
            </w:hyperlink>
          </w:p>
        </w:tc>
        <w:tc>
          <w:tcPr>
            <w:tcW w:w="2740" w:type="dxa"/>
            <w:vAlign w:val="bottom"/>
            <w:gridSpan w:val="9"/>
          </w:tcPr>
          <w:p>
            <w:pPr>
              <w:spacing w:after="0"/>
              <w:rPr>
                <w:sz w:val="18"/>
                <w:szCs w:val="18"/>
                <w:color w:val="auto"/>
              </w:rPr>
            </w:pPr>
          </w:p>
        </w:tc>
        <w:tc>
          <w:tcPr>
            <w:tcW w:w="61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860" w:type="dxa"/>
            <w:vAlign w:val="bottom"/>
            <w:gridSpan w:val="1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Prospectus Summary</w:t>
              </w:r>
            </w:hyperlink>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3280" w:type="dxa"/>
            <w:vAlign w:val="bottom"/>
            <w:gridSpan w:val="10"/>
          </w:tcPr>
          <w:p>
            <w:pPr>
              <w:spacing w:after="0"/>
              <w:rPr>
                <w:sz w:val="17"/>
                <w:szCs w:val="17"/>
                <w:color w:val="auto"/>
              </w:rPr>
            </w:pPr>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Use of Proceeds</w:t>
              </w:r>
            </w:hyperlink>
          </w:p>
        </w:tc>
        <w:tc>
          <w:tcPr>
            <w:tcW w:w="3680" w:type="dxa"/>
            <w:vAlign w:val="bottom"/>
            <w:gridSpan w:val="12"/>
          </w:tcPr>
          <w:p>
            <w:pPr>
              <w:spacing w:after="0"/>
              <w:rPr>
                <w:sz w:val="17"/>
                <w:szCs w:val="17"/>
                <w:color w:val="auto"/>
              </w:rPr>
            </w:pPr>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860" w:type="dxa"/>
            <w:vAlign w:val="bottom"/>
            <w:gridSpan w:val="1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Description of Debt Securities</w:t>
              </w:r>
            </w:hyperlink>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gridSpan w:val="5"/>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gridSpan w:val="1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Description of Shares of Beneficial Interest</w:t>
              </w:r>
            </w:hyperlink>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500" w:type="dxa"/>
            <w:vAlign w:val="bottom"/>
            <w:tcBorders>
              <w:right w:val="single" w:sz="8" w:color="0000EE"/>
            </w:tcBorders>
            <w:gridSpan w:val="5"/>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gridSpan w:val="1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Material Federal Income Tax Considerations</w:t>
              </w:r>
            </w:hyperlink>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Plan of Distribution</w:t>
              </w:r>
            </w:hyperlink>
          </w:p>
        </w:tc>
        <w:tc>
          <w:tcPr>
            <w:tcW w:w="1720" w:type="dxa"/>
            <w:vAlign w:val="bottom"/>
            <w:tcBorders>
              <w:top w:val="single" w:sz="8" w:color="0000EE"/>
            </w:tcBorders>
            <w:gridSpan w:val="8"/>
          </w:tcPr>
          <w:p>
            <w:pPr>
              <w:spacing w:after="0"/>
              <w:rPr>
                <w:sz w:val="17"/>
                <w:szCs w:val="17"/>
                <w:color w:val="auto"/>
              </w:rPr>
            </w:pPr>
          </w:p>
        </w:tc>
        <w:tc>
          <w:tcPr>
            <w:tcW w:w="1640" w:type="dxa"/>
            <w:vAlign w:val="bottom"/>
            <w:gridSpan w:val="3"/>
          </w:tcPr>
          <w:p>
            <w:pPr>
              <w:spacing w:after="0"/>
              <w:rPr>
                <w:sz w:val="17"/>
                <w:szCs w:val="17"/>
                <w:color w:val="auto"/>
              </w:rPr>
            </w:pPr>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4860" w:type="dxa"/>
            <w:vAlign w:val="bottom"/>
            <w:gridSpan w:val="1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Legal Matters</w:t>
              </w:r>
            </w:hyperlink>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Experts</w:t>
              </w:r>
            </w:hyperlink>
          </w:p>
        </w:tc>
        <w:tc>
          <w:tcPr>
            <w:tcW w:w="440" w:type="dxa"/>
            <w:vAlign w:val="bottom"/>
            <w:tcBorders>
              <w:top w:val="single" w:sz="8" w:color="0000EE"/>
            </w:tcBorders>
            <w:gridSpan w:val="2"/>
          </w:tcPr>
          <w:p>
            <w:pPr>
              <w:spacing w:after="0"/>
              <w:rPr>
                <w:sz w:val="17"/>
                <w:szCs w:val="17"/>
                <w:color w:val="auto"/>
              </w:rPr>
            </w:pPr>
          </w:p>
        </w:tc>
        <w:tc>
          <w:tcPr>
            <w:tcW w:w="3860" w:type="dxa"/>
            <w:vAlign w:val="bottom"/>
            <w:gridSpan w:val="13"/>
          </w:tcPr>
          <w:p>
            <w:pPr>
              <w:spacing w:after="0"/>
              <w:rPr>
                <w:sz w:val="17"/>
                <w:szCs w:val="17"/>
                <w:color w:val="auto"/>
              </w:rPr>
            </w:pPr>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Where You Can Find More Information</w:t>
              </w:r>
            </w:hyperlink>
          </w:p>
        </w:tc>
        <w:tc>
          <w:tcPr>
            <w:tcW w:w="1980" w:type="dxa"/>
            <w:vAlign w:val="bottom"/>
            <w:gridSpan w:val="5"/>
          </w:tcPr>
          <w:p>
            <w:pPr>
              <w:spacing w:after="0"/>
              <w:rPr>
                <w:sz w:val="17"/>
                <w:szCs w:val="17"/>
                <w:color w:val="auto"/>
              </w:rPr>
            </w:pPr>
          </w:p>
        </w:tc>
        <w:tc>
          <w:tcPr>
            <w:tcW w:w="6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200" w:right="60"/>
        <w:spacing w:after="0" w:line="254" w:lineRule="auto"/>
        <w:rPr>
          <w:sz w:val="20"/>
          <w:szCs w:val="20"/>
          <w:color w:val="auto"/>
        </w:rPr>
      </w:pPr>
      <w:r>
        <w:rPr>
          <w:rFonts w:ascii="Arial" w:cs="Arial" w:eastAsia="Arial" w:hAnsi="Arial"/>
          <w:sz w:val="18"/>
          <w:szCs w:val="18"/>
          <w:color w:val="auto"/>
        </w:rPr>
        <w:t>You should carefully read this prospectus supplement along with the accompanying prospectus, as well as the information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92" w:lineRule="exact"/>
        <w:rPr>
          <w:sz w:val="20"/>
          <w:szCs w:val="20"/>
          <w:color w:val="auto"/>
        </w:rPr>
      </w:pPr>
    </w:p>
    <w:p>
      <w:pPr>
        <w:ind w:left="200" w:right="240"/>
        <w:spacing w:after="0" w:line="286" w:lineRule="auto"/>
        <w:rPr>
          <w:sz w:val="20"/>
          <w:szCs w:val="20"/>
          <w:color w:val="auto"/>
        </w:rPr>
      </w:pPr>
      <w:r>
        <w:rPr>
          <w:rFonts w:ascii="Arial" w:cs="Arial" w:eastAsia="Arial" w:hAnsi="Arial"/>
          <w:sz w:val="17"/>
          <w:szCs w:val="17"/>
          <w:color w:val="auto"/>
        </w:rPr>
        <w:t>It is important for you to read and consider all information contained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166"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166" w:lineRule="exact"/>
        <w:rPr>
          <w:sz w:val="20"/>
          <w:szCs w:val="20"/>
          <w:color w:val="auto"/>
        </w:rPr>
      </w:pPr>
    </w:p>
    <w:p>
      <w:pPr>
        <w:ind w:left="200"/>
        <w:spacing w:after="0" w:line="292"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 respective dates of such documents or such other dates as may be specified therein. Our business, financial condition, liquidity, results of operations and prospects may have changed since those dates.</w:t>
      </w: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S-5 of this prospectus supplement, on page 3 of the accompanying prospectus and in our Annual Report on Form 10-K for the year ended December 31, 2018, filed with the SEC on February 13, 2019,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83" w:lineRule="exact"/>
        <w:rPr>
          <w:sz w:val="20"/>
          <w:szCs w:val="20"/>
          <w:color w:val="auto"/>
        </w:rPr>
      </w:pPr>
    </w:p>
    <w:p>
      <w:pPr>
        <w:ind w:left="1180" w:right="36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75" w:lineRule="exact"/>
        <w:rPr>
          <w:rFonts w:ascii="Arial" w:cs="Arial" w:eastAsia="Arial" w:hAnsi="Arial"/>
          <w:sz w:val="18"/>
          <w:szCs w:val="18"/>
          <w:color w:val="auto"/>
        </w:rPr>
      </w:pPr>
    </w:p>
    <w:p>
      <w:pPr>
        <w:ind w:left="1180" w:right="180" w:hanging="436"/>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40" w:hanging="436"/>
        <w:spacing w:after="0" w:line="264"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4"/>
        </w:numPr>
        <w:rPr>
          <w:rFonts w:ascii="Arial" w:cs="Arial" w:eastAsia="Arial" w:hAnsi="Arial"/>
          <w:sz w:val="17"/>
          <w:szCs w:val="17"/>
          <w:color w:val="auto"/>
        </w:rPr>
      </w:pPr>
      <w:r>
        <w:rPr>
          <w:rFonts w:ascii="Arial" w:cs="Arial" w:eastAsia="Arial" w:hAnsi="Arial"/>
          <w:sz w:val="17"/>
          <w:szCs w:val="17"/>
          <w:color w:val="auto"/>
        </w:rPr>
        <w:t>occupancy levels at our properties and the amount of rent that we receive from our properties may be lower than expected,</w:t>
      </w:r>
    </w:p>
    <w:p>
      <w:pPr>
        <w:spacing w:after="0" w:line="142" w:lineRule="exact"/>
        <w:rPr>
          <w:rFonts w:ascii="Arial" w:cs="Arial" w:eastAsia="Arial" w:hAnsi="Arial"/>
          <w:sz w:val="17"/>
          <w:szCs w:val="17"/>
          <w:color w:val="auto"/>
        </w:rPr>
      </w:pPr>
    </w:p>
    <w:p>
      <w:pPr>
        <w:ind w:left="1620" w:hanging="32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that costs associated with the periodic maintenance and repair or renovation of space, insurance and other operations may increase,</w:t>
      </w:r>
    </w:p>
    <w:p>
      <w:pPr>
        <w:spacing w:after="0" w:line="153" w:lineRule="exact"/>
        <w:rPr>
          <w:rFonts w:ascii="Arial" w:cs="Arial" w:eastAsia="Arial" w:hAnsi="Arial"/>
          <w:sz w:val="16"/>
          <w:szCs w:val="16"/>
          <w:color w:val="auto"/>
        </w:rPr>
      </w:pPr>
    </w:p>
    <w:p>
      <w:pPr>
        <w:ind w:left="1620" w:hanging="32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130" w:lineRule="exact"/>
        <w:rPr>
          <w:rFonts w:ascii="Arial" w:cs="Arial" w:eastAsia="Arial" w:hAnsi="Arial"/>
          <w:sz w:val="18"/>
          <w:szCs w:val="18"/>
          <w:color w:val="auto"/>
        </w:rPr>
      </w:pPr>
    </w:p>
    <w:p>
      <w:pPr>
        <w:jc w:val="both"/>
        <w:ind w:left="1180" w:right="60" w:hanging="436"/>
        <w:spacing w:after="0" w:line="264"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86" w:lineRule="exact"/>
        <w:rPr>
          <w:rFonts w:ascii="Arial" w:cs="Arial" w:eastAsia="Arial" w:hAnsi="Arial"/>
          <w:sz w:val="18"/>
          <w:szCs w:val="18"/>
          <w:color w:val="auto"/>
        </w:rPr>
      </w:pPr>
    </w:p>
    <w:p>
      <w:pPr>
        <w:ind w:left="1180" w:right="160" w:hanging="436"/>
        <w:spacing w:after="0" w:line="264"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941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69418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80" w:right="420"/>
        <w:spacing w:after="0" w:line="264"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380" w:right="220"/>
        <w:spacing w:after="0" w:line="255" w:lineRule="auto"/>
        <w:rPr>
          <w:sz w:val="20"/>
          <w:szCs w:val="20"/>
          <w:color w:val="auto"/>
        </w:rPr>
      </w:pPr>
      <w:r>
        <w:rPr>
          <w:rFonts w:ascii="Arial" w:cs="Arial" w:eastAsia="Arial" w:hAnsi="Arial"/>
          <w:sz w:val="18"/>
          <w:szCs w:val="18"/>
          <w:color w:val="auto"/>
        </w:rPr>
        <w:t>Federal Realty Investment Trust is an equity REIT specializing in the ownership, management and redevelopment of retail and mixed-use properties. Our properties are located primarily in densely populated and affluent communities in strategically selected metropolitan markets in the Northeast and Mid-Atlantic regions of the United States, California, and South Florida. As of June 30, 2019, we owned or had a majority interest in community and neighborhood shopping centers and mixed-use properties which are operated as 104 predominantly retail real estate projects comprising approximately 23.9 million square feet. In total, the real estate projects were 94.1% leased and 93.3% occupied at June 30, 2019. We have paid quarterly dividends to our shareholders continuously since our founding in 1962 and have increased our dividends per common share for 52 consecutive years.</w:t>
      </w:r>
    </w:p>
    <w:p>
      <w:pPr>
        <w:spacing w:after="0" w:line="189" w:lineRule="exact"/>
        <w:rPr>
          <w:sz w:val="20"/>
          <w:szCs w:val="20"/>
          <w:color w:val="auto"/>
        </w:rPr>
      </w:pPr>
    </w:p>
    <w:p>
      <w:pPr>
        <w:ind w:left="380" w:right="200"/>
        <w:spacing w:after="0" w:line="288" w:lineRule="auto"/>
        <w:rPr>
          <w:sz w:val="20"/>
          <w:szCs w:val="20"/>
          <w:color w:val="auto"/>
        </w:rPr>
      </w:pPr>
      <w:r>
        <w:rPr>
          <w:rFonts w:ascii="Arial" w:cs="Arial" w:eastAsia="Arial" w:hAnsi="Arial"/>
          <w:sz w:val="16"/>
          <w:szCs w:val="16"/>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 is</w:t>
      </w:r>
    </w:p>
    <w:p>
      <w:pPr>
        <w:ind w:left="380" w:right="1000" w:firstLine="6"/>
        <w:spacing w:after="0" w:line="261"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supplement or the accompanying prospectus and is not incorporated herein or therein by reference.</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80" w:right="320"/>
        <w:spacing w:after="0" w:line="264"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020" w:type="dxa"/>
            <w:vAlign w:val="bottom"/>
          </w:tcPr>
          <w:p>
            <w:pPr>
              <w:ind w:left="180"/>
              <w:spacing w:after="0"/>
              <w:rPr>
                <w:sz w:val="20"/>
                <w:szCs w:val="20"/>
                <w:color w:val="auto"/>
              </w:rPr>
            </w:pPr>
            <w:r>
              <w:rPr>
                <w:rFonts w:ascii="Arial" w:cs="Arial" w:eastAsia="Arial" w:hAnsi="Arial"/>
                <w:sz w:val="18"/>
                <w:szCs w:val="18"/>
                <w:color w:val="auto"/>
              </w:rPr>
              <w:t>Issuer</w:t>
            </w:r>
          </w:p>
        </w:tc>
        <w:tc>
          <w:tcPr>
            <w:tcW w:w="8020" w:type="dxa"/>
            <w:vAlign w:val="bottom"/>
          </w:tcPr>
          <w:p>
            <w:pPr>
              <w:ind w:left="1200"/>
              <w:spacing w:after="0"/>
              <w:rPr>
                <w:sz w:val="20"/>
                <w:szCs w:val="20"/>
                <w:color w:val="auto"/>
              </w:rPr>
            </w:pPr>
            <w:r>
              <w:rPr>
                <w:rFonts w:ascii="Arial" w:cs="Arial" w:eastAsia="Arial" w:hAnsi="Arial"/>
                <w:sz w:val="18"/>
                <w:szCs w:val="18"/>
                <w:color w:val="auto"/>
              </w:rPr>
              <w:t>Federal Realty Investment Trust.</w:t>
            </w:r>
          </w:p>
        </w:tc>
      </w:tr>
      <w:tr>
        <w:trPr>
          <w:trHeight w:val="351"/>
        </w:trPr>
        <w:tc>
          <w:tcPr>
            <w:tcW w:w="3020" w:type="dxa"/>
            <w:vAlign w:val="bottom"/>
          </w:tcPr>
          <w:p>
            <w:pPr>
              <w:ind w:left="180"/>
              <w:spacing w:after="0"/>
              <w:rPr>
                <w:sz w:val="20"/>
                <w:szCs w:val="20"/>
                <w:color w:val="auto"/>
              </w:rPr>
            </w:pPr>
            <w:r>
              <w:rPr>
                <w:rFonts w:ascii="Arial" w:cs="Arial" w:eastAsia="Arial" w:hAnsi="Arial"/>
                <w:sz w:val="18"/>
                <w:szCs w:val="18"/>
                <w:color w:val="auto"/>
              </w:rPr>
              <w:t>Securities offered</w:t>
            </w:r>
          </w:p>
        </w:tc>
        <w:tc>
          <w:tcPr>
            <w:tcW w:w="8020" w:type="dxa"/>
            <w:vAlign w:val="bottom"/>
          </w:tcPr>
          <w:p>
            <w:pPr>
              <w:ind w:left="1200"/>
              <w:spacing w:after="0"/>
              <w:rPr>
                <w:sz w:val="20"/>
                <w:szCs w:val="20"/>
                <w:color w:val="auto"/>
              </w:rPr>
            </w:pPr>
            <w:r>
              <w:rPr>
                <w:rFonts w:ascii="Arial" w:cs="Arial" w:eastAsia="Arial" w:hAnsi="Arial"/>
                <w:sz w:val="18"/>
                <w:szCs w:val="18"/>
                <w:color w:val="auto"/>
              </w:rPr>
              <w:t>$100 million aggregate principal amount of 3.20% Notes due 2029.</w:t>
            </w:r>
          </w:p>
        </w:tc>
      </w:tr>
      <w:tr>
        <w:trPr>
          <w:trHeight w:val="337"/>
        </w:trPr>
        <w:tc>
          <w:tcPr>
            <w:tcW w:w="3020" w:type="dxa"/>
            <w:vAlign w:val="bottom"/>
          </w:tcPr>
          <w:p>
            <w:pPr>
              <w:ind w:left="180"/>
              <w:spacing w:after="0"/>
              <w:rPr>
                <w:sz w:val="20"/>
                <w:szCs w:val="20"/>
                <w:color w:val="auto"/>
              </w:rPr>
            </w:pPr>
            <w:r>
              <w:rPr>
                <w:rFonts w:ascii="Arial" w:cs="Arial" w:eastAsia="Arial" w:hAnsi="Arial"/>
                <w:sz w:val="18"/>
                <w:szCs w:val="18"/>
                <w:color w:val="auto"/>
              </w:rPr>
              <w:t>Maturity</w:t>
            </w:r>
          </w:p>
        </w:tc>
        <w:tc>
          <w:tcPr>
            <w:tcW w:w="8020" w:type="dxa"/>
            <w:vAlign w:val="bottom"/>
          </w:tcPr>
          <w:p>
            <w:pPr>
              <w:ind w:left="1200"/>
              <w:spacing w:after="0"/>
              <w:rPr>
                <w:sz w:val="20"/>
                <w:szCs w:val="20"/>
                <w:color w:val="auto"/>
              </w:rPr>
            </w:pPr>
            <w:r>
              <w:rPr>
                <w:rFonts w:ascii="Arial" w:cs="Arial" w:eastAsia="Arial" w:hAnsi="Arial"/>
                <w:sz w:val="18"/>
                <w:szCs w:val="18"/>
                <w:color w:val="auto"/>
                <w:w w:val="96"/>
              </w:rPr>
              <w:t>Unless redeemed prior to maturity as described below, the notes will mature on June 15,</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2029.</w:t>
            </w:r>
          </w:p>
        </w:tc>
      </w:tr>
      <w:tr>
        <w:trPr>
          <w:trHeight w:val="323"/>
        </w:trPr>
        <w:tc>
          <w:tcPr>
            <w:tcW w:w="302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Interest on the notes is payable semi-annually in arrears on June 15 and December 15 of</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7"/>
              </w:rPr>
              <w:t>each year, beginning on December 15, 2019, and at maturity (or any earlier redemption</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date).</w:t>
            </w:r>
          </w:p>
        </w:tc>
      </w:tr>
      <w:tr>
        <w:trPr>
          <w:trHeight w:val="323"/>
        </w:trPr>
        <w:tc>
          <w:tcPr>
            <w:tcW w:w="3020" w:type="dxa"/>
            <w:vAlign w:val="bottom"/>
          </w:tcPr>
          <w:p>
            <w:pPr>
              <w:ind w:left="180"/>
              <w:spacing w:after="0"/>
              <w:rPr>
                <w:sz w:val="20"/>
                <w:szCs w:val="20"/>
                <w:color w:val="auto"/>
              </w:rPr>
            </w:pPr>
            <w:r>
              <w:rPr>
                <w:rFonts w:ascii="Arial" w:cs="Arial" w:eastAsia="Arial" w:hAnsi="Arial"/>
                <w:sz w:val="18"/>
                <w:szCs w:val="18"/>
                <w:color w:val="auto"/>
              </w:rPr>
              <w:t>Ranking</w:t>
            </w: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 xml:space="preserve">The notes are our senior unsecured obligations and rank </w:t>
            </w:r>
            <w:r>
              <w:rPr>
                <w:rFonts w:ascii="Arial" w:cs="Arial" w:eastAsia="Arial" w:hAnsi="Arial"/>
                <w:sz w:val="18"/>
                <w:szCs w:val="18"/>
                <w:i w:val="1"/>
                <w:iCs w:val="1"/>
                <w:color w:val="auto"/>
                <w:w w:val="95"/>
              </w:rPr>
              <w:t>pari passu</w:t>
            </w:r>
            <w:r>
              <w:rPr>
                <w:rFonts w:ascii="Arial" w:cs="Arial" w:eastAsia="Arial" w:hAnsi="Arial"/>
                <w:sz w:val="18"/>
                <w:szCs w:val="18"/>
                <w:color w:val="auto"/>
                <w:w w:val="95"/>
              </w:rPr>
              <w:t>, or equally, with all of</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our other unsecured and unsubordinated indebtedness. The notes are effectively</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subordinated to the prior claims of each secured mortgage lender to any specific property</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that secures such lender’s mortgage and to all of the unsecured indebtedness of our</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subsidiaries. At June 30, 2019, we had outstanding approximately $452 million (excluding</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4"/>
              </w:rPr>
              <w:t>net unamortized premium and debt issuance costs) of consolidated secured indebtedness,</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6"/>
              </w:rPr>
              <w:t>which was issued by our subsidiaries and is collateralized by all or parts of 12 properties,</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and which ranks senior to the notes to the extent of the securing collateral and is also</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structurally senior to the notes,</w:t>
            </w:r>
          </w:p>
        </w:tc>
      </w:tr>
      <w:tr>
        <w:trPr>
          <w:trHeight w:val="240"/>
        </w:trPr>
        <w:tc>
          <w:tcPr>
            <w:tcW w:w="302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spacing w:after="0"/>
              <w:rPr>
                <w:sz w:val="20"/>
                <w:szCs w:val="20"/>
                <w:color w:val="auto"/>
              </w:rPr>
            </w:pPr>
          </w:p>
        </w:tc>
      </w:tr>
      <w:tr>
        <w:trPr>
          <w:trHeight w:val="604"/>
        </w:trPr>
        <w:tc>
          <w:tcPr>
            <w:tcW w:w="3020" w:type="dxa"/>
            <w:vAlign w:val="bottom"/>
          </w:tcPr>
          <w:p>
            <w:pPr>
              <w:spacing w:after="0"/>
              <w:rPr>
                <w:sz w:val="24"/>
                <w:szCs w:val="24"/>
                <w:color w:val="auto"/>
              </w:rPr>
            </w:pPr>
          </w:p>
        </w:tc>
        <w:tc>
          <w:tcPr>
            <w:tcW w:w="8020" w:type="dxa"/>
            <w:vAlign w:val="bottom"/>
          </w:tcPr>
          <w:p>
            <w:pPr>
              <w:ind w:left="2360"/>
              <w:spacing w:after="0"/>
              <w:rPr>
                <w:sz w:val="20"/>
                <w:szCs w:val="20"/>
                <w:color w:val="auto"/>
              </w:rPr>
            </w:pPr>
            <w:r>
              <w:rPr>
                <w:rFonts w:ascii="Arial" w:cs="Arial" w:eastAsia="Arial" w:hAnsi="Arial"/>
                <w:sz w:val="18"/>
                <w:szCs w:val="18"/>
                <w:color w:val="auto"/>
              </w:rPr>
              <w:t>S-1</w:t>
            </w:r>
          </w:p>
        </w:tc>
      </w:tr>
    </w:tbl>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420" w:type="dxa"/>
            <w:vAlign w:val="bottom"/>
            <w:tcBorders>
              <w:top w:val="single" w:sz="8" w:color="auto"/>
              <w:left w:val="single" w:sz="8" w:color="auto"/>
            </w:tcBorders>
          </w:tcPr>
          <w:p>
            <w:pPr>
              <w:spacing w:after="0"/>
              <w:rPr>
                <w:sz w:val="24"/>
                <w:szCs w:val="24"/>
                <w:color w:val="auto"/>
              </w:rPr>
            </w:pPr>
          </w:p>
        </w:tc>
        <w:tc>
          <w:tcPr>
            <w:tcW w:w="762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8"/>
                <w:szCs w:val="18"/>
                <w:color w:val="auto"/>
                <w:w w:val="97"/>
              </w:rPr>
              <w:t>approximately $4 million (excluding net unamortized debt issuance costs) of unsecured</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9"/>
              </w:rPr>
              <w:t>indebtedness issued by our subsidiaries, which is structurally senior to the notes, and</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approximately $2,719 million of unsecured indebtedness (excluding net unamortized</w:t>
            </w:r>
          </w:p>
        </w:tc>
      </w:tr>
      <w:tr>
        <w:trPr>
          <w:trHeight w:val="230"/>
        </w:trPr>
        <w:tc>
          <w:tcPr>
            <w:tcW w:w="342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discount or premium and debt issuance costs), which ranks equally with the notes.</w:t>
            </w:r>
          </w:p>
        </w:tc>
      </w:tr>
      <w:tr>
        <w:trPr>
          <w:trHeight w:val="337"/>
        </w:trPr>
        <w:tc>
          <w:tcPr>
            <w:tcW w:w="34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4"/>
              </w:rPr>
              <w:t>We intend to use the net proceeds from this offering to reduce amounts outstanding under</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5"/>
              </w:rPr>
              <w:t>our revolving credit facility and for general corporate purposes. See “Use of Proceeds” on</w:t>
            </w:r>
          </w:p>
        </w:tc>
      </w:tr>
      <w:tr>
        <w:trPr>
          <w:trHeight w:val="230"/>
        </w:trPr>
        <w:tc>
          <w:tcPr>
            <w:tcW w:w="342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page S-7 for more information.</w:t>
            </w:r>
          </w:p>
        </w:tc>
      </w:tr>
      <w:tr>
        <w:trPr>
          <w:trHeight w:val="338"/>
        </w:trPr>
        <w:tc>
          <w:tcPr>
            <w:tcW w:w="34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Limitations on incurrence of debt</w:t>
            </w: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The notes contain various covenants, including the following:</w:t>
            </w:r>
          </w:p>
        </w:tc>
      </w:tr>
      <w:tr>
        <w:trPr>
          <w:trHeight w:val="337"/>
        </w:trPr>
        <w:tc>
          <w:tcPr>
            <w:tcW w:w="342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7"/>
              </w:rPr>
              <w:t>(1) we will not, and will not permit any subsidiary to, incur any Debt if, immediately after</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3"/>
              </w:rPr>
              <w:t>giving effect to the incurrence of such Debt and the application of the proceeds thereof, the</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aggregate principal amount of all of our and our subsidiaries’ outstanding Debt on a</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3"/>
              </w:rPr>
              <w:t>consolidated basis determined in accordance with generally accepted accounting principles</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4"/>
              </w:rPr>
              <w:t>is greater than 60% of the sum of (without duplication) (a) Total Assets as of the end of the</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calendar quarter covered in our Annual Report on Form 10-K or Quarterly Report on</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7"/>
              </w:rPr>
              <w:t>Form 10-Q, as the case may be, most recently filed with the SEC (or, if such filing is not</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5"/>
              </w:rPr>
              <w:t>permitted under the Exchange Act, with U.S. Bank National Association, the trustee) prior</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1"/>
              </w:rPr>
              <w:t>to the incurrence of such additional Debt and (b) the purchase price of any real estate assets</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9"/>
              </w:rPr>
              <w:t>or mortgages receivable acquired, and the amount of any securities offering proceeds</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received (to the extent such proceeds were not used to acquire real estate assets or</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2"/>
              </w:rPr>
              <w:t>mortgages receivable or used to reduce Debt), by us or any subsidiary since the end of such</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6"/>
              </w:rPr>
              <w:t>calendar quarter, including those proceeds obtained in connection with the incurrence of</w:t>
            </w:r>
          </w:p>
        </w:tc>
      </w:tr>
      <w:tr>
        <w:trPr>
          <w:trHeight w:val="230"/>
        </w:trPr>
        <w:tc>
          <w:tcPr>
            <w:tcW w:w="342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such additional Debt;</w:t>
            </w:r>
          </w:p>
        </w:tc>
      </w:tr>
      <w:tr>
        <w:trPr>
          <w:trHeight w:val="323"/>
        </w:trPr>
        <w:tc>
          <w:tcPr>
            <w:tcW w:w="342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(2) we will not, and will not permit any subsidiary to, incur any Debt secured by any</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6"/>
              </w:rPr>
              <w:t>mortgage, lien, charge, pledge, encumbrance or security interest of any kind upon any of</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5"/>
              </w:rPr>
              <w:t>our or any of our subsidiaries’ property if, immediately after giving effect to the incurrence</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3"/>
              </w:rPr>
              <w:t>of such Debt and the application of the proceeds thereof, the aggregate principal amount of</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5"/>
              </w:rPr>
              <w:t>all of our and our subsidiaries’ outstanding Debt on a consolidated basis which is secured</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9"/>
              </w:rPr>
              <w:t>by any mortgage, lien, charge, pledge, encumbrance or security interest on our or our</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subsidiaries’ property is greater than 40% of the sum of (without duplication) (a) Total</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3"/>
              </w:rPr>
              <w:t>Assets as of the end of the calendar quarter covered in our Annual Report on Form 10-K or</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5"/>
              </w:rPr>
              <w:t>Quarterly Report on Form 10-Q, as the case may be, most recently filed with the SEC (or,</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if such filing is not permitted under the Exchange Act, with the trustee) prior to the</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5"/>
              </w:rPr>
              <w:t>incurrence of such additional Debt and (b) the purchase price of any real estate assets or</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2"/>
              </w:rPr>
              <w:t>mortgages receivable acquired, and the amount of any securities offering proceeds received</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8"/>
              </w:rPr>
              <w:t>(to the extent such proceeds were not used to acquire real estate assets or mortgages</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4"/>
              </w:rPr>
              <w:t>receivable or used to reduce Debt), by us or any subsidiary since the end of such calendar</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quarter, including those proceeds obtained in connection with the incurrence of such</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w w:val="99"/>
              </w:rPr>
              <w:t xml:space="preserve">additional Debt; </w:t>
            </w:r>
            <w:r>
              <w:rPr>
                <w:rFonts w:ascii="Arial" w:cs="Arial" w:eastAsia="Arial" w:hAnsi="Arial"/>
                <w:sz w:val="18"/>
                <w:szCs w:val="18"/>
                <w:i w:val="1"/>
                <w:iCs w:val="1"/>
                <w:color w:val="auto"/>
                <w:w w:val="99"/>
              </w:rPr>
              <w:t>provided that</w:t>
            </w:r>
            <w:r>
              <w:rPr>
                <w:rFonts w:ascii="Arial" w:cs="Arial" w:eastAsia="Arial" w:hAnsi="Arial"/>
                <w:sz w:val="18"/>
                <w:szCs w:val="18"/>
                <w:color w:val="auto"/>
                <w:w w:val="99"/>
              </w:rPr>
              <w:t xml:space="preserve"> for purposes of this limitation, the amount of obligations</w:t>
            </w:r>
          </w:p>
        </w:tc>
      </w:tr>
      <w:tr>
        <w:trPr>
          <w:trHeight w:val="216"/>
        </w:trPr>
        <w:tc>
          <w:tcPr>
            <w:tcW w:w="342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under capital leases shown as a liability on our consolidated balance sheet shall be</w:t>
            </w:r>
          </w:p>
        </w:tc>
      </w:tr>
      <w:tr>
        <w:trPr>
          <w:trHeight w:val="230"/>
        </w:trPr>
        <w:tc>
          <w:tcPr>
            <w:tcW w:w="342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deducted from Debt and from Total Assets;</w:t>
            </w:r>
          </w:p>
        </w:tc>
      </w:tr>
      <w:tr>
        <w:trPr>
          <w:trHeight w:val="240"/>
        </w:trPr>
        <w:tc>
          <w:tcPr>
            <w:tcW w:w="3420" w:type="dxa"/>
            <w:vAlign w:val="bottom"/>
            <w:tcBorders>
              <w:left w:val="single" w:sz="8" w:color="auto"/>
              <w:bottom w:val="single" w:sz="8" w:color="auto"/>
            </w:tcBorders>
          </w:tcPr>
          <w:p>
            <w:pPr>
              <w:spacing w:after="0"/>
              <w:rPr>
                <w:sz w:val="20"/>
                <w:szCs w:val="20"/>
                <w:color w:val="auto"/>
              </w:rPr>
            </w:pPr>
          </w:p>
        </w:tc>
        <w:tc>
          <w:tcPr>
            <w:tcW w:w="7620" w:type="dxa"/>
            <w:vAlign w:val="bottom"/>
            <w:tcBorders>
              <w:bottom w:val="single" w:sz="8" w:color="auto"/>
              <w:right w:val="single" w:sz="8" w:color="auto"/>
            </w:tcBorders>
          </w:tcPr>
          <w:p>
            <w:pPr>
              <w:spacing w:after="0"/>
              <w:rPr>
                <w:sz w:val="20"/>
                <w:szCs w:val="20"/>
                <w:color w:val="auto"/>
              </w:rPr>
            </w:pPr>
          </w:p>
        </w:tc>
      </w:tr>
      <w:tr>
        <w:trPr>
          <w:trHeight w:val="604"/>
        </w:trPr>
        <w:tc>
          <w:tcPr>
            <w:tcW w:w="3420" w:type="dxa"/>
            <w:vAlign w:val="bottom"/>
          </w:tcPr>
          <w:p>
            <w:pPr>
              <w:spacing w:after="0"/>
              <w:rPr>
                <w:sz w:val="24"/>
                <w:szCs w:val="24"/>
                <w:color w:val="auto"/>
              </w:rPr>
            </w:pPr>
          </w:p>
        </w:tc>
        <w:tc>
          <w:tcPr>
            <w:tcW w:w="7620" w:type="dxa"/>
            <w:vAlign w:val="bottom"/>
          </w:tcPr>
          <w:p>
            <w:pPr>
              <w:ind w:left="196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740" w:type="dxa"/>
            <w:vAlign w:val="bottom"/>
            <w:tcBorders>
              <w:top w:val="single" w:sz="8" w:color="auto"/>
              <w:left w:val="single" w:sz="8" w:color="auto"/>
            </w:tcBorders>
          </w:tcPr>
          <w:p>
            <w:pPr>
              <w:spacing w:after="0"/>
              <w:rPr>
                <w:sz w:val="24"/>
                <w:szCs w:val="24"/>
                <w:color w:val="auto"/>
              </w:rPr>
            </w:pPr>
          </w:p>
        </w:tc>
        <w:tc>
          <w:tcPr>
            <w:tcW w:w="730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(3) we will not, and will not permit any subsidiary to, incur any Debt if the ratio of</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Consolidated Income Available for Debt Service to the Annual Debt Service Charge for the</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four consecutive fiscal quarters most recently ended prior to the date on which such</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additional Debt is to be incurred shall have been less than 1.5 to 1, on an unaudited pro</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forma basis after giving effect thereto and to the application of the proceeds therefrom and</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3"/>
              </w:rPr>
              <w:t>calculated on the assumption that: (a) such Debt and any other Debt incurred by us and our</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subsidiaries since the first day of such four-quarter period and the application of the</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proceeds therefrom, including to refinance other Debt, had occurred at the beginning of</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5"/>
              </w:rPr>
              <w:t>such period; (b) the repayment or retirement of any other Debt by us and our subsidiaries</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3"/>
              </w:rPr>
              <w:t>since the first day of such four-quarter period had been repaid or retired at the beginning of</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such period (except that, in making such computation, the amount of Debt under any</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6"/>
              </w:rPr>
              <w:t>revolving credit facility shall be computed based upon the average daily balance of such</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6"/>
              </w:rPr>
              <w:t>Debt during such period); (c) in the case of Acquired Debt or Debt incurred in connection</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6"/>
              </w:rPr>
              <w:t>with any acquisition since the first day of such four-quarter period, the related acquisition</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had occurred as of the first day of such period, with the appropriate adjustments with</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respect to such acquisition being included in such unaudited pro forma calculation; and</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(d) in the case of any acquisition or disposition by us or our subsidiaries of any asset or</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group of assets since the first day of such four-quarter period, whether by merger, stock</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5"/>
              </w:rPr>
              <w:t>purchase or sale, or asset purchase or sale, such acquisition or disposition or any related</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repayment of Debt had occurred as of the first day of such period, with the appropriate</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adjustments with respect to such acquisition or disposition being included in such</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unaudited pro forma calculation; and</w:t>
            </w:r>
          </w:p>
        </w:tc>
      </w:tr>
      <w:tr>
        <w:trPr>
          <w:trHeight w:val="323"/>
        </w:trPr>
        <w:tc>
          <w:tcPr>
            <w:tcW w:w="3740" w:type="dxa"/>
            <w:vAlign w:val="bottom"/>
            <w:tcBorders>
              <w:left w:val="single" w:sz="8" w:color="auto"/>
            </w:tcBorders>
          </w:tcPr>
          <w:p>
            <w:pPr>
              <w:spacing w:after="0"/>
              <w:rPr>
                <w:sz w:val="24"/>
                <w:szCs w:val="24"/>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(4) we, together with our subsidiaries, will maintain an Unencumbered Total Asset Value in</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5"/>
              </w:rPr>
              <w:t>an amount not less than 150% of the aggregate outstanding principal amount of all of our</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and our subsidiaries’ unsecured Debt, taken as a whole.</w:t>
            </w:r>
          </w:p>
        </w:tc>
      </w:tr>
      <w:tr>
        <w:trPr>
          <w:trHeight w:val="323"/>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The notes are redeemable at any time at our option, in whole or in part. If the notes are</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redeemed before March 15, 2029 (three months prior to the maturity date), the redemption</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price will be equal to the greater of (1) 100% of the principal amount of the notes being</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6"/>
              </w:rPr>
              <w:t>redeemed, or (2) the sum of the present values of the remaining scheduled payments of</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3"/>
              </w:rPr>
              <w:t>principal and interest thereon, discounted to the redemption date on a semi-annual basis at</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5"/>
              </w:rPr>
              <w:t>the Adjusted Treasury Rate plus 20 basis points (0.20%), plus, in each case, accrued and</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2"/>
              </w:rPr>
              <w:t>unpaid interest thereon to, but excluding, the redemption date. If the notes are redeemed on</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5"/>
              </w:rPr>
              <w:t>or after March 15, 2029 (three months prior to the maturity date), the redemption price will</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6"/>
              </w:rPr>
              <w:t>be equal to 100% of the principal amount of the notes being redeemed plus accrued and</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unpaid interest thereon to, but excluding, the redemption date.</w:t>
            </w:r>
          </w:p>
        </w:tc>
      </w:tr>
      <w:tr>
        <w:trPr>
          <w:trHeight w:val="338"/>
        </w:trPr>
        <w:tc>
          <w:tcPr>
            <w:tcW w:w="3740" w:type="dxa"/>
            <w:vAlign w:val="bottom"/>
            <w:tcBorders>
              <w:left w:val="single" w:sz="8" w:color="auto"/>
            </w:tcBorders>
          </w:tcPr>
          <w:p>
            <w:pPr>
              <w:spacing w:after="0"/>
              <w:rPr>
                <w:sz w:val="24"/>
                <w:szCs w:val="24"/>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See “Description of Notes — Optional Redemption” for more information.</w:t>
            </w:r>
          </w:p>
        </w:tc>
      </w:tr>
      <w:tr>
        <w:trPr>
          <w:trHeight w:val="323"/>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Material federal income tax considerations</w:t>
            </w: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3"/>
              </w:rPr>
              <w:t>For a description of the material U.S. federal income tax considerations of an investment in</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the notes, please review the disclosure in this prospectus supplement under “Additional</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5"/>
              </w:rPr>
              <w:t>Material Federal Income Tax Considerations” and in the accompanying prospectus under</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“Material Federal Income Tax Considerations.”</w:t>
            </w:r>
          </w:p>
        </w:tc>
      </w:tr>
      <w:tr>
        <w:trPr>
          <w:trHeight w:val="240"/>
        </w:trPr>
        <w:tc>
          <w:tcPr>
            <w:tcW w:w="3740" w:type="dxa"/>
            <w:vAlign w:val="bottom"/>
            <w:tcBorders>
              <w:left w:val="single" w:sz="8" w:color="auto"/>
              <w:bottom w:val="single" w:sz="8" w:color="auto"/>
            </w:tcBorders>
          </w:tcPr>
          <w:p>
            <w:pPr>
              <w:spacing w:after="0"/>
              <w:rPr>
                <w:sz w:val="20"/>
                <w:szCs w:val="20"/>
                <w:color w:val="auto"/>
              </w:rPr>
            </w:pPr>
          </w:p>
        </w:tc>
        <w:tc>
          <w:tcPr>
            <w:tcW w:w="7300" w:type="dxa"/>
            <w:vAlign w:val="bottom"/>
            <w:tcBorders>
              <w:bottom w:val="single" w:sz="8" w:color="auto"/>
              <w:right w:val="single" w:sz="8" w:color="auto"/>
            </w:tcBorders>
          </w:tcPr>
          <w:p>
            <w:pPr>
              <w:spacing w:after="0"/>
              <w:rPr>
                <w:sz w:val="20"/>
                <w:szCs w:val="20"/>
                <w:color w:val="auto"/>
              </w:rPr>
            </w:pPr>
          </w:p>
        </w:tc>
      </w:tr>
      <w:tr>
        <w:trPr>
          <w:trHeight w:val="604"/>
        </w:trPr>
        <w:tc>
          <w:tcPr>
            <w:tcW w:w="3740" w:type="dxa"/>
            <w:vAlign w:val="bottom"/>
          </w:tcPr>
          <w:p>
            <w:pPr>
              <w:spacing w:after="0"/>
              <w:rPr>
                <w:sz w:val="24"/>
                <w:szCs w:val="24"/>
                <w:color w:val="auto"/>
              </w:rPr>
            </w:pPr>
          </w:p>
        </w:tc>
        <w:tc>
          <w:tcPr>
            <w:tcW w:w="7300" w:type="dxa"/>
            <w:vAlign w:val="bottom"/>
          </w:tcPr>
          <w:p>
            <w:pPr>
              <w:ind w:left="164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26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400" w:type="dxa"/>
            <w:vAlign w:val="bottom"/>
            <w:tcBorders>
              <w:top w:val="single" w:sz="8" w:color="auto"/>
              <w:right w:val="single" w:sz="8" w:color="auto"/>
            </w:tcBorders>
          </w:tcPr>
          <w:p>
            <w:pPr>
              <w:ind w:left="1580"/>
              <w:spacing w:after="0"/>
              <w:rPr>
                <w:sz w:val="20"/>
                <w:szCs w:val="20"/>
                <w:color w:val="auto"/>
              </w:rPr>
            </w:pPr>
            <w:r>
              <w:rPr>
                <w:rFonts w:ascii="Arial" w:cs="Arial" w:eastAsia="Arial" w:hAnsi="Arial"/>
                <w:sz w:val="18"/>
                <w:szCs w:val="18"/>
                <w:color w:val="auto"/>
                <w:w w:val="94"/>
              </w:rPr>
              <w:t>Investing in the notes involves risks. Please review the risk factors discussed beginning on</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3"/>
              </w:rPr>
              <w:t>page S-5 of this prospectus supplement, on page 3 of the accompanying prospectus and in</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8"/>
              </w:rPr>
              <w:t>our Annual Report on Form 10-K for the year ended December 31, 2018, filed with the</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SEC on February 13, 2019, and the other information contained or incorporated by</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3"/>
              </w:rPr>
              <w:t>reference in this prospectus supplement and the accompanying prospectus for a discussion</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8"/>
              </w:rPr>
              <w:t>of factors you should consider before deciding to invest in the notes. You may obtain a</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copy of our Annual Report on Form 10-K and the other documents incorporated by</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3"/>
              </w:rPr>
              <w:t>reference in this prospectus supplement and the accompanying prospectus by following the</w:t>
            </w:r>
          </w:p>
        </w:tc>
      </w:tr>
      <w:tr>
        <w:trPr>
          <w:trHeight w:val="216"/>
        </w:trPr>
        <w:tc>
          <w:tcPr>
            <w:tcW w:w="264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w w:val="97"/>
              </w:rPr>
              <w:t>procedures described under “Where You Can Find More Information” on page 51 of the</w:t>
            </w:r>
          </w:p>
        </w:tc>
      </w:tr>
      <w:tr>
        <w:trPr>
          <w:trHeight w:val="230"/>
        </w:trPr>
        <w:tc>
          <w:tcPr>
            <w:tcW w:w="2640" w:type="dxa"/>
            <w:vAlign w:val="bottom"/>
            <w:tcBorders>
              <w:left w:val="single" w:sz="8" w:color="auto"/>
            </w:tcBorders>
          </w:tcPr>
          <w:p>
            <w:pPr>
              <w:spacing w:after="0"/>
              <w:rPr>
                <w:sz w:val="20"/>
                <w:szCs w:val="20"/>
                <w:color w:val="auto"/>
              </w:rPr>
            </w:pPr>
          </w:p>
        </w:tc>
        <w:tc>
          <w:tcPr>
            <w:tcW w:w="8400" w:type="dxa"/>
            <w:vAlign w:val="bottom"/>
            <w:tcBorders>
              <w:right w:val="single" w:sz="8" w:color="auto"/>
            </w:tcBorders>
          </w:tcPr>
          <w:p>
            <w:pPr>
              <w:ind w:left="1580"/>
              <w:spacing w:after="0"/>
              <w:rPr>
                <w:sz w:val="20"/>
                <w:szCs w:val="20"/>
                <w:color w:val="auto"/>
              </w:rPr>
            </w:pPr>
            <w:r>
              <w:rPr>
                <w:rFonts w:ascii="Arial" w:cs="Arial" w:eastAsia="Arial" w:hAnsi="Arial"/>
                <w:sz w:val="18"/>
                <w:szCs w:val="18"/>
                <w:color w:val="auto"/>
              </w:rPr>
              <w:t>accompanying prospectus.</w:t>
            </w:r>
          </w:p>
        </w:tc>
      </w:tr>
      <w:tr>
        <w:trPr>
          <w:trHeight w:val="240"/>
        </w:trPr>
        <w:tc>
          <w:tcPr>
            <w:tcW w:w="2640" w:type="dxa"/>
            <w:vAlign w:val="bottom"/>
            <w:tcBorders>
              <w:left w:val="single" w:sz="8" w:color="auto"/>
              <w:bottom w:val="single" w:sz="8" w:color="auto"/>
            </w:tcBorders>
          </w:tcPr>
          <w:p>
            <w:pPr>
              <w:spacing w:after="0"/>
              <w:rPr>
                <w:sz w:val="20"/>
                <w:szCs w:val="20"/>
                <w:color w:val="auto"/>
              </w:rPr>
            </w:pPr>
          </w:p>
        </w:tc>
        <w:tc>
          <w:tcPr>
            <w:tcW w:w="8400" w:type="dxa"/>
            <w:vAlign w:val="bottom"/>
            <w:tcBorders>
              <w:bottom w:val="single" w:sz="8" w:color="auto"/>
              <w:right w:val="single" w:sz="8" w:color="auto"/>
            </w:tcBorders>
          </w:tcPr>
          <w:p>
            <w:pPr>
              <w:spacing w:after="0"/>
              <w:rPr>
                <w:sz w:val="20"/>
                <w:szCs w:val="20"/>
                <w:color w:val="auto"/>
              </w:rPr>
            </w:pPr>
          </w:p>
        </w:tc>
      </w:tr>
      <w:tr>
        <w:trPr>
          <w:trHeight w:val="604"/>
        </w:trPr>
        <w:tc>
          <w:tcPr>
            <w:tcW w:w="2640" w:type="dxa"/>
            <w:vAlign w:val="bottom"/>
          </w:tcPr>
          <w:p>
            <w:pPr>
              <w:spacing w:after="0"/>
              <w:rPr>
                <w:sz w:val="24"/>
                <w:szCs w:val="24"/>
                <w:color w:val="auto"/>
              </w:rPr>
            </w:pPr>
          </w:p>
        </w:tc>
        <w:tc>
          <w:tcPr>
            <w:tcW w:w="8400" w:type="dxa"/>
            <w:vAlign w:val="bottom"/>
          </w:tcPr>
          <w:p>
            <w:pPr>
              <w:ind w:left="274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2018 filed with the SEC on February 13, 2019 before you decide to purchase the notes. The risks and uncertainties described below and in the incorporated Form 10-K for the year ended December 31, 2018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121"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The notes are structurally subordinated to the claims of our subsidiaries’ creditors and our subsidiaries’ preferred equity holders.</w:t>
      </w:r>
    </w:p>
    <w:p>
      <w:pPr>
        <w:spacing w:after="0" w:line="133"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Because the notes are not guaranteed by our subsidiaries, the notes are effectively subordinated in right of payment to all of our subsidiaries’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June 30, 2019, our consolidated subsidiaries had approximately $456 million of total secured and unsecured debt outstanding (excluding net unamortized premium and debt issuance costs),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121"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 xml:space="preserve">Because the notes are unsecured, they are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June 30, 2019, we had approximately $452 million (excluding net unamortized premium and debt issuance costs) of consolidated secured debt outstanding, all of which was effectively senior to the notes to the extent of the value of the securing collateral.</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 public trading market for the notes may not be maintained.</w:t>
      </w:r>
    </w:p>
    <w:p>
      <w:pPr>
        <w:spacing w:after="0" w:line="121"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Although we do not intend to apply for listing of the notes on any securities exchange or on any automated dealer quotation system, a trading market currently exists for the $300 million aggregate principal amount of the notes we previously issued. The underwriters have advised us that they currently intend to continue to make a market in the notes, but they are not obligated to do so and may cease market-making activities at any time without notice. No assurance can be given as to the liquidity of the trading markets for the notes or that a public market for the notes will be maintained. If a public trading market for the notes is not maintained, the market price and liquidity of the notes may be adversely affected.</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liquidity of any market for the notes offered hereby will depend upon various factors, including:</w:t>
      </w:r>
    </w:p>
    <w:p>
      <w:pPr>
        <w:spacing w:after="0" w:line="131" w:lineRule="exact"/>
        <w:rPr>
          <w:sz w:val="20"/>
          <w:szCs w:val="20"/>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22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If the notes offered hereby are traded after their initial issuance, they may trade at a discount from their initial offering price, depending upon prevailing interest rates and other factors, including those listed above.</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40"/>
          </w:cols>
          <w:pgMar w:left="240" w:top="459"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net proceeds to us from the issuance and sale of the notes offered by this prospectus supplement are estimated to be approximately $102.9 million after deducting the underwriting discount and other estimated expenses of this offering payable by us (but excluding accrued interest paid by purchasers of the notes of approximately $0.7 million). We intend to use these net proceeds to reduce amounts outstanding under our revolving credit facility and for general corporate purposes.</w:t>
      </w:r>
    </w:p>
    <w:p>
      <w:pPr>
        <w:spacing w:after="0" w:line="187"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Our $1.0 billion revolving credit facility matures on January 19, 2024, subject to two six-month extensions at our option. LIBOR loans outstanding under our revolving credit facility bear interest at seven day, one month, three month or six month LIBOR, at our election, plus a spread of 77.5 basis points, subject to adjustment based on our credit rating. In addition, we have an option (subject to the approval of the lenders under our revolving credit facility) to increase our revolving credit facility through an accordion feature to $1.5 billion. As of June 30, 2019, we had no balance outstanding under our revolving credit facility ($46.5 million as of August 16, 2019).</w:t>
      </w:r>
    </w:p>
    <w:p>
      <w:pPr>
        <w:spacing w:after="0" w:line="188"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thereunder. See “Underwriting (Conflicts of Interest) — Conflicts of Interest.”</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60"/>
          </w:cols>
          <w:pgMar w:left="24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i w:val="1"/>
          <w:iCs w:val="1"/>
          <w:color w:val="auto"/>
        </w:rPr>
        <w:t>The following description of the particular terms of the notes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color w:val="auto"/>
        </w:rPr>
        <w:t>We are offering $100,000,000 aggregate principal amount of notes. The notes will mature on June 15, 2029 (unless redeemed prior to such date in accordance with their terms). The notes offered hereby will be an additional issuance of our outstanding 3.20% Notes due 2029, $300 million aggregate principal amount of which were originally issued on June 7, 2019. The terms of the notes offered hereby, other than their issue date, initial interest accrual date and issue price, will be identical to the terms of and will be part of the same series as the $300 million aggregate principal amount of these outstanding 3.20% Notes due 2029. However, for U.S. federal income tax purposes the notes offered hereby will be deemed to have the same issue date and issue price as the existing notes. The notes offered hereby will have the same CUSIP number as the currently outstanding notes and will trade interchangeably with such notes immediately upon settlement. Upon consummation of this offering, the aggregate principal amount outstanding of our notes of this series, including the notes offered hereby, will be $400,000,000.</w:t>
      </w:r>
    </w:p>
    <w:p>
      <w:pPr>
        <w:spacing w:after="0" w:line="179"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color w:val="auto"/>
        </w:rPr>
        <w:t>We will pay interest on the notes semi-annually in arrears at an annual rate of 3.20% on June 15 and December 15 of each year, beginning December 15, 2019, to the registered holders of the notes on the preceding June 1 and December 1. Interest will be computed and paid on the basis of a 360-day year consisting of twelve 30-day months. If any interest 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notes offered hereby will be issued only in registered form in denominations of $2,000 and integral multiples of $1,000 in excess thereof.</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are not entitled to the benefit of any sinking fund.</w:t>
      </w:r>
    </w:p>
    <w:p>
      <w:pPr>
        <w:spacing w:after="0" w:line="248"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public offer price, the date on which interest begins to accrue and, in some circumstances, the first interest payment date, such that these additional debt securities would form a single series with the notes. If any such additional debt securities are not fungible with the notes offered hereby for the U.S. federal income tax purposes, the additional debt securities will have a separate CUSIP number. We also may issue from time to time other series of debt securities under the indenture consisting of notes or other unsecured evidences of indebtedness.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 xml:space="preserve">The notes are our senior unsecured obligations and rank </w:t>
      </w:r>
      <w:r>
        <w:rPr>
          <w:rFonts w:ascii="Arial" w:cs="Arial" w:eastAsia="Arial" w:hAnsi="Arial"/>
          <w:sz w:val="18"/>
          <w:szCs w:val="18"/>
          <w:i w:val="1"/>
          <w:iCs w:val="1"/>
          <w:color w:val="auto"/>
        </w:rPr>
        <w:t>pari passu</w:t>
      </w:r>
      <w:r>
        <w:rPr>
          <w:rFonts w:ascii="Arial" w:cs="Arial" w:eastAsia="Arial" w:hAnsi="Arial"/>
          <w:sz w:val="18"/>
          <w:szCs w:val="18"/>
          <w:color w:val="auto"/>
        </w:rPr>
        <w:t>, or equally, with all of our other unsecured and unsubordinated indebtedness. The notes are effectively subordinated to the prior claims of each secured mortgage lender to any specific property that secures such lender’s mortgage and to all of the unsecured indebtedness of our subsidiaries. At June 30, 2019, we had outstanding approximately $452 million (excluding net unamortized premium and debt issuance costs) of consolidated secured indebtedness, which was issued by our subsidiaries and is collateralized by all or parts of 12 properties, and which ranks senior to the notes to the extent of securing collateral and is also structurally senior to the notes, approximately $4 million (excluding net unamortized debt issuance costs) of unsecured indebtedness issued by our subsidiaries, which is structurally senior to the notes, and approximately $2,719 million of unsecured indebtedness (excluding net unamortized premium or discount and debt issuance costs), which ranks equally with the notes.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00" w:right="260"/>
        <w:spacing w:after="0" w:line="284" w:lineRule="auto"/>
        <w:rPr>
          <w:sz w:val="20"/>
          <w:szCs w:val="20"/>
          <w:color w:val="auto"/>
        </w:rPr>
      </w:pPr>
      <w:r>
        <w:rPr>
          <w:rFonts w:ascii="Arial" w:cs="Arial" w:eastAsia="Arial" w:hAnsi="Arial"/>
          <w:sz w:val="16"/>
          <w:szCs w:val="16"/>
          <w:color w:val="auto"/>
        </w:rPr>
        <w:t>The notes are redeemable at any time at our option, in whole or in part. If the notes are redeemed before March 15, 2029 (three months prior to the stated maturity date) (the “Par Call Date”), the redemption price will be equal to the greater of (1) 100% of the principal amount of the notes being redeemed, or (2) as determined by the Quotation Agent (as defined below), the sum of the present values of the remaining scheduled payments of principal and interest (not including any portion of such payments of interest accrued to the applicable redemption date) on the notes to be redeemed, assuming that such notes matured, and that interest on such notes was payable on, the Par Call Date, discounted to such redemption date on a semi-annual basis (assuming a 360-day year consisting of twelve 30-day months) at the Adjusted Treasury Rate (as defined below) plus 20 basis points</w:t>
      </w:r>
    </w:p>
    <w:p>
      <w:pPr>
        <w:spacing w:after="0" w:line="5"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(0.20%), plus, in each case, accrued and unpaid interest thereon to, but excluding, the redemption date. If the notes are redeemed on or after the Par Call Date, the redemption price will be equal to 100% of the principal amount of the notes being redeemed plus accrued and unpaid interest thereon to, but excluding, the redemption date.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200" w:right="4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(assuming for this purpose that such notes matured on the Par Call Date) that would be utilized, at the time of selection and in accordance with customary financial practice, in pricing new issues of corporate debt securities of comparable maturity to the remaining term of such notes.</w:t>
      </w:r>
    </w:p>
    <w:p>
      <w:pPr>
        <w:spacing w:after="0" w:line="18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225" w:lineRule="exact"/>
        <w:rPr>
          <w:sz w:val="20"/>
          <w:szCs w:val="20"/>
          <w:color w:val="auto"/>
        </w:rPr>
      </w:pPr>
    </w:p>
    <w:p>
      <w:pPr>
        <w:ind w:left="200" w:right="3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a Primary Treasury Dealer selected by each of (1) BofA Securities, Inc., Jefferies LLC and U.S. Bancorp Investments, Inc.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Reference Treasury Dealer ceases to be a primary U.S. Government securities dealer, or a Primary Treasury Dealer, we will substitute therefor another Primary Treasury Dealer; and (2) any two other Primary Treasury Dealers selected by us.</w:t>
      </w:r>
    </w:p>
    <w:p>
      <w:pPr>
        <w:spacing w:after="0" w:line="187"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4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Notice of any redemption of the notes will be mailed at least 15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17"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provide that we will not, and will not permit any subsidiary to, incur any Debt if, immediately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64"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 xml:space="preserve">In addition to the foregoing limitation on the incurrence of Debt, the notes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173"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Furthermore, the notes also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71" w:lineRule="exact"/>
        <w:rPr>
          <w:sz w:val="20"/>
          <w:szCs w:val="20"/>
          <w:color w:val="auto"/>
        </w:rPr>
      </w:pPr>
    </w:p>
    <w:p>
      <w:pPr>
        <w:ind w:left="200" w:right="600"/>
        <w:spacing w:after="0" w:line="266"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176" w:lineRule="exact"/>
        <w:rPr>
          <w:sz w:val="20"/>
          <w:szCs w:val="20"/>
          <w:color w:val="auto"/>
        </w:rPr>
      </w:pPr>
    </w:p>
    <w:p>
      <w:pPr>
        <w:ind w:left="200" w:right="60"/>
        <w:spacing w:after="0" w:line="298" w:lineRule="auto"/>
        <w:rPr>
          <w:sz w:val="20"/>
          <w:szCs w:val="20"/>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provide that we will, and will cause each of our subsidiaries to, maintain insurance with financially sound and reputable insurance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87"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7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70" w:lineRule="exact"/>
        <w:rPr>
          <w:sz w:val="20"/>
          <w:szCs w:val="20"/>
          <w:color w:val="auto"/>
        </w:rPr>
      </w:pPr>
    </w:p>
    <w:p>
      <w:pPr>
        <w:ind w:left="200" w:right="10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w:t>
      </w:r>
    </w:p>
    <w:p>
      <w:pPr>
        <w:spacing w:after="0" w:line="2" w:lineRule="exact"/>
        <w:rPr>
          <w:sz w:val="20"/>
          <w:szCs w:val="20"/>
          <w:color w:val="auto"/>
        </w:rPr>
      </w:pPr>
    </w:p>
    <w:p>
      <w:pPr>
        <w:ind w:left="200" w:right="20" w:firstLine="4"/>
        <w:spacing w:after="0" w:line="287" w:lineRule="auto"/>
        <w:tabs>
          <w:tab w:leader="none" w:pos="45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 principal amount of all of our or any of our subsidiaries’ obligations with respect to redemption, repayment or other repurchase of any Disqualified Stock or (5) any lease of property by us or any subsidiary as lessee which is reflected on our consolidated balance sheet as a financing lease liability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66"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54"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70" w:lineRule="exact"/>
        <w:rPr>
          <w:sz w:val="20"/>
          <w:szCs w:val="20"/>
          <w:color w:val="auto"/>
        </w:rPr>
      </w:pPr>
    </w:p>
    <w:p>
      <w:pPr>
        <w:ind w:left="200" w:right="8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Total Assets</w:t>
      </w:r>
      <w:r>
        <w:rPr>
          <w:rFonts w:ascii="Arial" w:cs="Arial" w:eastAsia="Arial" w:hAnsi="Arial"/>
          <w:sz w:val="17"/>
          <w:szCs w:val="17"/>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our and our subsidiaries’ real estate assets and finance lease right of use assets on such date, before depreciation and amortization determined on a consolidated basis in accordance with generally accepted accounting principles.</w:t>
      </w:r>
    </w:p>
    <w:p>
      <w:pPr>
        <w:spacing w:after="0" w:line="181"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i w:val="1"/>
          <w:iCs w:val="1"/>
          <w:color w:val="auto"/>
        </w:rPr>
        <w:t xml:space="preserve">“Unencumbered Total Asset Value” </w:t>
      </w:r>
      <w:r>
        <w:rPr>
          <w:rFonts w:ascii="Arial" w:cs="Arial" w:eastAsia="Arial" w:hAnsi="Arial"/>
          <w:sz w:val="16"/>
          <w:szCs w:val="16"/>
          <w:color w:val="auto"/>
        </w:rPr>
        <w:t>as of any date means the sum of (1) those Undepreciated Real Estate Assets not encumbered by any mortgage, lien,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 pledge or security interest and (2)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See “Description of Debt Securities — Certain Covenants” in the accompanying prospectus for a description of additional covenants applicable to us.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notes are subject to the following events of default:</w:t>
      </w:r>
    </w:p>
    <w:p>
      <w:pPr>
        <w:spacing w:after="0" w:line="117" w:lineRule="exact"/>
        <w:rPr>
          <w:sz w:val="20"/>
          <w:szCs w:val="20"/>
          <w:color w:val="auto"/>
        </w:rPr>
      </w:pPr>
    </w:p>
    <w:p>
      <w:pPr>
        <w:ind w:left="200" w:right="240" w:firstLine="4"/>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62" w:lineRule="exact"/>
        <w:rPr>
          <w:rFonts w:ascii="Arial" w:cs="Arial" w:eastAsia="Arial" w:hAnsi="Arial"/>
          <w:sz w:val="18"/>
          <w:szCs w:val="18"/>
          <w:color w:val="auto"/>
        </w:rPr>
      </w:pPr>
    </w:p>
    <w:p>
      <w:pPr>
        <w:ind w:left="200" w:right="400" w:firstLine="4"/>
        <w:spacing w:after="0" w:line="27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62" w:lineRule="exact"/>
        <w:rPr>
          <w:rFonts w:ascii="Arial" w:cs="Arial" w:eastAsia="Arial" w:hAnsi="Arial"/>
          <w:sz w:val="18"/>
          <w:szCs w:val="18"/>
          <w:color w:val="auto"/>
        </w:rPr>
      </w:pPr>
    </w:p>
    <w:p>
      <w:pPr>
        <w:ind w:left="380" w:hanging="176"/>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17" w:lineRule="exact"/>
        <w:rPr>
          <w:rFonts w:ascii="Arial" w:cs="Arial" w:eastAsia="Arial" w:hAnsi="Arial"/>
          <w:sz w:val="18"/>
          <w:szCs w:val="18"/>
          <w:color w:val="auto"/>
        </w:rPr>
      </w:pPr>
    </w:p>
    <w:p>
      <w:pPr>
        <w:ind w:left="200" w:right="40" w:firstLine="4"/>
        <w:spacing w:after="0" w:line="264"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73" w:lineRule="exact"/>
        <w:rPr>
          <w:sz w:val="20"/>
          <w:szCs w:val="20"/>
          <w:color w:val="auto"/>
        </w:rPr>
      </w:pPr>
    </w:p>
    <w:p>
      <w:pPr>
        <w:ind w:left="440" w:hanging="23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17" w:lineRule="exact"/>
        <w:rPr>
          <w:rFonts w:ascii="Arial" w:cs="Arial" w:eastAsia="Arial" w:hAnsi="Arial"/>
          <w:sz w:val="18"/>
          <w:szCs w:val="18"/>
          <w:color w:val="auto"/>
        </w:rPr>
      </w:pPr>
    </w:p>
    <w:p>
      <w:pPr>
        <w:ind w:left="460" w:hanging="256"/>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117" w:lineRule="exact"/>
        <w:rPr>
          <w:sz w:val="20"/>
          <w:szCs w:val="20"/>
          <w:color w:val="auto"/>
        </w:rPr>
      </w:pPr>
    </w:p>
    <w:p>
      <w:pPr>
        <w:ind w:left="200" w:right="80" w:firstLine="4"/>
        <w:spacing w:after="0" w:line="290" w:lineRule="auto"/>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reflected on the balance sheet of the lessee as financing lease liabilities under generally accepted accounting principles but not including any indebtedness or obligations for which recourse is limited to one or more properties) in an aggregate principal amount in excess of $50,000,000 or under any mortgage, indenture or instrument under which there may be issued or by which there may be secured or evidenced any indebtedness for money borrowed by us (including such leases but not including such indebtedness or obligations for which recourse is limited to one or more properties) in an aggregate principal amount in excess of $50,000,000,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58" w:lineRule="exact"/>
        <w:rPr>
          <w:rFonts w:ascii="Arial" w:cs="Arial" w:eastAsia="Arial" w:hAnsi="Arial"/>
          <w:sz w:val="16"/>
          <w:szCs w:val="16"/>
          <w:color w:val="auto"/>
        </w:rPr>
      </w:pPr>
    </w:p>
    <w:p>
      <w:pPr>
        <w:ind w:left="380" w:hanging="176"/>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117" w:lineRule="exact"/>
        <w:rPr>
          <w:sz w:val="20"/>
          <w:szCs w:val="20"/>
          <w:color w:val="auto"/>
        </w:rPr>
      </w:pPr>
    </w:p>
    <w:p>
      <w:pPr>
        <w:ind w:left="440" w:hanging="236"/>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117" w:lineRule="exact"/>
        <w:rPr>
          <w:rFonts w:ascii="Arial" w:cs="Arial" w:eastAsia="Arial" w:hAnsi="Arial"/>
          <w:sz w:val="18"/>
          <w:szCs w:val="18"/>
          <w:color w:val="auto"/>
        </w:rPr>
      </w:pPr>
    </w:p>
    <w:p>
      <w:pPr>
        <w:ind w:left="460" w:hanging="256"/>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117" w:lineRule="exact"/>
        <w:rPr>
          <w:rFonts w:ascii="Arial" w:cs="Arial" w:eastAsia="Arial" w:hAnsi="Arial"/>
          <w:sz w:val="18"/>
          <w:szCs w:val="18"/>
          <w:color w:val="auto"/>
        </w:rPr>
      </w:pPr>
    </w:p>
    <w:p>
      <w:pPr>
        <w:ind w:left="440" w:hanging="236"/>
        <w:spacing w:after="0"/>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 days.</w:t>
      </w:r>
    </w:p>
    <w:p>
      <w:pPr>
        <w:spacing w:after="0" w:line="18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S-12</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117" w:lineRule="exact"/>
        <w:rPr>
          <w:sz w:val="20"/>
          <w:szCs w:val="20"/>
          <w:color w:val="auto"/>
        </w:rPr>
      </w:pPr>
    </w:p>
    <w:p>
      <w:pPr>
        <w:ind w:left="440" w:hanging="236"/>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117" w:lineRule="exact"/>
        <w:rPr>
          <w:rFonts w:ascii="Arial" w:cs="Arial" w:eastAsia="Arial" w:hAnsi="Arial"/>
          <w:sz w:val="18"/>
          <w:szCs w:val="18"/>
          <w:color w:val="auto"/>
        </w:rPr>
      </w:pPr>
    </w:p>
    <w:p>
      <w:pPr>
        <w:ind w:left="200" w:right="260" w:firstLine="4"/>
        <w:spacing w:after="0" w:line="277" w:lineRule="auto"/>
        <w:tabs>
          <w:tab w:leader="none" w:pos="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62" w:lineRule="exact"/>
        <w:rPr>
          <w:rFonts w:ascii="Arial" w:cs="Arial" w:eastAsia="Arial" w:hAnsi="Arial"/>
          <w:sz w:val="18"/>
          <w:szCs w:val="18"/>
          <w:color w:val="auto"/>
        </w:rPr>
      </w:pPr>
    </w:p>
    <w:p>
      <w:pPr>
        <w:ind w:left="440" w:hanging="236"/>
        <w:spacing w:after="0"/>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128" w:lineRule="exact"/>
        <w:rPr>
          <w:rFonts w:ascii="Arial" w:cs="Arial" w:eastAsia="Arial" w:hAnsi="Arial"/>
          <w:sz w:val="17"/>
          <w:szCs w:val="17"/>
          <w:color w:val="auto"/>
        </w:rPr>
      </w:pPr>
    </w:p>
    <w:p>
      <w:pPr>
        <w:ind w:left="460" w:hanging="25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Form</w:t>
      </w:r>
    </w:p>
    <w:p>
      <w:pPr>
        <w:spacing w:after="0" w:line="121" w:lineRule="exact"/>
        <w:rPr>
          <w:sz w:val="20"/>
          <w:szCs w:val="20"/>
          <w:color w:val="auto"/>
        </w:rPr>
      </w:pPr>
    </w:p>
    <w:p>
      <w:pPr>
        <w:ind w:left="200" w:right="140"/>
        <w:spacing w:after="0" w:line="276" w:lineRule="auto"/>
        <w:rPr>
          <w:sz w:val="20"/>
          <w:szCs w:val="20"/>
          <w:color w:val="auto"/>
        </w:rPr>
      </w:pPr>
      <w:r>
        <w:rPr>
          <w:rFonts w:ascii="Arial" w:cs="Arial" w:eastAsia="Arial" w:hAnsi="Arial"/>
          <w:sz w:val="17"/>
          <w:szCs w:val="17"/>
          <w:color w:val="auto"/>
        </w:rPr>
        <w:t>We have established a depositary arrangement with The Depository Trust Company, or the Depositary, with respect to the notes, the terms of which are summarized below. Upon issuance, each of the notes offered hereby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73"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97" w:lineRule="exact"/>
        <w:rPr>
          <w:sz w:val="20"/>
          <w:szCs w:val="20"/>
          <w:color w:val="auto"/>
        </w:rPr>
      </w:pPr>
    </w:p>
    <w:p>
      <w:pPr>
        <w:ind w:left="200" w:right="40"/>
        <w:spacing w:after="0" w:line="289" w:lineRule="auto"/>
        <w:rPr>
          <w:sz w:val="20"/>
          <w:szCs w:val="20"/>
          <w:color w:val="auto"/>
        </w:rPr>
      </w:pPr>
      <w:r>
        <w:rPr>
          <w:rFonts w:ascii="Arial" w:cs="Arial" w:eastAsia="Arial" w:hAnsi="Arial"/>
          <w:sz w:val="16"/>
          <w:szCs w:val="16"/>
          <w:color w:val="auto"/>
        </w:rPr>
        <w:t>The Global Security representing the notes offered hereby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167"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The information below concerning the Depositary and the Depositary’s system has been furnished by the Depositary, and we take no responsibility for the accuracy thereof. The Depositary acts as securities depository for the notes. The notes offered hereby will be issued as fully registered securities registered in the name of Cede &amp; Co. (the Depositary’s partnership nominee). One fully registered Global Security will be issued for the notes offered hereby, in the aggregate principal amount of such issue, and will be deposited with the Depositary.</w:t>
      </w:r>
    </w:p>
    <w:p>
      <w:pPr>
        <w:spacing w:after="0" w:line="171"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189"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79"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93"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18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Principal, premium, if any, and/or interest payments on the Global Security representing the notes offered hereby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16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060"/>
          </w:cols>
          <w:pgMar w:left="240" w:top="459" w:right="5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229" w:lineRule="exact"/>
        <w:rPr>
          <w:sz w:val="20"/>
          <w:szCs w:val="20"/>
          <w:color w:val="auto"/>
        </w:rPr>
      </w:pPr>
    </w:p>
    <w:p>
      <w:pPr>
        <w:ind w:left="200" w:right="20"/>
        <w:spacing w:after="0" w:line="285" w:lineRule="auto"/>
        <w:rPr>
          <w:sz w:val="20"/>
          <w:szCs w:val="20"/>
          <w:color w:val="auto"/>
        </w:rPr>
      </w:pPr>
      <w:r>
        <w:rPr>
          <w:rFonts w:ascii="Arial" w:cs="Arial" w:eastAsia="Arial" w:hAnsi="Arial"/>
          <w:sz w:val="16"/>
          <w:szCs w:val="16"/>
          <w:color w:val="auto"/>
        </w:rPr>
        <w:t>For a discussion of the material federal income tax issues that you may consider relevant relating to our taxation as a REIT, see “Material Federal Income Tax Considerations” beginning on page 29 of the accompanying prospectus. For a general discussion of the material U.S. federal income tax considerations applicable to the acquisition, ownership and disposition of the notes, see below under “— Taxation of Holders of the Notes.” These discussions apply only to initial beneficial owners of the notes who purchase notes in this offering at their issue price (as defined below) and who hold the notes as capital assets (generally property held for investment) within the meaning of Section 1221 of the Code. This discussion is based on the Code, income tax regulations promulgated thereunder, judicial decisions, published positions of the Internal Revenue Service, or the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holders. This discussion does not address all the tax consequences that may be relevant to a particular holder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This discussion does not address the tax consequences applicable to taxpayers subject to Section 451(b) of the Code. Except as specifically provided below with respect to Non-U.S. Holders (as defined below), the discussion is limited to beneficial owners of notes that are U.S. Holders.</w:t>
      </w:r>
    </w:p>
    <w:p>
      <w:pPr>
        <w:spacing w:after="0" w:line="279" w:lineRule="exact"/>
        <w:rPr>
          <w:sz w:val="20"/>
          <w:szCs w:val="20"/>
          <w:color w:val="auto"/>
        </w:rPr>
      </w:pPr>
    </w:p>
    <w:p>
      <w:pPr>
        <w:ind w:left="200" w:right="620"/>
        <w:spacing w:after="0" w:line="313" w:lineRule="auto"/>
        <w:rPr>
          <w:sz w:val="20"/>
          <w:szCs w:val="20"/>
          <w:color w:val="auto"/>
        </w:rPr>
      </w:pPr>
      <w:r>
        <w:rPr>
          <w:rFonts w:ascii="Arial" w:cs="Arial" w:eastAsia="Arial" w:hAnsi="Arial"/>
          <w:sz w:val="17"/>
          <w:szCs w:val="17"/>
          <w:b w:val="1"/>
          <w:bCs w:val="1"/>
          <w:color w:val="auto"/>
        </w:rPr>
        <w:t>PROSPECTIVE INVESTORS SHOULD CONSULT THEIR TAX ADVISORS REGARDING THE U.S. FEDERAL, STATE, LOCAL, FOREIGN AND OTHER TAX CONSEQUENCES OF THE ACQUISITION, OWNERSHIP AND DISPOSITION OF THE NOTES.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Qualified Reopening of Notes</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For U.S. federal income tax purposes, we currently intend to treat the notes offered hereby as being issued in a “qualified reopening” of the currently outstanding 3.20% Notes due 2029, or the existing notes. For U.S. federal income tax purposes, debt instruments issued in a qualified reopening are deemed to be part of the same issue as the original debt instruments. Under the treatment described in this paragraph, the notes offered hereby will have the same issue date and the same issue price as the existing notes for U.S. federal income tax purposes. The issue price of the existing notes was $998.38 per $1,000 face amount and the issue date of the existing notes was June 7, 2019. The remainder of this discussion assumes the correctness of the treatment described in this paragraph.</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Holders of the Notes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131" w:lineRule="exact"/>
        <w:rPr>
          <w:sz w:val="20"/>
          <w:szCs w:val="20"/>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the administration of the trust and one or more United States persons have the authority to control all substantial decisions of the trust, or (2) it has a valid election in place to be treated as a United States person.</w:t>
      </w:r>
    </w:p>
    <w:p>
      <w:pPr>
        <w:spacing w:after="0" w:line="181"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“Non-U.S. Holder” means any beneficial owner of a note that is neither a U.S. Holder nor an entity or arrangement treated as a partnership for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federal income tax purposes.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b w:val="1"/>
          <w:bCs w:val="1"/>
          <w:i w:val="1"/>
          <w:iCs w:val="1"/>
          <w:color w:val="auto"/>
        </w:rPr>
        <w:t xml:space="preserve">Pre-Acquisition Accrued Interest on the Notes. </w:t>
      </w:r>
      <w:r>
        <w:rPr>
          <w:rFonts w:ascii="Arial" w:cs="Arial" w:eastAsia="Arial" w:hAnsi="Arial"/>
          <w:sz w:val="17"/>
          <w:szCs w:val="17"/>
          <w:color w:val="auto"/>
        </w:rPr>
        <w:t>A portion of the price paid for the notes is attributable to the amount of interest accrued from June 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2019, or the pre-acquisition accrued interest. To the extent a portion of a U.S. Holder’s purchase price is allocable to pre-acquisition accrued interest, a portion of the first stated interest payment equal to the amount of such pre-acquisition accrued interest may be treated as a nontaxable return of such pre-acquisition accrued interest to the U.S. Holder. If so, the amount treated as a return of pre-acquisition accrued interest will reduce a U.S. Holder’s adjusted tax basis in the note by a corresponding amount. The balance of this discussion assumes that such treatment will be elected. You should consult your own tax advisors regarding the tax treatment of pre-acquisition accrued interest.</w:t>
      </w:r>
    </w:p>
    <w:p>
      <w:pPr>
        <w:spacing w:after="0" w:line="178" w:lineRule="exact"/>
        <w:rPr>
          <w:sz w:val="20"/>
          <w:szCs w:val="20"/>
          <w:color w:val="auto"/>
        </w:rPr>
      </w:pPr>
    </w:p>
    <w:p>
      <w:pPr>
        <w:ind w:left="200" w:right="40"/>
        <w:spacing w:after="0" w:line="308" w:lineRule="auto"/>
        <w:rPr>
          <w:sz w:val="20"/>
          <w:szCs w:val="20"/>
          <w:color w:val="auto"/>
        </w:rPr>
      </w:pPr>
      <w:r>
        <w:rPr>
          <w:rFonts w:ascii="Arial" w:cs="Arial" w:eastAsia="Arial" w:hAnsi="Arial"/>
          <w:sz w:val="17"/>
          <w:szCs w:val="17"/>
          <w:b w:val="1"/>
          <w:bCs w:val="1"/>
          <w:i w:val="1"/>
          <w:iCs w:val="1"/>
          <w:color w:val="auto"/>
        </w:rPr>
        <w:t xml:space="preserve">Stated Interest on the Notes. </w:t>
      </w:r>
      <w:r>
        <w:rPr>
          <w:rFonts w:ascii="Arial" w:cs="Arial" w:eastAsia="Arial" w:hAnsi="Arial"/>
          <w:sz w:val="17"/>
          <w:szCs w:val="17"/>
          <w:color w:val="auto"/>
        </w:rPr>
        <w:t>A U.S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 generally will be required to include stated interest payable on the notes (other than pre-acquisition accrued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as ordinary income when received or accrued in accordance with the U.S. Holder’s regular method of tax accounting.</w:t>
      </w:r>
    </w:p>
    <w:p>
      <w:pPr>
        <w:spacing w:after="0" w:line="147" w:lineRule="exact"/>
        <w:rPr>
          <w:sz w:val="20"/>
          <w:szCs w:val="20"/>
          <w:color w:val="auto"/>
        </w:rPr>
      </w:pPr>
    </w:p>
    <w:p>
      <w:pPr>
        <w:ind w:left="200" w:right="120"/>
        <w:spacing w:after="0" w:line="286" w:lineRule="auto"/>
        <w:rPr>
          <w:sz w:val="20"/>
          <w:szCs w:val="20"/>
          <w:color w:val="auto"/>
        </w:rPr>
      </w:pPr>
      <w:r>
        <w:rPr>
          <w:rFonts w:ascii="Arial" w:cs="Arial" w:eastAsia="Arial" w:hAnsi="Arial"/>
          <w:sz w:val="17"/>
          <w:szCs w:val="17"/>
          <w:b w:val="1"/>
          <w:bCs w:val="1"/>
          <w:i w:val="1"/>
          <w:iCs w:val="1"/>
          <w:color w:val="auto"/>
        </w:rPr>
        <w:t xml:space="preserve">OID and Issue Price of the Notes. </w:t>
      </w:r>
      <w:r>
        <w:rPr>
          <w:rFonts w:ascii="Arial" w:cs="Arial" w:eastAsia="Arial" w:hAnsi="Arial"/>
          <w:sz w:val="17"/>
          <w:szCs w:val="17"/>
          <w:color w:val="auto"/>
        </w:rPr>
        <w:t>A debt instrument generally has original issue discount, or OID, if its “stated redemption price at maturity” exceeds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its “issue price” by an amount that is equal to or greater than a statutory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A debt instrument’s stated redemption price at maturity includes all principal and interest payable over the term of the debt instrument, other than qualified stated interest.</w:t>
      </w:r>
    </w:p>
    <w:p>
      <w:pPr>
        <w:spacing w:after="0" w:line="166"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 xml:space="preserve">The stated redemption price at maturity of the existing notes does not exceed their issue price by more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Accordingly, the existing notes do not have OID. As discussed above, under the qualified reopening rules the issue price of the notes offered hereby will be deemed to be the same as the issue price of the existing notes. As a result, the notes will also not have OID.</w:t>
      </w:r>
    </w:p>
    <w:p>
      <w:pPr>
        <w:spacing w:after="0" w:line="181" w:lineRule="exact"/>
        <w:rPr>
          <w:sz w:val="20"/>
          <w:szCs w:val="20"/>
          <w:color w:val="auto"/>
        </w:rPr>
      </w:pPr>
    </w:p>
    <w:p>
      <w:pPr>
        <w:ind w:left="200" w:right="20"/>
        <w:spacing w:after="0" w:line="276" w:lineRule="auto"/>
        <w:rPr>
          <w:sz w:val="20"/>
          <w:szCs w:val="20"/>
          <w:color w:val="auto"/>
        </w:rPr>
      </w:pPr>
      <w:r>
        <w:rPr>
          <w:rFonts w:ascii="Arial" w:cs="Arial" w:eastAsia="Arial" w:hAnsi="Arial"/>
          <w:sz w:val="17"/>
          <w:szCs w:val="17"/>
          <w:b w:val="1"/>
          <w:bCs w:val="1"/>
          <w:i w:val="1"/>
          <w:iCs w:val="1"/>
          <w:color w:val="auto"/>
        </w:rPr>
        <w:t xml:space="preserve">Amortizable Bond Premium. </w:t>
      </w:r>
      <w:r>
        <w:rPr>
          <w:rFonts w:ascii="Arial" w:cs="Arial" w:eastAsia="Arial" w:hAnsi="Arial"/>
          <w:sz w:val="17"/>
          <w:szCs w:val="17"/>
          <w:color w:val="auto"/>
        </w:rPr>
        <w:t>If a note is purchased at a price in excess of such note’s stated principal amount (excluding any amounts that are treated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pre-acquisition accrued interest as described above under “— Pre-Acquisition Accrued Interest on the Notes”), a U.S. Holder will have bond premium with respect to that note in an amount equal to such excess. A U.S. Holder generally may elect to amortize bond premium using the constant yield method over the remaining term of the note and may offset stated interest income otherwise required to be included in respect of the note during any taxable year by the amortized amount of bond premium for the taxable year.</w:t>
      </w:r>
    </w:p>
    <w:p>
      <w:pPr>
        <w:spacing w:after="0" w:line="173"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However, because we may call the notes under certain circumstances at a price in excess of their stated principal amount, such amortization may be reduced or deferred (or both).</w:t>
      </w:r>
    </w:p>
    <w:p>
      <w:pPr>
        <w:spacing w:after="0" w:line="17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A U.S. Holder’s election to amortize bond premium on a constant yield method, once made, will also apply to all other debt obligations with bond premium (other than obligations the interest on which is excludible from gross income) that a U.S. Holder holds at the beginning of or acquires in or after the first taxable year to which the election applies and may not be revoked without the consent of the IRS. If a U.S. Holder does not elect to amortize the bond premium, the bond premium will decrease the gain or increase the loss such holder would otherwise recognize on the disposition of the note. You should consult your own tax advisors with respect to the rules relating to amortizable bond premium and the application to your particular circumstances.</w:t>
      </w:r>
    </w:p>
    <w:p>
      <w:pPr>
        <w:spacing w:after="0" w:line="193"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b w:val="1"/>
          <w:bCs w:val="1"/>
          <w:i w:val="1"/>
          <w:iCs w:val="1"/>
          <w:color w:val="auto"/>
        </w:rPr>
        <w:t xml:space="preserve">Sale, Exchange, Redemption, or Other Taxable Disposition of the Notes. </w:t>
      </w:r>
      <w:r>
        <w:rPr>
          <w:rFonts w:ascii="Arial" w:cs="Arial" w:eastAsia="Arial" w:hAnsi="Arial"/>
          <w:sz w:val="17"/>
          <w:szCs w:val="17"/>
          <w:color w:val="auto"/>
        </w:rPr>
        <w:t>Unless a non-recognition provision applies, upon the sale,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redemption 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(less any amount attributable to pre-acquisition accrued interest, as described above under “— Pre-Acquisition Accrued Interest on the Notes”), reduced by the amount of any payments previously received by the U.S. Holder (other than qualified stated interest) and any amortized bond premium.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178"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b w:val="1"/>
          <w:bCs w:val="1"/>
          <w:i w:val="1"/>
          <w:iCs w:val="1"/>
          <w:color w:val="auto"/>
        </w:rPr>
        <w:t>Unearned Income Medicare Contribution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U.S. Holders that are individuals, estates or trusts are subject to a 3.8% Medicare tax on all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184" w:lineRule="exact"/>
        <w:rPr>
          <w:sz w:val="20"/>
          <w:szCs w:val="20"/>
          <w:color w:val="auto"/>
        </w:rPr>
      </w:pPr>
    </w:p>
    <w:p>
      <w:pPr>
        <w:ind w:left="200" w:right="1040"/>
        <w:spacing w:after="0" w:line="277" w:lineRule="auto"/>
        <w:rPr>
          <w:sz w:val="20"/>
          <w:szCs w:val="20"/>
          <w:color w:val="auto"/>
        </w:rPr>
      </w:pPr>
      <w:r>
        <w:rPr>
          <w:rFonts w:ascii="Arial" w:cs="Arial" w:eastAsia="Arial" w:hAnsi="Arial"/>
          <w:sz w:val="18"/>
          <w:szCs w:val="18"/>
          <w:b w:val="1"/>
          <w:bCs w:val="1"/>
          <w:i w:val="1"/>
          <w:iCs w:val="1"/>
          <w:color w:val="auto"/>
        </w:rPr>
        <w:t xml:space="preserve">U.S. Holders Holding Notes Through Foreign Accounts or Intermediaries. </w:t>
      </w:r>
      <w:r>
        <w:rPr>
          <w:rFonts w:ascii="Arial" w:cs="Arial" w:eastAsia="Arial" w:hAnsi="Arial"/>
          <w:sz w:val="18"/>
          <w:szCs w:val="18"/>
          <w:color w:val="auto"/>
        </w:rPr>
        <w:t>U.S. Holders holding their notes through foreign accounts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intermediaries should refer to “— Non-U.S. Holders — FATCA Regime” below.</w:t>
      </w:r>
    </w:p>
    <w:p>
      <w:pPr>
        <w:spacing w:after="0" w:line="166" w:lineRule="exact"/>
        <w:rPr>
          <w:sz w:val="20"/>
          <w:szCs w:val="20"/>
          <w:color w:val="auto"/>
        </w:rPr>
      </w:pPr>
    </w:p>
    <w:p>
      <w:pPr>
        <w:ind w:left="200" w:right="440"/>
        <w:spacing w:after="0" w:line="313" w:lineRule="auto"/>
        <w:rPr>
          <w:sz w:val="20"/>
          <w:szCs w:val="20"/>
          <w:color w:val="auto"/>
        </w:rPr>
      </w:pPr>
      <w:r>
        <w:rPr>
          <w:rFonts w:ascii="Arial" w:cs="Arial" w:eastAsia="Arial" w:hAnsi="Arial"/>
          <w:sz w:val="17"/>
          <w:szCs w:val="17"/>
          <w:b w:val="1"/>
          <w:bCs w:val="1"/>
          <w:i w:val="1"/>
          <w:iCs w:val="1"/>
          <w:color w:val="auto"/>
        </w:rPr>
        <w:t>Information Reporting and Backup Withholding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general, information reporting will apply to a U.S. Holder (other than an “exempt recipient,”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 corporation and certain other persons who, when required, demonstrate their exempt status) with respect to:</w:t>
      </w:r>
    </w:p>
    <w:p>
      <w:pPr>
        <w:spacing w:after="0" w:line="48" w:lineRule="exact"/>
        <w:rPr>
          <w:sz w:val="20"/>
          <w:szCs w:val="20"/>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225" w:lineRule="exact"/>
        <w:rPr>
          <w:sz w:val="20"/>
          <w:szCs w:val="20"/>
          <w:color w:val="auto"/>
        </w:rPr>
      </w:pPr>
    </w:p>
    <w:p>
      <w:pPr>
        <w:ind w:left="200" w:right="320"/>
        <w:spacing w:after="0" w:line="286" w:lineRule="auto"/>
        <w:rPr>
          <w:sz w:val="20"/>
          <w:szCs w:val="20"/>
          <w:color w:val="auto"/>
        </w:rPr>
      </w:pPr>
      <w:r>
        <w:rPr>
          <w:rFonts w:ascii="Arial" w:cs="Arial" w:eastAsia="Arial" w:hAnsi="Arial"/>
          <w:sz w:val="17"/>
          <w:szCs w:val="17"/>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 xml:space="preserve">Interest on the Notes. </w:t>
      </w:r>
      <w:r>
        <w:rPr>
          <w:rFonts w:ascii="Arial" w:cs="Arial" w:eastAsia="Arial" w:hAnsi="Arial"/>
          <w:sz w:val="17"/>
          <w:szCs w:val="17"/>
          <w:color w:val="auto"/>
        </w:rPr>
        <w:t>Subject to the rules described below under “— Information Reporting and Backup Withholding” and “— FATCA Regime,” a</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Non-U.S. Holder generally will not be subject to U.S. federal income or withholding tax on payments of interest on a note, provided that:</w:t>
      </w:r>
    </w:p>
    <w:p>
      <w:pPr>
        <w:spacing w:after="0" w:line="116" w:lineRule="exact"/>
        <w:rPr>
          <w:sz w:val="20"/>
          <w:szCs w:val="20"/>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direct, indirect or constructive owner of 10% or more of our voting stock;</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 bank whose receipt of interest on a note is pursuant to a loan agreement entered into in the ordinary course of business;</w:t>
      </w:r>
    </w:p>
    <w:p>
      <w:pPr>
        <w:spacing w:after="0" w:line="142" w:lineRule="exact"/>
        <w:rPr>
          <w:rFonts w:ascii="Arial" w:cs="Arial" w:eastAsia="Arial" w:hAnsi="Arial"/>
          <w:sz w:val="17"/>
          <w:szCs w:val="17"/>
          <w:color w:val="auto"/>
        </w:rPr>
      </w:pPr>
    </w:p>
    <w:p>
      <w:pPr>
        <w:ind w:left="1180" w:right="36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interest payments are not effectively connected with the conduct by the Non-U.S. Holder of a trade or business within the United States; and</w:t>
      </w:r>
    </w:p>
    <w:p>
      <w:pPr>
        <w:spacing w:after="0" w:line="75" w:lineRule="exact"/>
        <w:rPr>
          <w:rFonts w:ascii="Arial" w:cs="Arial" w:eastAsia="Arial" w:hAnsi="Arial"/>
          <w:sz w:val="18"/>
          <w:szCs w:val="18"/>
          <w:color w:val="auto"/>
        </w:rPr>
      </w:pPr>
    </w:p>
    <w:p>
      <w:pPr>
        <w:ind w:left="1180" w:right="180" w:hanging="436"/>
        <w:spacing w:after="0" w:line="308" w:lineRule="auto"/>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147"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A Non-U.S. Holder that is not exempt from tax under these rules generally will be subject to U.S. federal income tax withholding at a rate of 30% unless:</w:t>
      </w:r>
    </w:p>
    <w:p>
      <w:pPr>
        <w:spacing w:after="0" w:line="76" w:lineRule="exact"/>
        <w:rPr>
          <w:sz w:val="20"/>
          <w:szCs w:val="20"/>
          <w:color w:val="auto"/>
        </w:rPr>
      </w:pPr>
    </w:p>
    <w:p>
      <w:pPr>
        <w:ind w:left="1180" w:right="100" w:hanging="436"/>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75" w:lineRule="exact"/>
        <w:rPr>
          <w:rFonts w:ascii="Arial" w:cs="Arial" w:eastAsia="Arial" w:hAnsi="Arial"/>
          <w:sz w:val="18"/>
          <w:szCs w:val="18"/>
          <w:color w:val="auto"/>
        </w:rPr>
      </w:pPr>
    </w:p>
    <w:p>
      <w:pPr>
        <w:ind w:left="1180" w:right="420" w:hanging="436"/>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Non-U.S. Holder is entitled to the benefits of an applicable income tax treaty that provides for a lower rate of, or exemption from, withholding tax.</w:t>
      </w:r>
    </w:p>
    <w:p>
      <w:pPr>
        <w:spacing w:after="0" w:line="17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actual or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Backup Withholding” and “— FATCA Regime,” a Non-U.S. Holder generally will not be subject to U.S. federal income or withholding tax on gain from the sale, exchange, redemption or other taxable disposition of a note unless:</w:t>
      </w:r>
    </w:p>
    <w:p>
      <w:pPr>
        <w:spacing w:after="0" w:line="87" w:lineRule="exact"/>
        <w:rPr>
          <w:sz w:val="20"/>
          <w:szCs w:val="20"/>
          <w:color w:val="auto"/>
        </w:rPr>
      </w:pPr>
    </w:p>
    <w:p>
      <w:pPr>
        <w:ind w:left="1180" w:right="20" w:hanging="436"/>
        <w:spacing w:after="0" w:line="342" w:lineRule="auto"/>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29" w:lineRule="exact"/>
        <w:rPr>
          <w:rFonts w:ascii="Arial" w:cs="Arial" w:eastAsia="Arial" w:hAnsi="Arial"/>
          <w:sz w:val="16"/>
          <w:szCs w:val="16"/>
          <w:color w:val="auto"/>
        </w:rPr>
      </w:pPr>
    </w:p>
    <w:p>
      <w:pPr>
        <w:ind w:left="1180" w:hanging="436"/>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7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the branch profits tax described above. If such gains are realized by a Non-U.S. Holder who is an individual present in the United States for 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Interest on the Notes.” Non-U.S. Holders should consult their tax advisors on the treatment of any accrued but unpaid interest on the notes.</w:t>
      </w:r>
    </w:p>
    <w:p>
      <w:pPr>
        <w:spacing w:after="0" w:line="178"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Interest on the Notes” above, has been received or an exemption has otherwise been established, provided that neither we nor our paying agent have actual knowledge or reason to know that the Non-U.S. Holder is a U.S. person or that the conditions of any other exemption are not, in fact, satisfied.</w:t>
      </w:r>
    </w:p>
    <w:p>
      <w:pPr>
        <w:spacing w:after="0" w:line="189"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87" w:lineRule="exact"/>
        <w:rPr>
          <w:sz w:val="20"/>
          <w:szCs w:val="20"/>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interests are held by U.S. persons or if it is engaged in the conduct of a trade or business in the U.S.; or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a U.S. branch of a foreign bank or insurance company that is treated as a U.S. person;</w:t>
      </w:r>
    </w:p>
    <w:p>
      <w:pPr>
        <w:spacing w:after="0" w:line="225"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166" w:lineRule="exact"/>
        <w:rPr>
          <w:sz w:val="20"/>
          <w:szCs w:val="20"/>
          <w:color w:val="auto"/>
        </w:rPr>
      </w:pPr>
    </w:p>
    <w:p>
      <w:pPr>
        <w:ind w:left="200"/>
        <w:spacing w:after="0" w:line="284" w:lineRule="auto"/>
        <w:rPr>
          <w:sz w:val="20"/>
          <w:szCs w:val="20"/>
          <w:color w:val="auto"/>
        </w:rPr>
      </w:pPr>
      <w:r>
        <w:rPr>
          <w:rFonts w:ascii="Arial" w:cs="Arial" w:eastAsia="Arial" w:hAnsi="Arial"/>
          <w:sz w:val="16"/>
          <w:szCs w:val="16"/>
          <w:b w:val="1"/>
          <w:bCs w:val="1"/>
          <w:i w:val="1"/>
          <w:iCs w:val="1"/>
          <w:color w:val="auto"/>
        </w:rPr>
        <w:t>FATCA Regime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sections 1471 through 1474 of the Code, Treasury regulations and related guidance, or the FATCA, a 30% U.S. withholding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imposed in certain circumstances on payments of (1) interest on the notes and (2) subject to the proposed Treasury regulations discussed below, gross proceeds from the sale or other disposition of the notes (which includes redemption and retirement of the notes). Treasury regulations proposed in December 2018 (and upon which taxpayers and withholding agents are entitled to rely) would, when finalized, eliminate FATCA withholding on the gross proceeds from a sale or other disposition of instruments, such as the notes, that produce withholdable payments.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(1) has agreed to (and does) comply with the requirements of an agreement with the United States, or an FFI Agreement, or (2) is required by (and does comply with) applicable foreign law enacted in connection with an intergovernmental agreement between the United States and a foreign jurisdiction, or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U.S. person that directly or indirectly owns more than a specified percentage of such entity). If a note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(1) a person (including an individual) that fails to provide any required information or documentation or (2)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interest on the notes or payments in retirement or redemption of the notes, we will withhold tax at the applicable statutory rate, and we will not pay any additional amounts in respect of such withholding. Under certain circumstances, a holder may be eligible for refunds or credits of such withheld taxes. Prospective investors should consult with their own tax advisors regarding the possible implications of FATCA on their investment in the notes.</w:t>
      </w:r>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We intend to offer the notes offered hereby through the underwriters named below, for whom BofA Securities, Inc., Jefferies LLC and Wells Fargo Securities, LLC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93"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56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5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2"/>
              </w:rPr>
              <w:t>Notes</w:t>
            </w:r>
          </w:p>
        </w:tc>
        <w:tc>
          <w:tcPr>
            <w:tcW w:w="0" w:type="dxa"/>
            <w:vAlign w:val="bottom"/>
          </w:tcPr>
          <w:p>
            <w:pPr>
              <w:spacing w:after="0"/>
              <w:rPr>
                <w:sz w:val="1"/>
                <w:szCs w:val="1"/>
                <w:color w:val="auto"/>
              </w:rPr>
            </w:pPr>
          </w:p>
        </w:tc>
      </w:tr>
      <w:tr>
        <w:trPr>
          <w:trHeight w:val="203"/>
        </w:trPr>
        <w:tc>
          <w:tcPr>
            <w:tcW w:w="6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22,667,000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22,667,000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22,666,000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 Securities LLC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20"/>
        <w:spacing w:after="0" w:line="264"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181" w:lineRule="exact"/>
        <w:rPr>
          <w:sz w:val="20"/>
          <w:szCs w:val="20"/>
          <w:color w:val="auto"/>
        </w:rPr>
      </w:pPr>
    </w:p>
    <w:p>
      <w:pPr>
        <w:jc w:val="both"/>
        <w:ind w:left="200" w:right="320"/>
        <w:spacing w:after="0" w:line="264" w:lineRule="auto"/>
        <w:rPr>
          <w:sz w:val="20"/>
          <w:szCs w:val="20"/>
          <w:color w:val="auto"/>
        </w:rPr>
      </w:pPr>
      <w:r>
        <w:rPr>
          <w:rFonts w:ascii="Arial" w:cs="Arial" w:eastAsia="Arial" w:hAnsi="Arial"/>
          <w:sz w:val="18"/>
          <w:szCs w:val="18"/>
          <w:color w:val="auto"/>
        </w:rPr>
        <w:t>The notes offered hereby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$300,000.</w:t>
      </w:r>
    </w:p>
    <w:p>
      <w:pPr>
        <w:spacing w:after="0" w:line="225"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We expect to deliver the notes offered hereby against payment for the notes on or about the date specified in the next to last paragraph of the cover page of this prospectus supplement.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Reopening</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notes offered hereby will be a further issuance of, are fungible with and are consolidated and form a single series with, our outstanding 3.20% Notes due 2029, $300 million aggregate principal amount of which were originally issued on June 7, 2019. The notes will not be listed on any securities exchange or included in any automated quotation system. We have been advised by the underwriters that the underwriters intend to make a market in each series of the notes, but they are not obligated to do so and may discontinue market making at any time without notice. No assurance can be given as to the liquidity of any trading markets for the notes.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0.400% of the principal amount of the notes. The underwriters may allow, and the dealers may reallow, a discount not in excess of 0.250% of the principal amount of the notes offered hereby on sales to other dealers. After the initial offering, the public offering price and concession to dealers may be changed.</w:t>
      </w:r>
    </w:p>
    <w:p>
      <w:pPr>
        <w:spacing w:after="0" w:line="187"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89"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2080" w:type="dxa"/>
            <w:vAlign w:val="bottom"/>
            <w:tcBorders>
              <w:bottom w:val="single" w:sz="8" w:color="CCEEFF"/>
            </w:tcBorders>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Paid by Us</w:t>
            </w:r>
          </w:p>
        </w:tc>
        <w:tc>
          <w:tcPr>
            <w:tcW w:w="200" w:type="dxa"/>
            <w:vAlign w:val="bottom"/>
            <w:tcBorders>
              <w:bottom w:val="single" w:sz="8" w:color="CCEEFF"/>
            </w:tcBorders>
          </w:tcPr>
          <w:p>
            <w:pPr>
              <w:spacing w:after="0"/>
              <w:rPr>
                <w:sz w:val="14"/>
                <w:szCs w:val="14"/>
                <w:color w:val="auto"/>
              </w:rPr>
            </w:pPr>
          </w:p>
        </w:tc>
      </w:tr>
      <w:tr>
        <w:trPr>
          <w:trHeight w:val="21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Per note</w:t>
            </w:r>
          </w:p>
        </w:tc>
        <w:tc>
          <w:tcPr>
            <w:tcW w:w="4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0.650%</w:t>
            </w:r>
          </w:p>
        </w:tc>
      </w:tr>
      <w:tr>
        <w:trPr>
          <w:trHeight w:val="365"/>
        </w:trPr>
        <w:tc>
          <w:tcPr>
            <w:tcW w:w="2080" w:type="dxa"/>
            <w:vAlign w:val="bottom"/>
          </w:tcPr>
          <w:p>
            <w:pPr>
              <w:spacing w:after="0"/>
              <w:rPr>
                <w:sz w:val="24"/>
                <w:szCs w:val="24"/>
                <w:color w:val="auto"/>
              </w:rPr>
            </w:pPr>
          </w:p>
        </w:tc>
        <w:tc>
          <w:tcPr>
            <w:tcW w:w="5400" w:type="dxa"/>
            <w:vAlign w:val="bottom"/>
            <w:gridSpan w:val="3"/>
          </w:tcPr>
          <w:p>
            <w:pPr>
              <w:jc w:val="right"/>
              <w:ind w:right="3580"/>
              <w:spacing w:after="0"/>
              <w:rPr>
                <w:sz w:val="20"/>
                <w:szCs w:val="20"/>
                <w:color w:val="auto"/>
              </w:rPr>
            </w:pPr>
            <w:r>
              <w:rPr>
                <w:rFonts w:ascii="Arial" w:cs="Arial" w:eastAsia="Arial" w:hAnsi="Arial"/>
                <w:sz w:val="18"/>
                <w:szCs w:val="18"/>
                <w:color w:val="auto"/>
              </w:rPr>
              <w:t>S-21</w:t>
            </w:r>
          </w:p>
        </w:tc>
      </w:tr>
    </w:tbl>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193"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24"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Affiliates of certain of the underwriters are lenders under our revolving credit facility and will receive a pro rata portion of the net proceeds used to repay amounts outstanding thereunder.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 U.S. Bank National Association, the trustee under the indenture, is an affiliate of U.S. Bancorp Investments, Inc., one of the underwriters.</w:t>
      </w:r>
    </w:p>
    <w:p>
      <w:pPr>
        <w:spacing w:after="0" w:line="181"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Indemnity</w:t>
      </w:r>
    </w:p>
    <w:p>
      <w:pPr>
        <w:spacing w:after="0" w:line="12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jc w:val="both"/>
        <w:ind w:left="200" w:right="540"/>
        <w:spacing w:after="0" w:line="288" w:lineRule="auto"/>
        <w:rPr>
          <w:sz w:val="20"/>
          <w:szCs w:val="20"/>
          <w:color w:val="auto"/>
        </w:rPr>
      </w:pPr>
      <w:r>
        <w:rPr>
          <w:rFonts w:ascii="Arial" w:cs="Arial" w:eastAsia="Arial" w:hAnsi="Arial"/>
          <w:sz w:val="16"/>
          <w:szCs w:val="16"/>
          <w:color w:val="auto"/>
        </w:rPr>
        <w:t>The communication of this prospectus supplement, the accompanying prospectus, any related free writing prospectus, and any other document or materials relating to the issue of the notes offered hereby is not being made, and such documents and/or materials have not been approved, by an authorized person for the purposes of section 21 of the United Kingdom’s Financial Services and Markets Act 2000, as amended (the “FSMA”).</w:t>
      </w:r>
    </w:p>
    <w:p>
      <w:pPr>
        <w:ind w:left="200" w:right="40"/>
        <w:spacing w:after="0" w:line="268" w:lineRule="auto"/>
        <w:rPr>
          <w:sz w:val="20"/>
          <w:szCs w:val="20"/>
          <w:color w:val="auto"/>
        </w:rPr>
      </w:pPr>
      <w:r>
        <w:rPr>
          <w:rFonts w:ascii="Arial" w:cs="Arial" w:eastAsia="Arial" w:hAnsi="Arial"/>
          <w:sz w:val="17"/>
          <w:szCs w:val="17"/>
          <w:color w:val="auto"/>
        </w:rPr>
        <w:t>Accordingly, such documents and/or materials are not being distributed to, and must not be passed on to, the general public in the United Kingdom. The communication of such documents and/or materials as a financial promotion is only being made to those persons in the United Kingdom who have professional experience in matters relating to investments and who fall within the definition of investment professionals (as defined in Article 19(5) of the Financial Services and Markets Act 2000 (Financial Promotion) Order 2005, as amended (the “Financial Promotion Order”)) or who fall within Article 49(2)(a) to (d) of the Financial Promotion Order or who are any other persons to whom it may otherwise lawfully be communicated under the Financial Promotion Order (all such persons being referred to as “relevant persons”). In the United Kingdom, the notes are only available to, and any investment or investment activity to which this prospectus supplement and the accompanying prospectus relate will be engaged in only with, relevant persons. Any person in the United Kingdom who is not a relevant person should not act or rely on this prospectus supplement or the accompanying prospectus or any of their contents.</w:t>
      </w:r>
    </w:p>
    <w:p>
      <w:pPr>
        <w:spacing w:after="0" w:line="182" w:lineRule="exact"/>
        <w:rPr>
          <w:sz w:val="20"/>
          <w:szCs w:val="20"/>
          <w:color w:val="auto"/>
        </w:rPr>
      </w:pPr>
    </w:p>
    <w:p>
      <w:pPr>
        <w:jc w:val="both"/>
        <w:ind w:left="200" w:right="200"/>
        <w:spacing w:after="0" w:line="264"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FSMA) in connection with the issue or sale of the notes may only be communicated or caused to be communicated in circumstances in which Section 21(1) of the FSMA does not apply to Federal Realty Investment Trust.</w:t>
      </w:r>
    </w:p>
    <w:p>
      <w:pPr>
        <w:spacing w:after="0" w:line="18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notes in, from or otherwise involving the United Kingdom.</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Neither this prospectus supplement nor the accompanying prospectus and any related free writing prospectus is a prospectus for the purposes of the Prospectus Regulation (as defined below). This prospectus supplement, the accompanying prospectus and any related free writing prospectus have been prepared on the basis that any offer of notes in any Member State of the European Economic Area (the “EEA”) will only be made to a legal entity which is a qualified investor under the Prospectus Regulation (“Qualified Investors”). Accordingly any person making or intending to make an offer in that Member State of notes which are the subject of the offering contemplated in this prospectus supplement, the accompanying prospectus and any related free writing prospectus may only do so with respect to Qualified Investors. Neither Federal Realty Investment Trust nor the underwriters have authorized, nor do they authorize, the making of any offer of notes other than to Qualified Investors. The expression “Prospectus Regulation” means Regulation (EU) 2017/1129.</w:t>
      </w:r>
    </w:p>
    <w:p>
      <w:pPr>
        <w:spacing w:after="0" w:line="192"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i w:val="1"/>
          <w:iCs w:val="1"/>
          <w:color w:val="auto"/>
        </w:rPr>
        <w:t xml:space="preserve">Prohibition of Sales to EEA Retail Investors </w:t>
      </w:r>
      <w:r>
        <w:rPr>
          <w:rFonts w:ascii="Arial" w:cs="Arial" w:eastAsia="Arial" w:hAnsi="Arial"/>
          <w:sz w:val="18"/>
          <w:szCs w:val="18"/>
          <w:color w:val="auto"/>
        </w:rPr>
        <w:t>– The notes are not intended to be offered, sold or otherwise made available to and should not be offered,</w:t>
      </w:r>
      <w:r>
        <w:rPr>
          <w:rFonts w:ascii="Arial" w:cs="Arial" w:eastAsia="Arial" w:hAnsi="Arial"/>
          <w:sz w:val="18"/>
          <w:szCs w:val="18"/>
          <w:i w:val="1"/>
          <w:iCs w:val="1"/>
          <w:color w:val="auto"/>
        </w:rPr>
        <w:t xml:space="preserve"> </w:t>
      </w:r>
      <w:r>
        <w:rPr>
          <w:rFonts w:ascii="Arial" w:cs="Arial" w:eastAsia="Arial" w:hAnsi="Arial"/>
          <w:sz w:val="18"/>
          <w:szCs w:val="18"/>
          <w:color w:val="auto"/>
        </w:rPr>
        <w:t>sold or otherwise made available to any retail investor in the EEA. For these purposes: (1) a retail investor means a person who is one (or more) of: (a) a retail client as defined in point (11) of Article 4(1) of Directive 2014/65/EU, as amended (“MiFID II”); or (b) a customer within the meaning of Directive (EU) 2016/97 (the Insurance Distribution Directive), where that customer would not qualify as a professional client as defined in point (10) of Article 4(1) of MiFID II; or (c) not a qualified investor as defined in the Prospectus Regulation; and (2) the expression “offer” includes the communication in any form and by any means of sufficient information on the terms of the offer and the notes to be offered so as to enable an investor to decide to purchase or subscribe for the notes.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Federal Realty Investment Trust does not intend to offer the notes in any Member State other than the United Kingdom.</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left="200" w:right="260"/>
        <w:spacing w:after="0" w:line="279" w:lineRule="auto"/>
        <w:rPr>
          <w:sz w:val="20"/>
          <w:szCs w:val="20"/>
          <w:color w:val="auto"/>
        </w:rPr>
      </w:pPr>
      <w:r>
        <w:rPr>
          <w:rFonts w:ascii="Arial" w:cs="Arial" w:eastAsia="Arial" w:hAnsi="Arial"/>
          <w:sz w:val="17"/>
          <w:szCs w:val="17"/>
          <w:color w:val="auto"/>
        </w:rPr>
        <w:t xml:space="preserve">The notes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notes must be made in accordance with an exemption from, or in a transaction not subject to, the prospectus requirements of applicable securities laws.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audited consolidated financial statements, schedules and management’s assessment of the effectiveness of our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60"/>
        <w:spacing w:after="0" w:line="276" w:lineRule="auto"/>
        <w:rPr>
          <w:sz w:val="20"/>
          <w:szCs w:val="20"/>
          <w:color w:val="auto"/>
        </w:rPr>
      </w:pPr>
      <w:r>
        <w:rPr>
          <w:rFonts w:ascii="Arial" w:cs="Arial" w:eastAsia="Arial" w:hAnsi="Arial"/>
          <w:sz w:val="17"/>
          <w:szCs w:val="17"/>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172085</wp:posOffset>
            </wp:positionV>
            <wp:extent cx="2246630" cy="909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4663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Debt Securities, Common Shares, Preferred Shares, Depositary Shares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242570</wp:posOffset>
            </wp:positionV>
            <wp:extent cx="14662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131" w:lineRule="exact"/>
        <w:rPr>
          <w:sz w:val="20"/>
          <w:szCs w:val="20"/>
          <w:color w:val="auto"/>
        </w:rPr>
      </w:pPr>
    </w:p>
    <w:p>
      <w:pPr>
        <w:ind w:left="1180" w:hanging="54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25"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87" w:lineRule="exact"/>
        <w:rPr>
          <w:sz w:val="20"/>
          <w:szCs w:val="20"/>
          <w:color w:val="auto"/>
        </w:rPr>
      </w:pPr>
    </w:p>
    <w:p>
      <w:pPr>
        <w:ind w:left="200" w:right="900" w:firstLine="441"/>
        <w:spacing w:after="0" w:line="277"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214630</wp:posOffset>
            </wp:positionV>
            <wp:extent cx="14662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64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200" w:right="80" w:firstLine="441"/>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193675</wp:posOffset>
            </wp:positionV>
            <wp:extent cx="14662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date of this prospectus is May 7, 2018.</w:t>
      </w:r>
    </w:p>
    <w:p>
      <w:pPr>
        <w:sectPr>
          <w:pgSz w:w="11900" w:h="16838" w:orient="portrait"/>
          <w:cols w:equalWidth="0" w:num="1">
            <w:col w:w="11160"/>
          </w:cols>
          <w:pgMar w:left="24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2"/>
            <w:vMerge w:val="restart"/>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2"/>
            <w:vMerge w:val="continue"/>
          </w:tcPr>
          <w:p>
            <w:pPr>
              <w:spacing w:after="0"/>
              <w:rPr>
                <w:sz w:val="13"/>
                <w:szCs w:val="13"/>
                <w:color w:val="auto"/>
              </w:rPr>
            </w:pPr>
          </w:p>
        </w:tc>
        <w:tc>
          <w:tcPr>
            <w:tcW w:w="70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980" w:type="dxa"/>
            <w:vAlign w:val="bottom"/>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Forward-Looking Statements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Prospectus Summary</w:t>
              </w:r>
            </w:hyperlink>
          </w:p>
        </w:tc>
        <w:tc>
          <w:tcPr>
            <w:tcW w:w="540" w:type="dxa"/>
            <w:vAlign w:val="bottom"/>
            <w:tcBorders>
              <w:top w:val="single" w:sz="8" w:color="0000EE"/>
            </w:tcBorders>
          </w:tcPr>
          <w:p>
            <w:pPr>
              <w:spacing w:after="0"/>
              <w:rPr>
                <w:sz w:val="24"/>
                <w:szCs w:val="24"/>
                <w:color w:val="auto"/>
              </w:rPr>
            </w:pPr>
          </w:p>
        </w:tc>
        <w:tc>
          <w:tcPr>
            <w:tcW w:w="1860" w:type="dxa"/>
            <w:vAlign w:val="bottom"/>
            <w:gridSpan w:val="5"/>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Risk Factors</w:t>
              </w:r>
            </w:hyperlink>
          </w:p>
        </w:tc>
        <w:tc>
          <w:tcPr>
            <w:tcW w:w="3060" w:type="dxa"/>
            <w:vAlign w:val="bottom"/>
            <w:gridSpan w:val="10"/>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Use of Proceeds</w:t>
              </w:r>
            </w:hyperlink>
          </w:p>
        </w:tc>
        <w:tc>
          <w:tcPr>
            <w:tcW w:w="2800" w:type="dxa"/>
            <w:vAlign w:val="bottom"/>
            <w:gridSpan w:val="8"/>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22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Description of Debt Securities</w:t>
              </w:r>
            </w:hyperlink>
          </w:p>
        </w:tc>
        <w:tc>
          <w:tcPr>
            <w:tcW w:w="1780" w:type="dxa"/>
            <w:vAlign w:val="bottom"/>
            <w:gridSpan w:val="4"/>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31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Description of Shares of Beneficial Interest</w:t>
              </w:r>
            </w:hyperlink>
          </w:p>
        </w:tc>
        <w:tc>
          <w:tcPr>
            <w:tcW w:w="840" w:type="dxa"/>
            <w:vAlign w:val="bottom"/>
            <w:gridSpan w:val="2"/>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Material Federal Income Tax Considerations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4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w:anchor="page80">
              <w:r>
                <w:rPr>
                  <w:rFonts w:ascii="Arial" w:cs="Arial" w:eastAsia="Arial" w:hAnsi="Arial"/>
                  <w:sz w:val="18"/>
                  <w:szCs w:val="18"/>
                  <w:color w:val="0000EE"/>
                  <w:w w:val="93"/>
                </w:rPr>
                <w:t>Plan of Distribution</w:t>
              </w:r>
            </w:hyperlink>
          </w:p>
        </w:tc>
        <w:tc>
          <w:tcPr>
            <w:tcW w:w="1780" w:type="dxa"/>
            <w:vAlign w:val="bottom"/>
            <w:tcBorders>
              <w:top w:val="single" w:sz="8" w:color="0000EE"/>
            </w:tcBorders>
            <w:gridSpan w:val="6"/>
          </w:tcPr>
          <w:p>
            <w:pPr>
              <w:spacing w:after="0"/>
              <w:rPr>
                <w:sz w:val="24"/>
                <w:szCs w:val="24"/>
                <w:color w:val="auto"/>
              </w:rPr>
            </w:pPr>
          </w:p>
        </w:tc>
        <w:tc>
          <w:tcPr>
            <w:tcW w:w="760" w:type="dxa"/>
            <w:vAlign w:val="bottom"/>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Legal Matters</w:t>
              </w:r>
            </w:hyperlink>
          </w:p>
        </w:tc>
        <w:tc>
          <w:tcPr>
            <w:tcW w:w="2960" w:type="dxa"/>
            <w:vAlign w:val="bottom"/>
            <w:gridSpan w:val="9"/>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82">
              <w:r>
                <w:rPr>
                  <w:rFonts w:ascii="Arial" w:cs="Arial" w:eastAsia="Arial" w:hAnsi="Arial"/>
                  <w:sz w:val="18"/>
                  <w:szCs w:val="18"/>
                  <w:color w:val="0000EE"/>
                  <w:w w:val="88"/>
                </w:rPr>
                <w:t>Experts</w:t>
              </w:r>
            </w:hyperlink>
          </w:p>
        </w:tc>
        <w:tc>
          <w:tcPr>
            <w:tcW w:w="3420" w:type="dxa"/>
            <w:vAlign w:val="bottom"/>
            <w:gridSpan w:val="11"/>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3980" w:type="dxa"/>
            <w:vAlign w:val="bottom"/>
            <w:gridSpan w:val="12"/>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Where You Can Find More Information</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0" w:type="dxa"/>
            <w:vAlign w:val="bottom"/>
            <w:gridSpan w:val="3"/>
          </w:tcPr>
          <w:p>
            <w:pPr>
              <w:jc w:val="right"/>
              <w:ind w:right="564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6503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66503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2018, we owned or had a majority interest in community and neighborhood shopping centers and mixed-use properties which are operated as 104 predominantly retail real estate projects comprising approximately 24.2 million square feet. In total, the real estate projects were 94.8% leased and 93.3% occupied at March 31, 2018. We have paid quarterly dividends to our shareholders continuously since our founding in 1962 and have increased our dividends per common share for 50 consecutive years.</w:t>
      </w:r>
    </w:p>
    <w:p>
      <w:pPr>
        <w:spacing w:after="0" w:line="16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have qualified for taxation as a REIT pursuant to the Internal Revenue Code of 1986, as amended, or the Code, since we were founded, and we intend to operate in a manner that will allow us to maintain such qualification.</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Ratios of Earnings to Fixed Charges and Combined Fixed Charges and Preferred Share Dividends</w:t>
      </w:r>
    </w:p>
    <w:p>
      <w:pPr>
        <w:spacing w:after="0" w:line="22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following table sets forth our historical ratios of earnings to fixed charges and combined Fixed Charges and preferred share dividends for the periods indicated:</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For the Three Months</w:t>
            </w:r>
          </w:p>
        </w:tc>
        <w:tc>
          <w:tcPr>
            <w:tcW w:w="280" w:type="dxa"/>
            <w:vAlign w:val="bottom"/>
          </w:tcPr>
          <w:p>
            <w:pPr>
              <w:spacing w:after="0"/>
              <w:rPr>
                <w:sz w:val="14"/>
                <w:szCs w:val="14"/>
                <w:color w:val="auto"/>
              </w:rPr>
            </w:pPr>
          </w:p>
        </w:tc>
        <w:tc>
          <w:tcPr>
            <w:tcW w:w="2320" w:type="dxa"/>
            <w:vAlign w:val="bottom"/>
            <w:gridSpan w:val="7"/>
            <w:vMerge w:val="restart"/>
          </w:tcPr>
          <w:p>
            <w:pPr>
              <w:ind w:left="120"/>
              <w:spacing w:after="0"/>
              <w:rPr>
                <w:sz w:val="20"/>
                <w:szCs w:val="20"/>
                <w:color w:val="auto"/>
              </w:rPr>
            </w:pPr>
            <w:r>
              <w:rPr>
                <w:rFonts w:ascii="Arial" w:cs="Arial" w:eastAsia="Arial" w:hAnsi="Arial"/>
                <w:sz w:val="14"/>
                <w:szCs w:val="14"/>
                <w:b w:val="1"/>
                <w:bCs w:val="1"/>
                <w:color w:val="auto"/>
                <w:w w:val="94"/>
              </w:rPr>
              <w:t>For the Years Ended December 31,</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1720" w:type="dxa"/>
            <w:vAlign w:val="bottom"/>
            <w:gridSpan w:val="2"/>
          </w:tcPr>
          <w:p>
            <w:pPr>
              <w:ind w:left="140"/>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tcPr>
          <w:p>
            <w:pPr>
              <w:spacing w:after="0"/>
              <w:rPr>
                <w:sz w:val="14"/>
                <w:szCs w:val="14"/>
                <w:color w:val="auto"/>
              </w:rPr>
            </w:pPr>
          </w:p>
        </w:tc>
        <w:tc>
          <w:tcPr>
            <w:tcW w:w="2320" w:type="dxa"/>
            <w:vAlign w:val="bottom"/>
            <w:gridSpan w:val="7"/>
            <w:vMerge w:val="continue"/>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1360" w:type="dxa"/>
            <w:vAlign w:val="bottom"/>
            <w:tcBorders>
              <w:top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2017</w:t>
            </w: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2014</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36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ratio of earnings to fixed charges is computed by dividing earnings by fixed charges. In computing the ratio of earnings to fixed charges:</w:t>
      </w:r>
    </w:p>
    <w:p>
      <w:pPr>
        <w:spacing w:after="0" w:line="35" w:lineRule="exact"/>
        <w:rPr>
          <w:sz w:val="20"/>
          <w:szCs w:val="20"/>
          <w:color w:val="auto"/>
        </w:rPr>
      </w:pPr>
    </w:p>
    <w:p>
      <w:pPr>
        <w:ind w:left="200" w:right="120" w:hanging="4"/>
        <w:spacing w:after="0" w:line="254" w:lineRule="auto"/>
        <w:tabs>
          <w:tab w:leader="none" w:pos="4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190"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prepayment charges and the estimated portion of rents payable by us representing interest; and (c) preferred share dividends consist of preferred share dividends and preferred share redemption costs.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risks. Before making an investment decision, please consider the risks described under the caption “Risk Factors” in our Annual Report on Form 10-K for the fiscal year ended December 31, 2017,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76" w:lineRule="exact"/>
        <w:rPr>
          <w:sz w:val="20"/>
          <w:szCs w:val="20"/>
          <w:color w:val="auto"/>
        </w:rPr>
      </w:pPr>
    </w:p>
    <w:p>
      <w:pPr>
        <w:ind w:left="1000" w:hanging="54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131" w:lineRule="exact"/>
        <w:rPr>
          <w:sz w:val="20"/>
          <w:szCs w:val="20"/>
          <w:color w:val="auto"/>
        </w:rPr>
      </w:pPr>
    </w:p>
    <w:p>
      <w:pPr>
        <w:ind w:left="1000" w:hanging="54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2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14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may incur additional debt, subject to limitations in the agreements governing our credit and other debt facilities and other notes we may have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131" w:lineRule="exact"/>
        <w:rPr>
          <w:sz w:val="20"/>
          <w:szCs w:val="20"/>
          <w:color w:val="auto"/>
        </w:rPr>
      </w:pPr>
    </w:p>
    <w:p>
      <w:pPr>
        <w:ind w:left="1000" w:hanging="546"/>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30" w:lineRule="exact"/>
        <w:rPr>
          <w:rFonts w:ascii="Arial" w:cs="Arial" w:eastAsia="Arial" w:hAnsi="Arial"/>
          <w:sz w:val="18"/>
          <w:szCs w:val="18"/>
          <w:color w:val="auto"/>
        </w:rPr>
      </w:pPr>
    </w:p>
    <w:p>
      <w:pPr>
        <w:ind w:left="1000" w:right="40" w:hanging="546"/>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87" w:lineRule="exact"/>
        <w:rPr>
          <w:sz w:val="20"/>
          <w:szCs w:val="20"/>
          <w:color w:val="auto"/>
        </w:rPr>
      </w:pPr>
    </w:p>
    <w:p>
      <w:pPr>
        <w:ind w:left="1000" w:hanging="54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30" w:lineRule="exact"/>
        <w:rPr>
          <w:rFonts w:ascii="Arial" w:cs="Arial" w:eastAsia="Arial" w:hAnsi="Arial"/>
          <w:sz w:val="18"/>
          <w:szCs w:val="18"/>
          <w:color w:val="auto"/>
        </w:rPr>
      </w:pPr>
    </w:p>
    <w:p>
      <w:pPr>
        <w:ind w:left="1000" w:right="820" w:hanging="546"/>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determining such date or dates.</w:t>
      </w:r>
    </w:p>
    <w:p>
      <w:pPr>
        <w:spacing w:after="0" w:line="75" w:lineRule="exact"/>
        <w:rPr>
          <w:rFonts w:ascii="Arial" w:cs="Arial" w:eastAsia="Arial" w:hAnsi="Arial"/>
          <w:sz w:val="18"/>
          <w:szCs w:val="18"/>
          <w:color w:val="auto"/>
        </w:rPr>
      </w:pPr>
    </w:p>
    <w:p>
      <w:pPr>
        <w:ind w:left="1000" w:right="180" w:hanging="546"/>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30" w:lineRule="exact"/>
        <w:rPr>
          <w:rFonts w:ascii="Arial" w:cs="Arial" w:eastAsia="Arial" w:hAnsi="Arial"/>
          <w:sz w:val="18"/>
          <w:szCs w:val="18"/>
          <w:color w:val="auto"/>
        </w:rPr>
      </w:pPr>
    </w:p>
    <w:p>
      <w:pPr>
        <w:ind w:left="1000" w:right="420" w:hanging="546"/>
        <w:spacing w:after="0" w:line="342"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payment, and the basis upon which interest shall be calculated if other than that of a 360-day year of twelve 30-day months.</w:t>
      </w:r>
    </w:p>
    <w:p>
      <w:pPr>
        <w:spacing w:after="0" w:line="29" w:lineRule="exact"/>
        <w:rPr>
          <w:rFonts w:ascii="Arial" w:cs="Arial" w:eastAsia="Arial" w:hAnsi="Arial"/>
          <w:sz w:val="16"/>
          <w:szCs w:val="16"/>
          <w:color w:val="auto"/>
        </w:rPr>
      </w:pPr>
    </w:p>
    <w:p>
      <w:pPr>
        <w:ind w:left="1000" w:right="420" w:hanging="546"/>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the offered debt securities may be surrendered for registration of transfer or exchange.</w:t>
      </w:r>
    </w:p>
    <w:p>
      <w:pPr>
        <w:spacing w:after="0" w:line="75" w:lineRule="exact"/>
        <w:rPr>
          <w:rFonts w:ascii="Arial" w:cs="Arial" w:eastAsia="Arial" w:hAnsi="Arial"/>
          <w:sz w:val="18"/>
          <w:szCs w:val="18"/>
          <w:color w:val="auto"/>
        </w:rPr>
      </w:pPr>
    </w:p>
    <w:p>
      <w:pPr>
        <w:ind w:left="1000" w:right="20" w:hanging="546"/>
        <w:spacing w:after="0" w:line="264"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46" w:lineRule="exact"/>
        <w:rPr>
          <w:rFonts w:ascii="Arial" w:cs="Arial" w:eastAsia="Arial" w:hAnsi="Arial"/>
          <w:sz w:val="18"/>
          <w:szCs w:val="18"/>
          <w:color w:val="auto"/>
        </w:rPr>
      </w:pPr>
    </w:p>
    <w:p>
      <w:pPr>
        <w:ind w:left="1000" w:right="360" w:hanging="546"/>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Mandatory Redemption. </w:t>
      </w:r>
      <w:r>
        <w:rPr>
          <w:rFonts w:ascii="Arial" w:cs="Arial" w:eastAsia="Arial" w:hAnsi="Arial"/>
          <w:sz w:val="18"/>
          <w:szCs w:val="18"/>
          <w:color w:val="auto"/>
        </w:rPr>
        <w:t>The obligation, if any, we have to redeem or repurchase the offered debt securities pursuant to any sinking fund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similar provisions or upon the happening of a specified event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right="220"/>
        <w:spacing w:after="0" w:line="264" w:lineRule="auto"/>
        <w:rPr>
          <w:sz w:val="20"/>
          <w:szCs w:val="20"/>
          <w:color w:val="auto"/>
        </w:rPr>
      </w:pPr>
      <w:r>
        <w:rPr>
          <w:rFonts w:ascii="Arial" w:cs="Arial" w:eastAsia="Arial" w:hAnsi="Arial"/>
          <w:sz w:val="18"/>
          <w:szCs w:val="18"/>
          <w:color w:val="auto"/>
        </w:rPr>
        <w:t>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87" w:lineRule="exact"/>
        <w:rPr>
          <w:sz w:val="20"/>
          <w:szCs w:val="20"/>
          <w:color w:val="auto"/>
        </w:rPr>
      </w:pPr>
    </w:p>
    <w:p>
      <w:pPr>
        <w:ind w:left="1000" w:hanging="546"/>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30" w:lineRule="exact"/>
        <w:rPr>
          <w:rFonts w:ascii="Arial" w:cs="Arial" w:eastAsia="Arial" w:hAnsi="Arial"/>
          <w:sz w:val="18"/>
          <w:szCs w:val="18"/>
          <w:color w:val="auto"/>
        </w:rPr>
      </w:pPr>
    </w:p>
    <w:p>
      <w:pPr>
        <w:jc w:val="both"/>
        <w:ind w:left="1000" w:right="60" w:hanging="546"/>
        <w:spacing w:after="0" w:line="279"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Currency. </w:t>
      </w:r>
      <w:r>
        <w:rPr>
          <w:rFonts w:ascii="Arial" w:cs="Arial" w:eastAsia="Arial" w:hAnsi="Arial"/>
          <w:sz w:val="17"/>
          <w:szCs w:val="17"/>
          <w:color w:val="auto"/>
        </w:rPr>
        <w:t>The currency or currency unit in which the offered debt securities may be denominated and/or the currency or currencies,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76" w:lineRule="exact"/>
        <w:rPr>
          <w:rFonts w:ascii="Arial" w:cs="Arial" w:eastAsia="Arial" w:hAnsi="Arial"/>
          <w:sz w:val="17"/>
          <w:szCs w:val="17"/>
          <w:color w:val="auto"/>
        </w:rPr>
      </w:pPr>
    </w:p>
    <w:p>
      <w:pPr>
        <w:ind w:left="1000" w:hanging="546"/>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index or pursuant to a formula or other method, the manner in which such amounts will be determined.</w:t>
      </w:r>
    </w:p>
    <w:p>
      <w:pPr>
        <w:spacing w:after="0" w:line="75" w:lineRule="exact"/>
        <w:rPr>
          <w:rFonts w:ascii="Arial" w:cs="Arial" w:eastAsia="Arial" w:hAnsi="Arial"/>
          <w:sz w:val="18"/>
          <w:szCs w:val="18"/>
          <w:color w:val="auto"/>
        </w:rPr>
      </w:pPr>
    </w:p>
    <w:p>
      <w:pPr>
        <w:ind w:left="1000" w:right="400" w:hanging="546"/>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or the method by which such portion shall be determined.</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 Rights. </w:t>
      </w:r>
      <w:r>
        <w:rPr>
          <w:rFonts w:ascii="Arial" w:cs="Arial" w:eastAsia="Arial" w:hAnsi="Arial"/>
          <w:sz w:val="17"/>
          <w:szCs w:val="17"/>
          <w:color w:val="auto"/>
        </w:rPr>
        <w:t>Provisions, if any, granting special rights to the holders of the offered debt securities if certain specified events occur.</w:t>
      </w:r>
    </w:p>
    <w:p>
      <w:pPr>
        <w:spacing w:after="0" w:line="142" w:lineRule="exact"/>
        <w:rPr>
          <w:rFonts w:ascii="Arial" w:cs="Arial" w:eastAsia="Arial" w:hAnsi="Arial"/>
          <w:sz w:val="17"/>
          <w:szCs w:val="17"/>
          <w:color w:val="auto"/>
        </w:rPr>
      </w:pPr>
    </w:p>
    <w:p>
      <w:pPr>
        <w:ind w:left="1000" w:right="500" w:hanging="546"/>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indenture with respect to the offered debt securities.</w:t>
      </w:r>
    </w:p>
    <w:p>
      <w:pPr>
        <w:spacing w:after="0" w:line="75" w:lineRule="exact"/>
        <w:rPr>
          <w:rFonts w:ascii="Arial" w:cs="Arial" w:eastAsia="Arial" w:hAnsi="Arial"/>
          <w:sz w:val="18"/>
          <w:szCs w:val="18"/>
          <w:color w:val="auto"/>
        </w:rPr>
      </w:pPr>
    </w:p>
    <w:p>
      <w:pPr>
        <w:ind w:left="1000" w:right="560" w:hanging="546"/>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persons for taxes, assessments or similar charges.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30" w:lineRule="exact"/>
        <w:rPr>
          <w:rFonts w:ascii="Arial" w:cs="Arial" w:eastAsia="Arial" w:hAnsi="Arial"/>
          <w:sz w:val="18"/>
          <w:szCs w:val="18"/>
          <w:color w:val="auto"/>
        </w:rPr>
      </w:pPr>
    </w:p>
    <w:p>
      <w:pPr>
        <w:ind w:left="1000" w:right="840" w:hanging="546"/>
        <w:spacing w:after="0" w:line="308"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Dates of Certificates. </w:t>
      </w:r>
      <w:r>
        <w:rPr>
          <w:rFonts w:ascii="Arial" w:cs="Arial" w:eastAsia="Arial" w:hAnsi="Arial"/>
          <w:sz w:val="17"/>
          <w:szCs w:val="17"/>
          <w:color w:val="auto"/>
        </w:rPr>
        <w:t>The date as of which any offered debt securities in bearer form and any temporary global security representing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securities are dated, if other than the original issuance date of the offered debt securities.</w:t>
      </w:r>
    </w:p>
    <w:p>
      <w:pPr>
        <w:spacing w:after="0" w:line="51" w:lineRule="exact"/>
        <w:rPr>
          <w:rFonts w:ascii="Arial" w:cs="Arial" w:eastAsia="Arial" w:hAnsi="Arial"/>
          <w:sz w:val="17"/>
          <w:szCs w:val="17"/>
          <w:color w:val="auto"/>
        </w:rPr>
      </w:pPr>
    </w:p>
    <w:p>
      <w:pPr>
        <w:ind w:left="1000" w:hanging="546"/>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30" w:lineRule="exact"/>
        <w:rPr>
          <w:rFonts w:ascii="Arial" w:cs="Arial" w:eastAsia="Arial" w:hAnsi="Arial"/>
          <w:sz w:val="18"/>
          <w:szCs w:val="18"/>
          <w:color w:val="auto"/>
        </w:rPr>
      </w:pPr>
    </w:p>
    <w:p>
      <w:pPr>
        <w:ind w:left="1000" w:right="220" w:hanging="546"/>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30" w:lineRule="exact"/>
        <w:rPr>
          <w:rFonts w:ascii="Arial" w:cs="Arial" w:eastAsia="Arial" w:hAnsi="Arial"/>
          <w:sz w:val="18"/>
          <w:szCs w:val="18"/>
          <w:color w:val="auto"/>
        </w:rPr>
      </w:pPr>
    </w:p>
    <w:p>
      <w:pPr>
        <w:ind w:left="1000" w:right="100" w:hanging="546"/>
        <w:spacing w:after="0" w:line="259"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92" w:lineRule="exact"/>
        <w:rPr>
          <w:rFonts w:ascii="Arial" w:cs="Arial" w:eastAsia="Arial" w:hAnsi="Arial"/>
          <w:sz w:val="18"/>
          <w:szCs w:val="18"/>
          <w:color w:val="auto"/>
        </w:rPr>
      </w:pPr>
    </w:p>
    <w:p>
      <w:pPr>
        <w:ind w:left="1000" w:right="40" w:hanging="546"/>
        <w:spacing w:after="0" w:line="264"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of certain certificates or other documents or satisfaction of other conditions in addition to those specified in the applicable indenture, the form of those certificates, documents or conditions.</w:t>
      </w:r>
    </w:p>
    <w:p>
      <w:pPr>
        <w:spacing w:after="0" w:line="86" w:lineRule="exact"/>
        <w:rPr>
          <w:rFonts w:ascii="Arial" w:cs="Arial" w:eastAsia="Arial" w:hAnsi="Arial"/>
          <w:sz w:val="18"/>
          <w:szCs w:val="18"/>
          <w:color w:val="auto"/>
        </w:rPr>
      </w:pPr>
    </w:p>
    <w:p>
      <w:pPr>
        <w:ind w:left="1000" w:right="320" w:hanging="546"/>
        <w:spacing w:after="0" w:line="308"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Payees. </w:t>
      </w:r>
      <w:r>
        <w:rPr>
          <w:rFonts w:ascii="Arial" w:cs="Arial" w:eastAsia="Arial" w:hAnsi="Arial"/>
          <w:sz w:val="17"/>
          <w:szCs w:val="17"/>
          <w:color w:val="auto"/>
        </w:rPr>
        <w:t>If other than as provided in the applicable indenture, the person to whom any interest on any registered security of the series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and the manner in which, or the person to whom, any interest on any bearer securities of the series will be payable.</w:t>
      </w:r>
    </w:p>
    <w:p>
      <w:pPr>
        <w:spacing w:after="0" w:line="51" w:lineRule="exact"/>
        <w:rPr>
          <w:rFonts w:ascii="Arial" w:cs="Arial" w:eastAsia="Arial" w:hAnsi="Arial"/>
          <w:sz w:val="17"/>
          <w:szCs w:val="17"/>
          <w:color w:val="auto"/>
        </w:rPr>
      </w:pPr>
    </w:p>
    <w:p>
      <w:pPr>
        <w:ind w:left="1000" w:right="200" w:hanging="546"/>
        <w:spacing w:after="0" w:line="308"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Definitions. </w:t>
      </w:r>
      <w:r>
        <w:rPr>
          <w:rFonts w:ascii="Arial" w:cs="Arial" w:eastAsia="Arial" w:hAnsi="Arial"/>
          <w:sz w:val="17"/>
          <w:szCs w:val="17"/>
          <w:color w:val="auto"/>
        </w:rPr>
        <w:t>Any definitions for the offered debt securities of that series that are different from or in addition to the definitions included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indenture, including, without limitation, the definition of “unrestricted subsidiary” to be used for such series.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hanging="546"/>
        <w:spacing w:after="0" w:line="34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29" w:lineRule="exact"/>
        <w:rPr>
          <w:rFonts w:ascii="Arial" w:cs="Arial" w:eastAsia="Arial" w:hAnsi="Arial"/>
          <w:sz w:val="16"/>
          <w:szCs w:val="16"/>
          <w:color w:val="auto"/>
        </w:rPr>
      </w:pPr>
    </w:p>
    <w:p>
      <w:pPr>
        <w:ind w:left="1000" w:right="80" w:hanging="546"/>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75" w:lineRule="exact"/>
        <w:rPr>
          <w:rFonts w:ascii="Arial" w:cs="Arial" w:eastAsia="Arial" w:hAnsi="Arial"/>
          <w:sz w:val="18"/>
          <w:szCs w:val="18"/>
          <w:color w:val="auto"/>
        </w:rPr>
      </w:pPr>
    </w:p>
    <w:p>
      <w:pPr>
        <w:jc w:val="both"/>
        <w:ind w:left="1000" w:right="40" w:hanging="546"/>
        <w:spacing w:after="0" w:line="286"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Conversion. </w:t>
      </w:r>
      <w:r>
        <w:rPr>
          <w:rFonts w:ascii="Arial" w:cs="Arial" w:eastAsia="Arial" w:hAnsi="Arial"/>
          <w:sz w:val="17"/>
          <w:szCs w:val="17"/>
          <w:color w:val="auto"/>
        </w:rPr>
        <w:t>The terms, if any, upon which the offered debt securities may be converted or exchanged into or for our common shares,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70" w:lineRule="exact"/>
        <w:rPr>
          <w:rFonts w:ascii="Arial" w:cs="Arial" w:eastAsia="Arial" w:hAnsi="Arial"/>
          <w:sz w:val="17"/>
          <w:szCs w:val="17"/>
          <w:color w:val="auto"/>
        </w:rPr>
      </w:pPr>
    </w:p>
    <w:p>
      <w:pPr>
        <w:ind w:left="1000" w:hanging="546"/>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30" w:lineRule="exact"/>
        <w:rPr>
          <w:rFonts w:ascii="Arial" w:cs="Arial" w:eastAsia="Arial" w:hAnsi="Arial"/>
          <w:sz w:val="18"/>
          <w:szCs w:val="18"/>
          <w:color w:val="auto"/>
        </w:rPr>
      </w:pPr>
    </w:p>
    <w:p>
      <w:pPr>
        <w:ind w:left="1000" w:right="60" w:hanging="546"/>
        <w:spacing w:after="0" w:line="34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required or advisable under U.S. laws or regulations or advisable, as we determine, in connection with marketing of securities of the series.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131" w:lineRule="exact"/>
        <w:rPr>
          <w:sz w:val="20"/>
          <w:szCs w:val="20"/>
          <w:color w:val="auto"/>
        </w:rPr>
      </w:pPr>
    </w:p>
    <w:p>
      <w:pPr>
        <w:ind w:left="1000" w:right="240" w:hanging="546"/>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75" w:lineRule="exact"/>
        <w:rPr>
          <w:rFonts w:ascii="Arial" w:cs="Arial" w:eastAsia="Arial" w:hAnsi="Arial"/>
          <w:sz w:val="18"/>
          <w:szCs w:val="18"/>
          <w:color w:val="auto"/>
        </w:rPr>
      </w:pPr>
    </w:p>
    <w:p>
      <w:pPr>
        <w:ind w:left="1000" w:right="100" w:hanging="546"/>
        <w:spacing w:after="0" w:line="312"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131" w:lineRule="exact"/>
        <w:rPr>
          <w:sz w:val="20"/>
          <w:szCs w:val="20"/>
          <w:color w:val="auto"/>
        </w:rPr>
      </w:pPr>
    </w:p>
    <w:p>
      <w:pPr>
        <w:ind w:left="1000" w:hanging="546"/>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131" w:lineRule="exact"/>
        <w:rPr>
          <w:sz w:val="20"/>
          <w:szCs w:val="20"/>
          <w:color w:val="auto"/>
        </w:rPr>
      </w:pPr>
    </w:p>
    <w:p>
      <w:pPr>
        <w:ind w:left="1000" w:hanging="546"/>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other currency may be a currency unit composed of various currencies. Payments on debt securities may also be based on an index.</w:t>
      </w:r>
    </w:p>
    <w:p>
      <w:pPr>
        <w:spacing w:after="0" w:line="23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U.S. Bank National Association, 214 North Tryon Street, 27</w:t>
      </w:r>
      <w:r>
        <w:rPr>
          <w:rFonts w:ascii="Arial" w:cs="Arial" w:eastAsia="Arial" w:hAnsi="Arial"/>
          <w:sz w:val="14"/>
          <w:szCs w:val="14"/>
          <w:color w:val="auto"/>
        </w:rPr>
        <w:t>th</w:t>
      </w:r>
      <w:r>
        <w:rPr>
          <w:rFonts w:ascii="Arial" w:cs="Arial" w:eastAsia="Arial" w:hAnsi="Arial"/>
          <w:sz w:val="17"/>
          <w:szCs w:val="17"/>
          <w:color w:val="auto"/>
        </w:rPr>
        <w:t xml:space="preserve"> Floor, Charlotte, North Carolina 28202. We will notify you of any change in the office’s location. At our option, however, we may make any interest payments on debt securities issued in registered form by:</w:t>
      </w:r>
    </w:p>
    <w:p>
      <w:pPr>
        <w:spacing w:after="0" w:line="71" w:lineRule="exact"/>
        <w:rPr>
          <w:sz w:val="20"/>
          <w:szCs w:val="20"/>
          <w:color w:val="auto"/>
        </w:rPr>
      </w:pPr>
    </w:p>
    <w:p>
      <w:pPr>
        <w:ind w:left="1000" w:hanging="546"/>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131" w:lineRule="exact"/>
        <w:rPr>
          <w:sz w:val="20"/>
          <w:szCs w:val="20"/>
          <w:color w:val="auto"/>
        </w:rPr>
      </w:pPr>
    </w:p>
    <w:p>
      <w:pPr>
        <w:ind w:left="1000" w:hanging="54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225"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b w:val="1"/>
          <w:bCs w:val="1"/>
          <w:i w:val="1"/>
          <w:iCs w:val="1"/>
          <w:color w:val="auto"/>
        </w:rPr>
        <w:t xml:space="preserve">Existence. </w:t>
      </w:r>
      <w:r>
        <w:rPr>
          <w:rFonts w:ascii="Arial" w:cs="Arial" w:eastAsia="Arial" w:hAnsi="Arial"/>
          <w:sz w:val="17"/>
          <w:szCs w:val="17"/>
          <w:color w:val="auto"/>
        </w:rPr>
        <w:t>Except as permitted under “Consolidation, Merger or Sale of Assets,” we will do or cause to be done all things necessary to preserve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66"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Maintenance of Properties. </w:t>
      </w:r>
      <w:r>
        <w:rPr>
          <w:rFonts w:ascii="Arial" w:cs="Arial" w:eastAsia="Arial" w:hAnsi="Arial"/>
          <w:sz w:val="17"/>
          <w:szCs w:val="17"/>
          <w:color w:val="auto"/>
        </w:rPr>
        <w:t>We will cause all of our material properties used or useful in the conduct of our business to be maintained and kept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131" w:lineRule="exact"/>
        <w:rPr>
          <w:sz w:val="20"/>
          <w:szCs w:val="20"/>
          <w:color w:val="auto"/>
        </w:rPr>
      </w:pPr>
    </w:p>
    <w:p>
      <w:pPr>
        <w:ind w:left="1000" w:hanging="546"/>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29" w:lineRule="exact"/>
        <w:rPr>
          <w:sz w:val="20"/>
          <w:szCs w:val="20"/>
          <w:color w:val="auto"/>
        </w:rPr>
      </w:pPr>
    </w:p>
    <w:p>
      <w:pPr>
        <w:jc w:val="both"/>
        <w:ind w:left="1000" w:right="80" w:hanging="546"/>
        <w:spacing w:after="0" w:line="264"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86" w:lineRule="exact"/>
        <w:rPr>
          <w:rFonts w:ascii="Arial" w:cs="Arial" w:eastAsia="Arial" w:hAnsi="Arial"/>
          <w:sz w:val="18"/>
          <w:szCs w:val="18"/>
          <w:color w:val="auto"/>
        </w:rPr>
      </w:pPr>
    </w:p>
    <w:p>
      <w:pPr>
        <w:ind w:left="1000" w:right="160" w:hanging="546"/>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75" w:lineRule="exact"/>
        <w:rPr>
          <w:rFonts w:ascii="Arial" w:cs="Arial" w:eastAsia="Arial" w:hAnsi="Arial"/>
          <w:sz w:val="18"/>
          <w:szCs w:val="18"/>
          <w:color w:val="auto"/>
        </w:rPr>
      </w:pPr>
    </w:p>
    <w:p>
      <w:pPr>
        <w:ind w:left="1000" w:right="580" w:hanging="546"/>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121"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29" w:lineRule="exact"/>
        <w:rPr>
          <w:sz w:val="20"/>
          <w:szCs w:val="20"/>
          <w:color w:val="auto"/>
        </w:rPr>
      </w:pPr>
    </w:p>
    <w:p>
      <w:pPr>
        <w:ind w:left="1000" w:hanging="546"/>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130" w:lineRule="exact"/>
        <w:rPr>
          <w:rFonts w:ascii="Arial" w:cs="Arial" w:eastAsia="Arial" w:hAnsi="Arial"/>
          <w:sz w:val="18"/>
          <w:szCs w:val="18"/>
          <w:color w:val="auto"/>
        </w:rPr>
      </w:pPr>
    </w:p>
    <w:p>
      <w:pPr>
        <w:ind w:left="1480" w:right="100" w:hanging="446"/>
        <w:spacing w:after="0" w:line="264" w:lineRule="auto"/>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86" w:lineRule="exact"/>
        <w:rPr>
          <w:rFonts w:ascii="Arial" w:cs="Arial" w:eastAsia="Arial" w:hAnsi="Arial"/>
          <w:sz w:val="18"/>
          <w:szCs w:val="18"/>
          <w:color w:val="auto"/>
        </w:rPr>
      </w:pPr>
    </w:p>
    <w:p>
      <w:pPr>
        <w:ind w:left="1000" w:right="720" w:hanging="546"/>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75" w:lineRule="exact"/>
        <w:rPr>
          <w:rFonts w:ascii="Arial" w:cs="Arial" w:eastAsia="Arial" w:hAnsi="Arial"/>
          <w:sz w:val="18"/>
          <w:szCs w:val="18"/>
          <w:color w:val="auto"/>
        </w:rPr>
      </w:pPr>
    </w:p>
    <w:p>
      <w:pPr>
        <w:ind w:left="1000" w:hanging="546"/>
        <w:spacing w:after="0" w:line="259"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Generally. </w:t>
      </w:r>
      <w:r>
        <w:rPr>
          <w:rFonts w:ascii="Arial" w:cs="Arial" w:eastAsia="Arial" w:hAnsi="Arial"/>
          <w:sz w:val="18"/>
          <w:szCs w:val="18"/>
          <w:color w:val="auto"/>
        </w:rPr>
        <w:t>Unless we say otherwise in a prospectus supplement, the payment of principal, premium, if any, and interest on subordinated debt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spacing w:after="0" w:line="87" w:lineRule="exact"/>
        <w:rPr>
          <w:sz w:val="20"/>
          <w:szCs w:val="20"/>
          <w:color w:val="auto"/>
        </w:rPr>
      </w:pPr>
    </w:p>
    <w:p>
      <w:pPr>
        <w:ind w:left="1000" w:hanging="546"/>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30" w:lineRule="exact"/>
        <w:rPr>
          <w:rFonts w:ascii="Arial" w:cs="Arial" w:eastAsia="Arial" w:hAnsi="Arial"/>
          <w:sz w:val="18"/>
          <w:szCs w:val="18"/>
          <w:color w:val="auto"/>
        </w:rPr>
      </w:pPr>
    </w:p>
    <w:p>
      <w:pPr>
        <w:ind w:left="1000" w:right="80" w:hanging="546"/>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75" w:lineRule="exact"/>
        <w:rPr>
          <w:rFonts w:ascii="Arial" w:cs="Arial" w:eastAsia="Arial" w:hAnsi="Arial"/>
          <w:sz w:val="18"/>
          <w:szCs w:val="18"/>
          <w:color w:val="auto"/>
        </w:rPr>
      </w:pPr>
    </w:p>
    <w:p>
      <w:pPr>
        <w:ind w:left="1000" w:right="620" w:hanging="546"/>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obligations as lessee under leases of property whether made as part of any sale and leaseback transaction to which we are a party or otherwise;</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30" w:lineRule="exact"/>
        <w:rPr>
          <w:rFonts w:ascii="Arial" w:cs="Arial" w:eastAsia="Arial" w:hAnsi="Arial"/>
          <w:sz w:val="18"/>
          <w:szCs w:val="18"/>
          <w:color w:val="auto"/>
        </w:rPr>
      </w:pPr>
    </w:p>
    <w:p>
      <w:pPr>
        <w:ind w:left="1000" w:right="480" w:hanging="546"/>
        <w:spacing w:after="0" w:line="342"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hanging="546"/>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75" w:lineRule="exact"/>
        <w:rPr>
          <w:rFonts w:ascii="Arial" w:cs="Arial" w:eastAsia="Arial" w:hAnsi="Arial"/>
          <w:sz w:val="18"/>
          <w:szCs w:val="18"/>
          <w:color w:val="auto"/>
        </w:rPr>
      </w:pPr>
    </w:p>
    <w:p>
      <w:pPr>
        <w:ind w:left="1480" w:right="40" w:hanging="446"/>
        <w:spacing w:after="0" w:line="312" w:lineRule="auto"/>
        <w:tabs>
          <w:tab w:leader="none" w:pos="14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52" w:lineRule="exact"/>
        <w:rPr>
          <w:rFonts w:ascii="Arial" w:cs="Arial" w:eastAsia="Arial" w:hAnsi="Arial"/>
          <w:sz w:val="16"/>
          <w:szCs w:val="16"/>
          <w:color w:val="auto"/>
        </w:rPr>
      </w:pPr>
    </w:p>
    <w:p>
      <w:pPr>
        <w:ind w:left="1480" w:right="80" w:hanging="446"/>
        <w:spacing w:after="0" w:line="277"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there will be no restrictions in any subordinated indenture upon the creation of additional senior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76" w:lineRule="exact"/>
        <w:rPr>
          <w:sz w:val="20"/>
          <w:szCs w:val="20"/>
          <w:color w:val="auto"/>
        </w:rPr>
      </w:pPr>
    </w:p>
    <w:p>
      <w:pPr>
        <w:ind w:left="1000" w:hanging="546"/>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must resume payment on our subordinated debt securities, and make any payments we have missed, when one of the following has occurred:</w:t>
      </w:r>
    </w:p>
    <w:p>
      <w:pPr>
        <w:spacing w:after="0" w:line="142" w:lineRule="exact"/>
        <w:rPr>
          <w:sz w:val="20"/>
          <w:szCs w:val="20"/>
          <w:color w:val="auto"/>
        </w:rPr>
      </w:pPr>
    </w:p>
    <w:p>
      <w:pPr>
        <w:ind w:left="1000" w:hanging="546"/>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76" w:lineRule="exact"/>
        <w:rPr>
          <w:sz w:val="20"/>
          <w:szCs w:val="20"/>
          <w:color w:val="auto"/>
        </w:rPr>
      </w:pPr>
    </w:p>
    <w:p>
      <w:pPr>
        <w:ind w:left="1000" w:hanging="546"/>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225"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87" w:lineRule="exact"/>
        <w:rPr>
          <w:sz w:val="20"/>
          <w:szCs w:val="20"/>
          <w:color w:val="auto"/>
        </w:rPr>
      </w:pPr>
    </w:p>
    <w:p>
      <w:pPr>
        <w:ind w:left="1000" w:right="420" w:hanging="546"/>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that is 179 days after receipt of notice (unless we have previously been required to pay all amounts owing on the applicable senior debt);</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53" w:lineRule="exact"/>
        <w:rPr>
          <w:rFonts w:ascii="Arial" w:cs="Arial" w:eastAsia="Arial" w:hAnsi="Arial"/>
          <w:sz w:val="16"/>
          <w:szCs w:val="16"/>
          <w:color w:val="auto"/>
        </w:rPr>
      </w:pPr>
    </w:p>
    <w:p>
      <w:pPr>
        <w:ind w:left="1000" w:hanging="546"/>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53" w:lineRule="exact"/>
        <w:rPr>
          <w:rFonts w:ascii="Arial" w:cs="Arial" w:eastAsia="Arial" w:hAnsi="Arial"/>
          <w:sz w:val="16"/>
          <w:szCs w:val="16"/>
          <w:color w:val="auto"/>
        </w:rPr>
      </w:pPr>
    </w:p>
    <w:p>
      <w:pPr>
        <w:ind w:left="1000" w:right="120" w:hanging="546"/>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170" w:lineRule="exact"/>
        <w:rPr>
          <w:sz w:val="20"/>
          <w:szCs w:val="20"/>
          <w:color w:val="auto"/>
        </w:rPr>
      </w:pPr>
    </w:p>
    <w:p>
      <w:pPr>
        <w:ind w:right="140" w:firstLine="464"/>
        <w:spacing w:after="0" w:line="277" w:lineRule="auto"/>
        <w:tabs>
          <w:tab w:leader="none" w:pos="62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170" w:lineRule="exact"/>
        <w:rPr>
          <w:rFonts w:ascii="Arial" w:cs="Arial" w:eastAsia="Arial" w:hAnsi="Arial"/>
          <w:sz w:val="18"/>
          <w:szCs w:val="18"/>
          <w:color w:val="auto"/>
        </w:rPr>
      </w:pPr>
    </w:p>
    <w:p>
      <w:pPr>
        <w:ind w:right="280" w:firstLine="464"/>
        <w:spacing w:after="0" w:line="277" w:lineRule="auto"/>
        <w:tabs>
          <w:tab w:leader="none" w:pos="62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225" w:lineRule="exact"/>
        <w:rPr>
          <w:rFonts w:ascii="Arial" w:cs="Arial" w:eastAsia="Arial" w:hAnsi="Arial"/>
          <w:sz w:val="18"/>
          <w:szCs w:val="18"/>
          <w:color w:val="auto"/>
        </w:rPr>
      </w:pPr>
    </w:p>
    <w:p>
      <w:pPr>
        <w:ind w:firstLine="464"/>
        <w:spacing w:after="0" w:line="264" w:lineRule="auto"/>
        <w:tabs>
          <w:tab w:leader="none" w:pos="62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181" w:lineRule="exact"/>
        <w:rPr>
          <w:sz w:val="20"/>
          <w:szCs w:val="20"/>
          <w:color w:val="auto"/>
        </w:rPr>
      </w:pPr>
    </w:p>
    <w:p>
      <w:pPr>
        <w:ind w:left="700" w:hanging="23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225" w:lineRule="exact"/>
        <w:rPr>
          <w:sz w:val="20"/>
          <w:szCs w:val="20"/>
          <w:color w:val="auto"/>
        </w:rPr>
      </w:pPr>
    </w:p>
    <w:p>
      <w:pPr>
        <w:ind w:right="20" w:firstLine="464"/>
        <w:spacing w:after="0" w:line="271" w:lineRule="auto"/>
        <w:tabs>
          <w:tab w:leader="none" w:pos="63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78" w:lineRule="exact"/>
        <w:rPr>
          <w:rFonts w:ascii="Arial" w:cs="Arial" w:eastAsia="Arial" w:hAnsi="Arial"/>
          <w:sz w:val="17"/>
          <w:szCs w:val="17"/>
          <w:color w:val="auto"/>
        </w:rPr>
      </w:pPr>
    </w:p>
    <w:p>
      <w:pPr>
        <w:ind w:left="640" w:hanging="17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225" w:lineRule="exact"/>
        <w:rPr>
          <w:sz w:val="20"/>
          <w:szCs w:val="20"/>
          <w:color w:val="auto"/>
        </w:rPr>
      </w:pPr>
    </w:p>
    <w:p>
      <w:pPr>
        <w:ind w:left="700" w:hanging="23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225" w:lineRule="exact"/>
        <w:rPr>
          <w:rFonts w:ascii="Arial" w:cs="Arial" w:eastAsia="Arial" w:hAnsi="Arial"/>
          <w:sz w:val="18"/>
          <w:szCs w:val="18"/>
          <w:color w:val="auto"/>
        </w:rPr>
      </w:pPr>
    </w:p>
    <w:p>
      <w:pPr>
        <w:jc w:val="center"/>
        <w:ind w:left="5620" w:right="240" w:hanging="5156"/>
        <w:spacing w:after="0" w:line="449" w:lineRule="auto"/>
        <w:tabs>
          <w:tab w:leader="none" w:pos="7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 and the order or decree remains unstayed and in effect for 90 days. 10</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We or any of our significant subsidiaries do any of the following:</w:t>
      </w:r>
    </w:p>
    <w:p>
      <w:pPr>
        <w:spacing w:after="0" w:line="225" w:lineRule="exact"/>
        <w:rPr>
          <w:sz w:val="20"/>
          <w:szCs w:val="20"/>
          <w:color w:val="auto"/>
        </w:rPr>
      </w:pPr>
    </w:p>
    <w:p>
      <w:pPr>
        <w:ind w:left="700" w:hanging="23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225" w:lineRule="exact"/>
        <w:rPr>
          <w:rFonts w:ascii="Arial" w:cs="Arial" w:eastAsia="Arial" w:hAnsi="Arial"/>
          <w:sz w:val="18"/>
          <w:szCs w:val="18"/>
          <w:color w:val="auto"/>
        </w:rPr>
      </w:pPr>
    </w:p>
    <w:p>
      <w:pPr>
        <w:ind w:right="200" w:firstLine="464"/>
        <w:spacing w:after="0" w:line="277" w:lineRule="auto"/>
        <w:tabs>
          <w:tab w:leader="none" w:pos="7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170" w:lineRule="exact"/>
        <w:rPr>
          <w:rFonts w:ascii="Arial" w:cs="Arial" w:eastAsia="Arial" w:hAnsi="Arial"/>
          <w:sz w:val="18"/>
          <w:szCs w:val="18"/>
          <w:color w:val="auto"/>
        </w:rPr>
      </w:pPr>
    </w:p>
    <w:p>
      <w:pPr>
        <w:ind w:left="700" w:hanging="236"/>
        <w:spacing w:after="0"/>
        <w:tabs>
          <w:tab w:leader="none" w:pos="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consent to the appointment of a receiver in respect of us or any of our significant subsidiaries for all or substantially all of our or its property; or</w:t>
      </w:r>
    </w:p>
    <w:p>
      <w:pPr>
        <w:spacing w:after="0" w:line="236" w:lineRule="exact"/>
        <w:rPr>
          <w:rFonts w:ascii="Arial" w:cs="Arial" w:eastAsia="Arial" w:hAnsi="Arial"/>
          <w:sz w:val="17"/>
          <w:szCs w:val="17"/>
          <w:color w:val="auto"/>
        </w:rPr>
      </w:pPr>
    </w:p>
    <w:p>
      <w:pPr>
        <w:ind w:left="720" w:hanging="256"/>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Any other event of default provided with respect to the debt securities of that series.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76" w:lineRule="exact"/>
        <w:rPr>
          <w:sz w:val="20"/>
          <w:szCs w:val="20"/>
          <w:color w:val="auto"/>
        </w:rPr>
      </w:pPr>
    </w:p>
    <w:p>
      <w:pPr>
        <w:ind w:left="1000" w:hanging="546"/>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22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occurs 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58"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b w:val="1"/>
          <w:bCs w:val="1"/>
          <w:i w:val="1"/>
          <w:iCs w:val="1"/>
          <w:color w:val="auto"/>
        </w:rPr>
        <w:t xml:space="preserve">Waiver of Acceleration. </w:t>
      </w:r>
      <w:r>
        <w:rPr>
          <w:rFonts w:ascii="Arial" w:cs="Arial" w:eastAsia="Arial" w:hAnsi="Arial"/>
          <w:sz w:val="17"/>
          <w:szCs w:val="17"/>
          <w:color w:val="auto"/>
        </w:rPr>
        <w:t>Unless we say otherwise in a prospectus supplement, each indenture provides or will provide that, after a declaration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71" w:lineRule="exact"/>
        <w:rPr>
          <w:sz w:val="20"/>
          <w:szCs w:val="20"/>
          <w:color w:val="auto"/>
        </w:rPr>
      </w:pPr>
    </w:p>
    <w:p>
      <w:pPr>
        <w:ind w:left="1000" w:hanging="546"/>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30" w:lineRule="exact"/>
        <w:rPr>
          <w:rFonts w:ascii="Arial" w:cs="Arial" w:eastAsia="Arial" w:hAnsi="Arial"/>
          <w:sz w:val="18"/>
          <w:szCs w:val="18"/>
          <w:color w:val="auto"/>
        </w:rPr>
      </w:pPr>
    </w:p>
    <w:p>
      <w:pPr>
        <w:ind w:left="1480" w:right="660" w:hanging="446"/>
        <w:spacing w:after="0" w:line="277"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overdue interest and any additional amounts payable on all outstanding debt securities of the applicable series and any related coupons,</w:t>
      </w:r>
    </w:p>
    <w:p>
      <w:pPr>
        <w:spacing w:after="0" w:line="75" w:lineRule="exact"/>
        <w:rPr>
          <w:rFonts w:ascii="Arial" w:cs="Arial" w:eastAsia="Arial" w:hAnsi="Arial"/>
          <w:sz w:val="18"/>
          <w:szCs w:val="18"/>
          <w:color w:val="auto"/>
        </w:rPr>
      </w:pPr>
    </w:p>
    <w:p>
      <w:pPr>
        <w:ind w:left="1480" w:hanging="446"/>
        <w:spacing w:after="0" w:line="277"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to the extent that payment of such interest is lawful, interest upon overdue interest at the rate borne by the debt securities, and</w:t>
      </w:r>
    </w:p>
    <w:p>
      <w:pPr>
        <w:spacing w:after="0" w:line="142" w:lineRule="exact"/>
        <w:rPr>
          <w:rFonts w:ascii="Arial" w:cs="Arial" w:eastAsia="Arial" w:hAnsi="Arial"/>
          <w:sz w:val="17"/>
          <w:szCs w:val="17"/>
          <w:color w:val="auto"/>
        </w:rPr>
      </w:pPr>
    </w:p>
    <w:p>
      <w:pPr>
        <w:ind w:left="1480" w:right="120" w:hanging="446"/>
        <w:spacing w:after="0" w:line="277"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75" w:lineRule="exact"/>
        <w:rPr>
          <w:rFonts w:ascii="Arial" w:cs="Arial" w:eastAsia="Arial" w:hAnsi="Arial"/>
          <w:sz w:val="18"/>
          <w:szCs w:val="18"/>
          <w:color w:val="auto"/>
        </w:rPr>
      </w:pPr>
    </w:p>
    <w:p>
      <w:pPr>
        <w:ind w:left="1000" w:right="600" w:hanging="546"/>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i w:val="1"/>
          <w:iCs w:val="1"/>
          <w:color w:val="auto"/>
        </w:rPr>
        <w:t xml:space="preserve">Notices of Default. </w:t>
      </w:r>
      <w:r>
        <w:rPr>
          <w:rFonts w:ascii="Arial" w:cs="Arial" w:eastAsia="Arial" w:hAnsi="Arial"/>
          <w:sz w:val="17"/>
          <w:szCs w:val="17"/>
          <w:color w:val="auto"/>
        </w:rPr>
        <w:t>Unless we say otherwise in a prospectus supplement, we are required to deliver to the trustee, on or before a date not more than 120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i w:val="1"/>
          <w:iCs w:val="1"/>
          <w:color w:val="auto"/>
        </w:rPr>
        <w:t xml:space="preserve">Limitation on Suits. </w:t>
      </w:r>
      <w:r>
        <w:rPr>
          <w:rFonts w:ascii="Arial" w:cs="Arial" w:eastAsia="Arial" w:hAnsi="Arial"/>
          <w:sz w:val="17"/>
          <w:szCs w:val="17"/>
          <w:color w:val="auto"/>
        </w:rPr>
        <w:t>Unless we say otherwise in a prospectus supplement, each indenture provides or will provide that no holders of debt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7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Obligations of Trustee. </w:t>
      </w:r>
      <w:r>
        <w:rPr>
          <w:rFonts w:ascii="Arial" w:cs="Arial" w:eastAsia="Arial" w:hAnsi="Arial"/>
          <w:sz w:val="17"/>
          <w:szCs w:val="17"/>
          <w:color w:val="auto"/>
        </w:rPr>
        <w:t>Unless we say otherwise in a prospectus supplement, the trustee is under no obligation to exercise any of the rights or powers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66"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66"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87" w:lineRule="exact"/>
        <w:rPr>
          <w:sz w:val="20"/>
          <w:szCs w:val="20"/>
          <w:color w:val="auto"/>
        </w:rPr>
      </w:pPr>
    </w:p>
    <w:p>
      <w:pPr>
        <w:ind w:left="1000" w:right="120" w:hanging="546"/>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75" w:lineRule="exact"/>
        <w:rPr>
          <w:rFonts w:ascii="Arial" w:cs="Arial" w:eastAsia="Arial" w:hAnsi="Arial"/>
          <w:sz w:val="18"/>
          <w:szCs w:val="18"/>
          <w:color w:val="auto"/>
        </w:rPr>
      </w:pPr>
    </w:p>
    <w:p>
      <w:pPr>
        <w:ind w:left="1000" w:right="100" w:hanging="546"/>
        <w:spacing w:after="0" w:line="342" w:lineRule="auto"/>
        <w:tabs>
          <w:tab w:leader="none" w:pos="10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29" w:lineRule="exact"/>
        <w:rPr>
          <w:rFonts w:ascii="Arial" w:cs="Arial" w:eastAsia="Arial" w:hAnsi="Arial"/>
          <w:sz w:val="16"/>
          <w:szCs w:val="16"/>
          <w:color w:val="auto"/>
        </w:rPr>
      </w:pPr>
    </w:p>
    <w:p>
      <w:pPr>
        <w:ind w:left="1000" w:hanging="546"/>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Unless we say otherwise in a prospectus supplement, in order to exercise either defeasance or covenant defeasance as to the outstanding debt securities of a series:</w:t>
      </w:r>
    </w:p>
    <w:p>
      <w:pPr>
        <w:spacing w:after="0" w:line="76" w:lineRule="exact"/>
        <w:rPr>
          <w:sz w:val="20"/>
          <w:szCs w:val="20"/>
          <w:color w:val="auto"/>
        </w:rPr>
      </w:pPr>
    </w:p>
    <w:p>
      <w:pPr>
        <w:ind w:left="1000" w:hanging="546"/>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46" w:lineRule="exact"/>
        <w:rPr>
          <w:rFonts w:ascii="Arial" w:cs="Arial" w:eastAsia="Arial" w:hAnsi="Arial"/>
          <w:sz w:val="16"/>
          <w:szCs w:val="16"/>
          <w:color w:val="auto"/>
        </w:rPr>
      </w:pPr>
    </w:p>
    <w:p>
      <w:pPr>
        <w:ind w:left="1000" w:right="60"/>
        <w:spacing w:after="0" w:line="323"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87" w:lineRule="exact"/>
        <w:rPr>
          <w:sz w:val="20"/>
          <w:szCs w:val="20"/>
          <w:color w:val="auto"/>
        </w:rPr>
      </w:pPr>
    </w:p>
    <w:p>
      <w:pPr>
        <w:ind w:left="1000" w:hanging="546"/>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7" w:lineRule="exact"/>
        <w:rPr>
          <w:sz w:val="20"/>
          <w:szCs w:val="20"/>
          <w:color w:val="auto"/>
        </w:rPr>
      </w:pPr>
    </w:p>
    <w:p>
      <w:pPr>
        <w:ind w:left="1000" w:right="80" w:hanging="546"/>
        <w:spacing w:after="0" w:line="259"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92" w:lineRule="exact"/>
        <w:rPr>
          <w:rFonts w:ascii="Arial" w:cs="Arial" w:eastAsia="Arial" w:hAnsi="Arial"/>
          <w:sz w:val="18"/>
          <w:szCs w:val="18"/>
          <w:color w:val="auto"/>
        </w:rPr>
      </w:pPr>
    </w:p>
    <w:p>
      <w:pPr>
        <w:ind w:left="1000" w:right="280" w:hanging="546"/>
        <w:spacing w:after="0" w:line="264"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86" w:lineRule="exact"/>
        <w:rPr>
          <w:rFonts w:ascii="Arial" w:cs="Arial" w:eastAsia="Arial" w:hAnsi="Arial"/>
          <w:sz w:val="18"/>
          <w:szCs w:val="18"/>
          <w:color w:val="auto"/>
        </w:rPr>
      </w:pPr>
    </w:p>
    <w:p>
      <w:pPr>
        <w:ind w:left="1000" w:right="520" w:hanging="546"/>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75" w:lineRule="exact"/>
        <w:rPr>
          <w:rFonts w:ascii="Arial" w:cs="Arial" w:eastAsia="Arial" w:hAnsi="Arial"/>
          <w:sz w:val="18"/>
          <w:szCs w:val="18"/>
          <w:color w:val="auto"/>
        </w:rPr>
      </w:pPr>
    </w:p>
    <w:p>
      <w:pPr>
        <w:ind w:left="1000" w:right="60" w:hanging="546"/>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75" w:lineRule="exact"/>
        <w:rPr>
          <w:rFonts w:ascii="Arial" w:cs="Arial" w:eastAsia="Arial" w:hAnsi="Arial"/>
          <w:sz w:val="18"/>
          <w:szCs w:val="18"/>
          <w:color w:val="auto"/>
        </w:rPr>
      </w:pPr>
    </w:p>
    <w:p>
      <w:pPr>
        <w:ind w:left="1000" w:right="140" w:hanging="546"/>
        <w:spacing w:after="0" w:line="312" w:lineRule="auto"/>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2" w:lineRule="exact"/>
        <w:rPr>
          <w:sz w:val="20"/>
          <w:szCs w:val="20"/>
          <w:color w:val="auto"/>
        </w:rPr>
      </w:pPr>
    </w:p>
    <w:p>
      <w:pPr>
        <w:ind w:left="1000" w:hanging="546"/>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30" w:lineRule="exact"/>
        <w:rPr>
          <w:rFonts w:ascii="Arial" w:cs="Arial" w:eastAsia="Arial" w:hAnsi="Arial"/>
          <w:sz w:val="18"/>
          <w:szCs w:val="18"/>
          <w:color w:val="auto"/>
        </w:rPr>
      </w:pPr>
    </w:p>
    <w:p>
      <w:pPr>
        <w:ind w:left="1000" w:right="40" w:hanging="546"/>
        <w:spacing w:after="0" w:line="259"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hanging="546"/>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130" w:lineRule="exact"/>
        <w:rPr>
          <w:rFonts w:ascii="Arial" w:cs="Arial" w:eastAsia="Arial" w:hAnsi="Arial"/>
          <w:sz w:val="18"/>
          <w:szCs w:val="18"/>
          <w:color w:val="auto"/>
        </w:rPr>
      </w:pPr>
    </w:p>
    <w:p>
      <w:pPr>
        <w:ind w:left="1000" w:right="240" w:hanging="546"/>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75" w:lineRule="exact"/>
        <w:rPr>
          <w:rFonts w:ascii="Arial" w:cs="Arial" w:eastAsia="Arial" w:hAnsi="Arial"/>
          <w:sz w:val="18"/>
          <w:szCs w:val="18"/>
          <w:color w:val="auto"/>
        </w:rPr>
      </w:pPr>
    </w:p>
    <w:p>
      <w:pPr>
        <w:ind w:left="1000" w:right="720" w:hanging="546"/>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75" w:lineRule="exact"/>
        <w:rPr>
          <w:rFonts w:ascii="Arial" w:cs="Arial" w:eastAsia="Arial" w:hAnsi="Arial"/>
          <w:sz w:val="18"/>
          <w:szCs w:val="18"/>
          <w:color w:val="auto"/>
        </w:rPr>
      </w:pPr>
    </w:p>
    <w:p>
      <w:pPr>
        <w:ind w:left="1000" w:right="260" w:hanging="546"/>
        <w:spacing w:after="0" w:line="264"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86" w:lineRule="exact"/>
        <w:rPr>
          <w:rFonts w:ascii="Arial" w:cs="Arial" w:eastAsia="Arial" w:hAnsi="Arial"/>
          <w:sz w:val="18"/>
          <w:szCs w:val="18"/>
          <w:color w:val="auto"/>
        </w:rPr>
      </w:pPr>
    </w:p>
    <w:p>
      <w:pPr>
        <w:ind w:left="1000" w:hanging="546"/>
        <w:spacing w:after="0" w:line="259"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76" w:lineRule="exact"/>
        <w:rPr>
          <w:sz w:val="20"/>
          <w:szCs w:val="20"/>
          <w:color w:val="auto"/>
        </w:rPr>
      </w:pPr>
    </w:p>
    <w:p>
      <w:pPr>
        <w:ind w:left="1000" w:right="20" w:hanging="546"/>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30" w:lineRule="exact"/>
        <w:rPr>
          <w:rFonts w:ascii="Arial" w:cs="Arial" w:eastAsia="Arial" w:hAnsi="Arial"/>
          <w:sz w:val="18"/>
          <w:szCs w:val="18"/>
          <w:color w:val="auto"/>
        </w:rPr>
      </w:pPr>
    </w:p>
    <w:p>
      <w:pPr>
        <w:ind w:left="1000" w:right="20" w:hanging="546"/>
        <w:spacing w:after="0" w:line="25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93" w:lineRule="exact"/>
        <w:rPr>
          <w:rFonts w:ascii="Arial" w:cs="Arial" w:eastAsia="Arial" w:hAnsi="Arial"/>
          <w:sz w:val="18"/>
          <w:szCs w:val="18"/>
          <w:color w:val="auto"/>
        </w:rPr>
      </w:pPr>
    </w:p>
    <w:p>
      <w:pPr>
        <w:ind w:left="1000" w:hanging="546"/>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30" w:lineRule="exact"/>
        <w:rPr>
          <w:rFonts w:ascii="Arial" w:cs="Arial" w:eastAsia="Arial" w:hAnsi="Arial"/>
          <w:sz w:val="18"/>
          <w:szCs w:val="18"/>
          <w:color w:val="auto"/>
        </w:rPr>
      </w:pPr>
    </w:p>
    <w:p>
      <w:pPr>
        <w:ind w:left="1000" w:right="200" w:hanging="546"/>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75" w:lineRule="exact"/>
        <w:rPr>
          <w:rFonts w:ascii="Arial" w:cs="Arial" w:eastAsia="Arial" w:hAnsi="Arial"/>
          <w:sz w:val="18"/>
          <w:szCs w:val="18"/>
          <w:color w:val="auto"/>
        </w:rPr>
      </w:pPr>
    </w:p>
    <w:p>
      <w:pPr>
        <w:ind w:left="1000" w:right="320" w:hanging="546"/>
        <w:spacing w:after="0" w:line="259"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92" w:lineRule="exact"/>
        <w:rPr>
          <w:rFonts w:ascii="Arial" w:cs="Arial" w:eastAsia="Arial" w:hAnsi="Arial"/>
          <w:sz w:val="18"/>
          <w:szCs w:val="18"/>
          <w:color w:val="auto"/>
        </w:rPr>
      </w:pPr>
    </w:p>
    <w:p>
      <w:pPr>
        <w:ind w:left="1000" w:right="100" w:hanging="546"/>
        <w:spacing w:after="0" w:line="264"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12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78" w:lineRule="exact"/>
        <w:rPr>
          <w:sz w:val="20"/>
          <w:szCs w:val="20"/>
          <w:color w:val="auto"/>
        </w:rPr>
      </w:pPr>
    </w:p>
    <w:p>
      <w:pPr>
        <w:ind w:left="1000" w:hanging="546"/>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30" w:lineRule="exact"/>
        <w:rPr>
          <w:rFonts w:ascii="Arial" w:cs="Arial" w:eastAsia="Arial" w:hAnsi="Arial"/>
          <w:sz w:val="18"/>
          <w:szCs w:val="18"/>
          <w:color w:val="auto"/>
        </w:rPr>
      </w:pPr>
    </w:p>
    <w:p>
      <w:pPr>
        <w:ind w:left="1000" w:right="360" w:hanging="546"/>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and Series C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the articles supplementary with respect to our Series 1 preferred shares, and the articles supplementary with respect to our Series C preferred shares.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Our declaration of trust allows us to issue up to 100,000,000 common shares of beneficial interest, par value $0.01 per share, and 15,000,000 preferred shares of beneficial interest, par value $0.01 per share. As of May 4, 2018, we had issued and outstanding 73,221,458 common shares, 399,896 preferred shares, which are designated as 5.417% Series 1 Cumulative Convertible Preferred Shares, which we refer to as the Series 1 preferred shares, and 6,000 preferred shares, which are designated as 5.000% Series C Cumulative Redeemable Preferred Shares, which we refer to as the Series C preferred shares.</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76" w:lineRule="exact"/>
        <w:rPr>
          <w:sz w:val="20"/>
          <w:szCs w:val="20"/>
          <w:color w:val="auto"/>
        </w:rPr>
      </w:pPr>
    </w:p>
    <w:p>
      <w:pPr>
        <w:ind w:left="1000" w:right="180" w:hanging="546"/>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and Series C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Series C preferred shares and any other shares of beneficial interest having a priority over our common shares in the event of our liquidation, dissolution or winding up. As noted above under “—Authorized Shares,” our outstanding Series 1 preferred shares and Series C preferred shares rank senior to our common shares with respect to the payment of dividends and as to the distribution of assets in the event of our liquidation, dissolution or winding up.</w:t>
      </w:r>
    </w:p>
    <w:p>
      <w:pPr>
        <w:spacing w:after="0" w:line="16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131" w:lineRule="exact"/>
        <w:rPr>
          <w:sz w:val="20"/>
          <w:szCs w:val="20"/>
          <w:color w:val="auto"/>
        </w:rPr>
      </w:pPr>
    </w:p>
    <w:p>
      <w:pPr>
        <w:ind w:left="1000" w:hanging="546"/>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87" w:lineRule="exact"/>
        <w:rPr>
          <w:sz w:val="20"/>
          <w:szCs w:val="20"/>
          <w:color w:val="auto"/>
        </w:rPr>
      </w:pPr>
    </w:p>
    <w:p>
      <w:pPr>
        <w:jc w:val="both"/>
        <w:ind w:left="1000" w:right="20" w:hanging="546"/>
        <w:spacing w:after="0" w:line="259"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40" w:hanging="546"/>
        <w:spacing w:after="0" w:line="259"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92" w:lineRule="exact"/>
        <w:rPr>
          <w:rFonts w:ascii="Arial" w:cs="Arial" w:eastAsia="Arial" w:hAnsi="Arial"/>
          <w:sz w:val="18"/>
          <w:szCs w:val="18"/>
          <w:color w:val="auto"/>
        </w:rPr>
      </w:pPr>
    </w:p>
    <w:p>
      <w:pPr>
        <w:jc w:val="both"/>
        <w:ind w:left="1000" w:right="240" w:hanging="546"/>
        <w:spacing w:after="0" w:line="312" w:lineRule="auto"/>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52" w:lineRule="exact"/>
        <w:rPr>
          <w:rFonts w:ascii="Arial" w:cs="Arial" w:eastAsia="Arial" w:hAnsi="Arial"/>
          <w:sz w:val="16"/>
          <w:szCs w:val="16"/>
          <w:color w:val="auto"/>
        </w:rPr>
      </w:pPr>
    </w:p>
    <w:p>
      <w:pPr>
        <w:ind w:left="1000" w:right="720" w:hanging="546"/>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75" w:lineRule="exact"/>
        <w:rPr>
          <w:rFonts w:ascii="Arial" w:cs="Arial" w:eastAsia="Arial" w:hAnsi="Arial"/>
          <w:sz w:val="18"/>
          <w:szCs w:val="18"/>
          <w:color w:val="auto"/>
        </w:rPr>
      </w:pPr>
    </w:p>
    <w:p>
      <w:pPr>
        <w:ind w:left="1000" w:right="280" w:hanging="546"/>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92" w:lineRule="exact"/>
        <w:rPr>
          <w:sz w:val="20"/>
          <w:szCs w:val="20"/>
          <w:color w:val="auto"/>
        </w:rPr>
      </w:pPr>
    </w:p>
    <w:p>
      <w:pPr>
        <w:ind w:left="1000" w:hanging="546"/>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81"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Preemptive Rights. </w:t>
      </w:r>
      <w:r>
        <w:rPr>
          <w:rFonts w:ascii="Arial" w:cs="Arial" w:eastAsia="Arial" w:hAnsi="Arial"/>
          <w:sz w:val="17"/>
          <w:szCs w:val="17"/>
          <w:color w:val="auto"/>
        </w:rPr>
        <w:t>Under the declaration of trust, no holder of shares of beneficial interest has any preemptive rights to subscribe to any issuance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The Series 1 preferred shares rank pari pasu with the Series C preferred shares and senior to the common shares with respect to the payment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dividends and the distribution of assets upon our 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93"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purpose, cumulative preferential dividends payable in cash at a rate of 5.417% of the liquidation price of $25, which is equivalent to $1.35425 per annum.</w:t>
      </w:r>
    </w:p>
    <w:p>
      <w:pPr>
        <w:spacing w:after="0" w:line="124"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1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per share, plus all accrued and unpaid dividends, before any distribution shall be made with respect to the common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Subject to other applicable provisions within the articles supplementary for the Series 1 preferred shares, from the date of issuance,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1 preferred shares shall be convertible, at the option of each holder, into a number of fully paid and nonassessable common shares determined by dividing (A) the product obtained by multiplying (i) the number of Series 1 preferred shares being converted by (ii) liquidation price; by (B) the option conversion price as in effect immediately prior to the close of business on the option conversion date.</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 Preferred Shares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September 2017, we issued 6,000 Series C preferred shares and we filed articles supplementary to our declaration of trust setting forth the terms of the Series C preferred shares. Below is a brief description of the terms of the Series C preferred shares, which is subject to and qualified in its entirety by reference to the articles supplementary.</w:t>
      </w:r>
    </w:p>
    <w:p>
      <w:pPr>
        <w:spacing w:after="0" w:line="18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Rank. </w:t>
      </w:r>
      <w:r>
        <w:rPr>
          <w:rFonts w:ascii="Arial" w:cs="Arial" w:eastAsia="Arial" w:hAnsi="Arial"/>
          <w:sz w:val="16"/>
          <w:szCs w:val="16"/>
          <w:color w:val="auto"/>
        </w:rPr>
        <w:t>The Series C preferred shares rank pari pasu with the Series 1 preferred shares and senior to the common shares with respect to the payment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dividends and the distribution of assets upon our liquidation, dissolution or winding up. Our declaration of trust provides that, unless full cumulative dividends on all outstanding Series C preferred shares and any other class or series of our shares of beneficial interest ranking, as to the payment of dividends and the distribution of assets upon liquidation, dissolution or winding up, on parity with the Series C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C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16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Each Series C preferred share is entitled to receive, when, as and if authorized by our Board of Trustees out of funds legally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purpose, cumulative preferential dividends payable in cash at a rate of 5.000% of the liquidation price of $25,000, which is equivalent to $1,250 per annum.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In the event of our liquidation, dissolution or winding up, the holders of Series C preferred shares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$25,000 per share, plus all accrued and unpaid dividends, before any distribution shall be made with respect to the common shares.</w:t>
      </w:r>
    </w:p>
    <w:p>
      <w:pPr>
        <w:spacing w:after="0" w:line="14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C preferred shares generally have no voting rights. However, if and whenever dividends payable on the Series C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are in arrears for six or more dividend periods, whether or not declared or consecutive, holders of the depositary shares representing Series C preferred shares (voting together as a class with holders of any other classes or series of preferred shares upon which like voting rights have been conferred and are exercisable) will be entitled to elect two additional trustees to serve on our board of trustees until we pay all accrued and unpaid dividends on the Series C preferred shares to which the holders thereof are entitled.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Series C preferred shares have no conversion rights.</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by the Trust. </w:t>
      </w:r>
      <w:r>
        <w:rPr>
          <w:rFonts w:ascii="Arial" w:cs="Arial" w:eastAsia="Arial" w:hAnsi="Arial"/>
          <w:sz w:val="18"/>
          <w:szCs w:val="18"/>
          <w:color w:val="auto"/>
        </w:rPr>
        <w:t>The Series C preferred shares may be redeemed for cash, in whole or from time to time in part, on any date on or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29, 2022 at the option of the Trust at a price per share equal to $25,000.00 plus accrued and unpaid dividends thereon, if any, to, but excluding, the redemption date.</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 xml:space="preserve">Depositary Shares. </w:t>
      </w:r>
      <w:r>
        <w:rPr>
          <w:rFonts w:ascii="Arial" w:cs="Arial" w:eastAsia="Arial" w:hAnsi="Arial"/>
          <w:sz w:val="16"/>
          <w:szCs w:val="16"/>
          <w:color w:val="auto"/>
        </w:rPr>
        <w:t>Interests in the Series C preferred shares are represented by depositary shares, which we refer to as the Series C depositary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Series C depositary share represents a 1/1000th fractional interest in a Series C preferred share. The Series C preferred shares have been deposited with American Stock Transfer &amp; Trust Company, LLC, as depositary, under a deposit agreement between us, the depositary and the holders from time to time of the depositary receipts issued by the depositary thereunder. The depositary receipts evidence the Series C depositary shares. Subject to the terms of the deposit agreement, each holder of a depositary receipt representing a Series C depositary share will be entitled to all the rights and preferences of a fractional interest in a Series C preferred share (including dividends, voting, redemption and liquidation rights and preferences).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Stock Exchange Listing. </w:t>
      </w:r>
      <w:r>
        <w:rPr>
          <w:rFonts w:ascii="Arial" w:cs="Arial" w:eastAsia="Arial" w:hAnsi="Arial"/>
          <w:sz w:val="17"/>
          <w:szCs w:val="17"/>
          <w:color w:val="auto"/>
        </w:rPr>
        <w:t>The Series C depositary shares are traded on the New York Stock Exchange under the trading symbol “FRTPRC.”</w:t>
      </w:r>
    </w:p>
    <w:p>
      <w:pPr>
        <w:spacing w:after="0" w:line="23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C preferred shares is American Stock Transfer &amp; Trust Company,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New York.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In addition to the Series 1 preferred shares and Series C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14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Preferred shares may be offered and sold from time to time, in one or more series, as authorized by the Board of Trustees.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54" w:lineRule="exact"/>
        <w:rPr>
          <w:sz w:val="20"/>
          <w:szCs w:val="20"/>
          <w:color w:val="auto"/>
        </w:rPr>
      </w:pPr>
    </w:p>
    <w:p>
      <w:pPr>
        <w:ind w:left="1000" w:hanging="546"/>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30" w:lineRule="exact"/>
        <w:rPr>
          <w:rFonts w:ascii="Arial" w:cs="Arial" w:eastAsia="Arial" w:hAnsi="Arial"/>
          <w:sz w:val="18"/>
          <w:szCs w:val="18"/>
          <w:color w:val="auto"/>
        </w:rPr>
      </w:pPr>
    </w:p>
    <w:p>
      <w:pPr>
        <w:ind w:left="1000" w:right="240" w:hanging="546"/>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dividend rate(s), period(s), amounts and/or payment date(s) or method(s) of calculation of any of those terms that apply to those preferred shares;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hanging="546"/>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30" w:lineRule="exact"/>
        <w:rPr>
          <w:rFonts w:ascii="Arial" w:cs="Arial" w:eastAsia="Arial" w:hAnsi="Arial"/>
          <w:sz w:val="18"/>
          <w:szCs w:val="18"/>
          <w:color w:val="auto"/>
        </w:rPr>
      </w:pPr>
    </w:p>
    <w:p>
      <w:pPr>
        <w:ind w:left="1000" w:right="40" w:hanging="546"/>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75" w:lineRule="exact"/>
        <w:rPr>
          <w:rFonts w:ascii="Arial" w:cs="Arial" w:eastAsia="Arial" w:hAnsi="Arial"/>
          <w:sz w:val="18"/>
          <w:szCs w:val="18"/>
          <w:color w:val="auto"/>
        </w:rPr>
      </w:pPr>
    </w:p>
    <w:p>
      <w:pPr>
        <w:ind w:left="1000" w:right="180" w:hanging="546"/>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1000" w:right="240" w:hanging="546"/>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130" w:lineRule="exact"/>
        <w:rPr>
          <w:rFonts w:ascii="Arial" w:cs="Arial" w:eastAsia="Arial" w:hAnsi="Arial"/>
          <w:sz w:val="18"/>
          <w:szCs w:val="18"/>
          <w:color w:val="auto"/>
        </w:rPr>
      </w:pPr>
    </w:p>
    <w:p>
      <w:pPr>
        <w:ind w:left="1000" w:hanging="546"/>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76" w:lineRule="exact"/>
        <w:rPr>
          <w:sz w:val="20"/>
          <w:szCs w:val="20"/>
          <w:color w:val="auto"/>
        </w:rPr>
      </w:pPr>
    </w:p>
    <w:p>
      <w:pPr>
        <w:ind w:left="1000" w:hanging="546"/>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Subject to any preferential rights of any outstanding shares or series of shares and to the provisions of our declaration of trust regarding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Liquidation Preference. </w:t>
      </w:r>
      <w:r>
        <w:rPr>
          <w:rFonts w:ascii="Arial" w:cs="Arial" w:eastAsia="Arial" w:hAnsi="Arial"/>
          <w:sz w:val="17"/>
          <w:szCs w:val="17"/>
          <w:color w:val="auto"/>
        </w:rPr>
        <w:t>As to any liquidation preference applicable to preferred shares offered through this prospectus, the applicable supplement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b w:val="1"/>
          <w:bCs w:val="1"/>
          <w:i w:val="1"/>
          <w:iCs w:val="1"/>
          <w:color w:val="auto"/>
        </w:rPr>
        <w:t xml:space="preserve">Voting Rights. </w:t>
      </w:r>
      <w:r>
        <w:rPr>
          <w:rFonts w:ascii="Arial" w:cs="Arial" w:eastAsia="Arial" w:hAnsi="Arial"/>
          <w:sz w:val="17"/>
          <w:szCs w:val="17"/>
          <w:color w:val="auto"/>
        </w:rPr>
        <w:t>Unless otherwise indicated in the applicable supplement, holders of preferred shares we issue in the future will not have any voting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except as may be required by applicable law or any applicable rules and regulations of the New York Stock Exchange.</w:t>
      </w:r>
    </w:p>
    <w:p>
      <w:pPr>
        <w:spacing w:after="0" w:line="14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76" w:lineRule="exact"/>
        <w:rPr>
          <w:sz w:val="20"/>
          <w:szCs w:val="20"/>
          <w:color w:val="auto"/>
        </w:rPr>
      </w:pPr>
    </w:p>
    <w:p>
      <w:pPr>
        <w:ind w:left="1000" w:hanging="546"/>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in a prospectus supplement.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We may issue receipts for depositary shares, each of which will represent a fractional interest of a share of a particular series of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 As of May 4, 2018, we had 6,000,000 depositary shares issued and outstanding, each representing a 1/1000th fractional interest in a Series C preferred share. See “—Series C Preferred Shares.”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8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54"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8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Voting the Preferred Shares. </w:t>
      </w:r>
      <w:r>
        <w:rPr>
          <w:rFonts w:ascii="Arial" w:cs="Arial" w:eastAsia="Arial" w:hAnsi="Arial"/>
          <w:sz w:val="18"/>
          <w:szCs w:val="18"/>
          <w:color w:val="auto"/>
        </w:rPr>
        <w:t>When the depositary receives notice of any meeting at which the holders of preferred shares are entitled to vote,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will mail information contained in the notice to you as a record holder of the depositary shares relating to the preferred shares. As a record holder of the depositary shares on the</w:t>
      </w:r>
    </w:p>
    <w:p>
      <w:pPr>
        <w:ind w:right="40"/>
        <w:spacing w:after="0" w:line="295" w:lineRule="auto"/>
        <w:rPr>
          <w:sz w:val="20"/>
          <w:szCs w:val="20"/>
          <w:color w:val="auto"/>
        </w:rPr>
      </w:pPr>
      <w:r>
        <w:rPr>
          <w:rFonts w:ascii="Arial" w:cs="Arial" w:eastAsia="Arial" w:hAnsi="Arial"/>
          <w:sz w:val="16"/>
          <w:szCs w:val="16"/>
          <w:color w:val="auto"/>
        </w:rPr>
        <w:t>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6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92" w:lineRule="exact"/>
        <w:rPr>
          <w:sz w:val="20"/>
          <w:szCs w:val="20"/>
          <w:color w:val="auto"/>
        </w:rPr>
      </w:pPr>
    </w:p>
    <w:p>
      <w:pPr>
        <w:ind w:left="1000" w:hanging="546"/>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30" w:lineRule="exact"/>
        <w:rPr>
          <w:rFonts w:ascii="Arial" w:cs="Arial" w:eastAsia="Arial" w:hAnsi="Arial"/>
          <w:sz w:val="18"/>
          <w:szCs w:val="18"/>
          <w:color w:val="auto"/>
        </w:rPr>
      </w:pPr>
    </w:p>
    <w:p>
      <w:pPr>
        <w:ind w:left="1000" w:right="60" w:hanging="546"/>
        <w:spacing w:after="0" w:line="308" w:lineRule="auto"/>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51" w:lineRule="exact"/>
        <w:rPr>
          <w:rFonts w:ascii="Arial" w:cs="Arial" w:eastAsia="Arial" w:hAnsi="Arial"/>
          <w:sz w:val="17"/>
          <w:szCs w:val="17"/>
          <w:color w:val="auto"/>
        </w:rPr>
      </w:pPr>
    </w:p>
    <w:p>
      <w:pPr>
        <w:ind w:left="1000" w:right="640" w:hanging="546"/>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5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360" w:hanging="546"/>
        <w:spacing w:after="0" w:line="259"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92" w:lineRule="exact"/>
        <w:rPr>
          <w:rFonts w:ascii="Arial" w:cs="Arial" w:eastAsia="Arial" w:hAnsi="Arial"/>
          <w:sz w:val="18"/>
          <w:szCs w:val="18"/>
          <w:color w:val="auto"/>
        </w:rPr>
      </w:pPr>
    </w:p>
    <w:p>
      <w:pPr>
        <w:ind w:left="1000" w:right="80" w:hanging="546"/>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75" w:lineRule="exact"/>
        <w:rPr>
          <w:rFonts w:ascii="Arial" w:cs="Arial" w:eastAsia="Arial" w:hAnsi="Arial"/>
          <w:sz w:val="18"/>
          <w:szCs w:val="18"/>
          <w:color w:val="auto"/>
        </w:rPr>
      </w:pPr>
    </w:p>
    <w:p>
      <w:pPr>
        <w:ind w:left="1000" w:right="100" w:hanging="546"/>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131" w:lineRule="exact"/>
        <w:rPr>
          <w:sz w:val="20"/>
          <w:szCs w:val="20"/>
          <w:color w:val="auto"/>
        </w:rPr>
      </w:pPr>
    </w:p>
    <w:p>
      <w:pPr>
        <w:ind w:left="1000" w:hanging="546"/>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30" w:lineRule="exact"/>
        <w:rPr>
          <w:rFonts w:ascii="Arial" w:cs="Arial" w:eastAsia="Arial" w:hAnsi="Arial"/>
          <w:sz w:val="18"/>
          <w:szCs w:val="18"/>
          <w:color w:val="auto"/>
        </w:rPr>
      </w:pPr>
    </w:p>
    <w:p>
      <w:pPr>
        <w:ind w:left="1000" w:right="420" w:hanging="546"/>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22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5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7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71" w:lineRule="exact"/>
        <w:rPr>
          <w:sz w:val="20"/>
          <w:szCs w:val="20"/>
          <w:color w:val="auto"/>
        </w:rPr>
      </w:pPr>
    </w:p>
    <w:p>
      <w:pPr>
        <w:ind w:left="1000" w:hanging="546"/>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30" w:lineRule="exact"/>
        <w:rPr>
          <w:rFonts w:ascii="Arial" w:cs="Arial" w:eastAsia="Arial" w:hAnsi="Arial"/>
          <w:sz w:val="18"/>
          <w:szCs w:val="18"/>
          <w:color w:val="auto"/>
        </w:rPr>
      </w:pPr>
    </w:p>
    <w:p>
      <w:pPr>
        <w:ind w:left="1480" w:right="580" w:hanging="446"/>
        <w:spacing w:after="0" w:line="277"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8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5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17" w:lineRule="exact"/>
        <w:rPr>
          <w:sz w:val="20"/>
          <w:szCs w:val="20"/>
          <w:color w:val="auto"/>
        </w:rPr>
      </w:pPr>
    </w:p>
    <w:p>
      <w:pPr>
        <w:ind w:right="60" w:firstLine="456"/>
        <w:spacing w:after="0" w:line="281" w:lineRule="auto"/>
        <w:rPr>
          <w:sz w:val="20"/>
          <w:szCs w:val="20"/>
          <w:color w:val="auto"/>
        </w:rPr>
      </w:pPr>
      <w:r>
        <w:rPr>
          <w:rFonts w:ascii="Arial" w:cs="Arial" w:eastAsia="Arial" w:hAnsi="Arial"/>
          <w:sz w:val="17"/>
          <w:szCs w:val="17"/>
          <w:b w:val="1"/>
          <w:bCs w:val="1"/>
          <w:i w:val="1"/>
          <w:iCs w:val="1"/>
          <w:color w:val="auto"/>
        </w:rPr>
        <w:t>Warrants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may issue warrants for the purchase of common or preferred shares. If we offer warrants, we will describe the terms in a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131" w:lineRule="exact"/>
        <w:rPr>
          <w:sz w:val="20"/>
          <w:szCs w:val="20"/>
          <w:color w:val="auto"/>
        </w:rPr>
      </w:pPr>
    </w:p>
    <w:p>
      <w:pPr>
        <w:ind w:left="1000" w:hanging="546"/>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85"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90" w:lineRule="exact"/>
        <w:rPr>
          <w:sz w:val="20"/>
          <w:szCs w:val="20"/>
          <w:color w:val="auto"/>
        </w:rPr>
      </w:pPr>
    </w:p>
    <w:p>
      <w:pPr>
        <w:ind w:left="1000" w:hanging="546"/>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130" w:lineRule="exact"/>
        <w:rPr>
          <w:rFonts w:ascii="Arial" w:cs="Arial" w:eastAsia="Arial" w:hAnsi="Arial"/>
          <w:sz w:val="18"/>
          <w:szCs w:val="18"/>
          <w:color w:val="auto"/>
        </w:rPr>
      </w:pPr>
    </w:p>
    <w:p>
      <w:pPr>
        <w:ind w:left="1000" w:hanging="546"/>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76" w:lineRule="exact"/>
        <w:rPr>
          <w:sz w:val="20"/>
          <w:szCs w:val="20"/>
          <w:color w:val="auto"/>
        </w:rPr>
      </w:pPr>
    </w:p>
    <w:p>
      <w:pPr>
        <w:ind w:left="1000" w:hanging="546"/>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Control Share Acquisitions. </w:t>
      </w:r>
      <w:r>
        <w:rPr>
          <w:rFonts w:ascii="Arial" w:cs="Arial" w:eastAsia="Arial" w:hAnsi="Arial"/>
          <w:sz w:val="18"/>
          <w:szCs w:val="18"/>
          <w:color w:val="auto"/>
        </w:rPr>
        <w:t>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76" w:lineRule="exact"/>
        <w:rPr>
          <w:sz w:val="20"/>
          <w:szCs w:val="20"/>
          <w:color w:val="auto"/>
        </w:rPr>
      </w:pPr>
    </w:p>
    <w:p>
      <w:pPr>
        <w:ind w:left="1000" w:hanging="546"/>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77"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w:t>
      </w:r>
    </w:p>
    <w:p>
      <w:pPr>
        <w:spacing w:after="0" w:line="18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Number of Trustees. </w:t>
      </w:r>
      <w:r>
        <w:rPr>
          <w:rFonts w:ascii="Arial" w:cs="Arial" w:eastAsia="Arial" w:hAnsi="Arial"/>
          <w:sz w:val="18"/>
          <w:szCs w:val="18"/>
          <w:color w:val="auto"/>
        </w:rPr>
        <w:t>The number of trustees may be increased or decreased pursuant to the bylaws, provided that the total number of trustees may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less than five or more than 10. Under Maryland law and our declaration of trust, trustees are elected for one-year terms.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86" w:lineRule="exact"/>
        <w:rPr>
          <w:sz w:val="20"/>
          <w:szCs w:val="20"/>
          <w:color w:val="auto"/>
        </w:rPr>
      </w:pPr>
    </w:p>
    <w:p>
      <w:pPr>
        <w:ind w:left="1000" w:right="640" w:hanging="546"/>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75" w:lineRule="exact"/>
        <w:rPr>
          <w:rFonts w:ascii="Arial" w:cs="Arial" w:eastAsia="Arial" w:hAnsi="Arial"/>
          <w:sz w:val="18"/>
          <w:szCs w:val="18"/>
          <w:color w:val="auto"/>
        </w:rPr>
      </w:pPr>
    </w:p>
    <w:p>
      <w:pPr>
        <w:ind w:left="1000" w:right="540" w:hanging="546"/>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66"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80"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i w:val="1"/>
          <w:iCs w:val="1"/>
          <w:color w:val="auto"/>
        </w:rPr>
        <w:t>Meetings of Shareholders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bylaws provide for an annual meeting of shareholders, to be held in May after delivery of the annual report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69"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9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7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b w:val="1"/>
          <w:bCs w:val="1"/>
          <w:i w:val="1"/>
          <w:iCs w:val="1"/>
          <w:color w:val="auto"/>
        </w:rPr>
        <w:t xml:space="preserve">Shareholder Liability and Indemnification. </w:t>
      </w:r>
      <w:r>
        <w:rPr>
          <w:rFonts w:ascii="Arial" w:cs="Arial" w:eastAsia="Arial" w:hAnsi="Arial"/>
          <w:sz w:val="17"/>
          <w:szCs w:val="17"/>
          <w:color w:val="auto"/>
        </w:rPr>
        <w:t>Under Maryland law, you will not be personally liable for any obligation of ours solely because you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4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Limitation of Liability of Trustees and Officers. </w:t>
      </w:r>
      <w:r>
        <w:rPr>
          <w:rFonts w:ascii="Arial" w:cs="Arial" w:eastAsia="Arial" w:hAnsi="Arial"/>
          <w:sz w:val="18"/>
          <w:szCs w:val="18"/>
          <w:color w:val="auto"/>
        </w:rPr>
        <w:t>Our declaration of trust, to the maximum extent permitted under Maryland law in effect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92" w:lineRule="exact"/>
        <w:rPr>
          <w:sz w:val="20"/>
          <w:szCs w:val="20"/>
          <w:color w:val="auto"/>
        </w:rPr>
      </w:pPr>
    </w:p>
    <w:p>
      <w:pPr>
        <w:ind w:left="1000" w:hanging="546"/>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130" w:lineRule="exact"/>
        <w:rPr>
          <w:rFonts w:ascii="Arial" w:cs="Arial" w:eastAsia="Arial" w:hAnsi="Arial"/>
          <w:sz w:val="18"/>
          <w:szCs w:val="18"/>
          <w:color w:val="auto"/>
        </w:rPr>
      </w:pPr>
    </w:p>
    <w:p>
      <w:pPr>
        <w:ind w:left="1000" w:right="180" w:hanging="546"/>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of Directors and Officers. </w:t>
      </w:r>
      <w:r>
        <w:rPr>
          <w:rFonts w:ascii="Arial" w:cs="Arial" w:eastAsia="Arial" w:hAnsi="Arial"/>
          <w:sz w:val="18"/>
          <w:szCs w:val="18"/>
          <w:color w:val="auto"/>
        </w:rPr>
        <w:t>Our declaration of trust permits us to indemnify and advance expenses to, to the maximum extent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 (iii) 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following section summarizes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OR PREFERRED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2017;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6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92" w:lineRule="exact"/>
        <w:rPr>
          <w:sz w:val="20"/>
          <w:szCs w:val="20"/>
          <w:color w:val="auto"/>
        </w:rPr>
      </w:pPr>
    </w:p>
    <w:p>
      <w:pPr>
        <w:ind w:left="1000" w:right="240" w:hanging="546"/>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1000" w:right="660" w:hanging="546"/>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our taxable years ending on or prior to December 31, 2017, we may be subject to the “alternative minimum tax” on any items of tax preference that we do not distribute or allocate to our shareholders;</w:t>
      </w:r>
    </w:p>
    <w:p>
      <w:pPr>
        <w:spacing w:after="0" w:line="75" w:lineRule="exact"/>
        <w:rPr>
          <w:rFonts w:ascii="Arial" w:cs="Arial" w:eastAsia="Arial" w:hAnsi="Arial"/>
          <w:sz w:val="18"/>
          <w:szCs w:val="18"/>
          <w:color w:val="auto"/>
        </w:rPr>
      </w:pPr>
    </w:p>
    <w:p>
      <w:pPr>
        <w:ind w:left="1000" w:hanging="546"/>
        <w:spacing w:after="0" w:line="286" w:lineRule="auto"/>
        <w:tabs>
          <w:tab w:leader="none" w:pos="10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70" w:lineRule="exact"/>
        <w:rPr>
          <w:rFonts w:ascii="Arial" w:cs="Arial" w:eastAsia="Arial" w:hAnsi="Arial"/>
          <w:sz w:val="17"/>
          <w:szCs w:val="17"/>
          <w:color w:val="auto"/>
        </w:rPr>
      </w:pPr>
    </w:p>
    <w:p>
      <w:pPr>
        <w:ind w:left="1000" w:right="640" w:hanging="546"/>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1000" w:right="200" w:hanging="546"/>
        <w:spacing w:after="0" w:line="277"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“—Requirements for REIT Qualification</w:t>
      </w:r>
    </w:p>
    <w:p>
      <w:pPr>
        <w:spacing w:after="0" w:line="46" w:lineRule="exact"/>
        <w:rPr>
          <w:rFonts w:ascii="Arial" w:cs="Arial" w:eastAsia="Arial" w:hAnsi="Arial"/>
          <w:sz w:val="16"/>
          <w:szCs w:val="16"/>
          <w:color w:val="auto"/>
        </w:rPr>
      </w:pPr>
    </w:p>
    <w:p>
      <w:pPr>
        <w:ind w:left="1000" w:right="4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1000" w:right="120" w:hanging="546"/>
        <w:spacing w:after="0" w:line="279" w:lineRule="auto"/>
        <w:tabs>
          <w:tab w:leader="none" w:pos="10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76" w:lineRule="exact"/>
        <w:rPr>
          <w:rFonts w:ascii="Arial" w:cs="Arial" w:eastAsia="Arial" w:hAnsi="Arial"/>
          <w:sz w:val="17"/>
          <w:szCs w:val="17"/>
          <w:color w:val="auto"/>
        </w:rPr>
      </w:pPr>
    </w:p>
    <w:p>
      <w:pPr>
        <w:ind w:left="1000" w:right="60" w:hanging="546"/>
        <w:spacing w:after="0" w:line="286" w:lineRule="auto"/>
        <w:tabs>
          <w:tab w:leader="none" w:pos="10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20" w:hanging="546"/>
        <w:spacing w:after="0" w:line="259"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1000" w:right="280" w:hanging="546"/>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1000" w:hanging="546"/>
        <w:spacing w:after="0" w:line="255"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1020" w:hanging="566"/>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1020" w:hanging="566"/>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1020" w:hanging="566"/>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1020" w:hanging="566"/>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1020" w:hanging="566"/>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1020" w:right="40" w:hanging="566"/>
        <w:spacing w:after="0" w:line="277"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1020" w:right="760" w:hanging="566"/>
        <w:spacing w:after="0" w:line="277"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1020" w:right="760" w:hanging="566"/>
        <w:spacing w:after="0" w:line="277"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1020" w:right="60" w:hanging="566"/>
        <w:spacing w:after="0" w:line="277"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40" w:top="459"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 Under partnership audit changes enacted in 2015 and generally effective for audits in 2018 and later, a partnership (and not the partners) must pay any “imputed underpayments,” consisting of delinquent taxes, interest, and penalties deemed to arise out of an audit of the partnership, unless certain alternative methods are available and the partnership elects to utilize them. The IRS has proposed regulations providing details on some of these provisions, but the timing and content of final regulations remains uncertain.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131" w:lineRule="exact"/>
        <w:rPr>
          <w:sz w:val="20"/>
          <w:szCs w:val="20"/>
          <w:color w:val="auto"/>
        </w:rPr>
      </w:pPr>
    </w:p>
    <w:p>
      <w:pPr>
        <w:ind w:left="1000" w:hanging="546"/>
        <w:spacing w:after="0" w:line="271" w:lineRule="auto"/>
        <w:tabs>
          <w:tab w:leader="none" w:pos="10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84" w:lineRule="exact"/>
        <w:rPr>
          <w:rFonts w:ascii="Arial" w:cs="Arial" w:eastAsia="Arial" w:hAnsi="Arial"/>
          <w:sz w:val="17"/>
          <w:szCs w:val="17"/>
          <w:color w:val="auto"/>
        </w:rPr>
      </w:pPr>
    </w:p>
    <w:p>
      <w:pPr>
        <w:ind w:left="1000" w:hanging="546"/>
        <w:spacing w:after="0" w:line="279" w:lineRule="auto"/>
        <w:tabs>
          <w:tab w:leader="none" w:pos="10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1000" w:right="160" w:hanging="546"/>
        <w:spacing w:after="0" w:line="255"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98" w:lineRule="exact"/>
        <w:rPr>
          <w:rFonts w:ascii="Arial" w:cs="Arial" w:eastAsia="Arial" w:hAnsi="Arial"/>
          <w:sz w:val="18"/>
          <w:szCs w:val="18"/>
          <w:color w:val="auto"/>
        </w:rPr>
      </w:pPr>
    </w:p>
    <w:p>
      <w:pPr>
        <w:ind w:left="1000" w:hanging="546"/>
        <w:spacing w:after="0" w:line="287" w:lineRule="auto"/>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74" w:lineRule="exact"/>
        <w:rPr>
          <w:rFonts w:ascii="Arial" w:cs="Arial" w:eastAsia="Arial" w:hAnsi="Arial"/>
          <w:sz w:val="16"/>
          <w:szCs w:val="16"/>
          <w:color w:val="auto"/>
        </w:rPr>
      </w:pPr>
    </w:p>
    <w:p>
      <w:pPr>
        <w:ind w:left="1000" w:right="40" w:hanging="546"/>
        <w:spacing w:after="0" w:line="273" w:lineRule="auto"/>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1000" w:right="40" w:hanging="546"/>
        <w:spacing w:after="0" w:line="270" w:lineRule="auto"/>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hanging="546"/>
        <w:spacing w:after="0" w:line="270" w:lineRule="auto"/>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In general,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we agreed to acquire the loan.</w:t>
      </w:r>
    </w:p>
    <w:p>
      <w:pPr>
        <w:spacing w:after="0" w:line="173"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66"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1000" w:right="40" w:hanging="546"/>
        <w:spacing w:after="0" w:line="308" w:lineRule="auto"/>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1000" w:hanging="546"/>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1000" w:right="100" w:hanging="546"/>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1000" w:right="100" w:hanging="546"/>
        <w:spacing w:after="0" w:line="264"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6" w:lineRule="exact"/>
        <w:rPr>
          <w:rFonts w:ascii="Arial" w:cs="Arial" w:eastAsia="Arial" w:hAnsi="Arial"/>
          <w:sz w:val="18"/>
          <w:szCs w:val="18"/>
          <w:color w:val="auto"/>
        </w:rPr>
      </w:pPr>
    </w:p>
    <w:p>
      <w:pPr>
        <w:ind w:left="1000" w:right="360" w:hanging="546"/>
        <w:spacing w:after="0" w:line="308" w:lineRule="auto"/>
        <w:tabs>
          <w:tab w:leader="none" w:pos="10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1000" w:right="40" w:hanging="546"/>
        <w:spacing w:after="0" w:line="264"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on Prohibited Transactions. </w:t>
      </w:r>
      <w:r>
        <w:rPr>
          <w:rFonts w:ascii="Arial" w:cs="Arial" w:eastAsia="Arial" w:hAnsi="Arial"/>
          <w:sz w:val="18"/>
          <w:szCs w:val="18"/>
          <w:color w:val="auto"/>
        </w:rPr>
        <w:t>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Code provides a safe harbor that, if met by us,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w:t>
      </w:r>
    </w:p>
    <w:p>
      <w:pPr>
        <w:spacing w:after="0" w:line="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 xml:space="preserve">Tax and Deduction Limits on Certain Transactions with Taxable REIT Subsidiaries. </w:t>
      </w:r>
      <w:r>
        <w:rPr>
          <w:rFonts w:ascii="Arial" w:cs="Arial" w:eastAsia="Arial" w:hAnsi="Arial"/>
          <w:sz w:val="18"/>
          <w:szCs w:val="18"/>
          <w:color w:val="auto"/>
        </w:rPr>
        <w:t>A REIT will incur a 100% tax on certain transactions between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but recent changes to the interest deduction rules may affect interest deductions of our taxable REIT subsidiaries under some circumstances.</w:t>
      </w:r>
    </w:p>
    <w:p>
      <w:pPr>
        <w:spacing w:after="0" w:line="18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92"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b w:val="1"/>
          <w:bCs w:val="1"/>
          <w:i w:val="1"/>
          <w:iCs w:val="1"/>
          <w:color w:val="auto"/>
        </w:rPr>
        <w:t xml:space="preserve">Like-Kind Exchanges. </w:t>
      </w:r>
      <w:r>
        <w:rPr>
          <w:rFonts w:ascii="Arial" w:cs="Arial" w:eastAsia="Arial" w:hAnsi="Arial"/>
          <w:sz w:val="17"/>
          <w:szCs w:val="17"/>
          <w:color w:val="auto"/>
        </w:rPr>
        <w:t>We may dispose of properties in transactions intended to qualify as like-kind exchanges under the Code. Such like-kind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Recent legislative changes eliminate like-kind exchanges for most personal property.</w:t>
      </w:r>
    </w:p>
    <w:p>
      <w:pPr>
        <w:spacing w:after="0" w:line="17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54" w:lineRule="exact"/>
        <w:rPr>
          <w:sz w:val="20"/>
          <w:szCs w:val="20"/>
          <w:color w:val="auto"/>
        </w:rPr>
      </w:pPr>
    </w:p>
    <w:p>
      <w:pPr>
        <w:ind w:left="1000" w:right="320" w:hanging="546"/>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80" w:right="40" w:hanging="446"/>
        <w:spacing w:after="0" w:line="259" w:lineRule="auto"/>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our properties qualify as real estate assets.</w:t>
      </w:r>
    </w:p>
    <w:p>
      <w:pPr>
        <w:spacing w:after="0" w:line="92" w:lineRule="exact"/>
        <w:rPr>
          <w:rFonts w:ascii="Arial" w:cs="Arial" w:eastAsia="Arial" w:hAnsi="Arial"/>
          <w:sz w:val="18"/>
          <w:szCs w:val="18"/>
          <w:color w:val="auto"/>
        </w:rPr>
      </w:pPr>
    </w:p>
    <w:p>
      <w:pPr>
        <w:jc w:val="both"/>
        <w:ind w:left="1480" w:right="80" w:hanging="446"/>
        <w:spacing w:after="0" w:line="264" w:lineRule="auto"/>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40" w:hanging="546"/>
        <w:spacing w:after="0" w:line="286" w:lineRule="auto"/>
        <w:tabs>
          <w:tab w:leader="none" w:pos="10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in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and</w:t>
      </w:r>
    </w:p>
    <w:p>
      <w:pPr>
        <w:spacing w:after="0" w:line="1" w:lineRule="exact"/>
        <w:rPr>
          <w:rFonts w:ascii="Arial" w:cs="Arial" w:eastAsia="Arial" w:hAnsi="Arial"/>
          <w:sz w:val="16"/>
          <w:szCs w:val="16"/>
          <w:color w:val="auto"/>
        </w:rPr>
      </w:pPr>
    </w:p>
    <w:p>
      <w:pPr>
        <w:ind w:left="1000" w:right="40"/>
        <w:spacing w:after="0" w:line="287" w:lineRule="auto"/>
        <w:rPr>
          <w:rFonts w:ascii="Arial" w:cs="Arial" w:eastAsia="Arial" w:hAnsi="Arial"/>
          <w:sz w:val="16"/>
          <w:szCs w:val="16"/>
          <w:color w:val="auto"/>
        </w:rPr>
      </w:pPr>
      <w:r>
        <w:rPr>
          <w:rFonts w:ascii="Arial" w:cs="Arial" w:eastAsia="Arial" w:hAnsi="Arial"/>
          <w:sz w:val="16"/>
          <w:szCs w:val="16"/>
          <w:color w:val="auto"/>
        </w:rPr>
        <w:t>(C) no more than 25% of the value of our total assets may consist of the securities of taxable REIT subsidiaries (unless they would otherwise be treated as real estate assets)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75" w:lineRule="exact"/>
        <w:rPr>
          <w:rFonts w:ascii="Arial" w:cs="Arial" w:eastAsia="Arial" w:hAnsi="Arial"/>
          <w:sz w:val="16"/>
          <w:szCs w:val="16"/>
          <w:color w:val="auto"/>
        </w:rPr>
      </w:pPr>
    </w:p>
    <w:p>
      <w:pPr>
        <w:ind w:left="1000" w:right="480" w:hanging="546"/>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value of our securities in one or more taxable REIT subsidiaries (unless they would otherwise be treated as real estate assets) may not exceed 20% of the value of our total assets.</w:t>
      </w:r>
    </w:p>
    <w:p>
      <w:pPr>
        <w:spacing w:after="0" w:line="75" w:lineRule="exact"/>
        <w:rPr>
          <w:rFonts w:ascii="Arial" w:cs="Arial" w:eastAsia="Arial" w:hAnsi="Arial"/>
          <w:sz w:val="18"/>
          <w:szCs w:val="18"/>
          <w:color w:val="auto"/>
        </w:rPr>
      </w:pPr>
    </w:p>
    <w:p>
      <w:pPr>
        <w:ind w:left="1000" w:right="220" w:hanging="546"/>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value of our holdings in debt instruments of publicly offered REITs (unless they would otherwise be treated as real estate assets) may not exceed 25% of the value of our total assets.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67"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87"/>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Asset Tests. </w:t>
      </w:r>
      <w:r>
        <w:rPr>
          <w:rFonts w:ascii="Arial" w:cs="Arial" w:eastAsia="Arial" w:hAnsi="Arial"/>
          <w:sz w:val="16"/>
          <w:szCs w:val="16"/>
          <w:color w:val="auto"/>
        </w:rPr>
        <w:t>If we fail to satisfy one or more of the asset tests for any quarter of a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w:t>
      </w:r>
    </w:p>
    <w:p>
      <w:pPr>
        <w:ind w:right="20"/>
        <w:spacing w:after="0" w:line="277" w:lineRule="auto"/>
        <w:rPr>
          <w:sz w:val="20"/>
          <w:szCs w:val="20"/>
          <w:color w:val="auto"/>
        </w:rPr>
      </w:pPr>
      <w:r>
        <w:rPr>
          <w:rFonts w:ascii="Arial" w:cs="Arial" w:eastAsia="Arial" w:hAnsi="Arial"/>
          <w:sz w:val="17"/>
          <w:szCs w:val="17"/>
          <w:color w:val="auto"/>
        </w:rPr>
        <w:t>$10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5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Further, with respect to our 2014 and prior taxable years, in order for distributions to have been counted as satisfying the annual distribution requirements for REITs and to provide us with a dividends paid deduction, our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our organizational documents. For taxable years beginning after December 31, 2014, the preferential dividend rule does not apply to publicly offered REITs. We are a publicly offered REIT. Thus, so long as we continue to qualify as a publicly offered REIT, the preferential dividend rule does not apply to our 2015 and subsequent taxable years.</w:t>
      </w:r>
    </w:p>
    <w:p>
      <w:pPr>
        <w:spacing w:after="0" w:line="178"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9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6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procedure applicable to publicly offered REITs that will treat distributions that, at the election of each shareholder, are paid partly in cash and partly in shares as dividends that satisfy the REIT annual distribution requirement and qualify for the dividends paid deduction for federal income tax purposes, provided certain conditions are satisfied. We have no current intention to make such an elective cash/shares distribution or a distribution of debt securities, but in the event of an elective cash/shares distribution we expect to structure it so as to comply with the revenue procedure.</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 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76" w:lineRule="exact"/>
        <w:rPr>
          <w:sz w:val="20"/>
          <w:szCs w:val="20"/>
          <w:color w:val="auto"/>
        </w:rPr>
      </w:pPr>
    </w:p>
    <w:p>
      <w:pPr>
        <w:ind w:left="1000" w:hanging="546"/>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1000" w:right="420" w:hanging="546"/>
        <w:spacing w:after="0" w:line="27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1000" w:right="300" w:hanging="546"/>
        <w:spacing w:after="0" w:line="308" w:lineRule="auto"/>
        <w:tabs>
          <w:tab w:leader="none" w:pos="10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after 2017 and prior to 2026, generally non-corporate shareholders are allowed to deduct 20% of the aggregate amount of ordinary dividends distributed by us, subject to certain limitations.</w:t>
      </w:r>
    </w:p>
    <w:p>
      <w:pPr>
        <w:spacing w:after="0" w:line="19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or preferred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a taxable disposition of our common or preferred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w:t>
      </w:r>
    </w:p>
    <w:p>
      <w:pPr>
        <w:spacing w:after="0" w:line="2" w:lineRule="exact"/>
        <w:rPr>
          <w:sz w:val="20"/>
          <w:szCs w:val="20"/>
          <w:color w:val="auto"/>
        </w:rPr>
      </w:pPr>
    </w:p>
    <w:p>
      <w:pPr>
        <w:ind w:firstLine="8"/>
        <w:spacing w:after="0" w:line="269" w:lineRule="auto"/>
        <w:tabs>
          <w:tab w:leader="none" w:pos="215" w:val="left"/>
        </w:tabs>
        <w:numPr>
          <w:ilvl w:val="0"/>
          <w:numId w:val="89"/>
        </w:numPr>
        <w:rPr>
          <w:rFonts w:ascii="Arial" w:cs="Arial" w:eastAsia="Arial" w:hAnsi="Arial"/>
          <w:sz w:val="17"/>
          <w:szCs w:val="17"/>
          <w:color w:val="auto"/>
        </w:rPr>
      </w:pPr>
      <w:r>
        <w:rPr>
          <w:rFonts w:ascii="Arial" w:cs="Arial" w:eastAsia="Arial" w:hAnsi="Arial"/>
          <w:sz w:val="17"/>
          <w:szCs w:val="17"/>
          <w:color w:val="auto"/>
        </w:rPr>
        <w:t>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66"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U.S. federal income tax purposes upon the redemption or conversion of our preferred shares at the option of the holder solely into common shares. The basis that a taxable U.S. shareholder will have for U.S. federal income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12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pursuant to the terms of a class of preferred shares, a taxable U.S. shareholder receives alternative consideration such as cash, securities or other property or assets (including any combination thereof) in lieu of common shares in connection with the conversion of the taxable U.S. shareholder’s preferred shares, the tax treatment of the receipt of any such other consideration will depend on the nature of the consideration and the structure of the transaction that gives rise to the right to receive such alternative consideration, and it may be a taxable exchange. Taxable U.S. shareholders converting their preferred shares should consult their tax advisors regarding the U.S. federal income tax consequences of any such conversion and of the ownership and disposition of the consideration received upon any such conversion.</w:t>
      </w:r>
    </w:p>
    <w:p>
      <w:pPr>
        <w:spacing w:after="0" w:line="19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distribution 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6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or preferred shares will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5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Medicare Tax on Unearned Income. </w:t>
      </w:r>
      <w:r>
        <w:rPr>
          <w:rFonts w:ascii="Arial" w:cs="Arial" w:eastAsia="Arial" w:hAnsi="Arial"/>
          <w:sz w:val="18"/>
          <w:szCs w:val="18"/>
          <w:color w:val="auto"/>
        </w:rPr>
        <w:t>Certain taxable U.S. shareholders who are individuals, estates or trusts are subject to a 3.8% Medicare tax on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 portion of their “net investment income,” which may include all or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8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b w:val="1"/>
          <w:bCs w:val="1"/>
          <w:i w:val="1"/>
          <w:iCs w:val="1"/>
          <w:color w:val="auto"/>
        </w:rPr>
        <w:t xml:space="preserve">Current Tax Rates. </w:t>
      </w:r>
      <w:r>
        <w:rPr>
          <w:rFonts w:ascii="Arial" w:cs="Arial" w:eastAsia="Arial" w:hAnsi="Arial"/>
          <w:sz w:val="17"/>
          <w:szCs w:val="17"/>
          <w:color w:val="auto"/>
        </w:rPr>
        <w:t>The maximum tax rate on the long-term capital gains of domestic non-corporate taxpayers is 20%. The maximum tax rate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after 2017 and prior to 2026, generally non-corporate shareholders are allowed to deduct 20% of the aggregate amount of ordinary dividends distributed by us, subject to certain limitations. Further, with respect to non-corporate taxpayers, the lower qualified dividend income/capital gains tax rate (at a maximum of 20%) does generally apply to:</w:t>
      </w:r>
    </w:p>
    <w:p>
      <w:pPr>
        <w:spacing w:after="0" w:line="83" w:lineRule="exact"/>
        <w:rPr>
          <w:sz w:val="20"/>
          <w:szCs w:val="20"/>
          <w:color w:val="auto"/>
        </w:rPr>
      </w:pPr>
    </w:p>
    <w:p>
      <w:pPr>
        <w:ind w:left="1000" w:hanging="546"/>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1000" w:right="280" w:hanging="546"/>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1000" w:right="180" w:hanging="546"/>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 xml:space="preserve">Information Reporting and Backup Withholding. </w:t>
      </w:r>
      <w:r>
        <w:rPr>
          <w:rFonts w:ascii="Arial" w:cs="Arial" w:eastAsia="Arial" w:hAnsi="Arial"/>
          <w:sz w:val="17"/>
          <w:szCs w:val="17"/>
          <w:color w:val="auto"/>
        </w:rPr>
        <w:t>Taxable U.S. shareholders that are “exempt recipients” (such as corporations) generally will not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95" w:lineRule="exact"/>
        <w:rPr>
          <w:sz w:val="20"/>
          <w:szCs w:val="20"/>
          <w:color w:val="auto"/>
        </w:rPr>
      </w:pPr>
    </w:p>
    <w:p>
      <w:pPr>
        <w:ind w:left="1000" w:hanging="546"/>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1000" w:hanging="546"/>
        <w:spacing w:after="0" w:line="277"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1000" w:right="140" w:hanging="546"/>
        <w:spacing w:after="0" w:line="308" w:lineRule="auto"/>
        <w:tabs>
          <w:tab w:leader="none" w:pos="10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b w:val="1"/>
          <w:bCs w:val="1"/>
          <w:i w:val="1"/>
          <w:iCs w:val="1"/>
          <w:color w:val="auto"/>
        </w:rPr>
        <w:t xml:space="preserve">Ordinary Dividends. </w:t>
      </w:r>
      <w:r>
        <w:rPr>
          <w:rFonts w:ascii="Arial" w:cs="Arial" w:eastAsia="Arial" w:hAnsi="Arial"/>
          <w:sz w:val="17"/>
          <w:szCs w:val="17"/>
          <w:color w:val="auto"/>
        </w:rPr>
        <w:t>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 profits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71"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9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b w:val="1"/>
          <w:bCs w:val="1"/>
          <w:i w:val="1"/>
          <w:iCs w:val="1"/>
          <w:color w:val="auto"/>
        </w:rPr>
        <w:t xml:space="preserve">Capital Gain Dividends. </w:t>
      </w:r>
      <w:r>
        <w:rPr>
          <w:rFonts w:ascii="Arial" w:cs="Arial" w:eastAsia="Arial" w:hAnsi="Arial"/>
          <w:sz w:val="17"/>
          <w:szCs w:val="17"/>
          <w:color w:val="auto"/>
        </w:rPr>
        <w:t>Provided that a particular class of our shares is “regularly traded” on an established securities market in the United States,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or preferred shares as long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a “domestically controlled REIT.” A “domestically controlled REIT” is a REIT in which at all times during a specified testing period non-U.S.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8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b w:val="1"/>
          <w:bCs w:val="1"/>
          <w:i w:val="1"/>
          <w:iCs w:val="1"/>
          <w:color w:val="auto"/>
        </w:rPr>
        <w:t xml:space="preserve">Conversion of Preferred Shares to Common Shares. </w:t>
      </w:r>
      <w:r>
        <w:rPr>
          <w:rFonts w:ascii="Arial" w:cs="Arial" w:eastAsia="Arial" w:hAnsi="Arial"/>
          <w:sz w:val="16"/>
          <w:szCs w:val="16"/>
          <w:color w:val="auto"/>
        </w:rPr>
        <w:t>The conversion of preferred shares into our common shares may be a taxable exchange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if our preferred shares constitute a U.S. real property interest under FIRPTA. Even if our preferred shares constitute a U.S. real property interest, provided our common shares also constitute a U.S. real property interest, a non-U.S. shareholder generally will not recognize gain or loss upon a conversion of preferred shares into our common shares so long as certain FIRPTA-related reporting requirements are satisfied. If our preferred shares constitute a U.S. real property interest and such requirements are not satisfied, however, a conversion will be treated as a taxable exchange of preferred shares for our common shares. Such a deemed taxable exchange will be subject to tax under FIRPTA at the rate of tax, including any applicable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capital gains rates, that would apply to a taxable U.S. shareholder of the same type (e.g., a corporate or a non-corporate shareholder, as the case may be) on the excess, if any, of the fair market value of such non-U.S. shareholder’s common shares received over such non-U.S. shareholder’s adjusted basis in its preferred shares.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Non-U.S. shareholders should consult with their tax advisors regarding the federal income tax consequences of any transaction by which such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 exchanges our common shares received on a conversion of preferred shares for cash or other property.</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 distributions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Backup withholding (currently at the rate of 24%)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70" w:lineRule="exact"/>
        <w:rPr>
          <w:sz w:val="20"/>
          <w:szCs w:val="20"/>
          <w:color w:val="auto"/>
        </w:rPr>
      </w:pPr>
    </w:p>
    <w:p>
      <w:pPr>
        <w:ind w:left="1000" w:hanging="546"/>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1000" w:right="300" w:hanging="546"/>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1000" w:right="40" w:hanging="546"/>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9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Certain foreign financial institutions and non-financial foreign entities are subject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U.S. federal withholding tax on dividends on our common or preferred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or preferred shares by such foreign financial institutions and non-financial foreign entities will generally begin after December 31, 2018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 We will not pay any additional amounts in respect of any amounts withheld.</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b w:val="1"/>
          <w:bCs w:val="1"/>
          <w:i w:val="1"/>
          <w:iCs w:val="1"/>
          <w:color w:val="auto"/>
        </w:rPr>
        <w:t xml:space="preserve">State and Local Taxes. </w:t>
      </w:r>
      <w:r>
        <w:rPr>
          <w:rFonts w:ascii="Arial" w:cs="Arial" w:eastAsia="Arial" w:hAnsi="Arial"/>
          <w:sz w:val="16"/>
          <w:szCs w:val="16"/>
          <w:color w:val="auto"/>
        </w:rPr>
        <w:t>We and/or you may be subject to state and local tax in various states and localities, including those states and localities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4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i w:val="1"/>
          <w:iCs w:val="1"/>
          <w:color w:val="auto"/>
        </w:rPr>
        <w:t xml:space="preserve">Changes to Tax Laws and Regulations. </w:t>
      </w:r>
      <w:r>
        <w:rPr>
          <w:rFonts w:ascii="Arial" w:cs="Arial" w:eastAsia="Arial" w:hAnsi="Arial"/>
          <w:sz w:val="16"/>
          <w:szCs w:val="16"/>
          <w:color w:val="auto"/>
        </w:rPr>
        <w:t>The rules dealing with federal income taxation are subject to revision by the U.S. Congress, the IRS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Department of the Treasury, and statutory changes, new regulations, revisions to existing regulations and revised interpretations of established concepts are issued frequently. In particular, technical corrections legislation and implementing regulations may be enacted or promulgated in response to the substantial December 2017 amendments to the Code.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or preferred shares.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46" w:lineRule="exact"/>
        <w:rPr>
          <w:sz w:val="20"/>
          <w:szCs w:val="20"/>
          <w:color w:val="auto"/>
        </w:rPr>
      </w:pPr>
    </w:p>
    <w:p>
      <w:pPr>
        <w:ind w:left="260" w:hanging="252"/>
        <w:spacing w:after="0"/>
        <w:tabs>
          <w:tab w:leader="none" w:pos="2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through agents; (3) in “at the market offerings” to or through a market maker or into an existing trading market or securities exchange or otherwise;</w:t>
      </w:r>
    </w:p>
    <w:p>
      <w:pPr>
        <w:spacing w:after="0" w:line="20" w:lineRule="exact"/>
        <w:rPr>
          <w:rFonts w:ascii="Arial" w:cs="Arial" w:eastAsia="Arial" w:hAnsi="Arial"/>
          <w:sz w:val="17"/>
          <w:szCs w:val="17"/>
          <w:color w:val="auto"/>
        </w:rPr>
      </w:pPr>
    </w:p>
    <w:p>
      <w:pPr>
        <w:ind w:right="20" w:firstLine="8"/>
        <w:spacing w:after="0" w:line="273" w:lineRule="auto"/>
        <w:tabs>
          <w:tab w:leader="none" w:pos="255" w:val="left"/>
        </w:tabs>
        <w:numPr>
          <w:ilvl w:val="0"/>
          <w:numId w:val="94"/>
        </w:numPr>
        <w:rPr>
          <w:rFonts w:ascii="Arial" w:cs="Arial" w:eastAsia="Arial" w:hAnsi="Arial"/>
          <w:sz w:val="17"/>
          <w:szCs w:val="17"/>
          <w:color w:val="auto"/>
        </w:rPr>
      </w:pPr>
      <w:r>
        <w:rPr>
          <w:rFonts w:ascii="Arial" w:cs="Arial" w:eastAsia="Arial" w:hAnsi="Arial"/>
          <w:sz w:val="17"/>
          <w:szCs w:val="17"/>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131" w:lineRule="exact"/>
        <w:rPr>
          <w:sz w:val="20"/>
          <w:szCs w:val="20"/>
          <w:color w:val="auto"/>
        </w:rPr>
      </w:pPr>
    </w:p>
    <w:p>
      <w:pPr>
        <w:ind w:left="1000" w:right="100" w:hanging="546"/>
        <w:spacing w:after="0" w:line="277"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00" w:hanging="546"/>
        <w:spacing w:after="0"/>
        <w:tabs>
          <w:tab w:leader="none" w:pos="10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purchases by a dealer as principal and resale by such dealer for its account pursuant to this prospectus or any prospectus supplement;</w:t>
      </w:r>
    </w:p>
    <w:p>
      <w:pPr>
        <w:spacing w:after="0" w:line="142" w:lineRule="exact"/>
        <w:rPr>
          <w:rFonts w:ascii="Arial" w:cs="Arial" w:eastAsia="Arial" w:hAnsi="Arial"/>
          <w:sz w:val="17"/>
          <w:szCs w:val="17"/>
          <w:color w:val="auto"/>
        </w:rPr>
      </w:pPr>
    </w:p>
    <w:p>
      <w:pPr>
        <w:ind w:left="1000" w:hanging="546"/>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7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7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audited consolidated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87" w:lineRule="exact"/>
        <w:rPr>
          <w:sz w:val="20"/>
          <w:szCs w:val="20"/>
          <w:color w:val="auto"/>
        </w:rPr>
      </w:pPr>
    </w:p>
    <w:p>
      <w:pPr>
        <w:ind w:left="1000" w:hanging="546"/>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04">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2017, filed with the SEC on February 13, 2018;</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Our Definitive </w:t>
      </w:r>
      <w:hyperlink r:id="rId105">
        <w:r>
          <w:rPr>
            <w:rFonts w:ascii="Arial" w:cs="Arial" w:eastAsia="Arial" w:hAnsi="Arial"/>
            <w:sz w:val="18"/>
            <w:szCs w:val="18"/>
            <w:u w:val="single" w:color="auto"/>
            <w:color w:val="0000EE"/>
          </w:rPr>
          <w:t>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2018 Annual Meeting of Shareholders, filed with the SEC on March 23, 2018;</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106">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quarter ended March 31, 2018, filed with the SEC on May 2, 2018;</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107">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May 4, 2018;</w:t>
      </w:r>
    </w:p>
    <w:p>
      <w:pPr>
        <w:spacing w:after="0" w:line="130" w:lineRule="exact"/>
        <w:rPr>
          <w:rFonts w:ascii="Arial" w:cs="Arial" w:eastAsia="Arial" w:hAnsi="Arial"/>
          <w:sz w:val="18"/>
          <w:szCs w:val="18"/>
          <w:color w:val="auto"/>
        </w:rPr>
      </w:pPr>
    </w:p>
    <w:p>
      <w:pPr>
        <w:ind w:left="1000" w:hanging="546"/>
        <w:spacing w:after="0"/>
        <w:tabs>
          <w:tab w:leader="none" w:pos="10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Description of our common shares contained in the Registration Statement on </w:t>
      </w:r>
      <w:hyperlink r:id="rId108">
        <w:r>
          <w:rPr>
            <w:rFonts w:ascii="Arial" w:cs="Arial" w:eastAsia="Arial" w:hAnsi="Arial"/>
            <w:sz w:val="17"/>
            <w:szCs w:val="17"/>
            <w:u w:val="single" w:color="auto"/>
            <w:color w:val="0000EE"/>
          </w:rPr>
          <w:t>Form 8-A/A</w:t>
        </w:r>
      </w:hyperlink>
      <w:r>
        <w:rPr>
          <w:rFonts w:ascii="Arial" w:cs="Arial" w:eastAsia="Arial" w:hAnsi="Arial"/>
          <w:sz w:val="17"/>
          <w:szCs w:val="17"/>
          <w:color w:val="auto"/>
        </w:rPr>
        <w:t>, filed with the SEC on June 6, 2002; and</w:t>
      </w:r>
    </w:p>
    <w:p>
      <w:pPr>
        <w:spacing w:after="0" w:line="142" w:lineRule="exact"/>
        <w:rPr>
          <w:rFonts w:ascii="Arial" w:cs="Arial" w:eastAsia="Arial" w:hAnsi="Arial"/>
          <w:sz w:val="17"/>
          <w:szCs w:val="17"/>
          <w:color w:val="auto"/>
        </w:rPr>
      </w:pPr>
    </w:p>
    <w:p>
      <w:pPr>
        <w:ind w:left="1000" w:hanging="546"/>
        <w:spacing w:after="0"/>
        <w:tabs>
          <w:tab w:leader="none" w:pos="10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Description of our Series C preferred shares contained in the Registration Statement on </w:t>
      </w:r>
      <w:hyperlink r:id="rId109">
        <w:r>
          <w:rPr>
            <w:rFonts w:ascii="Arial" w:cs="Arial" w:eastAsia="Arial" w:hAnsi="Arial"/>
            <w:sz w:val="16"/>
            <w:szCs w:val="16"/>
            <w:u w:val="single" w:color="auto"/>
            <w:color w:val="0000EE"/>
          </w:rPr>
          <w:t>Form 8-A</w:t>
        </w:r>
      </w:hyperlink>
      <w:r>
        <w:rPr>
          <w:rFonts w:ascii="Arial" w:cs="Arial" w:eastAsia="Arial" w:hAnsi="Arial"/>
          <w:sz w:val="16"/>
          <w:szCs w:val="16"/>
          <w:color w:val="auto"/>
        </w:rPr>
        <w:t>, filed with the SEC on September 29, 2017.</w:t>
      </w:r>
    </w:p>
    <w:p>
      <w:pPr>
        <w:spacing w:after="0" w:line="248" w:lineRule="exact"/>
        <w:rPr>
          <w:rFonts w:ascii="Arial" w:cs="Arial" w:eastAsia="Arial" w:hAnsi="Arial"/>
          <w:sz w:val="17"/>
          <w:szCs w:val="17"/>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2"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Copies of our SEC filings are available at no cost at our website, </w:t>
      </w:r>
      <w:r>
        <w:rPr>
          <w:rFonts w:ascii="Arial" w:cs="Arial" w:eastAsia="Arial" w:hAnsi="Arial"/>
          <w:sz w:val="17"/>
          <w:szCs w:val="17"/>
          <w:i w:val="1"/>
          <w:iCs w:val="1"/>
          <w:color w:val="auto"/>
        </w:rPr>
        <w:t>www.federalrealty.com</w:t>
      </w:r>
      <w:r>
        <w:rPr>
          <w:rFonts w:ascii="Arial" w:cs="Arial" w:eastAsia="Arial" w:hAnsi="Arial"/>
          <w:sz w:val="17"/>
          <w:szCs w:val="17"/>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228600</wp:posOffset>
            </wp:positionV>
            <wp:extent cx="6997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271780</wp:posOffset>
            </wp:positionV>
            <wp:extent cx="6997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920"/>
        <w:spacing w:after="0"/>
        <w:rPr>
          <w:sz w:val="20"/>
          <w:szCs w:val="20"/>
          <w:color w:val="auto"/>
        </w:rPr>
      </w:pPr>
      <w:r>
        <w:rPr>
          <w:rFonts w:ascii="Arial" w:cs="Arial" w:eastAsia="Arial" w:hAnsi="Arial"/>
          <w:sz w:val="29"/>
          <w:szCs w:val="29"/>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340360</wp:posOffset>
            </wp:positionV>
            <wp:extent cx="2178050" cy="8750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217805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520"/>
        <w:spacing w:after="0"/>
        <w:rPr>
          <w:sz w:val="20"/>
          <w:szCs w:val="20"/>
          <w:color w:val="auto"/>
        </w:rPr>
      </w:pPr>
      <w:r>
        <w:rPr>
          <w:rFonts w:ascii="Arial" w:cs="Arial" w:eastAsia="Arial" w:hAnsi="Arial"/>
          <w:sz w:val="25"/>
          <w:szCs w:val="25"/>
          <w:b w:val="1"/>
          <w:bCs w:val="1"/>
          <w:color w:val="auto"/>
        </w:rPr>
        <w:t>3.20%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415290</wp:posOffset>
            </wp:positionV>
            <wp:extent cx="14662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BofA Merrill Lynch</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Jefferies</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Wells Fargo Securities</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Citigroup</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Deutsche Bank Securities</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J.P. Morgan</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Regions Securities LLC</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Scotiabank</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6"/>
          <w:szCs w:val="26"/>
          <w:b w:val="1"/>
          <w:bCs w:val="1"/>
          <w:color w:val="auto"/>
        </w:rPr>
        <w:t>SunTrust Robinson Humphrey</w:t>
      </w:r>
    </w:p>
    <w:p>
      <w:pPr>
        <w:spacing w:after="0" w:line="147"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TD Securities</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408940</wp:posOffset>
            </wp:positionV>
            <wp:extent cx="14662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August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429260</wp:posOffset>
            </wp:positionV>
            <wp:extent cx="6997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471805</wp:posOffset>
            </wp:positionV>
            <wp:extent cx="6997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1"/>
    </w:lvl>
  </w:abstractNum>
  <w:abstractNum w:abstractNumId="1">
    <w:nsid w:val="684A481A"/>
    <w:multiLevelType w:val="hybridMultilevel"/>
    <w:lvl w:ilvl="0">
      <w:lvlJc w:val="left"/>
      <w:lvlText w:val="(%1)"/>
      <w:numFmt w:val="decimal"/>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lvl w:ilvl="1">
      <w:lvlJc w:val="left"/>
      <w:lvlText w:val="•"/>
      <w:numFmt w:val="bullet"/>
      <w:start w:val="1"/>
    </w:lvl>
  </w:abstractNum>
  <w:abstractNum w:abstractNumId="4">
    <w:nsid w:val="3DC240FB"/>
    <w:multiLevelType w:val="hybridMultilevel"/>
    <w:lvl w:ilvl="0">
      <w:lvlJc w:val="left"/>
      <w:lvlText w:val="(%1)"/>
      <w:numFmt w:val="decimal"/>
      <w:start w:val="30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1)"/>
      <w:numFmt w:val="decimal"/>
      <w:start w:val="4"/>
    </w:lvl>
  </w:abstractNum>
  <w:abstractNum w:abstractNumId="7">
    <w:nsid w:val="75C6C33A"/>
    <w:multiLevelType w:val="hybridMultilevel"/>
    <w:lvl w:ilvl="0">
      <w:lvlJc w:val="left"/>
      <w:lvlText w:val="%1."/>
      <w:numFmt w:val="decimal"/>
      <w:start w:val="1"/>
    </w:lvl>
  </w:abstractNum>
  <w:abstractNum w:abstractNumId="8">
    <w:nsid w:val="12E685FB"/>
    <w:multiLevelType w:val="hybridMultilevel"/>
    <w:lvl w:ilvl="0">
      <w:lvlJc w:val="left"/>
      <w:lvlText w:val="(%1)"/>
      <w:numFmt w:val="lowerLetter"/>
      <w:start w:val="1"/>
    </w:lvl>
  </w:abstractNum>
  <w:abstractNum w:abstractNumId="9">
    <w:nsid w:val="70C6A529"/>
    <w:multiLevelType w:val="hybridMultilevel"/>
    <w:lvl w:ilvl="0">
      <w:lvlJc w:val="left"/>
      <w:lvlText w:val="%1."/>
      <w:numFmt w:val="decimal"/>
      <w:start w:val="5"/>
    </w:lvl>
  </w:abstractNum>
  <w:abstractNum w:abstractNumId="10">
    <w:nsid w:val="520EEDD1"/>
    <w:multiLevelType w:val="hybridMultilevel"/>
    <w:lvl w:ilvl="0">
      <w:lvlJc w:val="left"/>
      <w:lvlText w:val="(%1)"/>
      <w:numFmt w:val="lowerLetter"/>
      <w:start w:val="1"/>
    </w:lvl>
  </w:abstractNum>
  <w:abstractNum w:abstractNumId="11">
    <w:nsid w:val="374A3FE6"/>
    <w:multiLevelType w:val="hybridMultilevel"/>
    <w:lvl w:ilvl="0">
      <w:lvlJc w:val="left"/>
      <w:lvlText w:val="(%1)"/>
      <w:numFmt w:val="lowerLetter"/>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lvl w:ilvl="1">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1)"/>
      <w:numFmt w:val="lowerLetter"/>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lvl w:ilvl="1">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lvl w:ilvl="1">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1."/>
      <w:numFmt w:val="decimal"/>
      <w:start w:val="1"/>
    </w:lvl>
  </w:abstractNum>
  <w:abstractNum w:abstractNumId="41">
    <w:nsid w:val="6590700B"/>
    <w:multiLevelType w:val="hybridMultilevel"/>
    <w:lvl w:ilvl="0">
      <w:lvlJc w:val="left"/>
      <w:lvlText w:val="(%1)"/>
      <w:numFmt w:val="lowerLetter"/>
      <w:start w:val="1"/>
    </w:lvl>
  </w:abstractNum>
  <w:abstractNum w:abstractNumId="42">
    <w:nsid w:val="15014ACB"/>
    <w:multiLevelType w:val="hybridMultilevel"/>
    <w:lvl w:ilvl="0">
      <w:lvlJc w:val="left"/>
      <w:lvlText w:val="%1."/>
      <w:numFmt w:val="decimal"/>
      <w:start w:val="5"/>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Letter"/>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lvl w:ilvl="1">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lvl w:ilvl="1">
      <w:lvlJc w:val="left"/>
      <w:lvlText w:val="•"/>
      <w:numFmt w:val="bullet"/>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
      <w:numFmt w:val="bullet"/>
      <w:start w:val="1"/>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lvl w:ilvl="1">
      <w:lvlJc w:val="left"/>
      <w:lvlText w:val="•"/>
      <w:numFmt w:val="bullet"/>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lvl w:ilvl="1">
      <w:lvlJc w:val="left"/>
      <w:lvlText w:val="•"/>
      <w:numFmt w:val="bullet"/>
      <w:start w:val="1"/>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1."/>
      <w:numFmt w:val="decimal"/>
      <w:start w:val="1"/>
    </w:lvl>
  </w:abstractNum>
  <w:abstractNum w:abstractNumId="78">
    <w:nsid w:val="4C04A8AF"/>
    <w:multiLevelType w:val="hybridMultilevel"/>
    <w:lvl w:ilvl="0">
      <w:lvlJc w:val="left"/>
      <w:lvlText w:val="•"/>
      <w:numFmt w:val="bullet"/>
      <w:start w:val="1"/>
    </w:lvl>
  </w:abstractNum>
  <w:abstractNum w:abstractNumId="79">
    <w:nsid w:val="1716703B"/>
    <w:multiLevelType w:val="hybridMultilevel"/>
    <w:lvl w:ilvl="0">
      <w:lvlJc w:val="left"/>
      <w:lvlText w:val="•"/>
      <w:numFmt w:val="bullet"/>
      <w:start w:val="1"/>
    </w:lvl>
  </w:abstractNum>
  <w:abstractNum w:abstractNumId="80">
    <w:nsid w:val="14E17E33"/>
    <w:multiLevelType w:val="hybridMultilevel"/>
    <w:lvl w:ilvl="0">
      <w:lvlJc w:val="left"/>
      <w:lvlText w:val="•"/>
      <w:numFmt w:val="bullet"/>
      <w:start w:val="1"/>
    </w:lvl>
  </w:abstractNum>
  <w:abstractNum w:abstractNumId="81">
    <w:nsid w:val="3222E7CD"/>
    <w:multiLevelType w:val="hybridMultilevel"/>
    <w:lvl w:ilvl="0">
      <w:lvlJc w:val="left"/>
      <w:lvlText w:val="•"/>
      <w:numFmt w:val="bullet"/>
      <w:start w:val="1"/>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emdash "/>
      <w:numFmt w:val="bullet"/>
      <w:start w:val="1"/>
    </w:lvl>
  </w:abstractNum>
  <w:abstractNum w:abstractNumId="84">
    <w:nsid w:val="2DF6D648"/>
    <w:multiLevelType w:val="hybridMultilevel"/>
    <w:lvl w:ilvl="0">
      <w:lvlJc w:val="left"/>
      <w:lvlText w:val="•"/>
      <w:numFmt w:val="bullet"/>
      <w:start w:val="1"/>
    </w:lvl>
    <w:lvl w:ilvl="1">
      <w:lvlJc w:val="left"/>
      <w:lvlText w:val="•"/>
      <w:numFmt w:val="bullet"/>
      <w:start w:val="1"/>
    </w:lvl>
  </w:abstractNum>
  <w:abstractNum w:abstractNumId="85">
    <w:nsid w:val="46B7D447"/>
    <w:multiLevelType w:val="hybridMultilevel"/>
    <w:lvl w:ilvl="0">
      <w:lvlJc w:val="left"/>
      <w:lvlText w:val="•"/>
      <w:numFmt w:val="bullet"/>
      <w:start w:val="1"/>
    </w:lvl>
  </w:abstractNum>
  <w:abstractNum w:abstractNumId="86">
    <w:nsid w:val="4A2AC315"/>
    <w:multiLevelType w:val="hybridMultilevel"/>
    <w:lvl w:ilvl="0">
      <w:lvlJc w:val="left"/>
      <w:lvlText w:val="(%1)"/>
      <w:numFmt w:val="lowerRoman"/>
      <w:start w:val="2"/>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1)"/>
      <w:numFmt w:val="lowerRoman"/>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1)"/>
      <w:numFmt w:val="decimal"/>
      <w:start w:val="2"/>
    </w:lvl>
  </w:abstractNum>
  <w:abstractNum w:abstractNumId="93">
    <w:nsid w:val="7F01579B"/>
    <w:multiLevelType w:val="hybridMultilevel"/>
    <w:lvl w:ilvl="0">
      <w:lvlJc w:val="left"/>
      <w:lvlText w:val="(%1)"/>
      <w:numFmt w:val="decimal"/>
      <w:start w:val="4"/>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jpe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04" Type="http://schemas.openxmlformats.org/officeDocument/2006/relationships/hyperlink" Target="http://www.sec.gov/Archives/edgar/data/34903/000003490318000009/frt-1231201710k.htm" TargetMode="External"/><Relationship Id="rId105" Type="http://schemas.openxmlformats.org/officeDocument/2006/relationships/hyperlink" Target="http://www.sec.gov/Archives/edgar/data/34903/000119312518093016/d501572ddef14a.htm" TargetMode="External"/><Relationship Id="rId106" Type="http://schemas.openxmlformats.org/officeDocument/2006/relationships/hyperlink" Target="http://www.sec.gov/Archives/edgar/data/34903/000003490318000016/frt-03312018x10q.htm" TargetMode="External"/><Relationship Id="rId107" Type="http://schemas.openxmlformats.org/officeDocument/2006/relationships/hyperlink" Target="http://www.sec.gov/Archives/edgar/data/34903/000003490318000018/frt-050420188kdocument.htm" TargetMode="External"/><Relationship Id="rId108" Type="http://schemas.openxmlformats.org/officeDocument/2006/relationships/hyperlink" Target="http://www.sec.gov/Archives/edgar/data/34903/000092838502002234/d8a12ba.txt" TargetMode="External"/><Relationship Id="rId109" Type="http://schemas.openxmlformats.org/officeDocument/2006/relationships/hyperlink" Target="http://www.sec.gov/Archives/edgar/data/34903/000119312517299279/d453589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2019-12-21T01:51:38Z</dcterms:created>
  <dcterms:modified xsi:type="dcterms:W3CDTF">2019-12-21T01:51:38Z</dcterms:modified>
</cp:coreProperties>
</file>