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-228600</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QUARTERLY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-248285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ind w:left="720" w:hanging="685"/>
        <w:spacing w:after="0" w:line="228" w:lineRule="auto"/>
        <w:tabs>
          <w:tab w:leader="none" w:pos="72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7" w:lineRule="exact"/>
        <w:rPr>
          <w:sz w:val="24"/>
          <w:szCs w:val="24"/>
          <w:color w:val="auto"/>
        </w:rPr>
      </w:pPr>
    </w:p>
    <w:p>
      <w:pPr>
        <w:ind w:left="38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1-07533</w:t>
      </w:r>
    </w:p>
    <w:p>
      <w:pPr>
        <w:spacing w:after="0" w:line="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6"/>
          <w:szCs w:val="36"/>
          <w:b w:val="1"/>
          <w:bCs w:val="1"/>
          <w:color w:val="auto"/>
        </w:rPr>
        <w:t>FEDERAL REALTY INVESTMENT TRUST</w:t>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Declaration of Trust)</w:t>
      </w:r>
    </w:p>
    <w:p>
      <w:pPr>
        <w:spacing w:after="0" w:line="248" w:lineRule="exact"/>
        <w:rPr>
          <w:sz w:val="24"/>
          <w:szCs w:val="24"/>
          <w:color w:val="auto"/>
        </w:rPr>
      </w:pPr>
    </w:p>
    <w:tbl>
      <w:tblPr>
        <w:tblLayout w:type="fixed"/>
        <w:tblInd w:w="4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3200" w:type="dxa"/>
            <w:vAlign w:val="bottom"/>
            <w:gridSpan w:val="2"/>
          </w:tcPr>
          <w:p>
            <w:pPr>
              <w:jc w:val="center"/>
              <w:ind w:right="1508"/>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80" w:type="dxa"/>
            <w:vAlign w:val="bottom"/>
            <w:gridSpan w:val="2"/>
          </w:tcPr>
          <w:p>
            <w:pPr>
              <w:jc w:val="right"/>
              <w:ind w:right="1702"/>
              <w:spacing w:after="0"/>
              <w:rPr>
                <w:sz w:val="20"/>
                <w:szCs w:val="20"/>
                <w:color w:val="auto"/>
              </w:rPr>
            </w:pPr>
            <w:r>
              <w:rPr>
                <w:rFonts w:ascii="Times New Roman" w:cs="Times New Roman" w:eastAsia="Times New Roman" w:hAnsi="Times New Roman"/>
                <w:sz w:val="16"/>
                <w:szCs w:val="16"/>
                <w:b w:val="1"/>
                <w:bCs w:val="1"/>
                <w:color w:val="auto"/>
              </w:rPr>
              <w:t>52-0782497</w:t>
            </w: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3200" w:type="dxa"/>
            <w:vAlign w:val="bottom"/>
            <w:gridSpan w:val="2"/>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(State of Organization)</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80" w:type="dxa"/>
            <w:vAlign w:val="bottom"/>
            <w:gridSpan w:val="2"/>
            <w:vMerge w:val="restart"/>
          </w:tcPr>
          <w:p>
            <w:pPr>
              <w:jc w:val="center"/>
              <w:ind w:right="982"/>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4980" w:type="dxa"/>
            <w:vAlign w:val="bottom"/>
            <w:gridSpan w:val="3"/>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1626 East Jefferson Street, Rockville, Maryland</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80" w:type="dxa"/>
            <w:vAlign w:val="bottom"/>
            <w:gridSpan w:val="2"/>
          </w:tcPr>
          <w:p>
            <w:pPr>
              <w:jc w:val="right"/>
              <w:ind w:right="1882"/>
              <w:spacing w:after="0"/>
              <w:rPr>
                <w:sz w:val="20"/>
                <w:szCs w:val="20"/>
                <w:color w:val="auto"/>
              </w:rPr>
            </w:pPr>
            <w:r>
              <w:rPr>
                <w:rFonts w:ascii="Times New Roman" w:cs="Times New Roman" w:eastAsia="Times New Roman" w:hAnsi="Times New Roman"/>
                <w:sz w:val="16"/>
                <w:szCs w:val="16"/>
                <w:b w:val="1"/>
                <w:bCs w:val="1"/>
                <w:color w:val="auto"/>
              </w:rPr>
              <w:t>20852</w:t>
            </w:r>
          </w:p>
        </w:tc>
        <w:tc>
          <w:tcPr>
            <w:tcW w:w="0" w:type="dxa"/>
            <w:vAlign w:val="bottom"/>
          </w:tcPr>
          <w:p>
            <w:pPr>
              <w:spacing w:after="0"/>
              <w:rPr>
                <w:sz w:val="1"/>
                <w:szCs w:val="1"/>
                <w:color w:val="auto"/>
              </w:rPr>
            </w:pPr>
          </w:p>
        </w:tc>
      </w:tr>
      <w:tr>
        <w:trPr>
          <w:trHeight w:val="226"/>
        </w:trPr>
        <w:tc>
          <w:tcPr>
            <w:tcW w:w="4980" w:type="dxa"/>
            <w:vAlign w:val="bottom"/>
            <w:gridSpan w:val="3"/>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20" w:type="dxa"/>
            <w:vAlign w:val="bottom"/>
          </w:tcPr>
          <w:p>
            <w:pPr>
              <w:jc w:val="center"/>
              <w:ind w:right="104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1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420" w:type="dxa"/>
            <w:vAlign w:val="bottom"/>
            <w:gridSpan w:val="2"/>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(301) 998-8100</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40" w:type="dxa"/>
            <w:vAlign w:val="bottom"/>
            <w:gridSpan w:val="4"/>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6"/>
        </w:trPr>
        <w:tc>
          <w:tcPr>
            <w:tcW w:w="178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2"/>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Shares of Beneficial Interest, $.01 par value per share, with</w:t>
            </w:r>
          </w:p>
        </w:tc>
        <w:tc>
          <w:tcPr>
            <w:tcW w:w="320" w:type="dxa"/>
            <w:vAlign w:val="bottom"/>
          </w:tcPr>
          <w:p>
            <w:pPr>
              <w:spacing w:after="0"/>
              <w:rPr>
                <w:sz w:val="22"/>
                <w:szCs w:val="22"/>
                <w:color w:val="auto"/>
              </w:rPr>
            </w:pPr>
          </w:p>
        </w:tc>
        <w:tc>
          <w:tcPr>
            <w:tcW w:w="21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6"/>
              </w:rPr>
              <w:t>FRT</w:t>
            </w:r>
          </w:p>
        </w:tc>
        <w:tc>
          <w:tcPr>
            <w:tcW w:w="60" w:type="dxa"/>
            <w:vAlign w:val="bottom"/>
          </w:tcPr>
          <w:p>
            <w:pPr>
              <w:spacing w:after="0"/>
              <w:rPr>
                <w:sz w:val="22"/>
                <w:szCs w:val="22"/>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0"/>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associated Common Share Purchase Rights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Depositary Shares, each representing 1/1000 of a share of 5.00% Series C</w:t>
            </w:r>
          </w:p>
        </w:tc>
        <w:tc>
          <w:tcPr>
            <w:tcW w:w="320" w:type="dxa"/>
            <w:vAlign w:val="bottom"/>
          </w:tcPr>
          <w:p>
            <w:pPr>
              <w:spacing w:after="0"/>
              <w:rPr>
                <w:sz w:val="21"/>
                <w:szCs w:val="21"/>
                <w:color w:val="auto"/>
              </w:rPr>
            </w:pPr>
          </w:p>
        </w:tc>
        <w:tc>
          <w:tcPr>
            <w:tcW w:w="21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7"/>
              </w:rPr>
              <w:t>FRT-C</w:t>
            </w:r>
          </w:p>
        </w:tc>
        <w:tc>
          <w:tcPr>
            <w:tcW w:w="6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0"/>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Cumulative Redeemable Preferred Stock, $.01 par value per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4"/>
          <w:szCs w:val="24"/>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128"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6"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59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w:t>
            </w:r>
          </w:p>
        </w:tc>
        <w:tc>
          <w:tcPr>
            <w:tcW w:w="59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1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9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0"/>
        </w:trPr>
        <w:tc>
          <w:tcPr>
            <w:tcW w:w="10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bl>
    <w:p>
      <w:pPr>
        <w:ind w:left="40"/>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p>
      <w:pPr>
        <w:spacing w:after="0" w:line="15" w:lineRule="exact"/>
        <w:rPr>
          <w:sz w:val="24"/>
          <w:szCs w:val="24"/>
          <w:color w:val="auto"/>
        </w:rPr>
      </w:pPr>
    </w:p>
    <w:p>
      <w:pPr>
        <w:spacing w:after="0" w:line="184" w:lineRule="exact"/>
        <w:tabs>
          <w:tab w:leader="none" w:pos="76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Registrant’s common shares outstanding on April 29, 2019 was 74,905,997.</w:t>
      </w:r>
    </w:p>
    <w:p>
      <w:pPr>
        <w:sectPr>
          <w:pgSz w:w="11900" w:h="16838" w:orient="portrait"/>
          <w:cols w:equalWidth="0" w:num="1">
            <w:col w:w="11340"/>
          </w:cols>
          <w:pgMar w:left="240" w:top="23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9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Balance Sheets as of March 31, 2019 (unaudited) and December 31,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months ended March 31, 2019 and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Shareholders' Equity (unaudited) for the three months ended March 31, 2019 and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2019 and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13</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24</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24</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1A.</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r>
      <w:tr>
        <w:trPr>
          <w:trHeight w:val="250"/>
        </w:trPr>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r>
      <w:tr>
        <w:trPr>
          <w:trHeight w:val="574"/>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28</w:t>
              </w:r>
            </w:hyperlink>
          </w:p>
        </w:tc>
      </w:tr>
      <w:tr>
        <w:trPr>
          <w:trHeight w:val="939"/>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7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9"/>
        </w:trPr>
        <w:tc>
          <w:tcPr>
            <w:tcW w:w="8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4"/>
          </w:tcPr>
          <w:p>
            <w:pPr>
              <w:jc w:val="right"/>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90"/>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Operating (including $1,699,440 and $1,701,804 of consolidated variable interest entities,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7,293,205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7,307,622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Construction-in-progress (including $62,037 and $51,313 of consolidated variable interest entities,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540,192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495,274</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16,576</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7,844,168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7,819,472</w:t>
            </w:r>
          </w:p>
        </w:tc>
        <w:tc>
          <w:tcPr>
            <w:tcW w:w="0" w:type="dxa"/>
            <w:vAlign w:val="bottom"/>
          </w:tcPr>
          <w:p>
            <w:pPr>
              <w:spacing w:after="0"/>
              <w:rPr>
                <w:sz w:val="1"/>
                <w:szCs w:val="1"/>
                <w:color w:val="auto"/>
              </w:rPr>
            </w:pPr>
          </w:p>
        </w:tc>
      </w:tr>
      <w:tr>
        <w:trPr>
          <w:trHeight w:val="225"/>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$301,029 and $292,374 of consolidated variable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(2,059,143)</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5,739,009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5,760,329</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64,087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142,237</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30,429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26,859</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265,703</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6,351,366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6,289,644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Mortgages payable, net (including $441,107 and $444,388 of consolidated variable interest entities,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452,466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474,379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71,519</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279,027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2,404,987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2,404,279</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177,922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78,207</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17,875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157,451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182,898</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3,715,095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3,686,106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136,208</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7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7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6,000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5"/>
        </w:trPr>
        <w:tc>
          <w:tcPr>
            <w:tcW w:w="8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399,896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Common shares of beneficial interest, $.01 par, 100,000,000 shares authorized, 74,836,984 and 74,249,633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3,071,981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3,004,442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(818,877)</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2,388,158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2,345,891</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121,439</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2,501,563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2,467,330</w:t>
            </w:r>
          </w:p>
        </w:tc>
        <w:tc>
          <w:tcPr>
            <w:tcW w:w="0" w:type="dxa"/>
            <w:vAlign w:val="bottom"/>
          </w:tcPr>
          <w:p>
            <w:pPr>
              <w:spacing w:after="0"/>
              <w:rPr>
                <w:sz w:val="1"/>
                <w:szCs w:val="1"/>
                <w:color w:val="auto"/>
              </w:rPr>
            </w:pPr>
          </w:p>
        </w:tc>
      </w:tr>
      <w:tr>
        <w:trPr>
          <w:trHeight w:val="237"/>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6,351,366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6,289,644</w:t>
            </w:r>
          </w:p>
        </w:tc>
        <w:tc>
          <w:tcPr>
            <w:tcW w:w="0" w:type="dxa"/>
            <w:vAlign w:val="bottom"/>
          </w:tcPr>
          <w:p>
            <w:pPr>
              <w:spacing w:after="0"/>
              <w:rPr>
                <w:sz w:val="1"/>
                <w:szCs w:val="1"/>
                <w:color w:val="auto"/>
              </w:rPr>
            </w:pPr>
          </w:p>
        </w:tc>
      </w:tr>
      <w:tr>
        <w:trPr>
          <w:trHeight w:val="27"/>
        </w:trPr>
        <w:tc>
          <w:tcPr>
            <w:tcW w:w="878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4" w:right="259" w:bottom="9"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4" w:right="259" w:bottom="9"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Rental income</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224,648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232,227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225,405</w:t>
            </w:r>
          </w:p>
        </w:tc>
        <w:tc>
          <w:tcPr>
            <w:tcW w:w="0" w:type="dxa"/>
            <w:vAlign w:val="bottom"/>
          </w:tcPr>
          <w:p>
            <w:pPr>
              <w:spacing w:after="0"/>
              <w:rPr>
                <w:sz w:val="1"/>
                <w:szCs w:val="1"/>
                <w:color w:val="auto"/>
              </w:rPr>
            </w:pPr>
          </w:p>
        </w:tc>
      </w:tr>
      <w:tr>
        <w:trPr>
          <w:trHeight w:val="22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0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Rental expenses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44,773</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estate taxes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28,448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7,929</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58,110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141,134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139,260</w:t>
            </w:r>
          </w:p>
        </w:tc>
        <w:tc>
          <w:tcPr>
            <w:tcW w:w="0" w:type="dxa"/>
            <w:vAlign w:val="bottom"/>
          </w:tcPr>
          <w:p>
            <w:pPr>
              <w:spacing w:after="0"/>
              <w:rPr>
                <w:sz w:val="1"/>
                <w:szCs w:val="1"/>
                <w:color w:val="auto"/>
              </w:rPr>
            </w:pPr>
          </w:p>
        </w:tc>
      </w:tr>
      <w:tr>
        <w:trPr>
          <w:trHeight w:val="277"/>
        </w:trPr>
        <w:tc>
          <w:tcPr>
            <w:tcW w:w="5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 net of tax</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77"/>
        </w:trPr>
        <w:tc>
          <w:tcPr>
            <w:tcW w:w="5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89,461</w:t>
            </w:r>
          </w:p>
        </w:tc>
        <w:tc>
          <w:tcPr>
            <w:tcW w:w="0" w:type="dxa"/>
            <w:vAlign w:val="bottom"/>
          </w:tcPr>
          <w:p>
            <w:pPr>
              <w:spacing w:after="0"/>
              <w:rPr>
                <w:sz w:val="1"/>
                <w:szCs w:val="1"/>
                <w:color w:val="auto"/>
              </w:rPr>
            </w:pPr>
          </w:p>
        </w:tc>
      </w:tr>
      <w:tr>
        <w:trPr>
          <w:trHeight w:val="284"/>
        </w:trPr>
        <w:tc>
          <w:tcPr>
            <w:tcW w:w="5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INCOME/(EXPENSE)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interest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partnerships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62,931</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61,247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58,134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59,237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72,905</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3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72,968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63,398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3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59,935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61,714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302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2019 and 2018</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1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BALANCE AT DECEMBER 31, 2018</w:t>
      </w:r>
    </w:p>
    <w:p>
      <w:pPr>
        <w:spacing w:after="0" w:line="109" w:lineRule="exact"/>
        <w:rPr>
          <w:sz w:val="20"/>
          <w:szCs w:val="20"/>
          <w:color w:val="auto"/>
        </w:rPr>
      </w:pPr>
    </w:p>
    <w:p>
      <w:pPr>
        <w:ind w:left="40" w:right="360"/>
        <w:spacing w:after="0" w:line="261" w:lineRule="auto"/>
        <w:rPr>
          <w:sz w:val="20"/>
          <w:szCs w:val="20"/>
          <w:color w:val="auto"/>
        </w:rPr>
      </w:pPr>
      <w:r>
        <w:rPr>
          <w:rFonts w:ascii="Times New Roman" w:cs="Times New Roman" w:eastAsia="Times New Roman" w:hAnsi="Times New Roman"/>
          <w:sz w:val="14"/>
          <w:szCs w:val="14"/>
          <w:color w:val="auto"/>
        </w:rPr>
        <w:t>January 1, 2019 adoption of new accounting standard - See Note 2</w:t>
      </w:r>
    </w:p>
    <w:p>
      <w:pPr>
        <w:spacing w:after="0" w:line="1" w:lineRule="exact"/>
        <w:rPr>
          <w:sz w:val="20"/>
          <w:szCs w:val="20"/>
          <w:color w:val="auto"/>
        </w:rPr>
      </w:pPr>
    </w:p>
    <w:p>
      <w:pPr>
        <w:ind w:left="40" w:right="440"/>
        <w:spacing w:after="0" w:line="261" w:lineRule="auto"/>
        <w:rPr>
          <w:sz w:val="20"/>
          <w:szCs w:val="20"/>
          <w:color w:val="auto"/>
        </w:rPr>
      </w:pPr>
      <w:r>
        <w:rPr>
          <w:rFonts w:ascii="Times New Roman" w:cs="Times New Roman" w:eastAsia="Times New Roman" w:hAnsi="Times New Roman"/>
          <w:sz w:val="14"/>
          <w:szCs w:val="14"/>
          <w:color w:val="auto"/>
          <w:shd w:val="clear" w:color="auto" w:fill="CCEEFF"/>
        </w:rPr>
        <w:t>Net income, excluding $876 attributable to redeemable noncontrolling interests</w:t>
      </w:r>
    </w:p>
    <w:p>
      <w:pPr>
        <w:spacing w:after="0" w:line="1"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p>
      <w:pPr>
        <w:spacing w:after="0" w:line="1" w:lineRule="exact"/>
        <w:rPr>
          <w:sz w:val="20"/>
          <w:szCs w:val="20"/>
          <w:color w:val="auto"/>
        </w:rPr>
      </w:pPr>
    </w:p>
    <w:p>
      <w:pPr>
        <w:ind w:left="40" w:right="340"/>
        <w:spacing w:after="0" w:line="261" w:lineRule="auto"/>
        <w:rPr>
          <w:sz w:val="20"/>
          <w:szCs w:val="20"/>
          <w:color w:val="auto"/>
        </w:rPr>
      </w:pPr>
      <w:r>
        <w:rPr>
          <w:rFonts w:ascii="Times New Roman" w:cs="Times New Roman" w:eastAsia="Times New Roman" w:hAnsi="Times New Roman"/>
          <w:sz w:val="14"/>
          <w:szCs w:val="14"/>
          <w:color w:val="auto"/>
          <w:shd w:val="clear" w:color="auto" w:fill="CCEEFF"/>
        </w:rPr>
        <w:t>Dividends declared to common shareholders ($1.02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Distributions declared to noncontrolling interests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p>
      <w:pPr>
        <w:spacing w:after="0" w:line="109" w:lineRule="exact"/>
        <w:rPr>
          <w:sz w:val="20"/>
          <w:szCs w:val="20"/>
          <w:color w:val="auto"/>
        </w:rPr>
      </w:pPr>
    </w:p>
    <w:p>
      <w:pPr>
        <w:ind w:left="40" w:right="460"/>
        <w:spacing w:after="0" w:line="261" w:lineRule="auto"/>
        <w:rPr>
          <w:sz w:val="20"/>
          <w:szCs w:val="20"/>
          <w:color w:val="auto"/>
        </w:rPr>
      </w:pPr>
      <w:r>
        <w:rPr>
          <w:rFonts w:ascii="Times New Roman" w:cs="Times New Roman" w:eastAsia="Times New Roman" w:hAnsi="Times New Roman"/>
          <w:sz w:val="14"/>
          <w:szCs w:val="14"/>
          <w:color w:val="auto"/>
        </w:rPr>
        <w:t>Share-based compensation expense, net of forfeitures</w:t>
      </w:r>
    </w:p>
    <w:p>
      <w:pPr>
        <w:spacing w:after="0" w:line="1" w:lineRule="exact"/>
        <w:rPr>
          <w:sz w:val="20"/>
          <w:szCs w:val="20"/>
          <w:color w:val="auto"/>
        </w:rPr>
      </w:pPr>
    </w:p>
    <w:p>
      <w:pPr>
        <w:ind w:left="40" w:right="620"/>
        <w:spacing w:after="0" w:line="402" w:lineRule="auto"/>
        <w:rPr>
          <w:sz w:val="20"/>
          <w:szCs w:val="20"/>
          <w:color w:val="auto"/>
        </w:rPr>
      </w:pPr>
      <w:r>
        <w:rPr>
          <w:rFonts w:ascii="Times New Roman" w:cs="Times New Roman" w:eastAsia="Times New Roman" w:hAnsi="Times New Roman"/>
          <w:sz w:val="14"/>
          <w:szCs w:val="14"/>
          <w:color w:val="auto"/>
        </w:rPr>
        <w:t>Shares withheld for employee taxes Conversion and redemption of OP units</w:t>
      </w:r>
    </w:p>
    <w:p>
      <w:pPr>
        <w:spacing w:after="0" w:line="1" w:lineRule="exact"/>
        <w:rPr>
          <w:sz w:val="20"/>
          <w:szCs w:val="20"/>
          <w:color w:val="auto"/>
        </w:rPr>
      </w:pPr>
    </w:p>
    <w:p>
      <w:pPr>
        <w:ind w:left="40" w:right="500"/>
        <w:spacing w:after="0" w:line="261" w:lineRule="auto"/>
        <w:rPr>
          <w:sz w:val="20"/>
          <w:szCs w:val="20"/>
          <w:color w:val="auto"/>
        </w:rPr>
      </w:pPr>
      <w:r>
        <w:rPr>
          <w:rFonts w:ascii="Times New Roman" w:cs="Times New Roman" w:eastAsia="Times New Roman" w:hAnsi="Times New Roman"/>
          <w:sz w:val="14"/>
          <w:szCs w:val="14"/>
          <w:color w:val="auto"/>
          <w:shd w:val="clear" w:color="auto" w:fill="CCEEFF"/>
        </w:rPr>
        <w:t>Adjustment to redeemable noncontrolling interests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MARCH 31, 2019</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DECEMBER 31, 2017</w:t>
      </w:r>
    </w:p>
    <w:p>
      <w:pPr>
        <w:spacing w:after="0" w:line="109" w:lineRule="exact"/>
        <w:rPr>
          <w:sz w:val="20"/>
          <w:szCs w:val="20"/>
          <w:color w:val="auto"/>
        </w:rPr>
      </w:pPr>
    </w:p>
    <w:p>
      <w:pPr>
        <w:ind w:left="40" w:right="360"/>
        <w:spacing w:after="0" w:line="261" w:lineRule="auto"/>
        <w:rPr>
          <w:sz w:val="20"/>
          <w:szCs w:val="20"/>
          <w:color w:val="auto"/>
        </w:rPr>
      </w:pPr>
      <w:r>
        <w:rPr>
          <w:rFonts w:ascii="Times New Roman" w:cs="Times New Roman" w:eastAsia="Times New Roman" w:hAnsi="Times New Roman"/>
          <w:sz w:val="14"/>
          <w:szCs w:val="14"/>
          <w:color w:val="auto"/>
        </w:rPr>
        <w:t>January 1, 2018 adoption of new accounting standard - See Note 2</w:t>
      </w:r>
    </w:p>
    <w:p>
      <w:pPr>
        <w:spacing w:after="0" w:line="1" w:lineRule="exact"/>
        <w:rPr>
          <w:sz w:val="20"/>
          <w:szCs w:val="20"/>
          <w:color w:val="auto"/>
        </w:rPr>
      </w:pPr>
    </w:p>
    <w:p>
      <w:pPr>
        <w:ind w:left="40" w:right="320"/>
        <w:spacing w:after="0" w:line="261" w:lineRule="auto"/>
        <w:rPr>
          <w:sz w:val="20"/>
          <w:szCs w:val="20"/>
          <w:color w:val="auto"/>
        </w:rPr>
      </w:pPr>
      <w:r>
        <w:rPr>
          <w:rFonts w:ascii="Times New Roman" w:cs="Times New Roman" w:eastAsia="Times New Roman" w:hAnsi="Times New Roman"/>
          <w:sz w:val="14"/>
          <w:szCs w:val="14"/>
          <w:color w:val="auto"/>
        </w:rPr>
        <w:t>Net income, excluding $1,015 attributable to redeemable noncontrolling interests</w:t>
      </w:r>
    </w:p>
    <w:p>
      <w:pPr>
        <w:spacing w:after="0" w:line="1" w:lineRule="exact"/>
        <w:rPr>
          <w:sz w:val="20"/>
          <w:szCs w:val="20"/>
          <w:color w:val="auto"/>
        </w:rPr>
      </w:pPr>
    </w:p>
    <w:p>
      <w:pPr>
        <w:ind w:left="40" w:right="300"/>
        <w:spacing w:after="0" w:line="261" w:lineRule="auto"/>
        <w:rPr>
          <w:sz w:val="20"/>
          <w:szCs w:val="20"/>
          <w:color w:val="auto"/>
        </w:rPr>
      </w:pPr>
      <w:r>
        <w:rPr>
          <w:rFonts w:ascii="Times New Roman" w:cs="Times New Roman" w:eastAsia="Times New Roman" w:hAnsi="Times New Roman"/>
          <w:sz w:val="14"/>
          <w:szCs w:val="14"/>
          <w:color w:val="auto"/>
        </w:rPr>
        <w:t>Other comprehensive income - change in fair value of interest rate swaps</w:t>
      </w:r>
    </w:p>
    <w:p>
      <w:pPr>
        <w:spacing w:after="0" w:line="1" w:lineRule="exact"/>
        <w:rPr>
          <w:sz w:val="20"/>
          <w:szCs w:val="20"/>
          <w:color w:val="auto"/>
        </w:rPr>
      </w:pPr>
    </w:p>
    <w:p>
      <w:pPr>
        <w:ind w:left="40" w:right="340"/>
        <w:spacing w:after="0" w:line="261" w:lineRule="auto"/>
        <w:rPr>
          <w:sz w:val="20"/>
          <w:szCs w:val="20"/>
          <w:color w:val="auto"/>
        </w:rPr>
      </w:pPr>
      <w:r>
        <w:rPr>
          <w:rFonts w:ascii="Times New Roman" w:cs="Times New Roman" w:eastAsia="Times New Roman" w:hAnsi="Times New Roman"/>
          <w:sz w:val="14"/>
          <w:szCs w:val="14"/>
          <w:color w:val="auto"/>
        </w:rPr>
        <w:t>Dividends declared to common shareholders ($1.00 per share)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Distributions declared to noncontrolling interests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p>
      <w:pPr>
        <w:spacing w:after="0" w:line="109" w:lineRule="exact"/>
        <w:rPr>
          <w:sz w:val="20"/>
          <w:szCs w:val="20"/>
          <w:color w:val="auto"/>
        </w:rPr>
      </w:pPr>
    </w:p>
    <w:p>
      <w:pPr>
        <w:ind w:left="40" w:right="460"/>
        <w:spacing w:after="0" w:line="261" w:lineRule="auto"/>
        <w:rPr>
          <w:sz w:val="20"/>
          <w:szCs w:val="20"/>
          <w:color w:val="auto"/>
        </w:rPr>
      </w:pPr>
      <w:r>
        <w:rPr>
          <w:rFonts w:ascii="Times New Roman" w:cs="Times New Roman" w:eastAsia="Times New Roman" w:hAnsi="Times New Roman"/>
          <w:sz w:val="14"/>
          <w:szCs w:val="14"/>
          <w:color w:val="auto"/>
        </w:rPr>
        <w:t>Share-based compensation expense, net of forfeitures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Conversion and redemption of OP units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MARCH 31, 2018</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6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6"/>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vMerge w:val="restart"/>
          </w:tcPr>
          <w:p>
            <w:pPr>
              <w:spacing w:after="0"/>
              <w:rPr>
                <w:sz w:val="12"/>
                <w:szCs w:val="12"/>
                <w:color w:val="auto"/>
              </w:rPr>
            </w:pPr>
          </w:p>
        </w:tc>
        <w:tc>
          <w:tcPr>
            <w:tcW w:w="9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66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0" w:type="dxa"/>
            <w:vAlign w:val="bottom"/>
            <w:gridSpan w:val="5"/>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0"/>
                <w:szCs w:val="10"/>
                <w:color w:val="auto"/>
              </w:rPr>
            </w:pPr>
          </w:p>
        </w:tc>
        <w:tc>
          <w:tcPr>
            <w:tcW w:w="8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82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Excess of Net</w:t>
            </w:r>
          </w:p>
        </w:tc>
        <w:tc>
          <w:tcPr>
            <w:tcW w:w="1120" w:type="dxa"/>
            <w:vAlign w:val="bottom"/>
            <w:gridSpan w:val="5"/>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95"/>
        </w:trPr>
        <w:tc>
          <w:tcPr>
            <w:tcW w:w="94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11"/>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405,896</w:t>
            </w:r>
          </w:p>
        </w:tc>
        <w:tc>
          <w:tcPr>
            <w:tcW w:w="1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$ 159,997</w:t>
            </w:r>
          </w:p>
        </w:tc>
        <w:tc>
          <w:tcPr>
            <w:tcW w:w="100" w:type="dxa"/>
            <w:vAlign w:val="bottom"/>
          </w:tcPr>
          <w:p>
            <w:pPr>
              <w:spacing w:after="0"/>
              <w:rPr>
                <w:sz w:val="23"/>
                <w:szCs w:val="23"/>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74,249,633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$3,004,442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(818,877)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121,439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2,467,330</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60,144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60,927</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(76,106)</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446,132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59,348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59,353</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4,273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100,586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3,860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3,861</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(32,686)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69,046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7,550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6"/>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405,896</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$ 159,997</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74,836,984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$3,071,981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(843,947)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113,405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2,501,563</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405,896</w:t>
            </w:r>
          </w:p>
        </w:tc>
        <w:tc>
          <w:tcPr>
            <w:tcW w:w="14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$ 159,997</w:t>
            </w:r>
          </w:p>
        </w:tc>
        <w:tc>
          <w:tcPr>
            <w:tcW w:w="100" w:type="dxa"/>
            <w:vAlign w:val="bottom"/>
          </w:tcPr>
          <w:p>
            <w:pPr>
              <w:spacing w:after="0"/>
              <w:rPr>
                <w:sz w:val="24"/>
                <w:szCs w:val="24"/>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73,090,877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$2,855,321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(749,367)</w:t>
            </w:r>
          </w:p>
        </w:tc>
        <w:tc>
          <w:tcPr>
            <w:tcW w:w="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124,808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2,391,514</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(6,028)</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61,916</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(73,153)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(73,153)</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30,000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4,440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97,968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3,870</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275"/>
        </w:trPr>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0" w:type="dxa"/>
            <w:vAlign w:val="bottom"/>
          </w:tcPr>
          <w:p>
            <w:pPr>
              <w:spacing w:after="0"/>
              <w:rPr>
                <w:sz w:val="1"/>
                <w:szCs w:val="1"/>
                <w:color w:val="auto"/>
              </w:rPr>
            </w:pPr>
          </w:p>
        </w:tc>
      </w:tr>
      <w:tr>
        <w:trPr>
          <w:trHeight w:val="237"/>
        </w:trPr>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405,896</w:t>
            </w:r>
          </w:p>
        </w:tc>
        <w:tc>
          <w:tcPr>
            <w:tcW w:w="14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$ 159,997</w:t>
            </w:r>
          </w:p>
        </w:tc>
        <w:tc>
          <w:tcPr>
            <w:tcW w:w="100" w:type="dxa"/>
            <w:vAlign w:val="bottom"/>
          </w:tcPr>
          <w:p>
            <w:pPr>
              <w:spacing w:after="0"/>
              <w:rPr>
                <w:sz w:val="20"/>
                <w:szCs w:val="20"/>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73,216,520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$2,859,717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(769,311)</w:t>
            </w:r>
          </w:p>
        </w:tc>
        <w:tc>
          <w:tcPr>
            <w:tcW w:w="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121,483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2,373,110</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-5487670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-5093335</wp:posOffset>
            </wp:positionV>
            <wp:extent cx="724662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-4647565</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-4253230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-3909695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-3515360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-3172460</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-2675255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-2280285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-1834515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-1440180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-1097280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-753745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-359410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2940" w:space="40"/>
            <w:col w:w="8440"/>
          </w:cols>
          <w:pgMar w:left="240" w:top="124"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r>
      <w:tr>
        <w:trPr>
          <w:trHeight w:val="25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61,803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62,931</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58,110</w:t>
            </w:r>
          </w:p>
        </w:tc>
      </w:tr>
      <w:tr>
        <w:trPr>
          <w:trHeight w:val="243"/>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real estate, net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w:t>
            </w:r>
          </w:p>
        </w:tc>
      </w:tr>
      <w:tr>
        <w:trPr>
          <w:trHeight w:val="243"/>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1,737</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 decrease in accounts receivable,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2,322</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4,088</w:t>
            </w:r>
          </w:p>
        </w:tc>
      </w:tr>
      <w:tr>
        <w:trPr>
          <w:trHeight w:val="243"/>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 in accounts payable and accrued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3,163</w:t>
            </w:r>
          </w:p>
        </w:tc>
      </w:tr>
      <w:tr>
        <w:trPr>
          <w:trHeight w:val="237"/>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104,919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124,180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(20,194)</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51,459</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Leasing costs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(issuance) of mortgage and other notes receivable,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7"/>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(46,178)</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borrowings under revolving credit facility, net of costs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62,000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mortgages and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59,427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1,336</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(74,925)</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(29,502)</w:t>
            </w:r>
          </w:p>
        </w:tc>
      </w:tr>
      <w:tr>
        <w:trPr>
          <w:trHeight w:val="237"/>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48,500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108,332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25,200</w:t>
            </w:r>
          </w:p>
        </w:tc>
      </w:tr>
      <w:tr>
        <w:trPr>
          <w:trHeight w:val="237"/>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82,212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73,700</w:t>
            </w:r>
          </w:p>
        </w:tc>
      </w:tr>
      <w:tr>
        <w:trPr>
          <w:trHeight w:val="27"/>
        </w:trPr>
        <w:tc>
          <w:tcPr>
            <w:tcW w:w="8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4"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March 31, 2019, we owned or had a majority interest in community and neighborhood shopping centers and mixed-use properties which are operated as 105 predominantly retail real estate projects.</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consolidated balance sheet as of December 31, 2018,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months ended March 31, 2019 are not necessarily indicative of the results that may be expected for the full year.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2018 amounts have been reclassified to conform to current period presentation, which includes the presentation of rental income on our Consolidated Statements of Comprehensive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4"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ectPr>
          <w:pgSz w:w="11900" w:h="16838" w:orient="portrait"/>
          <w:cols w:equalWidth="0" w:num="1">
            <w:col w:w="11360"/>
          </w:cols>
          <w:pgMar w:left="240" w:top="124" w:right="299" w:bottom="1440" w:gutter="0" w:footer="0" w:header="0"/>
        </w:sectPr>
      </w:pP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380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Adopted on January 1, 2019:</w:t>
      </w:r>
    </w:p>
    <w:p>
      <w:pPr>
        <w:spacing w:after="0" w:line="81"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7"/>
          <w:szCs w:val="17"/>
          <w:color w:val="auto"/>
        </w:rPr>
        <w:t>Leases (Topic 842) and related updates: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ASU 2016-02,</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2016,</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Leases (Topic 842)</w:t>
      </w:r>
    </w:p>
    <w:p>
      <w:pPr>
        <w:spacing w:after="0" w:line="192" w:lineRule="exact"/>
        <w:rPr>
          <w:sz w:val="20"/>
          <w:szCs w:val="20"/>
          <w:color w:val="auto"/>
        </w:rPr>
      </w:pPr>
    </w:p>
    <w:p>
      <w:pPr>
        <w:ind w:left="40" w:right="780"/>
        <w:spacing w:after="0" w:line="259" w:lineRule="auto"/>
        <w:rPr>
          <w:sz w:val="20"/>
          <w:szCs w:val="20"/>
          <w:color w:val="auto"/>
        </w:rPr>
      </w:pPr>
      <w:r>
        <w:rPr>
          <w:rFonts w:ascii="Times New Roman" w:cs="Times New Roman" w:eastAsia="Times New Roman" w:hAnsi="Times New Roman"/>
          <w:sz w:val="17"/>
          <w:szCs w:val="17"/>
          <w:color w:val="auto"/>
        </w:rPr>
        <w:t>ASU 2018-10, July 2018, Codification improvements to Topic 842, Leases</w:t>
      </w:r>
    </w:p>
    <w:p>
      <w:pPr>
        <w:spacing w:after="0" w:line="169" w:lineRule="exact"/>
        <w:rPr>
          <w:sz w:val="20"/>
          <w:szCs w:val="20"/>
          <w:color w:val="auto"/>
        </w:rPr>
      </w:pPr>
    </w:p>
    <w:p>
      <w:pPr>
        <w:jc w:val="both"/>
        <w:ind w:left="40" w:right="720"/>
        <w:spacing w:after="0" w:line="265" w:lineRule="auto"/>
        <w:rPr>
          <w:sz w:val="20"/>
          <w:szCs w:val="20"/>
          <w:color w:val="auto"/>
        </w:rPr>
      </w:pPr>
      <w:r>
        <w:rPr>
          <w:rFonts w:ascii="Times New Roman" w:cs="Times New Roman" w:eastAsia="Times New Roman" w:hAnsi="Times New Roman"/>
          <w:sz w:val="17"/>
          <w:szCs w:val="17"/>
          <w:color w:val="auto"/>
        </w:rPr>
        <w:t>ASU 2018-11, July 2018, Leases (Topic 842)</w:t>
      </w:r>
    </w:p>
    <w:p>
      <w:pPr>
        <w:spacing w:after="0" w:line="163" w:lineRule="exact"/>
        <w:rPr>
          <w:sz w:val="20"/>
          <w:szCs w:val="20"/>
          <w:color w:val="auto"/>
        </w:rPr>
      </w:pPr>
    </w:p>
    <w:p>
      <w:pPr>
        <w:ind w:left="120" w:right="540" w:hanging="9"/>
        <w:spacing w:after="0" w:line="259" w:lineRule="auto"/>
        <w:rPr>
          <w:sz w:val="20"/>
          <w:szCs w:val="20"/>
          <w:color w:val="auto"/>
        </w:rPr>
      </w:pPr>
      <w:r>
        <w:rPr>
          <w:rFonts w:ascii="Times New Roman" w:cs="Times New Roman" w:eastAsia="Times New Roman" w:hAnsi="Times New Roman"/>
          <w:sz w:val="17"/>
          <w:szCs w:val="17"/>
          <w:color w:val="auto"/>
        </w:rPr>
        <w:t>ASU 2019-01, March 2019, Leases (Topic 842), Codification Improvements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36830</wp:posOffset>
            </wp:positionV>
            <wp:extent cx="2246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ASC 842 significantly changes the accounting for leases by requiring lessees to recognize assets and liabilities for leases greater than 12 months on their balance sheet. The larger changes to the lessor model include: a change in the definition of initial direct costs of leases (resulting in the upfront expensing of more leasing related costs), the requirement to make an upfront and ongoing assessment of whether collection of substantially all of the lease payments required for the term of each lease is probable (if not probable, lease revenue is effectively recognized when cash is collected), certain presentation changes, and the elimination of real estate specific guidance.</w:t>
      </w:r>
    </w:p>
    <w:p>
      <w:pPr>
        <w:spacing w:after="0" w:line="3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ASU 2018-10 and ASU 2019-01 provide narrow amendments that clarify how to apply certain aspects of the guidance in ASU 2016-02. ASU 2018-11 provides the option of an additional transition method, by allowing entities to initially apply the new leases standard at the adoption date and recognize a cumulative-effect adjustment to the opening balance of retained earnings in the period of adoption. It also provides lessors an option to not separate lease and non-lease components when certain criteria are met.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36830</wp:posOffset>
            </wp:positionV>
            <wp:extent cx="3473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We have elected to apply the transition provisions of ASC Topic 842 at the beginning of the period of adoption (i.e., January 1, 2019), and therefore, did not retrospectively adjust prior periods presented. We have also elected to apply certain adoption related practical expedients for all leases that commenced prior to the effective date. These practical expedients include not reassessing whether any expired or existing contracts are or contain leases; not reassessing the lease classification for any expired or existing leases; and not reassessing initial direct costs for any existing leases. We have also elected the practical expedient allowing lessors to combine non-lease and lease components (primarily impacts common area maintenance recoveries).</w:t>
      </w:r>
    </w:p>
    <w:p>
      <w:pPr>
        <w:spacing w:after="0" w:line="1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From a lessee perspective, the primary impact of adoption on January 1, 2019 was to record a lease obligation liability and right of use asset for operating leases where we are the lessee. The most significant of these operating leases are ground leases at 14 properties. The operating lease right of use assets and related liabilities are shown separately on the face of our consolidated balance sheet. Additionally, amounts previously recorded as capital lease assets and included in real estate have been reclassified in the March 31, 2019 balance sheet as finance lease right of use assets and the related capital lease obligations have been reclassified in the March 31, 2019 balance sheet as finance lease liabilities. Income statement presentation is not impacted for our existing operating and finance leases.</w:t>
      </w:r>
    </w:p>
    <w:p>
      <w:pPr>
        <w:spacing w:after="0" w:line="17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From a lessor perspective, adoption of ASC 842 results in a charge to opening accumulated dividends in excess of net income of $7.1 million. This charge is attributable to the write off of certain direct leasing costs recorded as of December 31, 2018 under the previous lease accounting rules for leases which had not commenced and the write off of December 31, 2018 unreserved receivables (including straight-line receivables) for leases where we have determined that the collection of substantially all of the lease payments required for the term of the lease is not probable. Income statement presentation changes incorporated into our March 31, 2019 financial statements include: no longer recording a gross up of revenue and expense for costs (such as real estate taxes) paid directly by lessees on our behalf and recording collectability adjustments against revenue rather than as bad debt within rental expenses.</w:t>
      </w:r>
    </w:p>
    <w:p>
      <w:pPr>
        <w:spacing w:after="0" w:line="178"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The allowance for doubtful accounts recorded against lease receivables as of December 31, 2018 has been carried forward to the January 1, 2019 adoption date consolidated balance sheet.</w:t>
      </w:r>
    </w:p>
    <w:p>
      <w:pPr>
        <w:spacing w:after="0" w:line="1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As a result of the change in the definition of initial direct costs of leases, capitalized leasing costs excluding external commissions decreased to $0.4 million for the three months ended March 31, 2019 from $1.6 million for the three months ended March 31, 2018.</w:t>
      </w:r>
    </w:p>
    <w:p>
      <w:pPr>
        <w:spacing w:after="0" w:line="200" w:lineRule="exact"/>
        <w:rPr>
          <w:sz w:val="20"/>
          <w:szCs w:val="20"/>
          <w:color w:val="auto"/>
        </w:rPr>
      </w:pPr>
    </w:p>
    <w:p>
      <w:pPr>
        <w:sectPr>
          <w:pgSz w:w="11900" w:h="16838" w:orient="portrait"/>
          <w:cols w:equalWidth="0" w:num="3">
            <w:col w:w="2140" w:space="200"/>
            <w:col w:w="3420" w:space="220"/>
            <w:col w:w="5380"/>
          </w:cols>
          <w:pgMar w:left="240" w:top="12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124" w:right="2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on our operating and finance leases where we are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COST: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cash flows for finance leases</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cash flows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Financing cash flows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supplemental disclosures related to the Consolidated Statements of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17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5"/>
        </w:trPr>
        <w:tc>
          <w:tcPr>
            <w:tcW w:w="200" w:type="dxa"/>
            <w:vAlign w:val="bottom"/>
          </w:tcPr>
          <w:p>
            <w:pPr>
              <w:spacing w:after="0"/>
              <w:rPr>
                <w:sz w:val="21"/>
                <w:szCs w:val="21"/>
                <w:color w:val="auto"/>
              </w:rPr>
            </w:pPr>
          </w:p>
        </w:tc>
        <w:tc>
          <w:tcPr>
            <w:tcW w:w="17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969"/>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321</w:t>
            </w:r>
          </w:p>
        </w:tc>
      </w:tr>
      <w:tr>
        <w:trPr>
          <w:trHeight w:val="270"/>
        </w:trPr>
        <w:tc>
          <w:tcPr>
            <w:tcW w:w="200" w:type="dxa"/>
            <w:vAlign w:val="bottom"/>
          </w:tcPr>
          <w:p>
            <w:pPr>
              <w:spacing w:after="0"/>
              <w:rPr>
                <w:sz w:val="23"/>
                <w:szCs w:val="23"/>
                <w:color w:val="auto"/>
              </w:rPr>
            </w:pPr>
          </w:p>
        </w:tc>
        <w:tc>
          <w:tcPr>
            <w:tcW w:w="17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1,456</w:t>
            </w:r>
          </w:p>
        </w:tc>
      </w:tr>
    </w:tbl>
    <w:p>
      <w:pPr>
        <w:spacing w:after="0" w:line="36"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1,504</w:t>
      </w:r>
    </w:p>
    <w:p>
      <w:pPr>
        <w:spacing w:after="0" w:line="6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91</w:t>
      </w:r>
    </w:p>
    <w:p>
      <w:pPr>
        <w:spacing w:after="0" w:line="77" w:lineRule="exact"/>
        <w:rPr>
          <w:sz w:val="20"/>
          <w:szCs w:val="20"/>
          <w:color w:val="auto"/>
        </w:rPr>
      </w:pPr>
    </w:p>
    <w:p>
      <w:pPr>
        <w:ind w:left="1300" w:hanging="1277"/>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2090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00" w:hanging="1277"/>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1,460</w:t>
      </w:r>
    </w:p>
    <w:p>
      <w:pPr>
        <w:spacing w:after="0" w:line="63" w:lineRule="exact"/>
        <w:rPr>
          <w:sz w:val="20"/>
          <w:szCs w:val="20"/>
          <w:color w:val="auto"/>
        </w:rPr>
      </w:pPr>
    </w:p>
    <w:p>
      <w:pPr>
        <w:ind w:left="1320" w:hanging="1297"/>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1,511</w:t>
      </w:r>
    </w:p>
    <w:p>
      <w:pPr>
        <w:spacing w:after="0" w:line="63"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w:t>
      </w:r>
    </w:p>
    <w:p>
      <w:pPr>
        <w:spacing w:after="0" w:line="3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18.9 years</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53.7 years</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4.5%</w:t>
      </w:r>
    </w:p>
    <w:p>
      <w:pPr>
        <w:spacing w:after="0" w:line="1334" w:lineRule="exact"/>
        <w:rPr>
          <w:sz w:val="20"/>
          <w:szCs w:val="20"/>
          <w:color w:val="auto"/>
        </w:rPr>
      </w:pPr>
    </w:p>
    <w:p>
      <w:pPr>
        <w:sectPr>
          <w:pgSz w:w="11900" w:h="16838" w:orient="portrait"/>
          <w:cols w:equalWidth="0" w:num="2">
            <w:col w:w="8800" w:space="720"/>
            <w:col w:w="1900"/>
          </w:cols>
          <w:pgMar w:left="240" w:top="124" w:right="239" w:bottom="698" w:gutter="0" w:footer="0" w:header="0"/>
        </w:sectPr>
      </w:pPr>
    </w:p>
    <w:p>
      <w:pPr>
        <w:spacing w:after="0" w:line="2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32,276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28,033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26,184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32,485</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31,832</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DownREIT operating partnership units redeemed for common shares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additional disclosures in the "Recently Adopted Accounting Pronouncements" section of this footnote relating to operating lease right of use assets and lease liabilities recorded in connection with our adoption of ASC Topic 842.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43,003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64,087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 (1)</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39,209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44,245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82,212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108,332</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Restricted cash balances are included in "prepaid expenses and other assets" on our consolidated balance sheets.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4" w:right="239" w:bottom="698"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4" w:right="239" w:bottom="69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8, 2019, we acquired the fee interest in Fairfax Junction, a 75,000 square foot shopping center in Fairfax, Virginia for $22.5 million. Approximately $0.6 million and $0.4 million of net assets acquired were allocated to other assets for "above market leases," and other liabilities for "below market leases," respectively.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4—DEBT</w:t>
      </w:r>
    </w:p>
    <w:p>
      <w:pPr>
        <w:spacing w:after="0" w:line="229" w:lineRule="exact"/>
        <w:rPr>
          <w:sz w:val="20"/>
          <w:szCs w:val="20"/>
          <w:color w:val="auto"/>
        </w:rPr>
      </w:pPr>
    </w:p>
    <w:p>
      <w:pPr>
        <w:ind w:right="2740"/>
        <w:spacing w:after="0" w:line="282" w:lineRule="auto"/>
        <w:rPr>
          <w:sz w:val="20"/>
          <w:szCs w:val="20"/>
          <w:color w:val="auto"/>
        </w:rPr>
      </w:pPr>
      <w:r>
        <w:rPr>
          <w:rFonts w:ascii="Times New Roman" w:cs="Times New Roman" w:eastAsia="Times New Roman" w:hAnsi="Times New Roman"/>
          <w:sz w:val="18"/>
          <w:szCs w:val="18"/>
          <w:color w:val="auto"/>
        </w:rPr>
        <w:t>On January 31, 2019, we repaid the $20.3 million mortgage loan on Rollingwood Apartments, at par, prior to its original maturity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2019, the maximum amount of borrowings outstanding under our $800.0 million revolving credit facility was</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$116.5 million, the weighted average borrowings outstanding was $63.4 million, and the weighted average interest rate, before amortization of debt fees, was 3.2%. At March 31, 2019, the outstanding balance was $20.0 million. Our revolving credit facility, term loan and certain notes require us to comply with various financial covenants, including the maintenance of minimum shareholders' equity and debt coverage ratios and a maximum ratio of debt to net worth. As of March 31, 2019, we were in compliance with all default related debt covenants.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OF FINANCIAL INSTRUMENTS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2"/>
                <w:szCs w:val="12"/>
                <w:color w:val="auto"/>
              </w:rPr>
            </w:pPr>
          </w:p>
        </w:tc>
        <w:tc>
          <w:tcPr>
            <w:tcW w:w="98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2"/>
                <w:szCs w:val="12"/>
                <w:color w:val="auto"/>
              </w:rPr>
            </w:pPr>
          </w:p>
        </w:tc>
        <w:tc>
          <w:tcPr>
            <w:tcW w:w="11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751,572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751,170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753,406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751,361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2,404,987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2,443,338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2,404,279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2,371,392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One of our equity method investees has two interest rate swaps which qualify for cash flow hedge accounting. During the three months ended March 31, 2019, our share of the change in fair value of the related swaps included in "accumulated other comprehensive income" was $0.2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9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common shares, at our option. A total of 669,377 downREIT operating partnership units are outstanding which have a total fair value of $92.3 million, based on our closing stock price on March 31, 2019.</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0.339</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0.368</w:t>
            </w:r>
          </w:p>
        </w:tc>
      </w:tr>
      <w:tr>
        <w:trPr>
          <w:trHeight w:val="20"/>
        </w:trPr>
        <w:tc>
          <w:tcPr>
            <w:tcW w:w="7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 represents dividends per depository share, each representing 1/1000th of a share.</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March 31, 2019, we sold 511,938 common shares (of which, 65,812 settled on April 2, 2019) at a weighted average price per share of $134.96 for net cash proceeds of $68.4 million and paid $0.7 million in commissions and less than $0.1 million in additional offering expenses related to the sales of these common shares. As of March 31, 2019, we had the capacity to issue up to $203.4 million in common shares under our ATM equity program.</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9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Grants of common shares and options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8"/>
              </w:rPr>
              <w:t>3,861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8"/>
              </w:rPr>
              <w:t>3,635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3,432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9—EARNINGS PER SHARE</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2019 and 2018, we had 0.2 million and 0.3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3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dilutive EPS calculation, dilutive stock options were calculated using the treasury stock method consistent with prior periods. There were 682 anti-dilutive stock options for both the three months ended March 31, 2019 and 2018.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53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0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0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9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61,803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62,931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30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3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30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304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6"/>
              </w:rPr>
              <w:t>57,914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58,984</w:t>
            </w:r>
          </w:p>
        </w:tc>
        <w:tc>
          <w:tcPr>
            <w:tcW w:w="0" w:type="dxa"/>
            <w:vAlign w:val="bottom"/>
          </w:tcPr>
          <w:p>
            <w:pPr>
              <w:spacing w:after="0"/>
              <w:rPr>
                <w:sz w:val="1"/>
                <w:szCs w:val="1"/>
                <w:color w:val="auto"/>
              </w:rPr>
            </w:pPr>
          </w:p>
        </w:tc>
      </w:tr>
      <w:tr>
        <w:trPr>
          <w:trHeight w:val="67"/>
        </w:trPr>
        <w:tc>
          <w:tcPr>
            <w:tcW w:w="5300" w:type="dxa"/>
            <w:vAlign w:val="bottom"/>
            <w:tcBorders>
              <w:bottom w:val="single" w:sz="8" w:color="CCEEFF"/>
            </w:tcBorders>
          </w:tcPr>
          <w:p>
            <w:pPr>
              <w:spacing w:after="0"/>
              <w:rPr>
                <w:sz w:val="5"/>
                <w:szCs w:val="5"/>
                <w:color w:val="auto"/>
              </w:rPr>
            </w:pPr>
          </w:p>
        </w:tc>
        <w:tc>
          <w:tcPr>
            <w:tcW w:w="30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3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74,200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72,905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30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30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6"/>
              </w:rPr>
              <w:t>74,200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72,968</w:t>
            </w:r>
          </w:p>
        </w:tc>
        <w:tc>
          <w:tcPr>
            <w:tcW w:w="0" w:type="dxa"/>
            <w:vAlign w:val="bottom"/>
          </w:tcPr>
          <w:p>
            <w:pPr>
              <w:spacing w:after="0"/>
              <w:rPr>
                <w:sz w:val="1"/>
                <w:szCs w:val="1"/>
                <w:color w:val="auto"/>
              </w:rPr>
            </w:pPr>
          </w:p>
        </w:tc>
      </w:tr>
      <w:tr>
        <w:trPr>
          <w:trHeight w:val="67"/>
        </w:trPr>
        <w:tc>
          <w:tcPr>
            <w:tcW w:w="5300" w:type="dxa"/>
            <w:vAlign w:val="bottom"/>
            <w:tcBorders>
              <w:bottom w:val="single" w:sz="8" w:color="CCEEFF"/>
            </w:tcBorders>
          </w:tcPr>
          <w:p>
            <w:pPr>
              <w:spacing w:after="0"/>
              <w:rPr>
                <w:sz w:val="5"/>
                <w:szCs w:val="5"/>
                <w:color w:val="auto"/>
              </w:rPr>
            </w:pPr>
          </w:p>
        </w:tc>
        <w:tc>
          <w:tcPr>
            <w:tcW w:w="30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0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94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3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94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2454"/>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3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2018 filed with the Securities and Exchange Commission (the “SEC”) on February 13, 2019.</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2018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2019, we owned or had a majority interest in community and neighborhood shopping centers and mixed-use properties which are operated as 105 predominantly retail real estate projects comprising approximately 24.2 million square feet. In total, the real estate projects were 94.0% leased and 93.0% occupied at March 31,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Property Acquisition</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8, 2019, we acquired the fee interest in Fairfax Junction, a 75,000 square foot shopping center in Fairfax, Virginia for $22.5 million. Approximately $0.6 million and $0.4 million of net assets acquired were allocated to other assets for "above market leases," and other liabilities for "below market leases,"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Significant Debt and Equity Transactions</w:t>
      </w:r>
    </w:p>
    <w:p>
      <w:pPr>
        <w:spacing w:after="0" w:line="229" w:lineRule="exact"/>
        <w:rPr>
          <w:sz w:val="20"/>
          <w:szCs w:val="20"/>
          <w:color w:val="auto"/>
        </w:rPr>
      </w:pPr>
    </w:p>
    <w:p>
      <w:pPr>
        <w:ind w:right="2740"/>
        <w:spacing w:after="0" w:line="282" w:lineRule="auto"/>
        <w:rPr>
          <w:sz w:val="20"/>
          <w:szCs w:val="20"/>
          <w:color w:val="auto"/>
        </w:rPr>
      </w:pPr>
      <w:r>
        <w:rPr>
          <w:rFonts w:ascii="Times New Roman" w:cs="Times New Roman" w:eastAsia="Times New Roman" w:hAnsi="Times New Roman"/>
          <w:sz w:val="18"/>
          <w:szCs w:val="18"/>
          <w:color w:val="auto"/>
        </w:rPr>
        <w:t>On January 31, 2019, we repaid the $20.3 million mortgage loan on Rollingwood Apartments, at par, prior to its original maturity date.</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March 31, 2019, we sold 511,938 common shares (of which, 65,812 settled on April 2, 2019) at a weighted average price per share of $134.96 for net cash proceeds of $68.4 million and paid $0.7 million in commissions and less than $0.1 million in additional offering expenses related to the sales of these common shares. As of March 31, 2019, we had the capacity to issue up to $203.4 million in common shares under our ATM equity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$58 million and $2 million, respectively, for the three months ended March 31, 2019, and $64 million and $2 million, respectively, for the three months ended March 31, 2018. We capitalized external and internal costs related to other property improvements of $6 million and $1 million, respectively, for the three months ended March 31, 2019, and $14 million and $1 million for the three months ended March 31, 2018. We capitalized external and internal costs related to leasing activities of $8 million and less than $1 million, respectively, for the three months ended March 31, 2019, and $7 million and $1 million, respectively, for the three months ended March 31, 2018. The amount of capitalized internal costs for salaries and related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benefits for development and redevelopment activities, other property improvements, and leasing activities were $2 million, $1 million, and less than $1 million, respectively, for the three months ended March 31, 2019 and $2 million, $1 million, and $1 million, respectively for the three months ended March 31, 2018. Total capitalized costs were $76 million and $90 million for the three months ended March 31, 2019 and 2018,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comparable property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development and redevelopments,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vacating prior to the end of their lease term and/or filing for bankruptcy.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March 31, 2019, no single tenant accounted for more than 2.7% of annualized base rent.</w:t>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total cost of approximately $210 million that we expect to stabilize in the next several years.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continue our ongoing redevelopment efforts at Santana Row and are under construction on an eight story 301,000 square foot office building which will include an additional 18,000 square feet of retail space and 1,300 parking spaces. The project is expected to cost between $210 million and $220 million, to be delivered in 2020, and the office portion is 100% pre-leased. After current phases, we have approximately 4 acres remaining for further redevelopment and entitlements in place for an additional 395 residential units and 321,000 square feet of commercial space.</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we control 12 acres of land across from Santana Row, which has approximately 1 million square feet of commercial space entitlements. We are proceeding with the first phase of construction on this land, which includes an eight story 360,000 square foot office building, with over 1,700 parking spaces. The building is expected to cost between $250 and $270 million, with deliveries beginning in 2021.</w:t>
      </w:r>
    </w:p>
    <w:p>
      <w:pPr>
        <w:spacing w:after="0" w:line="12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Phase II of Assembly Row includes approximately 161,000 square feet of retail space, 447 residential units, and a 158 room boutique hotel (owned and operated by a joint venture in which we are a partner). Total expected costs range from $290 million to $305 million and delivery is expected to continue through mid 2019. As of March 31, 2019, approximately 128,000 square feet of retail space and the 158 room hotel have opened, and all of the residential units have been completed. Phase II also includes 122 for-sale condominium units of which 107 units have closed as of March 31, 2019. The remaining 15 units are expected to close in 2019. The condominium units have an expected total cost of $81 million.</w:t>
      </w:r>
    </w:p>
    <w:p>
      <w:pPr>
        <w:spacing w:after="0" w:line="13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Additionally, we commenced construction on Phase III of Assembly Row, which will include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Phase II of Pike &amp; Rose includes approximately 216,000 square feet of retail space, 272 residential units, and a 177 room boutique hotel (owned and operated by a joint venture in which we are a partner). As of March 31, 2019, approximately 192,000 square feet of retail space and the 177 room hotel have opened, and all of the residential units have been completed. Total expected costs range from $200 million to $207 million and remaining delivery is expected to continue through 2019. As of March 31, 2019, we closed on the sale of 79 of the 99 for-sale condominium units in Phase II. The condominium units have an expected total cost of $62 million.</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at Pike &amp; Rose, we have commenced construction on a 212,000 square foot office building (which includes 4,000 square feet of ground floor retail space), and will include over 600 additional parking spaces. The building is expected to cost between $128 million and $135 million and is projected to open beginning in 2021.</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Including costs incurred in the first three months of 2019, we expect to invest between $175 million and $200 million at Assembly Row and Pike &amp; Rose in 2019.</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March 31, 2019, the leasable square feet in our properties was 94.0% leased and 93.0%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9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the first quarter of 2019, we signed leases for a total of 306,000 square feet of retail space including 247,000 square feet of comparable space leases (leases for which there was a prior tenant) at an average rental increase of 10% on a cash basis. New leases for comparable spaces were signed for 128,000 square feet at an average rental increase of 17% on a cash basis. Renewals for comparable spaces were signed for 119,000 square feet at an average rental increase of 1% on a cash basis. Tenant improvements and incentives for comparable spaces were $54.97 per square foot, of which, $104.80 per square foot was for new leases and $1.28 per square foot was for renewals for the three months ended March 31, 2019.</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leases signed in 2019 generally become effective over the following two years though some may not become effective until 2022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Historically, we have executed comparable space leases for 1.2 to 1.7 million square feet of retail space each year, and expect that volume for 2019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Properties</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2019, all or a portion of 98 properties were considered comparable properties and eight properties were considered non-comparable properties. For the three months ended March 31, 2019, eight properties were moved from acquisitions to comparable properties, one property was moved from acquisitions to non-comparable properties, and one portion of a property was moved from non-comparable to comparable properties, compared to the designations for the year ended December 31, 2018, which were 90 properties or portions of properties considered comparable and eight considered non-comparable.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231,492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224,648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6,844</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232,227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225,405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6,822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44,260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44,773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71,947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73,221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8,096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 net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61,803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62,931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60,144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61,247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32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property revenue increased $6.8 million, or 3.0%, to $232.2 million in the three months ended March 31, 2019 compared to $225.4 million in the three months ended March 31, 2018. The percentage occupied at our shopping centers was 93.0% at March 31, 2019 compared to 93.3% at March 31, 2018. Changes in the components of property revenue are discussed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Rental income increased $6.8 million, or 3.0%, to $231.5 million in the three months ended March 31, 2019 compared to $224.6 million in the three months ended March 31, 2018 due primarily to the following:</w:t>
      </w:r>
    </w:p>
    <w:p>
      <w:pPr>
        <w:spacing w:after="0" w:line="14" w:lineRule="exact"/>
        <w:rPr>
          <w:sz w:val="20"/>
          <w:szCs w:val="20"/>
          <w:color w:val="auto"/>
        </w:rPr>
      </w:pPr>
    </w:p>
    <w:p>
      <w:pPr>
        <w:ind w:left="1140" w:right="20" w:hanging="241"/>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$4.3 million at non-comparable properties due primarily to the openings at Phase II at Assembly Row and Pike &amp; Rose and the lease-up of one other retail redevelopment, partially offset by lower occupancy at two of our Florida properties and one Virginia property in the beginning stages of redevelopment, and</w:t>
      </w:r>
    </w:p>
    <w:p>
      <w:pPr>
        <w:spacing w:after="0" w:line="14" w:lineRule="exact"/>
        <w:rPr>
          <w:rFonts w:ascii="Times New Roman" w:cs="Times New Roman" w:eastAsia="Times New Roman" w:hAnsi="Times New Roman"/>
          <w:sz w:val="18"/>
          <w:szCs w:val="18"/>
          <w:color w:val="auto"/>
        </w:rPr>
      </w:pPr>
    </w:p>
    <w:p>
      <w:pPr>
        <w:ind w:left="1140" w:hanging="241"/>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 million at comparable properties due primarily to higher lease termination fees of $3.5 million and higher rental rates of approximately $2.4 million, partially offset by $1.5 million related to collectibility adjustments, which are now being presented as a reduction of rental income rather than rental expense, and a $1.2 million decrease in real estate tax recoveries. Both of these decreases are primarily due to requirements of the new lease accounting standard (see Note 2 for additional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property expenses decreased $1.3 million, or 1.7%, to $71.9 million in the three months ended March 31, 2019 compared to $73.2 million in the three months ended March 31, 2018.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9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Rental expenses decreased $0.5 million, or 1.1%, to $44.3 million in the three months ended March 31, 2019 compared to $44.8 million in the three months ended March 31, 2018. This decrease is primarily due to the following:</w:t>
      </w:r>
    </w:p>
    <w:p>
      <w:pPr>
        <w:spacing w:after="0" w:line="2" w:lineRule="exact"/>
        <w:rPr>
          <w:sz w:val="20"/>
          <w:szCs w:val="20"/>
          <w:color w:val="auto"/>
        </w:rPr>
      </w:pPr>
    </w:p>
    <w:p>
      <w:pPr>
        <w:ind w:left="1140" w:right="760" w:hanging="241"/>
        <w:spacing w:after="0" w:line="28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$0.9 million from comparable properties due to the new lease accounting standard requirement to record collectibility adjustments as a reduction to revenue rather than rental expense effective at adoption on January 1, 2019,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140" w:right="280" w:hanging="241"/>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from non-comparable properties due primarily to our residential properties at Assembly Row and Pike &amp; Rose stabilizing throughout 2018, as well as one of our retail redevelopments opening.</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plus other property income decreased to 19.1% in the three months ended March 31, 2019 from 19.9% in the three months ended March 31,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Real estate tax expense decreased $0.8 million, or 2.7%, to $27.7 million in the three months ended March 31, 2019 compared to $28.4 million in the three months ended March 31, 2018. This decrease is primarily due to the following:</w:t>
      </w:r>
    </w:p>
    <w:p>
      <w:pPr>
        <w:spacing w:after="0" w:line="1" w:lineRule="exact"/>
        <w:rPr>
          <w:sz w:val="20"/>
          <w:szCs w:val="20"/>
          <w:color w:val="auto"/>
        </w:rPr>
      </w:pPr>
    </w:p>
    <w:p>
      <w:pPr>
        <w:ind w:left="1140" w:hanging="241"/>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 million from comparable properties due primarily to the new lease accounting standard requirement, which no longer permits the gross up of real estate tax revenue and expense for real estate taxes that our tenants pay directly to the taxing authority (see Note 2 for additional disclosure) of $1.3 million, partially offset by higher assessments,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140" w:right="560" w:hanging="241"/>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from non-comparable properties due primarily to increases in assessments as a result of our redevelopment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$8.1 million, or 5.3%, to $160.3 million in the three months ended March 31, 2019 compared to $152.2 million in the three months ended March 31, 2018. This increase is primarily due to growth in earnings at comparable properties and Assembly Row and Pike &amp; Rose, partially offset by 2018 property sales.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12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$1.6 million, or 20.6%, to $9.6 million in the three months ended March 31, 2019 from $7.9 million in the three months ended March 31, 2018. The increase is primarily due to higher leasing related costs as certain costs can no longer be capitalized as a result of the new lease accounting standard (see Note 2 for additional disclosure) and higher personnel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$1.5 million, or 2.6%, to $59.6 million in the three months ended March 31, 2019 from $58.1 million in the three months ended March 31, 2018. This increase is primarily due to Phase II of Assembly Row and Pike &amp; Rose being placed in service and our investment in comparable properties, partially offset by the redevelopment of one of our Florida properties and our 2018 property sales.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 Net</w:t>
      </w:r>
    </w:p>
    <w:p>
      <w:pPr>
        <w:spacing w:after="0" w:line="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$3.3 million net gain for the three months ended March 31, 2018 is related to condominium unit sales that closed at our Assembly Row and Pike and Rose properties.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income increased $1.6 million, or 1.8%, to $91.1 million in the three months ended March 31, 2019 compared to $89.5 million in the three months ended March 31, 2018. This increase is primarily due to growth in earnings at our comparable properties and the opening of Phase II of Assembly Row and Pike &amp; Rose, partially offset by the 2018 net gain related to the condominium unit sales at our Assembly Row and Pike &amp; Rose properties, and higher leasing and personnel related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Interest expense increased $1.8 million, or 7.1%, to $28.0 million in the three months ended March 31, 2019 compared to $26.2 million in the three months ended March 31, 2018. This increase is due primarily to the following:</w:t>
      </w:r>
    </w:p>
    <w:p>
      <w:pPr>
        <w:spacing w:after="0" w:line="2" w:lineRule="exact"/>
        <w:rPr>
          <w:sz w:val="20"/>
          <w:szCs w:val="20"/>
          <w:color w:val="auto"/>
        </w:rPr>
      </w:pPr>
    </w:p>
    <w:p>
      <w:pPr>
        <w:ind w:left="1140" w:right="480" w:hanging="241"/>
        <w:spacing w:after="0" w:line="281"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$1.5 million in capitalized interest, primarily attributable to portions of Phase II of Assembly Row and Pike &amp; Rose being placed in service,</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$0.7 million due to a higher overall weighted average borrowing rate,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140" w:right="280"/>
        <w:spacing w:after="0" w:line="282" w:lineRule="auto"/>
        <w:rPr>
          <w:sz w:val="20"/>
          <w:szCs w:val="20"/>
          <w:color w:val="auto"/>
        </w:rPr>
      </w:pPr>
      <w:r>
        <w:rPr>
          <w:rFonts w:ascii="Times New Roman" w:cs="Times New Roman" w:eastAsia="Times New Roman" w:hAnsi="Times New Roman"/>
          <w:sz w:val="18"/>
          <w:szCs w:val="18"/>
          <w:color w:val="auto"/>
        </w:rPr>
        <w:t>a decrease of $0.4 million due to lower weighted average borrowings primarily from our revolving credit facility and the repayment of our Rollingwood mortgage loan in January 2019.</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Gross interest costs were $32.6 million and $32.3 million in the three months ended March 31, 2019 and 2018, respectively. Capitalized interest was $4.5 million and $6.1 million in the three months ended March 31, 2019 and 2018,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Partnerships</w:t>
      </w:r>
    </w:p>
    <w:p>
      <w:pPr>
        <w:spacing w:after="0" w:line="9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Loss from partnerships increased $0.9 million, or 173.1%, to $1.4 million in the three months ended March 31, 2019 compared to $0.5 million in the three months ended March 31, 2018. This increase is due primarily to our share of losses related to the hotel joint ventures at Assembly Row and Pike &amp; Rose, which opened in August 2018 and March 2018, respectively.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The cash generated from operations is largely paid to our common and preferred shareholders in the form of dividends. As a REIT, we must generally make annual distributions to shareholders of at least 90% of our taxable income.</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4"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2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At March 31, 2019, we had cash and cash equivalents of $43.0 million and $20.0 million outstanding on our $800.0 million unsecured revolving credit facility which matures on April 20, 2020, subject to two six-month extensions at our option. In addition, we have an option (subject to bank approval) to increase the credit facility through an accordion feature to $1.5 billion. For the three months ended March 31, 2019, the maximum amount of borrowings outstanding under our revolving credit facility was $116.5 million, the weighted average amount of borrowings outstanding was $63.4 million and the weighted average interest rate, before amortization of debt fees, was 3.2%. Our only remaining debt maturing in 2019 is our $275.0 million unsecured term loan which matures on November 21, 2019. During the three months ended March 31, 2019, we raised $68.4 million, after fees and other costs, under our ATM equity program, which as of March 31, 2019, had the capacity to issue up to $203.4 million in common shares. We currently believe that cash flows from operations, cash on hand, our ATM program, our revolving credit facility and our general ability to access the capital markets will be sufficient to finance our operations and fund our debt service requirements and capital expenditures.</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overall capital requirements for the remainder of 2019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to see higher levels of capital investments in our properties under development and redevelopment compared to 2018, as we invest in the next phase of these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conditions in the capital markets which could affect our ability to access those markets, the following factors could affect our ability to meet our liquidity requirements:</w:t>
      </w:r>
    </w:p>
    <w:p>
      <w:pPr>
        <w:ind w:left="1700" w:right="40" w:hanging="801"/>
        <w:spacing w:after="0" w:line="250"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service additional or replacement debt due to increases in interest rates or a decline in our operating performance.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104,919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124,180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(29,502)</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48,500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108,332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25,200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82,212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73,700</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$19.3 million to $104.9 million during the three months ended March 31, 2019 from $124.2 million during the three months ended March 31, 2018. The decrease was primarily attributable to timing of cash receipts, partially offset by higher net income before certain non-cash items.</w:t>
      </w:r>
    </w:p>
    <w:p>
      <w:pPr>
        <w:spacing w:after="0" w:line="12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increased $57.9 million to $104.0 million during the three months ended March 31, 2019 from $46.2 million during the three months ended March 31, 2018. The increase was primarily attributable to:</w:t>
      </w:r>
    </w:p>
    <w:p>
      <w:pPr>
        <w:spacing w:after="0" w:line="1" w:lineRule="exact"/>
        <w:rPr>
          <w:sz w:val="20"/>
          <w:szCs w:val="20"/>
          <w:color w:val="auto"/>
        </w:rPr>
      </w:pPr>
    </w:p>
    <w:p>
      <w:pPr>
        <w:jc w:val="center"/>
        <w:ind w:left="5620" w:right="1360" w:hanging="4721"/>
        <w:spacing w:after="0" w:line="564" w:lineRule="auto"/>
        <w:tabs>
          <w:tab w:leader="none" w:pos="11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$45.4 million decrease in proceeds from the sale of condominiums at our Assembly Row and Pike &amp; Rose properties, and 19</w:t>
      </w:r>
    </w:p>
    <w:p>
      <w:pPr>
        <w:sectPr>
          <w:pgSz w:w="11900" w:h="16838" w:orient="portrait"/>
          <w:cols w:equalWidth="0" w:num="1">
            <w:col w:w="11420"/>
          </w:cols>
          <w:pgMar w:left="240" w:top="12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00" w:lineRule="exact"/>
        <w:rPr>
          <w:sz w:val="20"/>
          <w:szCs w:val="20"/>
          <w:color w:val="auto"/>
        </w:rPr>
      </w:pPr>
    </w:p>
    <w:p>
      <w:pPr>
        <w:ind w:right="1420" w:firstLine="899"/>
        <w:spacing w:after="0" w:line="313" w:lineRule="auto"/>
        <w:tabs>
          <w:tab w:leader="none" w:pos="11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$25.2 million increase in acquisition of real estate, primarily due to the acquisition of Fairfax Junction in February 2019, partially offset by</w:t>
      </w: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$11.9 million decrease in capital expenditures as we complete portions of Phase II of both our Assembly Row and Pike &amp; Rose projects.</w:t>
      </w:r>
    </w:p>
    <w:p>
      <w:pPr>
        <w:spacing w:after="0" w:line="17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decreased $2.5 million to $27.0 million used during the three months ended March 31, 2019 from $29.5 million during the three months ended March 31, 2018. The decrease was primarily attributable to:</w:t>
      </w:r>
    </w:p>
    <w:p>
      <w:pPr>
        <w:spacing w:after="0" w:line="2" w:lineRule="exact"/>
        <w:rPr>
          <w:sz w:val="20"/>
          <w:szCs w:val="20"/>
          <w:color w:val="auto"/>
        </w:rPr>
      </w:pPr>
    </w:p>
    <w:p>
      <w:pPr>
        <w:ind w:left="1140" w:right="640" w:hanging="241"/>
        <w:spacing w:after="0" w:line="281"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$58.1 million increase in net proceeds from the issuance of common shares under our ATM program during the three months ended March 31, 2019,</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$42.0 million decrease in net borrowings on our revolving credit facility,</w:t>
      </w:r>
    </w:p>
    <w:p>
      <w:pPr>
        <w:spacing w:after="0" w:line="63" w:lineRule="exact"/>
        <w:rPr>
          <w:rFonts w:ascii="Times New Roman" w:cs="Times New Roman" w:eastAsia="Times New Roman" w:hAnsi="Times New Roman"/>
          <w:sz w:val="18"/>
          <w:szCs w:val="18"/>
          <w:color w:val="auto"/>
        </w:rPr>
      </w:pPr>
    </w:p>
    <w:p>
      <w:pPr>
        <w:ind w:left="1140" w:hanging="241"/>
        <w:spacing w:after="0" w:line="313"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$9.7 million increase in repayment of mortgages and capital leases due to the $20.3 million payoff of the mortgage loan on Rollingwood Apartments in January 2019 as compared to the $10.5 million payoff of the mortgage loan on the Grove at Shrewsbury (West) in March 2018.</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124"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March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Balance as</w:t>
            </w:r>
          </w:p>
        </w:tc>
        <w:tc>
          <w:tcPr>
            <w:tcW w:w="120" w:type="dxa"/>
            <w:vAlign w:val="bottom"/>
          </w:tcPr>
          <w:p>
            <w:pPr>
              <w:spacing w:after="0"/>
              <w:rPr>
                <w:sz w:val="13"/>
                <w:szCs w:val="13"/>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140" w:type="dxa"/>
            <w:vAlign w:val="bottom"/>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of March 31, 2019</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48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Mortgages payable</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Shops at Sunset Place</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63,884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29th Place</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Sylmar Towne Center</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16,911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6,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Plaza Del Sol</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8,365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Montrose Crossing</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68,863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10,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Azalea</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2025</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Bell Gardens</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12,872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5,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43,600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43,600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5,856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453,614</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unamortized premium and debt issuance costs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452,466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Term loan</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LIBOR + 0.90%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21, 2019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Revolving credit facility (1)</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LIBOR + 0.825%</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20, 2020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7,239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4,386</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2028</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299,386</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notes payable, net</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299,106</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Senior notes and debentures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2.55%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3.00%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2.75%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1, 2023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3.95%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2024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15,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2046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2,419,200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unamortized discount and debt issuance costs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2,404,987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3,156,559</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6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revolving credit facility during the three months ended March 31, 2019 was $116.5 million, and the weighted average interest rate on borrowings under our revolving credit facility, before amortization of debt fees, was 3.2%.</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revolving credit facility, term loan and other debt agreements include financial and other covenants that may limit our operating activities in the future. As of March 31, 2019, we were in compliance with all financial and other covenants related to our revolving credit facility, term loan and senior notes. Additionally, as of March 31, 2019,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w:t>
      </w:r>
    </w:p>
    <w:p>
      <w:pPr>
        <w:sectPr>
          <w:pgSz w:w="11900" w:h="16838" w:orient="portrait"/>
          <w:cols w:equalWidth="0" w:num="1">
            <w:col w:w="11420"/>
          </w:cols>
          <w:pgMar w:left="240" w:top="124" w:right="239" w:bottom="171"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4" w:right="239" w:bottom="171"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March 31, 2019:</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320" w:type="dxa"/>
            <w:vAlign w:val="bottom"/>
          </w:tcPr>
          <w:p>
            <w:pPr>
              <w:spacing w:after="0"/>
              <w:rPr>
                <w:sz w:val="16"/>
                <w:szCs w:val="16"/>
                <w:color w:val="auto"/>
              </w:rPr>
            </w:pPr>
          </w:p>
        </w:tc>
        <w:tc>
          <w:tcPr>
            <w:tcW w:w="148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275,545</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4,101</w:t>
            </w:r>
          </w:p>
        </w:tc>
        <w:tc>
          <w:tcPr>
            <w:tcW w:w="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279,646</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20,613</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65,539</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86,152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250,682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30,541</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281,223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250,758</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117,018</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367,776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275,787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730</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276,517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1,645,201</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235,685</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1,880,886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2,718,586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453,614</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3,172,200  (2)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340" w:hanging="652"/>
        <w:spacing w:after="0" w:line="28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$800.0 million revolving credit facility matures on April 20, 2020, subject to two six-month extensions at our option. As of March 31, 2019, there was $20.0 million outstanding under this credit facility.</w:t>
      </w:r>
    </w:p>
    <w:p>
      <w:pPr>
        <w:spacing w:after="0" w:line="1"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 from the total reported on the consolidated balance sheet due to the unamortized net premium/discount and debt issuance costs on mortgage loans, notes payable, and senior notes as of March 31,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3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March 31, 2019, our Assembly Row hotel joint venture is party to two interest rate swap agreements that effectively fix their debt at 5.206%. Both swaps were designated and qualify for cash flow hedge accounting. Hedge ineffectiveness has not impacted earnings as of March 31,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17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81" w:lineRule="auto"/>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61,803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51,351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118,383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113,882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116,893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112,394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 (1)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73,838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34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FFO per diluted common share includes operating partnership units and our Series 1 preferred shares that were excluded from the computation of diluted EPS. Conversion of these operating partnership units and preferred shares is dilutive in the computation of FFO per diluted common share but is anti-dilutive for the computation of diluted EPS for the periods presented.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March 31, 2019, we had $2.9 billion of fixed-rate debt outstanding. If market interest rates used to calculate the fair value on our fixed-rate debt instruments at March 31, 2019 had been 1.0% higher, the fair value of those debt instruments on that date would have decreased by approximately $207.2 million. If market interest rates used to calculate the fair value on our fixed-rate debt instruments at March 31, 2019 had been 1.0% lower, the fair value of those debt instruments on that date would have increased by approximately $237.8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outstanding variable rate debt. At March 31, 2019, we had $295.0 million of variable rate debt outstanding. Based upon this amount of variable rate debt and the specific terms, if market interest rates increased</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1.0%, our annual interest expense would increase by approximately $3.0 million with a corresponding decrease in our net income and cash flows for the year. Conversely, if market interest rates decreased 1.0%, our annual interest expense would decrease by approximately $3.0 million with a corresponding increase in our net income and cash flows for the year.</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2019. Based on this evaluation, our management, including our Chief Executive Officer and Chief Financial Officer, concluded that our disclosure controls and procedures were effective as of March 31, 2019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any of our legal proceedings since the disclosure contained in our Annual Report to Form 10-K for the fiscal year ended December 31, 2018.</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for the year ended December 31, 2018 filed with the SEC on February 13, 2019. These factors include, but are not limited to, the following:</w:t>
      </w:r>
    </w:p>
    <w:p>
      <w:pPr>
        <w:spacing w:after="0" w:line="2" w:lineRule="exact"/>
        <w:rPr>
          <w:sz w:val="20"/>
          <w:szCs w:val="20"/>
          <w:color w:val="auto"/>
        </w:rPr>
      </w:pPr>
    </w:p>
    <w:p>
      <w:pPr>
        <w:ind w:left="1700" w:right="60" w:hanging="801"/>
        <w:spacing w:after="0" w:line="281"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1" w:lineRule="exact"/>
        <w:rPr>
          <w:rFonts w:ascii="Times New Roman" w:cs="Times New Roman" w:eastAsia="Times New Roman" w:hAnsi="Times New Roman"/>
          <w:sz w:val="18"/>
          <w:szCs w:val="18"/>
          <w:color w:val="auto"/>
        </w:rPr>
      </w:pPr>
    </w:p>
    <w:p>
      <w:pPr>
        <w:ind w:left="1700" w:right="20" w:hanging="801"/>
        <w:spacing w:after="0" w:line="266"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4" w:lineRule="exact"/>
        <w:rPr>
          <w:rFonts w:ascii="Times New Roman" w:cs="Times New Roman" w:eastAsia="Times New Roman" w:hAnsi="Times New Roman"/>
          <w:sz w:val="18"/>
          <w:szCs w:val="18"/>
          <w:color w:val="auto"/>
        </w:rPr>
      </w:pPr>
    </w:p>
    <w:p>
      <w:pPr>
        <w:ind w:left="1700" w:hanging="801"/>
        <w:spacing w:after="0" w:line="266"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63" w:lineRule="exact"/>
        <w:rPr>
          <w:rFonts w:ascii="Times New Roman" w:cs="Times New Roman" w:eastAsia="Times New Roman" w:hAnsi="Times New Roman"/>
          <w:sz w:val="18"/>
          <w:szCs w:val="18"/>
          <w:color w:val="auto"/>
        </w:rPr>
      </w:pPr>
    </w:p>
    <w:p>
      <w:pPr>
        <w:ind w:left="2760" w:right="520" w:hanging="807"/>
        <w:spacing w:after="0" w:line="281" w:lineRule="auto"/>
        <w:tabs>
          <w:tab w:leader="none" w:pos="2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63" w:lineRule="exact"/>
        <w:rPr>
          <w:rFonts w:ascii="Times New Roman" w:cs="Times New Roman" w:eastAsia="Times New Roman" w:hAnsi="Times New Roman"/>
          <w:sz w:val="18"/>
          <w:szCs w:val="18"/>
          <w:color w:val="auto"/>
        </w:rPr>
      </w:pPr>
    </w:p>
    <w:p>
      <w:pPr>
        <w:ind w:left="2760" w:right="220" w:hanging="807"/>
        <w:spacing w:after="0" w:line="281" w:lineRule="auto"/>
        <w:tabs>
          <w:tab w:leader="none" w:pos="2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costs associated with the periodic maintenance and repair or renovation of space, insurance and other operations may increase,</w:t>
      </w:r>
    </w:p>
    <w:p>
      <w:pPr>
        <w:spacing w:after="0" w:line="1"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63" w:lineRule="exact"/>
        <w:rPr>
          <w:rFonts w:ascii="Times New Roman" w:cs="Times New Roman" w:eastAsia="Times New Roman" w:hAnsi="Times New Roman"/>
          <w:sz w:val="18"/>
          <w:szCs w:val="18"/>
          <w:color w:val="auto"/>
        </w:rPr>
      </w:pPr>
    </w:p>
    <w:p>
      <w:pPr>
        <w:ind w:left="1700" w:right="240" w:hanging="801"/>
        <w:spacing w:after="0" w:line="266"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4" w:lineRule="exact"/>
        <w:rPr>
          <w:rFonts w:ascii="Times New Roman" w:cs="Times New Roman" w:eastAsia="Times New Roman" w:hAnsi="Times New Roman"/>
          <w:sz w:val="18"/>
          <w:szCs w:val="18"/>
          <w:color w:val="auto"/>
        </w:rPr>
      </w:pPr>
    </w:p>
    <w:p>
      <w:pPr>
        <w:ind w:left="1700" w:right="60" w:hanging="801"/>
        <w:spacing w:after="0" w:line="266"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March 31, 2019, we issued 69,046 common shares in connection with redemptions of downREIT operating partnership units.</w:t>
      </w:r>
    </w:p>
    <w:p>
      <w:pPr>
        <w:spacing w:after="0" w:line="4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time to time, we could be deemed to have repurchased shares as a result of shares withheld for tax purposes upon a stock compensation related vesting event.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124"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240" w:top="124"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1"/>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60" w:type="dxa"/>
            <w:vAlign w:val="bottom"/>
          </w:tcPr>
          <w:p>
            <w:pPr>
              <w:spacing w:after="0"/>
              <w:rPr>
                <w:sz w:val="24"/>
                <w:szCs w:val="24"/>
                <w:color w:val="auto"/>
              </w:rPr>
            </w:pPr>
          </w:p>
        </w:tc>
      </w:tr>
      <w:tr>
        <w:trPr>
          <w:trHeight w:val="323"/>
        </w:trPr>
        <w:tc>
          <w:tcPr>
            <w:tcW w:w="360" w:type="dxa"/>
            <w:vAlign w:val="bottom"/>
            <w:tcBorders>
              <w:top w:val="single" w:sz="8" w:color="auto"/>
            </w:tcBorders>
            <w:gridSpan w:val="3"/>
          </w:tcPr>
          <w:p>
            <w:pPr>
              <w:ind w:left="4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Federal Realty Investment Trust dated February 12, 2003, as amended October 29, 2003, May 5, 2004,</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17, 2006, May 6, 2009, November 2, 2016, and February 5, 2019</w:t>
            </w:r>
          </w:p>
        </w:tc>
      </w:tr>
      <w:tr>
        <w:trPr>
          <w:trHeight w:val="351"/>
        </w:trPr>
        <w:tc>
          <w:tcPr>
            <w:tcW w:w="360" w:type="dxa"/>
            <w:vAlign w:val="bottom"/>
            <w:gridSpan w:val="3"/>
          </w:tcPr>
          <w:p>
            <w:pPr>
              <w:ind w:left="40"/>
              <w:spacing w:after="0"/>
              <w:rPr>
                <w:rFonts w:ascii="Times New Roman" w:cs="Times New Roman" w:eastAsia="Times New Roman" w:hAnsi="Times New Roman"/>
                <w:sz w:val="18"/>
                <w:szCs w:val="18"/>
                <w:color w:val="0000FF"/>
                <w:w w:val="95"/>
              </w:rPr>
            </w:pPr>
            <w:hyperlink w:anchor="page43">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60" w:type="dxa"/>
            <w:vAlign w:val="bottom"/>
            <w:gridSpan w:val="2"/>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Times New Roman" w:cs="Times New Roman" w:eastAsia="Times New Roman" w:hAnsi="Times New Roman"/>
                <w:sz w:val="18"/>
                <w:szCs w:val="18"/>
                <w:color w:val="0000FF"/>
                <w:w w:val="95"/>
              </w:rPr>
            </w:pPr>
            <w:hyperlink w:anchor="page44">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Times New Roman" w:cs="Times New Roman" w:eastAsia="Times New Roman" w:hAnsi="Times New Roman"/>
                <w:sz w:val="18"/>
                <w:szCs w:val="18"/>
                <w:color w:val="0000FF"/>
                <w:w w:val="95"/>
              </w:rPr>
            </w:pPr>
            <w:hyperlink w:anchor="page45">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Section 1350</w:t>
            </w: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Times New Roman" w:cs="Times New Roman" w:eastAsia="Times New Roman" w:hAnsi="Times New Roman"/>
                <w:sz w:val="18"/>
                <w:szCs w:val="18"/>
                <w:color w:val="0000FF"/>
                <w:w w:val="95"/>
              </w:rPr>
            </w:pPr>
            <w:hyperlink w:anchor="page46">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Section 1350</w:t>
            </w: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0" w:right="340" w:hanging="1165"/>
        <w:spacing w:after="0" w:line="261"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Trust’s Quarterly Report on Form 10-Q for the quarter ended March 31, 2019,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Times New Roman" w:cs="Times New Roman" w:eastAsia="Times New Roman" w:hAnsi="Times New Roman"/>
          <w:sz w:val="18"/>
          <w:szCs w:val="18"/>
          <w:color w:val="auto"/>
        </w:rPr>
        <w:t>May 2, 2019</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Times New Roman" w:cs="Times New Roman" w:eastAsia="Times New Roman" w:hAnsi="Times New Roman"/>
          <w:sz w:val="18"/>
          <w:szCs w:val="18"/>
          <w:color w:val="auto"/>
        </w:rPr>
        <w:t>May 2, 2019</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33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80"/>
          </w:cols>
          <w:pgMar w:left="240" w:top="124" w:right="37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754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(February 12, 2003)</w:t>
      </w:r>
    </w:p>
    <w:p>
      <w:pPr>
        <w:spacing w:after="0" w:line="200" w:lineRule="exact"/>
        <w:rPr>
          <w:sz w:val="20"/>
          <w:szCs w:val="20"/>
          <w:color w:val="auto"/>
        </w:r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ARTICLE I</w:t>
      </w:r>
    </w:p>
    <w:p>
      <w:pPr>
        <w:spacing w:after="0" w:line="31" w:lineRule="exact"/>
        <w:rPr>
          <w:sz w:val="20"/>
          <w:szCs w:val="20"/>
          <w:color w:val="auto"/>
        </w:rPr>
      </w:pPr>
    </w:p>
    <w:p>
      <w:pPr>
        <w:ind w:left="5320"/>
        <w:spacing w:after="0"/>
        <w:rPr>
          <w:sz w:val="20"/>
          <w:szCs w:val="20"/>
          <w:color w:val="auto"/>
        </w:rPr>
      </w:pPr>
      <w:r>
        <w:rPr>
          <w:rFonts w:ascii="Arial" w:cs="Arial" w:eastAsia="Arial" w:hAnsi="Arial"/>
          <w:sz w:val="18"/>
          <w:szCs w:val="18"/>
          <w:b w:val="1"/>
          <w:bCs w:val="1"/>
          <w:i w:val="1"/>
          <w:iCs w:val="1"/>
          <w:color w:val="auto"/>
        </w:rPr>
        <w:t>OFFICES</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1. PRINCIPAL OFFICE. The principal office of the Trust shall be located at such place or places as the Board of Trustees may designate.</w:t>
      </w:r>
    </w:p>
    <w:p>
      <w:pPr>
        <w:spacing w:after="0" w:line="14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Section 2. ADDITIONAL OFFICES. The Trust may have additional offices at such places as the Board of Trustees may from time to time determine or the business of the Trust may require.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1. PLACE. All meetings of shareholders shall be held at the principal executive office of the Trust or at such other place within the United States as shall be stated in the notice of the meeting.</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ectPr>
          <w:pgSz w:w="11900" w:h="16838" w:orient="portrait"/>
          <w:cols w:equalWidth="0" w:num="1">
            <w:col w:w="11420"/>
          </w:cols>
          <w:pgMar w:left="240" w:top="1440" w:right="2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8. VOTING. In any uncontested election, a majority of all the votes cast at a meeting of shareholders duly called and at which a quorum is present shall be required to elect a Trustee. A majority of the votes cast means that the number of shares voted “for” a Trustee must exceed 50% of the votes cast with respect to that Trustee. In any contested election (in which the number of nominees exceeds the number of trustees to be elected),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nominee for Trustee in an uncontested election does not receive a majority of votes cast "for" his/her election shall promptly tender his or her resignation to the Chair of the Nominating and Corporate Governance Committee following certification of the shareholder vote. The Nominating and Corporate Governance Committee shall promptly consider the resignation and recommend to the Board whether to accept the tendered resignation or reject it. In considering whether to accept or reject the tendered resignation, the Nominating and Corporate Governance Committee shall consider the stated reasons, if any, why shareholders did not cast votes "for" the election of such Trustee, the length of service and qualifications of the Trustee whose resignation has been tendered, the Trustee’s contributions to the Trust, all requirements of the Trust’s governing documents, all legal requirements and such other information and factors as members of the Nominating and Corporate Governance Committee shall determine are relevant.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will act on the recommendation of the Nominating and Corporate Governance Committee no later than ninety (90) days following the date of the shareholders’ meeting where the election occurred, or the date set forth in any applicable requirement of the Securities and Exchange Commission ("SEC") or the NYSE, whichever is earlier. In considering the Nominating and Corporate Governance Committee’s recommendation, the Board will analyze the factors considered by the committee and such additional information and factors the Board believes to be relevant. Following the Board's decision on the committee's recommendation, the Trust will promptly disclose the Board's decision whether to accept the resignation as tendered (providing a full explanation of the process by which the decision was reached and, if applicable, the reasons for rejecting the tendered resignation) in a press release, a filing with the SEC or other broadly disseminated means of communication. If the Board accepts a Trustee's resignation, the Board may fill the resulting vacancy or decrease the size of the Board pursuant to the Bylaws.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Any Trustee who tenders his or her resignation pursuant to this provision shall not participate in the Nominating and Corporate Governance Committee recommendation or Board action regarding whether or not to accept the tendered resignation. However, if each member of the Nominating and Corporate Governance Committee fails to receive a majority of "for" votes at the same election, then the non-management Trustees who did receive a majority of "for" votes shall appoint a committee amongst themselves to consider the tendered resignations and recommend to the Board whether to accept or reject them.</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9. PROXIES. A shareholder may cast the votes entitled to be cast by the shares owned of record by him either in person or by proxy executed by the shareholder or by his duly authorized agent in any manner allowed</w:t>
      </w:r>
    </w:p>
    <w:p>
      <w:pPr>
        <w:sectPr>
          <w:pgSz w:w="11900" w:h="16838" w:orient="portrait"/>
          <w:cols w:equalWidth="0" w:num="1">
            <w:col w:w="11420"/>
          </w:cols>
          <w:pgMar w:left="240" w:top="576" w:right="239" w:bottom="1440" w:gutter="0" w:footer="0" w:header="0"/>
        </w:sectPr>
      </w:pPr>
    </w:p>
    <w:bookmarkStart w:id="30" w:name="page31"/>
    <w:bookmarkEnd w:id="30"/>
    <w:p>
      <w:pPr>
        <w:jc w:val="both"/>
        <w:spacing w:after="0" w:line="292" w:lineRule="auto"/>
        <w:rPr>
          <w:sz w:val="20"/>
          <w:szCs w:val="20"/>
          <w:color w:val="auto"/>
        </w:rPr>
      </w:pPr>
      <w:r>
        <w:rPr>
          <w:rFonts w:ascii="Arial" w:cs="Arial" w:eastAsia="Arial" w:hAnsi="Arial"/>
          <w:sz w:val="18"/>
          <w:szCs w:val="18"/>
          <w:color w:val="auto"/>
        </w:rPr>
        <w:t>by law. Such proxy shall be filed with the Secretary of the Trust before or at the time of the meeting. No proxy shall be valid after eleven months from the date of its execution, unless otherwise provided in the proxy.</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1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NOMINATIONS AND PROPOSALS BY SHAREHOLDERS.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(a)</w:t>
        <w:tab/>
        <w:t>Annual Meetings of Shareholders.</w:t>
      </w:r>
    </w:p>
    <w:p>
      <w:pPr>
        <w:sectPr>
          <w:pgSz w:w="11900" w:h="16838" w:orient="portrait"/>
          <w:cols w:equalWidth="0" w:num="1">
            <w:col w:w="11420"/>
          </w:cols>
          <w:pgMar w:left="240" w:top="576" w:right="239" w:bottom="1440" w:gutter="0" w:footer="0" w:header="0"/>
        </w:sectPr>
      </w:pPr>
    </w:p>
    <w:bookmarkStart w:id="31" w:name="page32"/>
    <w:bookmarkEnd w:id="31"/>
    <w:p>
      <w:pPr>
        <w:jc w:val="both"/>
        <w:ind w:left="652" w:hanging="4"/>
        <w:spacing w:after="0" w:line="260" w:lineRule="auto"/>
        <w:tabs>
          <w:tab w:leader="none" w:pos="10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Trustees and the proposal of business to be considered by the shareholders may be made at an annual meeting of shareholders: (A) pursuant to the Trust’s notice of meeting; (B) by or at the direction of the Trustees; or (C)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175" w:lineRule="exact"/>
        <w:rPr>
          <w:rFonts w:ascii="Arial" w:cs="Arial" w:eastAsia="Arial" w:hAnsi="Arial"/>
          <w:sz w:val="18"/>
          <w:szCs w:val="18"/>
          <w:color w:val="auto"/>
        </w:rPr>
      </w:pPr>
    </w:p>
    <w:p>
      <w:pPr>
        <w:jc w:val="both"/>
        <w:ind w:left="652" w:hanging="4"/>
        <w:spacing w:after="0" w:line="250" w:lineRule="auto"/>
        <w:tabs>
          <w:tab w:leader="none" w:pos="11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shareholder pursuant to clause (C) of paragraph (a)(1)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(A)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(C) as to the shareholder giving the notice and the beneficial owner, if any, on whose behalf the nomination or proposal is made: (i) the name and address of such shareholder, as they appear on the Trust’s books, and of such beneficial owner; and (ii) the number of each class of shares of the Trust which are owned beneficially and of record by such shareholder and such beneficial owner.</w:t>
      </w:r>
    </w:p>
    <w:p>
      <w:pPr>
        <w:spacing w:after="0" w:line="189" w:lineRule="exact"/>
        <w:rPr>
          <w:rFonts w:ascii="Arial" w:cs="Arial" w:eastAsia="Arial" w:hAnsi="Arial"/>
          <w:sz w:val="18"/>
          <w:szCs w:val="18"/>
          <w:color w:val="auto"/>
        </w:rPr>
      </w:pPr>
    </w:p>
    <w:p>
      <w:pPr>
        <w:jc w:val="both"/>
        <w:ind w:left="652" w:hanging="4"/>
        <w:spacing w:after="0" w:line="257" w:lineRule="auto"/>
        <w:tabs>
          <w:tab w:leader="none" w:pos="11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paragraph (a)(2)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177" w:lineRule="exact"/>
        <w:rPr>
          <w:rFonts w:ascii="Arial" w:cs="Arial" w:eastAsia="Arial" w:hAnsi="Arial"/>
          <w:sz w:val="18"/>
          <w:szCs w:val="18"/>
          <w:color w:val="auto"/>
        </w:rPr>
      </w:pPr>
    </w:p>
    <w:p>
      <w:pPr>
        <w:jc w:val="both"/>
        <w:ind w:left="-8" w:firstLine="8"/>
        <w:spacing w:after="0" w:line="253" w:lineRule="auto"/>
        <w:tabs>
          <w:tab w:leader="none" w:pos="4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 (iii) 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ectPr>
          <w:pgSz w:w="11900" w:h="16838" w:orient="portrait"/>
          <w:cols w:equalWidth="0" w:num="1">
            <w:col w:w="11412"/>
          </w:cols>
          <w:pgMar w:left="248" w:top="576" w:right="239" w:bottom="1440" w:gutter="0" w:footer="0" w:header="0"/>
        </w:sectPr>
      </w:pPr>
    </w:p>
    <w:bookmarkStart w:id="32" w:name="page33"/>
    <w:bookmarkEnd w:id="32"/>
    <w:p>
      <w:pPr>
        <w:ind w:left="400" w:hanging="392"/>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660" w:hanging="4"/>
        <w:spacing w:after="0" w:line="258" w:lineRule="auto"/>
        <w:tabs>
          <w:tab w:leader="none" w:pos="10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177" w:lineRule="exact"/>
        <w:rPr>
          <w:rFonts w:ascii="Arial" w:cs="Arial" w:eastAsia="Arial" w:hAnsi="Arial"/>
          <w:sz w:val="18"/>
          <w:szCs w:val="18"/>
          <w:color w:val="auto"/>
        </w:rPr>
      </w:pPr>
    </w:p>
    <w:p>
      <w:pPr>
        <w:jc w:val="both"/>
        <w:ind w:left="660" w:hanging="4"/>
        <w:spacing w:after="0" w:line="271" w:lineRule="auto"/>
        <w:tabs>
          <w:tab w:leader="none" w:pos="11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163" w:lineRule="exact"/>
        <w:rPr>
          <w:rFonts w:ascii="Arial" w:cs="Arial" w:eastAsia="Arial" w:hAnsi="Arial"/>
          <w:sz w:val="18"/>
          <w:szCs w:val="18"/>
          <w:color w:val="auto"/>
        </w:rPr>
      </w:pPr>
    </w:p>
    <w:p>
      <w:pPr>
        <w:jc w:val="both"/>
        <w:ind w:left="660" w:right="20" w:hanging="4"/>
        <w:spacing w:after="0" w:line="264" w:lineRule="auto"/>
        <w:tabs>
          <w:tab w:leader="none" w:pos="1114"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INFORMAL ACTION BY SHAREHOLDERS.</w:t>
      </w:r>
    </w:p>
    <w:p>
      <w:pPr>
        <w:spacing w:after="0" w:line="225" w:lineRule="exact"/>
        <w:rPr>
          <w:sz w:val="20"/>
          <w:szCs w:val="20"/>
          <w:color w:val="auto"/>
        </w:rPr>
      </w:pPr>
    </w:p>
    <w:p>
      <w:pPr>
        <w:jc w:val="both"/>
        <w:ind w:right="20" w:firstLine="8"/>
        <w:spacing w:after="0" w:line="271" w:lineRule="auto"/>
        <w:tabs>
          <w:tab w:leader="none" w:pos="5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163" w:lineRule="exact"/>
        <w:rPr>
          <w:rFonts w:ascii="Arial" w:cs="Arial" w:eastAsia="Arial" w:hAnsi="Arial"/>
          <w:sz w:val="18"/>
          <w:szCs w:val="18"/>
          <w:color w:val="auto"/>
        </w:rPr>
      </w:pPr>
    </w:p>
    <w:p>
      <w:pPr>
        <w:jc w:val="both"/>
        <w:ind w:firstLine="8"/>
        <w:spacing w:after="0" w:line="253" w:lineRule="auto"/>
        <w:tabs>
          <w:tab w:leader="none" w:pos="4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15. VOTING BY BALLOT. Voting on any question or in any election may be viva voce unless the presiding officer shall order or any shareholder shall demand that voting be by ballot.</w:t>
      </w:r>
    </w:p>
    <w:p>
      <w:pPr>
        <w:spacing w:after="0" w:line="145" w:lineRule="exact"/>
        <w:rPr>
          <w:sz w:val="20"/>
          <w:szCs w:val="20"/>
          <w:color w:val="auto"/>
        </w:rPr>
      </w:pPr>
    </w:p>
    <w:p>
      <w:pPr>
        <w:ind w:left="5400"/>
        <w:spacing w:after="0"/>
        <w:rPr>
          <w:sz w:val="20"/>
          <w:szCs w:val="20"/>
          <w:color w:val="auto"/>
        </w:rPr>
      </w:pPr>
      <w:r>
        <w:rPr>
          <w:rFonts w:ascii="Arial" w:cs="Arial" w:eastAsia="Arial" w:hAnsi="Arial"/>
          <w:sz w:val="18"/>
          <w:szCs w:val="18"/>
          <w:b w:val="1"/>
          <w:bCs w:val="1"/>
          <w:i w:val="1"/>
          <w:iCs w:val="1"/>
          <w:color w:val="auto"/>
        </w:rPr>
        <w:t>ARTICLE III</w:t>
      </w:r>
    </w:p>
    <w:p>
      <w:pPr>
        <w:spacing w:after="0" w:line="31" w:lineRule="exact"/>
        <w:rPr>
          <w:sz w:val="20"/>
          <w:szCs w:val="20"/>
          <w:color w:val="auto"/>
        </w:rPr>
      </w:pPr>
    </w:p>
    <w:p>
      <w:pPr>
        <w:ind w:left="5400"/>
        <w:spacing w:after="0"/>
        <w:rPr>
          <w:sz w:val="20"/>
          <w:szCs w:val="20"/>
          <w:color w:val="auto"/>
        </w:rPr>
      </w:pPr>
      <w:r>
        <w:rPr>
          <w:rFonts w:ascii="Arial" w:cs="Arial" w:eastAsia="Arial" w:hAnsi="Arial"/>
          <w:sz w:val="18"/>
          <w:szCs w:val="18"/>
          <w:b w:val="1"/>
          <w:bCs w:val="1"/>
          <w:i w:val="1"/>
          <w:iCs w:val="1"/>
          <w:color w:val="auto"/>
        </w:rPr>
        <w:t>TRUSTEES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less than a majority of Trustees on the Board of Trustees that fail to satisfy the definitions for independence as established from time to time in the Securities Exchange Act of 1934, the New York Stock Exchange’s Listed Company Manual and other laws, rules and regulations applicable to</w:t>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Trust from time to time.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five (5) or more than ten (10).</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ectPr>
          <w:pgSz w:w="11900" w:h="16838" w:orient="portrait"/>
          <w:cols w:equalWidth="0" w:num="1">
            <w:col w:w="11420"/>
          </w:cols>
          <w:pgMar w:left="240" w:top="576" w:right="239" w:bottom="1440" w:gutter="0" w:footer="0" w:header="0"/>
        </w:sectPr>
      </w:pPr>
    </w:p>
    <w:bookmarkStart w:id="34" w:name="page35"/>
    <w:bookmarkEnd w:id="34"/>
    <w:p>
      <w:pPr>
        <w:spacing w:after="0"/>
        <w:tabs>
          <w:tab w:leader="none" w:pos="10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COMPENSATION; FINANCIAL ASSISTANCE.</w:t>
      </w:r>
    </w:p>
    <w:p>
      <w:pPr>
        <w:spacing w:after="0" w:line="225" w:lineRule="exact"/>
        <w:rPr>
          <w:sz w:val="20"/>
          <w:szCs w:val="20"/>
          <w:color w:val="auto"/>
        </w:rPr>
      </w:pPr>
    </w:p>
    <w:p>
      <w:pPr>
        <w:jc w:val="both"/>
        <w:ind w:firstLine="8"/>
        <w:spacing w:after="0" w:line="258" w:lineRule="auto"/>
        <w:tabs>
          <w:tab w:leader="none" w:pos="4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177" w:lineRule="exact"/>
        <w:rPr>
          <w:rFonts w:ascii="Arial" w:cs="Arial" w:eastAsia="Arial" w:hAnsi="Arial"/>
          <w:sz w:val="18"/>
          <w:szCs w:val="18"/>
          <w:color w:val="auto"/>
        </w:rPr>
      </w:pPr>
    </w:p>
    <w:p>
      <w:pPr>
        <w:jc w:val="both"/>
        <w:ind w:firstLine="8"/>
        <w:spacing w:after="0" w:line="271" w:lineRule="auto"/>
        <w:tabs>
          <w:tab w:leader="none" w:pos="4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12. REMOVAL OF TRUSTEES. The shareholders may, at any time, remove any Trustee in the manner provided in the Declaration of Trust.</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14. SURETY BONDS. Unless required by law, no Trustee shall be obligated to give any bond or surety or other security for the performance of any of his duties.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 of Trustees.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18. CHAIRMAN OF THE BOARD OF TRUSTEES. The Board of Trustees may elect from among the Trustees a Chairman of the Board of Trustees by the affirmative vote of a majority of the full Board of Trustees taken at any regular or special meeting of the Trustees. The Chairman shall preside over the meetings of shareholders and the meetings of the Trustees at which he shall be present. The Chairman may be removed at any time by the affirmative vote of a majority of the full Board of Trustees taken at any regular or special meeting of the Trustees. The Chairman may resign from the position of Chairman at any time by written notice to the Board of Trustees effective upon execution and delivery to the Trust of such written notice or upon any future date specified in such notice, provided that such notice shall not constitute written notice to resign as a Trustee unless so designated.</w:t>
      </w:r>
    </w:p>
    <w:p>
      <w:pPr>
        <w:spacing w:after="0" w:line="17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i w:val="1"/>
          <w:iCs w:val="1"/>
          <w:color w:val="auto"/>
        </w:rPr>
        <w:t>ARTICLE IV</w:t>
      </w:r>
    </w:p>
    <w:p>
      <w:pPr>
        <w:spacing w:after="0" w:line="3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i w:val="1"/>
          <w:iCs w:val="1"/>
          <w:color w:val="auto"/>
        </w:rPr>
        <w:t>COMMITTEES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w:t>
      </w:r>
    </w:p>
    <w:p>
      <w:pPr>
        <w:sectPr>
          <w:pgSz w:w="11900" w:h="16838" w:orient="portrait"/>
          <w:cols w:equalWidth="0" w:num="1">
            <w:col w:w="11420"/>
          </w:cols>
          <w:pgMar w:left="240" w:top="576" w:right="239" w:bottom="1440" w:gutter="0" w:footer="0" w:header="0"/>
        </w:sectPr>
      </w:pPr>
    </w:p>
    <w:bookmarkStart w:id="35" w:name="page36"/>
    <w:bookmarkEnd w:id="35"/>
    <w:p>
      <w:pPr>
        <w:jc w:val="both"/>
        <w:spacing w:after="0" w:line="271" w:lineRule="auto"/>
        <w:rPr>
          <w:sz w:val="20"/>
          <w:szCs w:val="20"/>
          <w:color w:val="auto"/>
        </w:rPr>
      </w:pPr>
      <w:r>
        <w:rPr>
          <w:rFonts w:ascii="Arial" w:cs="Arial" w:eastAsia="Arial" w:hAnsi="Arial"/>
          <w:sz w:val="18"/>
          <w:szCs w:val="18"/>
          <w:color w:val="auto"/>
        </w:rPr>
        <w:t>the pleasure of the Trustees; provided, however, that the following committees, to the extent they are created by the Trustees, shall always consist of two or more Trustees: (a) Audit Committee; (b) Compensation Committee; (c) Executive Committee; and (d) Nominating and Corporate Governance Committee.</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2. POWERS. The Trustees may delegate to committees appointed under Section 1 of this Article any of the powers of the Trustees, except as prohibited by law.</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163" w:lineRule="exact"/>
        <w:rPr>
          <w:sz w:val="20"/>
          <w:szCs w:val="20"/>
          <w:color w:val="auto"/>
        </w:rPr>
      </w:pPr>
    </w:p>
    <w:p>
      <w:pPr>
        <w:ind w:left="5240"/>
        <w:spacing w:after="0"/>
        <w:rPr>
          <w:sz w:val="20"/>
          <w:szCs w:val="20"/>
          <w:color w:val="auto"/>
        </w:rPr>
      </w:pPr>
      <w:r>
        <w:rPr>
          <w:rFonts w:ascii="Arial" w:cs="Arial" w:eastAsia="Arial" w:hAnsi="Arial"/>
          <w:sz w:val="18"/>
          <w:szCs w:val="18"/>
          <w:b w:val="1"/>
          <w:bCs w:val="1"/>
          <w:i w:val="1"/>
          <w:iCs w:val="1"/>
          <w:color w:val="auto"/>
        </w:rPr>
        <w:t>ARTICLE V</w:t>
      </w:r>
    </w:p>
    <w:p>
      <w:pPr>
        <w:spacing w:after="0" w:line="31"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OFFICERS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ectPr>
          <w:pgSz w:w="11900" w:h="16838" w:orient="portrait"/>
          <w:cols w:equalWidth="0" w:num="1">
            <w:col w:w="11420"/>
          </w:cols>
          <w:pgMar w:left="240" w:top="576" w:right="2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6.</w:t>
        <w:tab/>
        <w:t>CHIEF FINANCIAL OFFICER. The Trustees may designate a Chief Financial Officer from among the elected or appointed officers.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Chief Financial Officer shall have the responsibilities and duties as set forth by the Trustees or the Chief Executive Officer (or, if there is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at such time, the President).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w:t>
      </w:r>
    </w:p>
    <w:p>
      <w:pPr>
        <w:sectPr>
          <w:pgSz w:w="11900" w:h="16838" w:orient="portrait"/>
          <w:cols w:equalWidth="0" w:num="1">
            <w:col w:w="11420"/>
          </w:cols>
          <w:pgMar w:left="240" w:top="576" w:right="2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8"/>
          <w:szCs w:val="18"/>
          <w:color w:val="auto"/>
        </w:rPr>
        <w:t>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CONTRACTS, LOANS, CHECKS AND DEPOSITS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SHARES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w:t>
      </w:r>
    </w:p>
    <w:p>
      <w:pPr>
        <w:sectPr>
          <w:pgSz w:w="11900" w:h="16838" w:orient="portrait"/>
          <w:cols w:equalWidth="0" w:num="1">
            <w:col w:w="11420"/>
          </w:cols>
          <w:pgMar w:left="240" w:top="576" w:right="239"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8"/>
          <w:szCs w:val="18"/>
          <w:color w:val="auto"/>
        </w:rPr>
        <w:t>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ectPr>
          <w:pgSz w:w="11900" w:h="16838" w:orient="portrait"/>
          <w:cols w:equalWidth="0" w:num="1">
            <w:col w:w="11420"/>
          </w:cols>
          <w:pgMar w:left="240" w:top="576" w:right="239" w:bottom="1440" w:gutter="0" w:footer="0" w:header="0"/>
        </w:sectPr>
      </w:pPr>
    </w:p>
    <w:bookmarkStart w:id="39" w:name="page40"/>
    <w:bookmarkEnd w:id="39"/>
    <w:p>
      <w:pPr>
        <w:jc w:val="both"/>
        <w:spacing w:after="0" w:line="260" w:lineRule="auto"/>
        <w:rPr>
          <w:sz w:val="20"/>
          <w:szCs w:val="20"/>
          <w:color w:val="auto"/>
        </w:rPr>
      </w:pPr>
      <w:r>
        <w:rPr>
          <w:rFonts w:ascii="Arial" w:cs="Arial" w:eastAsia="Arial" w:hAnsi="Arial"/>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ACCOUNTING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Trustees shall have the power, from time to time, to fix the fiscal year of the Trust by a duly adopted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DISTRIBUTIONS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SEAL</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 AND ADVANCE OF EXPENSES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w:t>
      </w:r>
    </w:p>
    <w:p>
      <w:pPr>
        <w:sectPr>
          <w:pgSz w:w="11900" w:h="16838" w:orient="portrait"/>
          <w:cols w:equalWidth="0" w:num="1">
            <w:col w:w="11420"/>
          </w:cols>
          <w:pgMar w:left="240" w:top="576" w:right="2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18"/>
          <w:szCs w:val="18"/>
          <w:color w:val="auto"/>
        </w:rPr>
        <w:t>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WAIVER OF NOTICE</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sectPr>
          <w:pgSz w:w="11900" w:h="16838" w:orient="portrait"/>
          <w:cols w:equalWidth="0" w:num="1">
            <w:col w:w="11420"/>
          </w:cols>
          <w:pgMar w:left="240" w:top="576" w:right="239" w:bottom="1440" w:gutter="0" w:footer="0" w:header="0"/>
        </w:sectPr>
      </w:pPr>
    </w:p>
    <w:bookmarkStart w:id="41" w:name="page42"/>
    <w:bookmarkEnd w:id="41"/>
    <w:p>
      <w:pPr>
        <w:jc w:val="center"/>
        <w:ind w:right="-1220"/>
        <w:spacing w:after="0"/>
        <w:rPr>
          <w:sz w:val="20"/>
          <w:szCs w:val="20"/>
          <w:color w:val="auto"/>
        </w:rPr>
      </w:pPr>
      <w:r>
        <w:rPr>
          <w:rFonts w:ascii="Arial" w:cs="Arial" w:eastAsia="Arial" w:hAnsi="Arial"/>
          <w:sz w:val="18"/>
          <w:szCs w:val="18"/>
          <w:b w:val="1"/>
          <w:bCs w:val="1"/>
          <w:i w:val="1"/>
          <w:iCs w:val="1"/>
          <w:color w:val="auto"/>
        </w:rPr>
        <w:t>ARTICLE XV</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i w:val="1"/>
          <w:iCs w:val="1"/>
          <w:color w:val="auto"/>
        </w:rPr>
        <w:t>MISCELLANEOUS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the Declaration of Trust shall include any amendments thereto.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Amended on October 29, 2003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Amended on May 5, 2004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February 17, 2006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May 6, 2009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November 2, 2016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February 5, 2019</w:t>
      </w:r>
    </w:p>
    <w:p>
      <w:pPr>
        <w:sectPr>
          <w:pgSz w:w="11900" w:h="16838" w:orient="portrait"/>
          <w:cols w:equalWidth="0" w:num="1">
            <w:col w:w="10219"/>
          </w:cols>
          <w:pgMar w:left="240" w:top="576"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May 2, 2019</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Executive Officer)</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18"/>
          <w:szCs w:val="18"/>
          <w:color w:val="auto"/>
        </w:rPr>
        <w:t>May 2, 2019</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2019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May 2, 2019</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Executive Officer)</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2019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18"/>
          <w:szCs w:val="18"/>
          <w:color w:val="auto"/>
        </w:rPr>
        <w:t>May 2, 2019</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lvl w:ilvl="1">
      <w:lvlJc w:val="left"/>
      <w:lvlText w:val="•"/>
      <w:numFmt w:val="bullet"/>
      <w:start w:val="1"/>
    </w:lvl>
  </w:abstractNum>
  <w:abstractNum w:abstractNumId="23">
    <w:nsid w:val="836C40E"/>
    <w:multiLevelType w:val="hybridMultilevel"/>
    <w:lvl w:ilvl="0">
      <w:lvlJc w:val="left"/>
      <w:lvlText w:val="%1"/>
      <w:numFmt w:val="decimal"/>
      <w:start w:val="101"/>
    </w:lvl>
  </w:abstractNum>
  <w:abstractNum w:abstractNumId="24">
    <w:nsid w:val="2901D82"/>
    <w:multiLevelType w:val="hybridMultilevel"/>
    <w:lvl w:ilvl="0">
      <w:lvlJc w:val="left"/>
      <w:lvlText w:val="%1"/>
      <w:numFmt w:val="lowerLetter"/>
      <w:start w:val="1"/>
    </w:lvl>
    <w:lvl w:ilvl="1">
      <w:lvlJc w:val="left"/>
      <w:lvlText w:val="(%2)"/>
      <w:numFmt w:val="decimal"/>
      <w:start w:val="1"/>
    </w:lvl>
  </w:abstractNum>
  <w:abstractNum w:abstractNumId="25">
    <w:nsid w:val="3A95F874"/>
    <w:multiLevelType w:val="hybridMultilevel"/>
    <w:lvl w:ilvl="0">
      <w:lvlJc w:val="left"/>
      <w:lvlText w:val="(%1)"/>
      <w:numFmt w:val="lowerLetter"/>
      <w:start w:val="2"/>
    </w:lvl>
    <w:lvl w:ilvl="1">
      <w:lvlJc w:val="left"/>
      <w:lvlText w:val="%2"/>
      <w:numFmt w:val="decimal"/>
      <w:start w:val="1"/>
    </w:lvl>
  </w:abstractNum>
  <w:abstractNum w:abstractNumId="26">
    <w:nsid w:val="8138641"/>
    <w:multiLevelType w:val="hybridMultilevel"/>
    <w:lvl w:ilvl="0">
      <w:lvlJc w:val="left"/>
      <w:lvlText w:val="(%1)"/>
      <w:numFmt w:val="lowerLetter"/>
      <w:start w:val="3"/>
    </w:lvl>
    <w:lvl w:ilvl="1">
      <w:lvlJc w:val="left"/>
      <w:lvlText w:val="(%2)"/>
      <w:numFmt w:val="decimal"/>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2019-12-28T13:05:00Z</dcterms:created>
  <dcterms:modified xsi:type="dcterms:W3CDTF">2019-12-28T13:05:00Z</dcterms:modified>
</cp:coreProperties>
</file>