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May 7, 2020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333-224701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May 7, 2020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Prospectus dated May 7, 2018</w:t>
      </w: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7620" w:type="dxa"/>
            <w:vAlign w:val="bottom"/>
            <w:gridSpan w:val="2"/>
          </w:tcPr>
          <w:p>
            <w:pPr>
              <w:jc w:val="center"/>
              <w:ind w:right="2710"/>
              <w:spacing w:after="0"/>
              <w:rPr>
                <w:sz w:val="20"/>
                <w:szCs w:val="20"/>
                <w:color w:val="auto"/>
              </w:rPr>
            </w:pPr>
            <w:r>
              <w:rPr>
                <w:rFonts w:ascii="Arial" w:cs="Arial" w:eastAsia="Arial" w:hAnsi="Arial"/>
                <w:sz w:val="18"/>
                <w:szCs w:val="18"/>
                <w:b w:val="1"/>
                <w:bCs w:val="1"/>
                <w:color w:val="auto"/>
                <w:w w:val="91"/>
              </w:rPr>
              <w:t>Federal Realty Investment Trust</w:t>
            </w:r>
          </w:p>
        </w:tc>
      </w:tr>
      <w:tr>
        <w:trPr>
          <w:trHeight w:val="216"/>
        </w:trPr>
        <w:tc>
          <w:tcPr>
            <w:tcW w:w="3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60" w:type="dxa"/>
            <w:vAlign w:val="bottom"/>
          </w:tcPr>
          <w:p>
            <w:pPr>
              <w:jc w:val="center"/>
              <w:ind w:right="4070"/>
              <w:spacing w:after="0"/>
              <w:rPr>
                <w:sz w:val="20"/>
                <w:szCs w:val="20"/>
                <w:color w:val="auto"/>
              </w:rPr>
            </w:pPr>
            <w:r>
              <w:rPr>
                <w:rFonts w:ascii="Arial" w:cs="Arial" w:eastAsia="Arial" w:hAnsi="Arial"/>
                <w:sz w:val="18"/>
                <w:szCs w:val="18"/>
                <w:b w:val="1"/>
                <w:bCs w:val="1"/>
                <w:color w:val="auto"/>
                <w:w w:val="90"/>
              </w:rPr>
              <w:t>3.50% Notes due 2030</w:t>
            </w:r>
          </w:p>
        </w:tc>
      </w:tr>
      <w:tr>
        <w:trPr>
          <w:trHeight w:val="234"/>
        </w:trPr>
        <w:tc>
          <w:tcPr>
            <w:tcW w:w="3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260" w:type="dxa"/>
            <w:vAlign w:val="bottom"/>
          </w:tcPr>
          <w:p>
            <w:pPr>
              <w:jc w:val="center"/>
              <w:ind w:right="4070"/>
              <w:spacing w:after="0"/>
              <w:rPr>
                <w:sz w:val="20"/>
                <w:szCs w:val="20"/>
                <w:color w:val="auto"/>
              </w:rPr>
            </w:pPr>
            <w:r>
              <w:rPr>
                <w:rFonts w:ascii="Arial" w:cs="Arial" w:eastAsia="Arial" w:hAnsi="Arial"/>
                <w:sz w:val="18"/>
                <w:szCs w:val="18"/>
                <w:b w:val="1"/>
                <w:bCs w:val="1"/>
                <w:color w:val="auto"/>
                <w:w w:val="90"/>
              </w:rPr>
              <w:t>3.95% Notes due 2024</w:t>
            </w:r>
          </w:p>
        </w:tc>
      </w:tr>
      <w:tr>
        <w:trPr>
          <w:trHeight w:val="432"/>
        </w:trPr>
        <w:tc>
          <w:tcPr>
            <w:tcW w:w="3100" w:type="dxa"/>
            <w:vAlign w:val="bottom"/>
          </w:tcPr>
          <w:p>
            <w:pPr>
              <w:spacing w:after="0"/>
              <w:rPr>
                <w:sz w:val="24"/>
                <w:szCs w:val="24"/>
                <w:color w:val="auto"/>
              </w:rPr>
            </w:pPr>
          </w:p>
        </w:tc>
        <w:tc>
          <w:tcPr>
            <w:tcW w:w="7620" w:type="dxa"/>
            <w:vAlign w:val="bottom"/>
            <w:gridSpan w:val="2"/>
          </w:tcPr>
          <w:p>
            <w:pPr>
              <w:jc w:val="center"/>
              <w:ind w:right="2710"/>
              <w:spacing w:after="0"/>
              <w:rPr>
                <w:sz w:val="20"/>
                <w:szCs w:val="20"/>
                <w:color w:val="auto"/>
              </w:rPr>
            </w:pPr>
            <w:r>
              <w:rPr>
                <w:rFonts w:ascii="Arial" w:cs="Arial" w:eastAsia="Arial" w:hAnsi="Arial"/>
                <w:sz w:val="18"/>
                <w:szCs w:val="18"/>
                <w:color w:val="auto"/>
                <w:w w:val="89"/>
              </w:rPr>
              <w:t>Term Sheet dated May 7, 2020</w:t>
            </w:r>
          </w:p>
        </w:tc>
      </w:tr>
      <w:tr>
        <w:trPr>
          <w:trHeight w:val="459"/>
        </w:trPr>
        <w:tc>
          <w:tcPr>
            <w:tcW w:w="3100" w:type="dxa"/>
            <w:vAlign w:val="bottom"/>
          </w:tcPr>
          <w:p>
            <w:pPr>
              <w:spacing w:after="0"/>
              <w:rPr>
                <w:sz w:val="20"/>
                <w:szCs w:val="20"/>
                <w:color w:val="auto"/>
              </w:rPr>
            </w:pPr>
            <w:r>
              <w:rPr>
                <w:rFonts w:ascii="Arial" w:cs="Arial" w:eastAsia="Arial" w:hAnsi="Arial"/>
                <w:sz w:val="18"/>
                <w:szCs w:val="18"/>
                <w:color w:val="auto"/>
              </w:rPr>
              <w:t>Issuer:</w:t>
            </w:r>
          </w:p>
        </w:tc>
        <w:tc>
          <w:tcPr>
            <w:tcW w:w="7620" w:type="dxa"/>
            <w:vAlign w:val="bottom"/>
            <w:gridSpan w:val="2"/>
          </w:tcPr>
          <w:p>
            <w:pPr>
              <w:ind w:left="980"/>
              <w:spacing w:after="0"/>
              <w:rPr>
                <w:sz w:val="20"/>
                <w:szCs w:val="20"/>
                <w:color w:val="auto"/>
              </w:rPr>
            </w:pPr>
            <w:r>
              <w:rPr>
                <w:rFonts w:ascii="Arial" w:cs="Arial" w:eastAsia="Arial" w:hAnsi="Arial"/>
                <w:sz w:val="18"/>
                <w:szCs w:val="18"/>
                <w:color w:val="auto"/>
              </w:rPr>
              <w:t>Federal Realty Investment Trust</w:t>
            </w:r>
          </w:p>
        </w:tc>
      </w:tr>
      <w:tr>
        <w:trPr>
          <w:trHeight w:val="324"/>
        </w:trPr>
        <w:tc>
          <w:tcPr>
            <w:tcW w:w="3100" w:type="dxa"/>
            <w:vAlign w:val="bottom"/>
          </w:tcPr>
          <w:p>
            <w:pPr>
              <w:spacing w:after="0"/>
              <w:rPr>
                <w:sz w:val="20"/>
                <w:szCs w:val="20"/>
                <w:color w:val="auto"/>
              </w:rPr>
            </w:pPr>
            <w:r>
              <w:rPr>
                <w:rFonts w:ascii="Arial" w:cs="Arial" w:eastAsia="Arial" w:hAnsi="Arial"/>
                <w:sz w:val="18"/>
                <w:szCs w:val="18"/>
                <w:color w:val="auto"/>
              </w:rPr>
              <w:t>Security:</w:t>
            </w:r>
          </w:p>
        </w:tc>
        <w:tc>
          <w:tcPr>
            <w:tcW w:w="7620" w:type="dxa"/>
            <w:vAlign w:val="bottom"/>
            <w:gridSpan w:val="2"/>
          </w:tcPr>
          <w:p>
            <w:pPr>
              <w:ind w:left="980"/>
              <w:spacing w:after="0"/>
              <w:rPr>
                <w:sz w:val="20"/>
                <w:szCs w:val="20"/>
                <w:color w:val="auto"/>
              </w:rPr>
            </w:pPr>
            <w:r>
              <w:rPr>
                <w:rFonts w:ascii="Arial" w:cs="Arial" w:eastAsia="Arial" w:hAnsi="Arial"/>
                <w:sz w:val="18"/>
                <w:szCs w:val="18"/>
                <w:color w:val="auto"/>
              </w:rPr>
              <w:t>3.50% Notes due 2030 (the “2030 Notes”)</w:t>
            </w:r>
          </w:p>
        </w:tc>
      </w:tr>
      <w:tr>
        <w:trPr>
          <w:trHeight w:val="324"/>
        </w:trPr>
        <w:tc>
          <w:tcPr>
            <w:tcW w:w="3100" w:type="dxa"/>
            <w:vAlign w:val="bottom"/>
          </w:tcPr>
          <w:p>
            <w:pPr>
              <w:spacing w:after="0"/>
              <w:rPr>
                <w:sz w:val="24"/>
                <w:szCs w:val="24"/>
                <w:color w:val="auto"/>
              </w:rPr>
            </w:pPr>
          </w:p>
        </w:tc>
        <w:tc>
          <w:tcPr>
            <w:tcW w:w="7620" w:type="dxa"/>
            <w:vAlign w:val="bottom"/>
            <w:gridSpan w:val="2"/>
          </w:tcPr>
          <w:p>
            <w:pPr>
              <w:ind w:left="980"/>
              <w:spacing w:after="0"/>
              <w:rPr>
                <w:sz w:val="20"/>
                <w:szCs w:val="20"/>
                <w:color w:val="auto"/>
              </w:rPr>
            </w:pPr>
            <w:r>
              <w:rPr>
                <w:rFonts w:ascii="Arial" w:cs="Arial" w:eastAsia="Arial" w:hAnsi="Arial"/>
                <w:sz w:val="18"/>
                <w:szCs w:val="18"/>
                <w:color w:val="auto"/>
              </w:rPr>
              <w:t>3.95% Notes due 2024 (the “2024 Notes”)</w:t>
            </w:r>
          </w:p>
        </w:tc>
      </w:tr>
      <w:tr>
        <w:trPr>
          <w:trHeight w:val="310"/>
        </w:trPr>
        <w:tc>
          <w:tcPr>
            <w:tcW w:w="3100" w:type="dxa"/>
            <w:vAlign w:val="bottom"/>
          </w:tcPr>
          <w:p>
            <w:pPr>
              <w:spacing w:after="0"/>
              <w:rPr>
                <w:sz w:val="20"/>
                <w:szCs w:val="20"/>
                <w:color w:val="auto"/>
              </w:rPr>
            </w:pPr>
            <w:r>
              <w:rPr>
                <w:rFonts w:ascii="Arial" w:cs="Arial" w:eastAsia="Arial" w:hAnsi="Arial"/>
                <w:sz w:val="18"/>
                <w:szCs w:val="18"/>
                <w:color w:val="auto"/>
              </w:rPr>
              <w:t>Expected Ratings*:</w:t>
            </w:r>
          </w:p>
        </w:tc>
        <w:tc>
          <w:tcPr>
            <w:tcW w:w="7620" w:type="dxa"/>
            <w:vAlign w:val="bottom"/>
            <w:gridSpan w:val="2"/>
          </w:tcPr>
          <w:p>
            <w:pPr>
              <w:ind w:left="980"/>
              <w:spacing w:after="0"/>
              <w:rPr>
                <w:sz w:val="20"/>
                <w:szCs w:val="20"/>
                <w:color w:val="auto"/>
              </w:rPr>
            </w:pPr>
            <w:r>
              <w:rPr>
                <w:rFonts w:ascii="Arial" w:cs="Arial" w:eastAsia="Arial" w:hAnsi="Arial"/>
                <w:sz w:val="18"/>
                <w:szCs w:val="18"/>
                <w:color w:val="auto"/>
              </w:rPr>
              <w:t>A3/A-</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(Moody’s / S&amp;P)</w:t>
            </w:r>
          </w:p>
        </w:tc>
        <w:tc>
          <w:tcPr>
            <w:tcW w:w="136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324"/>
        </w:trPr>
        <w:tc>
          <w:tcPr>
            <w:tcW w:w="3100" w:type="dxa"/>
            <w:vAlign w:val="bottom"/>
          </w:tcPr>
          <w:p>
            <w:pPr>
              <w:spacing w:after="0"/>
              <w:rPr>
                <w:sz w:val="20"/>
                <w:szCs w:val="20"/>
                <w:color w:val="auto"/>
              </w:rPr>
            </w:pPr>
            <w:r>
              <w:rPr>
                <w:rFonts w:ascii="Arial" w:cs="Arial" w:eastAsia="Arial" w:hAnsi="Arial"/>
                <w:sz w:val="18"/>
                <w:szCs w:val="18"/>
                <w:color w:val="auto"/>
              </w:rPr>
              <w:t>Aggregate Principal Amount:</w:t>
            </w:r>
          </w:p>
        </w:tc>
        <w:tc>
          <w:tcPr>
            <w:tcW w:w="1360" w:type="dxa"/>
            <w:vAlign w:val="bottom"/>
          </w:tcPr>
          <w:p>
            <w:pPr>
              <w:ind w:left="980"/>
              <w:spacing w:after="0"/>
              <w:rPr>
                <w:sz w:val="20"/>
                <w:szCs w:val="20"/>
                <w:color w:val="auto"/>
              </w:rPr>
            </w:pPr>
            <w:r>
              <w:rPr>
                <w:rFonts w:ascii="Arial" w:cs="Arial" w:eastAsia="Arial" w:hAnsi="Arial"/>
                <w:sz w:val="18"/>
                <w:szCs w:val="18"/>
                <w:color w:val="auto"/>
                <w:w w:val="89"/>
              </w:rPr>
              <w:t>2030</w:t>
            </w:r>
          </w:p>
        </w:tc>
        <w:tc>
          <w:tcPr>
            <w:tcW w:w="6260" w:type="dxa"/>
            <w:vAlign w:val="bottom"/>
          </w:tcPr>
          <w:p>
            <w:pPr>
              <w:ind w:left="20"/>
              <w:spacing w:after="0"/>
              <w:rPr>
                <w:sz w:val="20"/>
                <w:szCs w:val="20"/>
                <w:color w:val="auto"/>
              </w:rPr>
            </w:pPr>
            <w:r>
              <w:rPr>
                <w:rFonts w:ascii="Arial" w:cs="Arial" w:eastAsia="Arial" w:hAnsi="Arial"/>
                <w:sz w:val="18"/>
                <w:szCs w:val="18"/>
                <w:color w:val="auto"/>
              </w:rPr>
              <w:t>Notes: $400,000,000</w:t>
            </w:r>
          </w:p>
        </w:tc>
      </w:tr>
      <w:tr>
        <w:trPr>
          <w:trHeight w:val="310"/>
        </w:trPr>
        <w:tc>
          <w:tcPr>
            <w:tcW w:w="3100" w:type="dxa"/>
            <w:vAlign w:val="bottom"/>
          </w:tcPr>
          <w:p>
            <w:pPr>
              <w:spacing w:after="0"/>
              <w:rPr>
                <w:sz w:val="24"/>
                <w:szCs w:val="24"/>
                <w:color w:val="auto"/>
              </w:rPr>
            </w:pPr>
          </w:p>
        </w:tc>
        <w:tc>
          <w:tcPr>
            <w:tcW w:w="1360" w:type="dxa"/>
            <w:vAlign w:val="bottom"/>
          </w:tcPr>
          <w:p>
            <w:pPr>
              <w:ind w:left="980"/>
              <w:spacing w:after="0"/>
              <w:rPr>
                <w:sz w:val="20"/>
                <w:szCs w:val="20"/>
                <w:color w:val="auto"/>
              </w:rPr>
            </w:pPr>
            <w:r>
              <w:rPr>
                <w:rFonts w:ascii="Arial" w:cs="Arial" w:eastAsia="Arial" w:hAnsi="Arial"/>
                <w:sz w:val="18"/>
                <w:szCs w:val="18"/>
                <w:color w:val="auto"/>
                <w:w w:val="89"/>
              </w:rPr>
              <w:t>2024</w:t>
            </w:r>
          </w:p>
        </w:tc>
        <w:tc>
          <w:tcPr>
            <w:tcW w:w="6260" w:type="dxa"/>
            <w:vAlign w:val="bottom"/>
          </w:tcPr>
          <w:p>
            <w:pPr>
              <w:ind w:left="20"/>
              <w:spacing w:after="0"/>
              <w:rPr>
                <w:sz w:val="20"/>
                <w:szCs w:val="20"/>
                <w:color w:val="auto"/>
              </w:rPr>
            </w:pPr>
            <w:r>
              <w:rPr>
                <w:rFonts w:ascii="Arial" w:cs="Arial" w:eastAsia="Arial" w:hAnsi="Arial"/>
                <w:sz w:val="18"/>
                <w:szCs w:val="18"/>
                <w:color w:val="auto"/>
                <w:w w:val="93"/>
              </w:rPr>
              <w:t>Notes: $300,000,000 (the 2024 Notes will be part of the same series of notes as the</w:t>
            </w:r>
          </w:p>
        </w:tc>
      </w:tr>
      <w:tr>
        <w:trPr>
          <w:trHeight w:val="216"/>
        </w:trPr>
        <w:tc>
          <w:tcPr>
            <w:tcW w:w="3100" w:type="dxa"/>
            <w:vAlign w:val="bottom"/>
          </w:tcPr>
          <w:p>
            <w:pPr>
              <w:spacing w:after="0"/>
              <w:rPr>
                <w:sz w:val="18"/>
                <w:szCs w:val="18"/>
                <w:color w:val="auto"/>
              </w:rPr>
            </w:pPr>
          </w:p>
        </w:tc>
        <w:tc>
          <w:tcPr>
            <w:tcW w:w="7620" w:type="dxa"/>
            <w:vAlign w:val="bottom"/>
            <w:gridSpan w:val="2"/>
          </w:tcPr>
          <w:p>
            <w:pPr>
              <w:ind w:left="980"/>
              <w:spacing w:after="0"/>
              <w:rPr>
                <w:sz w:val="20"/>
                <w:szCs w:val="20"/>
                <w:color w:val="auto"/>
              </w:rPr>
            </w:pPr>
            <w:r>
              <w:rPr>
                <w:rFonts w:ascii="Arial" w:cs="Arial" w:eastAsia="Arial" w:hAnsi="Arial"/>
                <w:sz w:val="18"/>
                <w:szCs w:val="18"/>
                <w:color w:val="auto"/>
                <w:w w:val="90"/>
              </w:rPr>
              <w:t>$300,000,000 aggregate principal amount of Federal Realty Investment Trust’s 3.95% Notes</w:t>
            </w:r>
          </w:p>
        </w:tc>
      </w:tr>
      <w:tr>
        <w:trPr>
          <w:trHeight w:val="230"/>
        </w:trPr>
        <w:tc>
          <w:tcPr>
            <w:tcW w:w="3100" w:type="dxa"/>
            <w:vAlign w:val="bottom"/>
          </w:tcPr>
          <w:p>
            <w:pPr>
              <w:spacing w:after="0"/>
              <w:rPr>
                <w:sz w:val="20"/>
                <w:szCs w:val="20"/>
                <w:color w:val="auto"/>
              </w:rPr>
            </w:pPr>
          </w:p>
        </w:tc>
        <w:tc>
          <w:tcPr>
            <w:tcW w:w="7620" w:type="dxa"/>
            <w:vAlign w:val="bottom"/>
            <w:gridSpan w:val="2"/>
          </w:tcPr>
          <w:p>
            <w:pPr>
              <w:ind w:left="980"/>
              <w:spacing w:after="0"/>
              <w:rPr>
                <w:sz w:val="20"/>
                <w:szCs w:val="20"/>
                <w:color w:val="auto"/>
              </w:rPr>
            </w:pPr>
            <w:r>
              <w:rPr>
                <w:rFonts w:ascii="Arial" w:cs="Arial" w:eastAsia="Arial" w:hAnsi="Arial"/>
                <w:sz w:val="18"/>
                <w:szCs w:val="18"/>
                <w:color w:val="auto"/>
              </w:rPr>
              <w:t>due 2024, which were originally issued on December 9, 2013)</w:t>
            </w:r>
          </w:p>
        </w:tc>
      </w:tr>
      <w:tr>
        <w:trPr>
          <w:trHeight w:val="324"/>
        </w:trPr>
        <w:tc>
          <w:tcPr>
            <w:tcW w:w="3100" w:type="dxa"/>
            <w:vAlign w:val="bottom"/>
          </w:tcPr>
          <w:p>
            <w:pPr>
              <w:spacing w:after="0"/>
              <w:rPr>
                <w:sz w:val="20"/>
                <w:szCs w:val="20"/>
                <w:color w:val="auto"/>
              </w:rPr>
            </w:pPr>
            <w:r>
              <w:rPr>
                <w:rFonts w:ascii="Arial" w:cs="Arial" w:eastAsia="Arial" w:hAnsi="Arial"/>
                <w:sz w:val="18"/>
                <w:szCs w:val="18"/>
                <w:color w:val="auto"/>
              </w:rPr>
              <w:t>Trade Date:</w:t>
            </w:r>
          </w:p>
        </w:tc>
        <w:tc>
          <w:tcPr>
            <w:tcW w:w="7620" w:type="dxa"/>
            <w:vAlign w:val="bottom"/>
            <w:gridSpan w:val="2"/>
          </w:tcPr>
          <w:p>
            <w:pPr>
              <w:ind w:left="980"/>
              <w:spacing w:after="0"/>
              <w:rPr>
                <w:sz w:val="20"/>
                <w:szCs w:val="20"/>
                <w:color w:val="auto"/>
              </w:rPr>
            </w:pPr>
            <w:r>
              <w:rPr>
                <w:rFonts w:ascii="Arial" w:cs="Arial" w:eastAsia="Arial" w:hAnsi="Arial"/>
                <w:sz w:val="18"/>
                <w:szCs w:val="18"/>
                <w:color w:val="auto"/>
              </w:rPr>
              <w:t>May 7, 2020</w:t>
            </w:r>
          </w:p>
        </w:tc>
      </w:tr>
      <w:tr>
        <w:trPr>
          <w:trHeight w:val="324"/>
        </w:trPr>
        <w:tc>
          <w:tcPr>
            <w:tcW w:w="3100" w:type="dxa"/>
            <w:vAlign w:val="bottom"/>
          </w:tcPr>
          <w:p>
            <w:pPr>
              <w:spacing w:after="0"/>
              <w:rPr>
                <w:sz w:val="20"/>
                <w:szCs w:val="20"/>
                <w:color w:val="auto"/>
              </w:rPr>
            </w:pPr>
            <w:r>
              <w:rPr>
                <w:rFonts w:ascii="Arial" w:cs="Arial" w:eastAsia="Arial" w:hAnsi="Arial"/>
                <w:sz w:val="18"/>
                <w:szCs w:val="18"/>
                <w:color w:val="auto"/>
              </w:rPr>
              <w:t>Settlement Date:</w:t>
            </w:r>
          </w:p>
        </w:tc>
        <w:tc>
          <w:tcPr>
            <w:tcW w:w="7620" w:type="dxa"/>
            <w:vAlign w:val="bottom"/>
            <w:gridSpan w:val="2"/>
          </w:tcPr>
          <w:p>
            <w:pPr>
              <w:ind w:left="980"/>
              <w:spacing w:after="0"/>
              <w:rPr>
                <w:sz w:val="20"/>
                <w:szCs w:val="20"/>
                <w:color w:val="auto"/>
              </w:rPr>
            </w:pPr>
            <w:r>
              <w:rPr>
                <w:rFonts w:ascii="Arial" w:cs="Arial" w:eastAsia="Arial" w:hAnsi="Arial"/>
                <w:sz w:val="18"/>
                <w:szCs w:val="18"/>
                <w:color w:val="auto"/>
              </w:rPr>
              <w:t>May 11, 2020 (T+2)</w:t>
            </w:r>
          </w:p>
        </w:tc>
      </w:tr>
      <w:tr>
        <w:trPr>
          <w:trHeight w:val="324"/>
        </w:trPr>
        <w:tc>
          <w:tcPr>
            <w:tcW w:w="3100" w:type="dxa"/>
            <w:vAlign w:val="bottom"/>
          </w:tcPr>
          <w:p>
            <w:pPr>
              <w:spacing w:after="0"/>
              <w:rPr>
                <w:sz w:val="20"/>
                <w:szCs w:val="20"/>
                <w:color w:val="auto"/>
              </w:rPr>
            </w:pPr>
            <w:r>
              <w:rPr>
                <w:rFonts w:ascii="Arial" w:cs="Arial" w:eastAsia="Arial" w:hAnsi="Arial"/>
                <w:sz w:val="18"/>
                <w:szCs w:val="18"/>
                <w:color w:val="auto"/>
              </w:rPr>
              <w:t>Maturity Date:</w:t>
            </w:r>
          </w:p>
        </w:tc>
        <w:tc>
          <w:tcPr>
            <w:tcW w:w="1360" w:type="dxa"/>
            <w:vAlign w:val="bottom"/>
          </w:tcPr>
          <w:p>
            <w:pPr>
              <w:ind w:left="980"/>
              <w:spacing w:after="0"/>
              <w:rPr>
                <w:sz w:val="20"/>
                <w:szCs w:val="20"/>
                <w:color w:val="auto"/>
              </w:rPr>
            </w:pPr>
            <w:r>
              <w:rPr>
                <w:rFonts w:ascii="Arial" w:cs="Arial" w:eastAsia="Arial" w:hAnsi="Arial"/>
                <w:sz w:val="18"/>
                <w:szCs w:val="18"/>
                <w:color w:val="auto"/>
                <w:w w:val="89"/>
              </w:rPr>
              <w:t>2030</w:t>
            </w:r>
          </w:p>
        </w:tc>
        <w:tc>
          <w:tcPr>
            <w:tcW w:w="6260" w:type="dxa"/>
            <w:vAlign w:val="bottom"/>
          </w:tcPr>
          <w:p>
            <w:pPr>
              <w:ind w:left="20"/>
              <w:spacing w:after="0"/>
              <w:rPr>
                <w:sz w:val="20"/>
                <w:szCs w:val="20"/>
                <w:color w:val="auto"/>
              </w:rPr>
            </w:pPr>
            <w:r>
              <w:rPr>
                <w:rFonts w:ascii="Arial" w:cs="Arial" w:eastAsia="Arial" w:hAnsi="Arial"/>
                <w:sz w:val="18"/>
                <w:szCs w:val="18"/>
                <w:color w:val="auto"/>
              </w:rPr>
              <w:t>Notes: June 1, 2030</w:t>
            </w:r>
          </w:p>
        </w:tc>
      </w:tr>
      <w:tr>
        <w:trPr>
          <w:trHeight w:val="324"/>
        </w:trPr>
        <w:tc>
          <w:tcPr>
            <w:tcW w:w="3100" w:type="dxa"/>
            <w:vAlign w:val="bottom"/>
          </w:tcPr>
          <w:p>
            <w:pPr>
              <w:spacing w:after="0"/>
              <w:rPr>
                <w:sz w:val="24"/>
                <w:szCs w:val="24"/>
                <w:color w:val="auto"/>
              </w:rPr>
            </w:pPr>
          </w:p>
        </w:tc>
        <w:tc>
          <w:tcPr>
            <w:tcW w:w="1360" w:type="dxa"/>
            <w:vAlign w:val="bottom"/>
          </w:tcPr>
          <w:p>
            <w:pPr>
              <w:ind w:left="980"/>
              <w:spacing w:after="0"/>
              <w:rPr>
                <w:sz w:val="20"/>
                <w:szCs w:val="20"/>
                <w:color w:val="auto"/>
              </w:rPr>
            </w:pPr>
            <w:r>
              <w:rPr>
                <w:rFonts w:ascii="Arial" w:cs="Arial" w:eastAsia="Arial" w:hAnsi="Arial"/>
                <w:sz w:val="18"/>
                <w:szCs w:val="18"/>
                <w:color w:val="auto"/>
                <w:w w:val="89"/>
              </w:rPr>
              <w:t>2024</w:t>
            </w:r>
          </w:p>
        </w:tc>
        <w:tc>
          <w:tcPr>
            <w:tcW w:w="6260" w:type="dxa"/>
            <w:vAlign w:val="bottom"/>
          </w:tcPr>
          <w:p>
            <w:pPr>
              <w:ind w:left="20"/>
              <w:spacing w:after="0"/>
              <w:rPr>
                <w:sz w:val="20"/>
                <w:szCs w:val="20"/>
                <w:color w:val="auto"/>
              </w:rPr>
            </w:pPr>
            <w:r>
              <w:rPr>
                <w:rFonts w:ascii="Arial" w:cs="Arial" w:eastAsia="Arial" w:hAnsi="Arial"/>
                <w:sz w:val="18"/>
                <w:szCs w:val="18"/>
                <w:color w:val="auto"/>
              </w:rPr>
              <w:t>Notes: January 15, 2024</w:t>
            </w:r>
          </w:p>
        </w:tc>
      </w:tr>
      <w:tr>
        <w:trPr>
          <w:trHeight w:val="324"/>
        </w:trPr>
        <w:tc>
          <w:tcPr>
            <w:tcW w:w="31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360" w:type="dxa"/>
            <w:vAlign w:val="bottom"/>
          </w:tcPr>
          <w:p>
            <w:pPr>
              <w:ind w:left="980"/>
              <w:spacing w:after="0"/>
              <w:rPr>
                <w:sz w:val="20"/>
                <w:szCs w:val="20"/>
                <w:color w:val="auto"/>
              </w:rPr>
            </w:pPr>
            <w:r>
              <w:rPr>
                <w:rFonts w:ascii="Arial" w:cs="Arial" w:eastAsia="Arial" w:hAnsi="Arial"/>
                <w:sz w:val="18"/>
                <w:szCs w:val="18"/>
                <w:color w:val="auto"/>
                <w:w w:val="89"/>
              </w:rPr>
              <w:t>2030</w:t>
            </w:r>
          </w:p>
        </w:tc>
        <w:tc>
          <w:tcPr>
            <w:tcW w:w="6260" w:type="dxa"/>
            <w:vAlign w:val="bottom"/>
          </w:tcPr>
          <w:p>
            <w:pPr>
              <w:ind w:left="20"/>
              <w:spacing w:after="0"/>
              <w:rPr>
                <w:sz w:val="20"/>
                <w:szCs w:val="20"/>
                <w:color w:val="auto"/>
              </w:rPr>
            </w:pPr>
            <w:r>
              <w:rPr>
                <w:rFonts w:ascii="Arial" w:cs="Arial" w:eastAsia="Arial" w:hAnsi="Arial"/>
                <w:sz w:val="18"/>
                <w:szCs w:val="18"/>
                <w:color w:val="auto"/>
              </w:rPr>
              <w:t>Notes: June 1 and December 1, beginning on December 1, 2020</w:t>
            </w:r>
          </w:p>
        </w:tc>
      </w:tr>
      <w:tr>
        <w:trPr>
          <w:trHeight w:val="324"/>
        </w:trPr>
        <w:tc>
          <w:tcPr>
            <w:tcW w:w="3100" w:type="dxa"/>
            <w:vAlign w:val="bottom"/>
          </w:tcPr>
          <w:p>
            <w:pPr>
              <w:spacing w:after="0"/>
              <w:rPr>
                <w:sz w:val="24"/>
                <w:szCs w:val="24"/>
                <w:color w:val="auto"/>
              </w:rPr>
            </w:pPr>
          </w:p>
        </w:tc>
        <w:tc>
          <w:tcPr>
            <w:tcW w:w="1360" w:type="dxa"/>
            <w:vAlign w:val="bottom"/>
          </w:tcPr>
          <w:p>
            <w:pPr>
              <w:ind w:left="980"/>
              <w:spacing w:after="0"/>
              <w:rPr>
                <w:sz w:val="20"/>
                <w:szCs w:val="20"/>
                <w:color w:val="auto"/>
              </w:rPr>
            </w:pPr>
            <w:r>
              <w:rPr>
                <w:rFonts w:ascii="Arial" w:cs="Arial" w:eastAsia="Arial" w:hAnsi="Arial"/>
                <w:sz w:val="18"/>
                <w:szCs w:val="18"/>
                <w:color w:val="auto"/>
                <w:w w:val="89"/>
              </w:rPr>
              <w:t>2024</w:t>
            </w:r>
          </w:p>
        </w:tc>
        <w:tc>
          <w:tcPr>
            <w:tcW w:w="6260" w:type="dxa"/>
            <w:vAlign w:val="bottom"/>
          </w:tcPr>
          <w:p>
            <w:pPr>
              <w:ind w:left="20"/>
              <w:spacing w:after="0"/>
              <w:rPr>
                <w:sz w:val="20"/>
                <w:szCs w:val="20"/>
                <w:color w:val="auto"/>
              </w:rPr>
            </w:pPr>
            <w:r>
              <w:rPr>
                <w:rFonts w:ascii="Arial" w:cs="Arial" w:eastAsia="Arial" w:hAnsi="Arial"/>
                <w:sz w:val="18"/>
                <w:szCs w:val="18"/>
                <w:color w:val="auto"/>
              </w:rPr>
              <w:t>Notes: January 15 and July 15, beginning on July 15, 2020</w:t>
            </w:r>
          </w:p>
        </w:tc>
      </w:tr>
      <w:tr>
        <w:trPr>
          <w:trHeight w:val="324"/>
        </w:trPr>
        <w:tc>
          <w:tcPr>
            <w:tcW w:w="3100" w:type="dxa"/>
            <w:vAlign w:val="bottom"/>
          </w:tcPr>
          <w:p>
            <w:pPr>
              <w:spacing w:after="0"/>
              <w:rPr>
                <w:sz w:val="20"/>
                <w:szCs w:val="20"/>
                <w:color w:val="auto"/>
              </w:rPr>
            </w:pPr>
            <w:r>
              <w:rPr>
                <w:rFonts w:ascii="Arial" w:cs="Arial" w:eastAsia="Arial" w:hAnsi="Arial"/>
                <w:sz w:val="18"/>
                <w:szCs w:val="18"/>
                <w:color w:val="auto"/>
              </w:rPr>
              <w:t>Benchmark Treasury:</w:t>
            </w:r>
          </w:p>
        </w:tc>
        <w:tc>
          <w:tcPr>
            <w:tcW w:w="1360" w:type="dxa"/>
            <w:vAlign w:val="bottom"/>
          </w:tcPr>
          <w:p>
            <w:pPr>
              <w:ind w:left="980"/>
              <w:spacing w:after="0"/>
              <w:rPr>
                <w:sz w:val="20"/>
                <w:szCs w:val="20"/>
                <w:color w:val="auto"/>
              </w:rPr>
            </w:pPr>
            <w:r>
              <w:rPr>
                <w:rFonts w:ascii="Arial" w:cs="Arial" w:eastAsia="Arial" w:hAnsi="Arial"/>
                <w:sz w:val="18"/>
                <w:szCs w:val="18"/>
                <w:color w:val="auto"/>
                <w:w w:val="89"/>
              </w:rPr>
              <w:t>2030</w:t>
            </w:r>
          </w:p>
        </w:tc>
        <w:tc>
          <w:tcPr>
            <w:tcW w:w="6260" w:type="dxa"/>
            <w:vAlign w:val="bottom"/>
          </w:tcPr>
          <w:p>
            <w:pPr>
              <w:ind w:left="20"/>
              <w:spacing w:after="0"/>
              <w:rPr>
                <w:sz w:val="20"/>
                <w:szCs w:val="20"/>
                <w:color w:val="auto"/>
              </w:rPr>
            </w:pPr>
            <w:r>
              <w:rPr>
                <w:rFonts w:ascii="Arial" w:cs="Arial" w:eastAsia="Arial" w:hAnsi="Arial"/>
                <w:sz w:val="18"/>
                <w:szCs w:val="18"/>
                <w:color w:val="auto"/>
              </w:rPr>
              <w:t>Notes: 1.500% due February 15, 2030</w:t>
            </w:r>
          </w:p>
        </w:tc>
      </w:tr>
      <w:tr>
        <w:trPr>
          <w:trHeight w:val="324"/>
        </w:trPr>
        <w:tc>
          <w:tcPr>
            <w:tcW w:w="3100" w:type="dxa"/>
            <w:vAlign w:val="bottom"/>
          </w:tcPr>
          <w:p>
            <w:pPr>
              <w:spacing w:after="0"/>
              <w:rPr>
                <w:sz w:val="24"/>
                <w:szCs w:val="24"/>
                <w:color w:val="auto"/>
              </w:rPr>
            </w:pPr>
          </w:p>
        </w:tc>
        <w:tc>
          <w:tcPr>
            <w:tcW w:w="1360" w:type="dxa"/>
            <w:vAlign w:val="bottom"/>
          </w:tcPr>
          <w:p>
            <w:pPr>
              <w:ind w:left="980"/>
              <w:spacing w:after="0"/>
              <w:rPr>
                <w:sz w:val="20"/>
                <w:szCs w:val="20"/>
                <w:color w:val="auto"/>
              </w:rPr>
            </w:pPr>
            <w:r>
              <w:rPr>
                <w:rFonts w:ascii="Arial" w:cs="Arial" w:eastAsia="Arial" w:hAnsi="Arial"/>
                <w:sz w:val="18"/>
                <w:szCs w:val="18"/>
                <w:color w:val="auto"/>
                <w:w w:val="89"/>
              </w:rPr>
              <w:t>2024</w:t>
            </w:r>
          </w:p>
        </w:tc>
        <w:tc>
          <w:tcPr>
            <w:tcW w:w="6260" w:type="dxa"/>
            <w:vAlign w:val="bottom"/>
          </w:tcPr>
          <w:p>
            <w:pPr>
              <w:ind w:left="20"/>
              <w:spacing w:after="0"/>
              <w:rPr>
                <w:sz w:val="20"/>
                <w:szCs w:val="20"/>
                <w:color w:val="auto"/>
              </w:rPr>
            </w:pPr>
            <w:r>
              <w:rPr>
                <w:rFonts w:ascii="Arial" w:cs="Arial" w:eastAsia="Arial" w:hAnsi="Arial"/>
                <w:sz w:val="18"/>
                <w:szCs w:val="18"/>
                <w:color w:val="auto"/>
              </w:rPr>
              <w:t>Notes: 0.375% due April 30, 2025</w:t>
            </w:r>
          </w:p>
        </w:tc>
      </w:tr>
    </w:tbl>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Benchmark Treasury Price/Yield: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Spread to Benchmark Treasury: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Re-Offer Yield: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2030 Notes: 108-07+ / 0.630%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-284480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2024 Notes: 100-12 </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29"/>
          <w:szCs w:val="29"/>
          <w:color w:val="auto"/>
          <w:vertAlign w:val="subscript"/>
        </w:rPr>
        <w:t>4</w:t>
      </w:r>
      <w:r>
        <w:rPr>
          <w:rFonts w:ascii="Arial" w:cs="Arial" w:eastAsia="Arial" w:hAnsi="Arial"/>
          <w:sz w:val="18"/>
          <w:szCs w:val="18"/>
          <w:color w:val="auto"/>
        </w:rPr>
        <w:t xml:space="preserve"> / 0.294%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2030 Notes: +300 basis points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2024 Notes: +265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2030 Notes: 3.630%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2024 Notes: 2.944%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2030 Notes: 3.50% per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2024 Notes: 3.95% per year (interest on the Notes will accrue from January 15, 2020)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2030 Notes: 98.911% of the principal amount, plus accrued interest, if any, from May 11, 2020</w:t>
      </w:r>
    </w:p>
    <w:p>
      <w:pPr>
        <w:spacing w:after="0" w:line="14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2024 Notes: 103.257% of the principal amount, plus accrued interest of $3,818,333.33 from January 15, 2020</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2030 Notes: At any time before March 1, 2030, make-whole call based on U.S. Treasury plus 45 basis points (0.45%); if redeemed on or after March 1, 2030, at 100% of the principal amount of the notes being redeemed, in each case plus accrued and unpaid interest thereon to, but excluding, the redemption date</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2024 Notes: At any time before 90 days prior to the maturity date, make-whole call based on U.S. Treasury plus 20 basis points (0.20%); if redeemed on or after 90 days prior to the maturity date, at 100% of the principal amount of the notes being redeemed, in each case plus accrued and unpaid interest thereon to, but excluding, the redemption date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2030 Notes: 313747 BA4 / US313747BA44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2024 Notes: 313747 AU1/ US313747AU17</w:t>
      </w:r>
    </w:p>
    <w:p>
      <w:pPr>
        <w:sectPr>
          <w:pgSz w:w="11900" w:h="16838" w:orient="portrait"/>
          <w:cols w:equalWidth="0" w:num="2">
            <w:col w:w="3360" w:space="720"/>
            <w:col w:w="6920"/>
          </w:cols>
          <w:pgMar w:left="440" w:top="382"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-284480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103" w:lineRule="exact"/>
        <w:rPr>
          <w:sz w:val="20"/>
          <w:szCs w:val="20"/>
          <w:color w:val="auto"/>
        </w:rPr>
      </w:pPr>
    </w:p>
    <w:p>
      <w:pPr>
        <w:sectPr>
          <w:pgSz w:w="11900" w:h="16838" w:orient="portrait"/>
          <w:cols w:equalWidth="0" w:num="2">
            <w:col w:w="3364" w:space="720"/>
            <w:col w:w="6840"/>
          </w:cols>
          <w:pgMar w:left="436" w:top="382" w:right="539" w:bottom="1440" w:gutter="0" w:footer="0" w:header="0"/>
        </w:sectPr>
      </w:pPr>
    </w:p>
    <w:p>
      <w:pPr>
        <w:ind w:left="4"/>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 Morgan Securities LLC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Scotia Capital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236220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4" w:space="720"/>
            <w:col w:w="6840"/>
          </w:cols>
          <w:pgMar w:left="436" w:top="382" w:right="5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4" w:right="840" w:hanging="4"/>
        <w:spacing w:after="0" w:line="560" w:lineRule="auto"/>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Note: A securities rating is not a recommendation to buy, sell or hold securities and may be subject to revision or withdrawal at any time. We estimate that the expenses of this offering payable by us, excluding the underwriting discount, will be approximately $1.2 million.</w:t>
      </w:r>
    </w:p>
    <w:p>
      <w:pPr>
        <w:spacing w:after="0" w:line="1" w:lineRule="exact"/>
        <w:rPr>
          <w:sz w:val="20"/>
          <w:szCs w:val="20"/>
          <w:color w:val="auto"/>
        </w:rPr>
      </w:pPr>
    </w:p>
    <w:p>
      <w:pPr>
        <w:ind w:left="4" w:right="40"/>
        <w:spacing w:after="0" w:line="272" w:lineRule="auto"/>
        <w:rPr>
          <w:sz w:val="20"/>
          <w:szCs w:val="20"/>
          <w:color w:val="auto"/>
        </w:rPr>
      </w:pPr>
      <w:r>
        <w:rPr>
          <w:rFonts w:ascii="Arial" w:cs="Arial" w:eastAsia="Arial" w:hAnsi="Arial"/>
          <w:sz w:val="17"/>
          <w:szCs w:val="17"/>
          <w:b w:val="1"/>
          <w:bCs w:val="1"/>
          <w:color w:val="auto"/>
        </w:rPr>
        <w:t xml:space="preserve">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w:t>
      </w:r>
      <w:r>
        <w:rPr>
          <w:rFonts w:ascii="Arial" w:cs="Arial" w:eastAsia="Arial" w:hAnsi="Arial"/>
          <w:sz w:val="17"/>
          <w:szCs w:val="17"/>
          <w:color w:val="auto"/>
        </w:rPr>
        <w:t>A</w:t>
      </w:r>
      <w:r>
        <w:rPr>
          <w:rFonts w:ascii="Arial" w:cs="Arial" w:eastAsia="Arial" w:hAnsi="Arial"/>
          <w:sz w:val="17"/>
          <w:szCs w:val="17"/>
          <w:b w:val="1"/>
          <w:bCs w:val="1"/>
          <w:color w:val="auto"/>
        </w:rPr>
        <w:t>lternatively, the issuer, any underwriter or any dealer participating in the offering will arrange to send you the prospectus supplement and prospectus if you request it from (i) Citigroup Global Markets Inc. toll-free at 1-800-831-9146, (ii) Deutsche Bank Securities Inc. toll-free at 1-800-503-4611 (iii) Jefferies LLC toll-free at 1-877-877-0696, (iv) U.S. Bancorp Investments, Inc. toll-free at 1-877-558-2607 or (v) Wells Fargo Securities, LLC toll-free at 1-800-645-3751.</w:t>
      </w:r>
    </w:p>
    <w:p>
      <w:pPr>
        <w:spacing w:after="0" w:line="172" w:lineRule="exact"/>
        <w:rPr>
          <w:sz w:val="20"/>
          <w:szCs w:val="20"/>
          <w:color w:val="auto"/>
        </w:rPr>
      </w:pPr>
    </w:p>
    <w:p>
      <w:pPr>
        <w:ind w:left="4"/>
        <w:spacing w:after="0" w:line="347"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0924"/>
      </w:cols>
      <w:pgMar w:left="436" w:top="382"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2020-05-07T16:16:46Z</dcterms:created>
  <dcterms:modified xsi:type="dcterms:W3CDTF">2020-05-07T16:16:46Z</dcterms:modified>
</cp:coreProperties>
</file>