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Date of Report (Date of earliest event reported): November 29,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tbl>
      <w:tblPr>
        <w:tblLayout w:type="fixed"/>
        <w:tblInd w:w="80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158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3"/>
              </w:rPr>
              <w:t>Maryland</w:t>
            </w:r>
          </w:p>
        </w:tc>
        <w:tc>
          <w:tcPr>
            <w:tcW w:w="3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1-07533</w:t>
            </w:r>
          </w:p>
        </w:tc>
        <w:tc>
          <w:tcPr>
            <w:tcW w:w="27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52-0782497</w:t>
            </w:r>
          </w:p>
        </w:tc>
      </w:tr>
      <w:tr>
        <w:trPr>
          <w:trHeight w:val="110"/>
        </w:trPr>
        <w:tc>
          <w:tcPr>
            <w:tcW w:w="7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78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r>
        <w:trPr>
          <w:trHeight w:val="237"/>
        </w:trPr>
        <w:tc>
          <w:tcPr>
            <w:tcW w:w="2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(State or other jurisdiction</w:t>
            </w:r>
          </w:p>
        </w:tc>
        <w:tc>
          <w:tcPr>
            <w:tcW w:w="59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(Commission File Number)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(IRS Employer</w:t>
            </w:r>
          </w:p>
        </w:tc>
      </w:tr>
      <w:tr>
        <w:trPr>
          <w:trHeight w:val="174"/>
        </w:trPr>
        <w:tc>
          <w:tcPr>
            <w:tcW w:w="2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of incorporation)</w:t>
            </w:r>
          </w:p>
        </w:tc>
        <w:tc>
          <w:tcPr>
            <w:tcW w:w="2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99"/>
        </w:trPr>
        <w:tc>
          <w:tcPr>
            <w:tcW w:w="23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1626 East Jefferson Street</w:t>
            </w:r>
          </w:p>
        </w:tc>
        <w:tc>
          <w:tcPr>
            <w:tcW w:w="2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23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Rockville, Maryland</w:t>
            </w:r>
          </w:p>
        </w:tc>
        <w:tc>
          <w:tcPr>
            <w:tcW w:w="2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20852-4041</w:t>
            </w:r>
          </w:p>
        </w:tc>
      </w:tr>
      <w:tr>
        <w:trPr>
          <w:trHeight w:val="110"/>
        </w:trPr>
        <w:tc>
          <w:tcPr>
            <w:tcW w:w="2320" w:type="dxa"/>
            <w:vAlign w:val="bottom"/>
            <w:tcBorders>
              <w:bottom w:val="single" w:sz="8" w:color="auto"/>
            </w:tcBorders>
            <w:gridSpan w:val="3"/>
          </w:tcPr>
          <w:p>
            <w:pPr>
              <w:spacing w:after="0"/>
              <w:rPr>
                <w:sz w:val="9"/>
                <w:szCs w:val="9"/>
                <w:color w:val="auto"/>
              </w:rPr>
            </w:pPr>
          </w:p>
        </w:tc>
        <w:tc>
          <w:tcPr>
            <w:tcW w:w="2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r>
        <w:trPr>
          <w:trHeight w:val="263"/>
        </w:trPr>
        <w:tc>
          <w:tcPr>
            <w:tcW w:w="2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498"/>
        </w:trPr>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b w:val="1"/>
                <w:bCs w:val="1"/>
                <w:color w:val="auto"/>
              </w:rPr>
              <w:t>Registrant’s telephone number, including area code: (301) 998-8100</w:t>
            </w:r>
          </w:p>
        </w:tc>
        <w:tc>
          <w:tcPr>
            <w:tcW w:w="11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164465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 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exhibits listed in the following index relate to an offering under the Registrant’s Registration Statement on Form S-3 (No. 333-100819) and each is filed herewith for incorporation by reference in such Registration Statement.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40" w:type="dxa"/>
            <w:vAlign w:val="bottom"/>
          </w:tcPr>
          <w:p>
            <w:pPr>
              <w:spacing w:after="0"/>
              <w:rPr>
                <w:sz w:val="15"/>
                <w:szCs w:val="15"/>
                <w:color w:val="auto"/>
              </w:rPr>
            </w:pPr>
          </w:p>
        </w:tc>
        <w:tc>
          <w:tcPr>
            <w:tcW w:w="97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860" w:type="dxa"/>
            <w:vAlign w:val="bottom"/>
          </w:tcPr>
          <w:p>
            <w:pPr>
              <w:spacing w:after="0"/>
              <w:rPr>
                <w:sz w:val="8"/>
                <w:szCs w:val="8"/>
                <w:color w:val="auto"/>
              </w:rPr>
            </w:pPr>
          </w:p>
        </w:tc>
      </w:tr>
      <w:tr>
        <w:trPr>
          <w:trHeight w:val="309"/>
        </w:trPr>
        <w:tc>
          <w:tcPr>
            <w:tcW w:w="880" w:type="dxa"/>
            <w:vAlign w:val="bottom"/>
          </w:tcPr>
          <w:p>
            <w:pPr>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89"/>
              </w:rPr>
              <w:t>Underwriting Agreement, dated November 29, 2005, by and among the Registrant and Wachovia Capital Markets, LLC, Citigroup Global</w:t>
            </w:r>
          </w:p>
        </w:tc>
      </w:tr>
      <w:tr>
        <w:trPr>
          <w:trHeight w:val="216"/>
        </w:trPr>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91"/>
              </w:rPr>
              <w:t>Markets Inc., Bear, Stearns &amp; Co. Inc., Merrill Lynch, Pierce, Fenner &amp; Smith Incorporated, Commerzbank Capital Markets Corp., J.P.</w:t>
            </w:r>
          </w:p>
        </w:tc>
      </w:tr>
      <w:tr>
        <w:trPr>
          <w:trHeight w:val="222"/>
        </w:trPr>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Morgan Securities Inc. and PNC Capital Markets, Inc.</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Pricing Agreement, dated November 29, 2005, by and between the Registrant and certain underwriters named therein</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Form of 5.65% Note due 2016</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Opinion of Pillsbury Winthrop Shaw Pittman LLP relating to legality of 5.65% Notes due 2016</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12.1</w:t>
            </w:r>
          </w:p>
        </w:tc>
        <w:tc>
          <w:tcPr>
            <w:tcW w:w="5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r>
    </w:tbl>
    <w:p>
      <w:pPr>
        <w:sectPr>
          <w:pgSz w:w="11900" w:h="16838" w:orient="portrait"/>
          <w:cols w:equalWidth="0" w:num="1">
            <w:col w:w="11120"/>
          </w:cols>
          <w:pgMar w:left="240" w:top="274" w:right="5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December 1, 2005</w:t>
      </w:r>
      <w:r>
        <w:rPr>
          <w:sz w:val="20"/>
          <w:szCs w:val="20"/>
          <w:color w:val="auto"/>
        </w:rPr>
        <w:tab/>
      </w:r>
      <w:r>
        <w:rPr>
          <w:rFonts w:ascii="Arial" w:cs="Arial" w:eastAsia="Arial" w:hAnsi="Arial"/>
          <w:sz w:val="16"/>
          <w:szCs w:val="16"/>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80"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29,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ERRILL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YNCH</w:t>
      </w:r>
      <w:r>
        <w:rPr>
          <w:rFonts w:ascii="Arial" w:cs="Arial" w:eastAsia="Arial" w:hAnsi="Arial"/>
          <w:sz w:val="18"/>
          <w:szCs w:val="18"/>
          <w:b w:val="1"/>
          <w:bCs w:val="1"/>
          <w:color w:val="auto"/>
        </w:rPr>
        <w:t>, P</w:t>
      </w:r>
      <w:r>
        <w:rPr>
          <w:rFonts w:ascii="Arial" w:cs="Arial" w:eastAsia="Arial" w:hAnsi="Arial"/>
          <w:sz w:val="14"/>
          <w:szCs w:val="14"/>
          <w:b w:val="1"/>
          <w:bCs w:val="1"/>
          <w:color w:val="auto"/>
        </w:rPr>
        <w:t>IERCE</w:t>
      </w:r>
      <w:r>
        <w:rPr>
          <w:rFonts w:ascii="Arial" w:cs="Arial" w:eastAsia="Arial" w:hAnsi="Arial"/>
          <w:sz w:val="18"/>
          <w:szCs w:val="18"/>
          <w:b w:val="1"/>
          <w:bCs w:val="1"/>
          <w:color w:val="auto"/>
        </w:rPr>
        <w:t>, F</w:t>
      </w:r>
      <w:r>
        <w:rPr>
          <w:rFonts w:ascii="Arial" w:cs="Arial" w:eastAsia="Arial" w:hAnsi="Arial"/>
          <w:sz w:val="14"/>
          <w:szCs w:val="14"/>
          <w:b w:val="1"/>
          <w:bCs w:val="1"/>
          <w:color w:val="auto"/>
        </w:rPr>
        <w:t>ENNER</w:t>
      </w:r>
      <w:r>
        <w:rPr>
          <w:rFonts w:ascii="Arial" w:cs="Arial" w:eastAsia="Arial" w:hAnsi="Arial"/>
          <w:sz w:val="18"/>
          <w:szCs w:val="18"/>
          <w:b w:val="1"/>
          <w:bCs w:val="1"/>
          <w:color w:val="auto"/>
        </w:rPr>
        <w:t xml:space="preserve"> &amp; S</w:t>
      </w:r>
      <w:r>
        <w:rPr>
          <w:rFonts w:ascii="Arial" w:cs="Arial" w:eastAsia="Arial" w:hAnsi="Arial"/>
          <w:sz w:val="14"/>
          <w:szCs w:val="14"/>
          <w:b w:val="1"/>
          <w:bCs w:val="1"/>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w:t>
      </w:r>
      <w:r>
        <w:rPr>
          <w:rFonts w:ascii="Arial" w:cs="Arial" w:eastAsia="Arial" w:hAnsi="Arial"/>
          <w:sz w:val="14"/>
          <w:szCs w:val="14"/>
          <w:b w:val="1"/>
          <w:bCs w:val="1"/>
          <w:color w:val="auto"/>
        </w:rPr>
        <w:t>ORGAN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C</w:t>
      </w:r>
      <w:r>
        <w:rPr>
          <w:rFonts w:ascii="Arial" w:cs="Arial" w:eastAsia="Arial" w:hAnsi="Arial"/>
          <w:sz w:val="17"/>
          <w:szCs w:val="17"/>
          <w:color w:val="auto"/>
        </w:rPr>
        <w:t>/</w:t>
      </w:r>
      <w:r>
        <w:rPr>
          <w:rFonts w:ascii="Arial" w:cs="Arial" w:eastAsia="Arial" w:hAnsi="Arial"/>
          <w:sz w:val="15"/>
          <w:szCs w:val="15"/>
          <w:color w:val="auto"/>
        </w:rPr>
        <w:t>O</w:t>
      </w:r>
      <w:r>
        <w:rPr>
          <w:sz w:val="20"/>
          <w:szCs w:val="20"/>
          <w:color w:val="auto"/>
        </w:rPr>
        <w:tab/>
      </w:r>
      <w:r>
        <w:rPr>
          <w:rFonts w:ascii="Arial" w:cs="Arial" w:eastAsia="Arial" w:hAnsi="Arial"/>
          <w:sz w:val="16"/>
          <w:szCs w:val="16"/>
          <w:color w:val="auto"/>
        </w:rPr>
        <w:t>Wachovia Capital Markets, LLC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Saint Paul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Baltimore, MD 21202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From time to time Federal Realty Investment Trust, a Maryland real estate investment trust (the “Company”), proposes to enter into one or more Pricing Agreements (each a “Pricing Agreement”) in substantially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debt securities (the “Securities”) specified in Schedule II to such Pricing Agreement (with respect to such Pricing Agreement, the “Designated Securities”).</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ectPr>
          <w:pgSz w:w="11900" w:h="16838" w:orient="portrait"/>
          <w:cols w:equalWidth="0" w:num="1">
            <w:col w:w="11420"/>
          </w:cols>
          <w:pgMar w:left="240" w:top="125" w:right="239" w:bottom="1440" w:gutter="0" w:footer="0" w:header="0"/>
        </w:sectPr>
      </w:pPr>
    </w:p>
    <w:bookmarkStart w:id="4" w:name="page5"/>
    <w:bookmarkEnd w:id="4"/>
    <w:p>
      <w:pPr>
        <w:ind w:left="-20" w:firstLine="464"/>
        <w:spacing w:after="0" w:line="306" w:lineRule="auto"/>
        <w:tabs>
          <w:tab w:leader="none" w:pos="612" w:val="left"/>
        </w:tabs>
        <w:numPr>
          <w:ilvl w:val="0"/>
          <w:numId w:val="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Particular sales of Designated Securities may be made from time to time to the Underwriters of such Securities, for whom the firms designated as representatives of the Underwriters of such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Agreement and each Pricing Agreement shall be several and not joint.</w:t>
      </w:r>
    </w:p>
    <w:p>
      <w:pPr>
        <w:spacing w:after="0" w:line="98" w:lineRule="exact"/>
        <w:rPr>
          <w:rFonts w:ascii="Arial" w:cs="Arial" w:eastAsia="Arial" w:hAnsi="Arial"/>
          <w:sz w:val="15"/>
          <w:szCs w:val="15"/>
          <w:color w:val="auto"/>
        </w:rPr>
      </w:pPr>
    </w:p>
    <w:p>
      <w:pPr>
        <w:ind w:left="620" w:hanging="176"/>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that:</w:t>
      </w:r>
    </w:p>
    <w:p>
      <w:pPr>
        <w:spacing w:after="0" w:line="76" w:lineRule="exact"/>
        <w:rPr>
          <w:rFonts w:ascii="Arial" w:cs="Arial" w:eastAsia="Arial" w:hAnsi="Arial"/>
          <w:sz w:val="18"/>
          <w:szCs w:val="18"/>
          <w:color w:val="auto"/>
        </w:rPr>
      </w:pPr>
    </w:p>
    <w:p>
      <w:pPr>
        <w:ind w:left="440" w:right="40" w:firstLine="443"/>
        <w:spacing w:after="0" w:line="287" w:lineRule="auto"/>
        <w:tabs>
          <w:tab w:leader="none" w:pos="1117" w:val="left"/>
        </w:tabs>
        <w:numPr>
          <w:ilvl w:val="1"/>
          <w:numId w:val="2"/>
        </w:numPr>
        <w:rPr>
          <w:rFonts w:ascii="Arial" w:cs="Arial" w:eastAsia="Arial" w:hAnsi="Arial"/>
          <w:sz w:val="16"/>
          <w:szCs w:val="16"/>
          <w:color w:val="auto"/>
        </w:rPr>
      </w:pPr>
      <w:r>
        <w:rPr>
          <w:rFonts w:ascii="Arial" w:cs="Arial" w:eastAsia="Arial" w:hAnsi="Arial"/>
          <w:sz w:val="16"/>
          <w:szCs w:val="16"/>
          <w:color w:val="auto"/>
        </w:rPr>
        <w:t>A registration statement on Form S-3 (File No. 333-100819) in respect of the Securities has been filed with the Securities and Exchange Commission (the “Commission”); the Registration Statement (as defined below) and any post-effective amendments thereto, each in the form heretofore delivered or made available to the Representatives, excluding exhibits to such Registration Statement, but including all documents incorporated by reference in the prospectus contained therein, have been declared effective by the Commission in such form; other than a registration statement, if any, increasing the size of the offering (a “Rule 462(b) Registration Statement”) filed pursuant to Rule 462(b) under the Securities Act of 1933, as amended (the “Act”), which became or will become effective upon filing; no other documents with respect to the Registration Statement have heretofore been filed or transmitted for filing with the Commission (other than prospectuses filed pursuant to Rule 424(b) under the Act, each in the form heretofore delivered to the Representatives); and no stop order suspending the effectiveness of the Registration Statement, any post-effective amendments thereto or the Rule 462(b) Registration Statement, if any, has been issued and no proceeding for that purpose has been initiated or threatened by the Commission (any preliminary prospectus included in the Registration Statement or filed with the Commission pursuant to Rule 424 under the Act is hereinafter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5" w:name="page6"/>
    <w:bookmarkEnd w:id="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called a “Preliminary Prospectus”); the various parts of the Registration Statement and the Rule 462(b) Registration Statement, if any, including all exhibits thereto and the documents incorporated by reference in the prospectus contained in the Registration Statement at the time such part of the registration statement became effective but excluding Form T-1, each as amended at the time such part of the Registration Statement became effective or such part of the Rule 462(b) Registration Statement, if any, became or hereinafter becomes effective, are hereinafter collectively called the “Registration Statement”; the prospectus relating to the Securities, in the form in which it has most recently been filed, or transmitted for filing, with the Commission on or prior to the date of this Agreement, is hereinafter called the “Prospectus”; any reference herein to any Preliminary Prospectus or the Prospectus shall be deemed to refer to and include the documents incorporated by reference therein pursuant to Item 12 of Form S-3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filing of the Company filed pursuant to Sections 13(a), 13(c), 14 or 15(d) of the Exchange Act after the effective date of the Registration Statement that is incorporated by reference in the Registration Statement; any reference to the Prospectus as amended or supplemented shall be deemed to refer to the Prospectus as amended or supplemented in relation to the applicable Designated Securities in the form in which it is filed with the Commission pursuant to Rule 424(b) under the Act in accordance with Section 5(a) hereof, including any documents incorporated by reference therein as of the date of such filing; all references herein to information which is “contained” or “included” in the Registration Statement, any Preliminary Prospectus, any Prospectus, any Prospectus as amended or supplemented or any Rule 434 Prospectus (and all references of like import) shall be deemed to mean and include all such information which is incorporated or deemed to be incorporated by reference therein; and if the Company elects to rely on Rule 434 under the Act, any reference to the Prospectus shall be deemed to include, without limitation, the form of prospectus and the abbreviated term sheet, taken together, provided to the Underwriters by the Company in reliance on Rule 434 under the Act (the “Rule 434 Prospectus”);</w:t>
      </w:r>
    </w:p>
    <w:p>
      <w:pPr>
        <w:spacing w:after="0" w:line="35" w:lineRule="exact"/>
        <w:rPr>
          <w:sz w:val="20"/>
          <w:szCs w:val="20"/>
          <w:color w:val="auto"/>
        </w:rPr>
      </w:pPr>
    </w:p>
    <w:p>
      <w:pPr>
        <w:ind w:right="40" w:firstLine="443"/>
        <w:spacing w:after="0" w:line="255" w:lineRule="auto"/>
        <w:tabs>
          <w:tab w:leader="none" w:pos="68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in light of the circumstances under which they were made; and any further documents so filed and incorporated by reference</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80" w:right="279" w:bottom="1440" w:gutter="0" w:footer="0" w:header="0"/>
        </w:sectPr>
      </w:pPr>
    </w:p>
    <w:bookmarkStart w:id="6" w:name="page7"/>
    <w:bookmarkEnd w:id="6"/>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26" w:lineRule="exact"/>
        <w:rPr>
          <w:sz w:val="20"/>
          <w:szCs w:val="20"/>
          <w:color w:val="auto"/>
        </w:rPr>
      </w:pPr>
    </w:p>
    <w:p>
      <w:pPr>
        <w:ind w:right="20" w:firstLine="443"/>
        <w:spacing w:after="0" w:line="309" w:lineRule="auto"/>
        <w:tabs>
          <w:tab w:leader="none" w:pos="677"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Registration Statement and the Prospectus conform, and any further amendments or supplements to the Registration Statement or the Prospectus will conform, in all material respects to the requirements of the Act and the Trust Indenture Act of 1939, as amended (the “Trust Indenture Act”), and the respective rules and regulations of the Commission thereunder; and the Registration Statement and the Prospectus do not and will not, as of the applicable effective date as to the Registration Statement and any amendment thereto, as of the date of filing with the Commission of any Annual Report of the Company on Form 10-K in the case of the Registration Statement, and as of the applicable filing date of the Prospectus and any amendment or supplement thereto, contain an untrue statement of a material fact or omit to state a material fact required to be stated therein or necessary to make the statements therein not misleading in light of the circumstances under which they were made;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13" w:lineRule="exact"/>
        <w:rPr>
          <w:rFonts w:ascii="Arial" w:cs="Arial" w:eastAsia="Arial" w:hAnsi="Arial"/>
          <w:sz w:val="15"/>
          <w:szCs w:val="15"/>
          <w:color w:val="auto"/>
        </w:rPr>
      </w:pPr>
    </w:p>
    <w:p>
      <w:pPr>
        <w:ind w:firstLine="443"/>
        <w:spacing w:after="0" w:line="288" w:lineRule="auto"/>
        <w:tabs>
          <w:tab w:leader="none" w:pos="68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as a real estate investment trust under the laws of the State of Maryland, with full power and authority to own, lease and operate its properties and conduct its business as described in the Prospectus; the Company has interests in a number of entities (collectively, the “Entities”), identified on Annex III, which have been duly organized and are validly existing as corporations, partnerships, limited liability corporations or joint ventures, as the case may be, in good standing under the laws of the jurisdiction of their organization (except for joint ventures, which have no good standing certificate requirements), with full power and authority to own, lease and operate their properties and conduct their business as described in the Prospectus; except as otherwise denoted in Annex III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and is fully paid and non-assessable; no options, warrants or other rights to convert any obligations into partnership or</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7" w:name="page8"/>
    <w:bookmarkEnd w:id="7"/>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ownership interests in the Entities are outstanding; and the Company and the Entities are duly qualified to transact business in all jurisdictions in which the Company and the Entities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w:t>
      </w:r>
    </w:p>
    <w:p>
      <w:pPr>
        <w:spacing w:after="0" w:line="18" w:lineRule="exact"/>
        <w:rPr>
          <w:sz w:val="20"/>
          <w:szCs w:val="20"/>
          <w:color w:val="auto"/>
        </w:rPr>
      </w:pPr>
    </w:p>
    <w:p>
      <w:pPr>
        <w:ind w:firstLine="443"/>
        <w:spacing w:after="0" w:line="286" w:lineRule="auto"/>
        <w:tabs>
          <w:tab w:leader="none" w:pos="677" w:val="left"/>
        </w:tabs>
        <w:numPr>
          <w:ilvl w:val="0"/>
          <w:numId w:val="5"/>
        </w:numPr>
        <w:rPr>
          <w:rFonts w:ascii="Arial" w:cs="Arial" w:eastAsia="Arial" w:hAnsi="Arial"/>
          <w:sz w:val="16"/>
          <w:szCs w:val="16"/>
          <w:color w:val="auto"/>
        </w:rPr>
      </w:pPr>
      <w:r>
        <w:rPr>
          <w:rFonts w:ascii="Arial" w:cs="Arial" w:eastAsia="Arial" w:hAnsi="Arial"/>
          <w:sz w:val="16"/>
          <w:szCs w:val="16"/>
          <w:color w:val="auto"/>
        </w:rPr>
        <w:t>Neither the Company nor any of the Entities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date as of which information is given in the Prospectus, there has not been any change in the authorized, issued or outstanding capital shares of the Company (except for subsequent issuances, if any, of common shares of beneficial interest (“Common Shares”) pursuant to (x) the Company’s Dividend Reinvestment and Share Purchase Plan as in effect on the date of the applicable Pricing Agreement, (y) any of the Company’s employee or trustee benefits plans, including upon exercise of share options granted pursuant thereto, as such plans are in effect on the date of the applicable Pricing Agreement or (z) the exercise of contractual rights existing on the date of the applicable Pricing Agreement by the current and former holders of partnership or other interests in certain of the “DownREIT” and other Entities listed in Annex III hereto which may result in the issuance of Common Shares of the Company)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the Entities taken as a whole, otherwise than as set forth or contemplated in the Prospectus;</w:t>
      </w:r>
    </w:p>
    <w:p>
      <w:pPr>
        <w:spacing w:after="0" w:line="29" w:lineRule="exact"/>
        <w:rPr>
          <w:rFonts w:ascii="Arial" w:cs="Arial" w:eastAsia="Arial" w:hAnsi="Arial"/>
          <w:sz w:val="16"/>
          <w:szCs w:val="16"/>
          <w:color w:val="auto"/>
        </w:rPr>
      </w:pPr>
    </w:p>
    <w:p>
      <w:pPr>
        <w:jc w:val="both"/>
        <w:ind w:right="100" w:firstLine="443"/>
        <w:spacing w:after="0" w:line="259" w:lineRule="auto"/>
        <w:tabs>
          <w:tab w:leader="none" w:pos="65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Prospectus,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45" w:lineRule="exact"/>
        <w:rPr>
          <w:rFonts w:ascii="Arial" w:cs="Arial" w:eastAsia="Arial" w:hAnsi="Arial"/>
          <w:sz w:val="18"/>
          <w:szCs w:val="18"/>
          <w:color w:val="auto"/>
        </w:rPr>
      </w:pPr>
    </w:p>
    <w:p>
      <w:pPr>
        <w:ind w:right="80" w:firstLine="443"/>
        <w:spacing w:after="0" w:line="294" w:lineRule="auto"/>
        <w:tabs>
          <w:tab w:leader="none" w:pos="68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Securities have been duly and validly authorized, and, when Designated Securities are issued and delivered pursuant to this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(as defined in Section 4 hereof) for such Designated Securities, the</w:t>
      </w:r>
    </w:p>
    <w:p>
      <w:pPr>
        <w:spacing w:after="0" w:line="10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700" w:top="280" w:right="339" w:bottom="1440" w:gutter="0" w:footer="0" w:header="0"/>
        </w:sectPr>
      </w:pPr>
    </w:p>
    <w:bookmarkStart w:id="8" w:name="page9"/>
    <w:bookmarkEnd w:id="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Prospectus as amended or supplemented with respect to such Designated Securities;</w:t>
      </w:r>
    </w:p>
    <w:p>
      <w:pPr>
        <w:spacing w:after="0" w:line="49" w:lineRule="exact"/>
        <w:rPr>
          <w:sz w:val="20"/>
          <w:szCs w:val="20"/>
          <w:color w:val="auto"/>
        </w:rPr>
      </w:pPr>
    </w:p>
    <w:p>
      <w:pPr>
        <w:ind w:right="20" w:firstLine="443"/>
        <w:spacing w:after="0" w:line="286" w:lineRule="auto"/>
        <w:tabs>
          <w:tab w:leader="none" w:pos="68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issue and sale of the Designated Securities and the compliance by the Company with all of the provisions of the Designated Securities, this Agreement and any Pricing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the Entities is a party or by which the Company or any of the Entities is bound or to which any of the property or assets of the Company or any of the Entities is subject, nor will such action result in any violation of the provisions of the declaration of trust (“Declaration of Trust”) or bylaws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or any Pricing Agreement or the Indenture, except such as have been, or will have been prior to the Time of Delivery, obtained under the Act, the Exchange Act and the Trust Indenture Act and except for the rules of the New York Stock Exchange, Inc. (“NYSE”) and such consents, approvals, authorizations, registrations or qualifications as may be required under state securities or “Blue Sky” laws in connection with the purchase and distribution of the Securities by the Underwriters;</w:t>
      </w:r>
    </w:p>
    <w:p>
      <w:pPr>
        <w:spacing w:after="0" w:line="29" w:lineRule="exact"/>
        <w:rPr>
          <w:rFonts w:ascii="Arial" w:cs="Arial" w:eastAsia="Arial" w:hAnsi="Arial"/>
          <w:sz w:val="16"/>
          <w:szCs w:val="16"/>
          <w:color w:val="auto"/>
        </w:rPr>
      </w:pPr>
    </w:p>
    <w:p>
      <w:pPr>
        <w:ind w:right="40" w:firstLine="443"/>
        <w:spacing w:after="0" w:line="255"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than as set forth in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and, to the best of the Company’s knowledge, no such proceedings are threatened or contemplated by governmental authorities or threatened by others;</w:t>
      </w:r>
    </w:p>
    <w:p>
      <w:pPr>
        <w:spacing w:after="0" w:line="48" w:lineRule="exact"/>
        <w:rPr>
          <w:rFonts w:ascii="Arial" w:cs="Arial" w:eastAsia="Arial" w:hAnsi="Arial"/>
          <w:sz w:val="18"/>
          <w:szCs w:val="18"/>
          <w:color w:val="auto"/>
        </w:rPr>
      </w:pPr>
    </w:p>
    <w:p>
      <w:pPr>
        <w:jc w:val="both"/>
        <w:ind w:right="200" w:firstLine="443"/>
        <w:spacing w:after="0" w:line="259"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consolidated financial statements of the Company and the Entities, together with related notes and schedules as set forth or incorporated by reference in the Registration Statement, present fairly the financial position and the results of operations of the Company and the Entities at the indicated dates and for the indicated periods. Such consolidated financial statements have been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9" w:name="page10"/>
    <w:bookmarkEnd w:id="9"/>
    <w:p>
      <w:pPr>
        <w:jc w:val="both"/>
        <w:ind w:right="120"/>
        <w:spacing w:after="0" w:line="33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prepared in accordance with generally accepted accounting principles, consistently applied throughout the periods involved, and all adjustments necessary for a fair presentation of results for such periods have been made. The summary financial and statistical data contained in the Prospectus present fairly the information shown therein and have been compiled on a basis consistent with the consolidated financial statements incorporated by reference therein;</w:t>
      </w:r>
    </w:p>
    <w:p>
      <w:pPr>
        <w:spacing w:after="0" w:line="2" w:lineRule="exact"/>
        <w:rPr>
          <w:sz w:val="20"/>
          <w:szCs w:val="20"/>
          <w:color w:val="auto"/>
        </w:rPr>
      </w:pPr>
    </w:p>
    <w:p>
      <w:pPr>
        <w:ind w:right="440" w:firstLine="443"/>
        <w:spacing w:after="0" w:line="306"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and the Entities have good and marketable title to, or valid and enforceable leasehold estates in, all items of real and personal property referred to in the Prospectus as owned or leased by the Company or any of the Entities, in each case free and clear of all pledges, liens, encumbrances, claims, security interests and defects, other than those referred to in the Prospectus or which are not material in amount;</w:t>
      </w:r>
    </w:p>
    <w:p>
      <w:pPr>
        <w:spacing w:after="0" w:line="12" w:lineRule="exact"/>
        <w:rPr>
          <w:rFonts w:ascii="Arial" w:cs="Arial" w:eastAsia="Arial" w:hAnsi="Arial"/>
          <w:sz w:val="16"/>
          <w:szCs w:val="16"/>
          <w:color w:val="auto"/>
        </w:rPr>
      </w:pPr>
    </w:p>
    <w:p>
      <w:pPr>
        <w:ind w:right="40" w:firstLine="443"/>
        <w:spacing w:after="0" w:line="259"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and the Entities have filed all federal, state, local and foreign income tax returns which have been required to be filed, or 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45" w:lineRule="exact"/>
        <w:rPr>
          <w:rFonts w:ascii="Arial" w:cs="Arial" w:eastAsia="Arial" w:hAnsi="Arial"/>
          <w:sz w:val="18"/>
          <w:szCs w:val="18"/>
          <w:color w:val="auto"/>
        </w:rPr>
      </w:pPr>
    </w:p>
    <w:p>
      <w:pPr>
        <w:ind w:right="20" w:firstLine="443"/>
        <w:spacing w:after="0" w:line="259" w:lineRule="auto"/>
        <w:tabs>
          <w:tab w:leader="none" w:pos="7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45" w:lineRule="exact"/>
        <w:rPr>
          <w:rFonts w:ascii="Arial" w:cs="Arial" w:eastAsia="Arial" w:hAnsi="Arial"/>
          <w:sz w:val="18"/>
          <w:szCs w:val="18"/>
          <w:color w:val="auto"/>
        </w:rPr>
      </w:pPr>
    </w:p>
    <w:p>
      <w:pPr>
        <w:ind w:firstLine="443"/>
        <w:spacing w:after="0" w:line="255" w:lineRule="auto"/>
        <w:tabs>
          <w:tab w:leader="none" w:pos="687"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2004 and the consolidated statements of operations, consolidated statements of common shareholders’ equity and consolidated statements of cash flows for the year ended December 31, 2004 incorporated by reference in the Registration Statement and Prospectus, is an independent registered public accounting firm as required by the Act and the rules and regulations of the Commission promulgated thereunder and the Public Company Accounting Oversight Board (United States);</w:t>
      </w:r>
    </w:p>
    <w:p>
      <w:pPr>
        <w:spacing w:after="0" w:line="48" w:lineRule="exact"/>
        <w:rPr>
          <w:rFonts w:ascii="Arial" w:cs="Arial" w:eastAsia="Arial" w:hAnsi="Arial"/>
          <w:sz w:val="18"/>
          <w:szCs w:val="18"/>
          <w:color w:val="auto"/>
        </w:rPr>
      </w:pPr>
    </w:p>
    <w:p>
      <w:pPr>
        <w:ind w:right="540" w:firstLine="443"/>
        <w:spacing w:after="0" w:line="325"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conditions for use of registration statements on Form S-3 set forth in the General Instructions on Form S-3 have been satisfied and the Company is entitled to use such form for the transaction contemplated by this Agreement and any Pricing Agreement;</w:t>
      </w:r>
    </w:p>
    <w:p>
      <w:pPr>
        <w:spacing w:after="0" w:line="1" w:lineRule="exact"/>
        <w:rPr>
          <w:rFonts w:ascii="Arial" w:cs="Arial" w:eastAsia="Arial" w:hAnsi="Arial"/>
          <w:sz w:val="16"/>
          <w:szCs w:val="16"/>
          <w:color w:val="auto"/>
        </w:rPr>
      </w:pPr>
    </w:p>
    <w:p>
      <w:pPr>
        <w:jc w:val="both"/>
        <w:ind w:right="180" w:firstLine="443"/>
        <w:spacing w:after="0" w:line="256" w:lineRule="auto"/>
        <w:tabs>
          <w:tab w:leader="none" w:pos="677"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0" w:name="page11"/>
    <w:bookmarkEnd w:id="10"/>
    <w:p>
      <w:pPr>
        <w:ind w:left="440"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the construction on or operation and use of the properties owned or leased by the Company or the Entities, the Company represents that, as of the date of this Agreement, it has no knowledge of any material failure by the Company or the Entities to comply with all applicable local, state and federal environmental laws, regulations, ordinances and administrative and judicial orders relating to the generation, recycling, reuse, sale, storage, handling, transport and disposal of any Hazardous Materials; and</w:t>
      </w:r>
    </w:p>
    <w:p>
      <w:pPr>
        <w:spacing w:after="0" w:line="49" w:lineRule="exact"/>
        <w:rPr>
          <w:sz w:val="20"/>
          <w:szCs w:val="20"/>
          <w:color w:val="auto"/>
        </w:rPr>
      </w:pPr>
    </w:p>
    <w:p>
      <w:pPr>
        <w:ind w:left="440" w:firstLine="443"/>
        <w:spacing w:after="0" w:line="323" w:lineRule="auto"/>
        <w:tabs>
          <w:tab w:leader="none" w:pos="1127" w:val="left"/>
        </w:tabs>
        <w:numPr>
          <w:ilvl w:val="1"/>
          <w:numId w:val="8"/>
        </w:numPr>
        <w:rPr>
          <w:rFonts w:ascii="Arial" w:cs="Arial" w:eastAsia="Arial" w:hAnsi="Arial"/>
          <w:sz w:val="15"/>
          <w:szCs w:val="15"/>
          <w:color w:val="auto"/>
        </w:rPr>
      </w:pPr>
      <w:r>
        <w:rPr>
          <w:rFonts w:ascii="Arial" w:cs="Arial" w:eastAsia="Arial" w:hAnsi="Arial"/>
          <w:sz w:val="15"/>
          <w:szCs w:val="15"/>
          <w:color w:val="auto"/>
        </w:rPr>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continue to meet such requirements; and the Company is neither an “investment company” nor a company “controlled” by an “investment company” within the meaning of the Investment Company Act of 1940, as amended.</w:t>
      </w:r>
    </w:p>
    <w:p>
      <w:pPr>
        <w:spacing w:after="0" w:line="84" w:lineRule="exact"/>
        <w:rPr>
          <w:rFonts w:ascii="Arial" w:cs="Arial" w:eastAsia="Arial" w:hAnsi="Arial"/>
          <w:sz w:val="15"/>
          <w:szCs w:val="15"/>
          <w:color w:val="auto"/>
        </w:rPr>
      </w:pPr>
    </w:p>
    <w:p>
      <w:pPr>
        <w:ind w:left="-20" w:right="180" w:firstLine="464"/>
        <w:spacing w:after="0" w:line="259" w:lineRule="auto"/>
        <w:tabs>
          <w:tab w:leader="none" w:pos="612"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26" w:lineRule="exact"/>
        <w:rPr>
          <w:rFonts w:ascii="Arial" w:cs="Arial" w:eastAsia="Arial" w:hAnsi="Arial"/>
          <w:sz w:val="18"/>
          <w:szCs w:val="18"/>
          <w:color w:val="auto"/>
        </w:rPr>
      </w:pPr>
    </w:p>
    <w:p>
      <w:pPr>
        <w:ind w:left="-20" w:right="260" w:firstLine="464"/>
        <w:spacing w:after="0" w:line="290" w:lineRule="auto"/>
        <w:tabs>
          <w:tab w:leader="none" w:pos="61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Designated Securities shall be delivered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twenty-four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04" w:lineRule="exact"/>
        <w:rPr>
          <w:rFonts w:ascii="Arial" w:cs="Arial" w:eastAsia="Arial" w:hAnsi="Arial"/>
          <w:sz w:val="16"/>
          <w:szCs w:val="16"/>
          <w:color w:val="auto"/>
        </w:rPr>
      </w:pPr>
    </w:p>
    <w:p>
      <w:pPr>
        <w:ind w:left="620" w:hanging="176"/>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w:t>
      </w:r>
    </w:p>
    <w:p>
      <w:pPr>
        <w:spacing w:after="0" w:line="76" w:lineRule="exact"/>
        <w:rPr>
          <w:rFonts w:ascii="Arial" w:cs="Arial" w:eastAsia="Arial" w:hAnsi="Arial"/>
          <w:sz w:val="18"/>
          <w:szCs w:val="18"/>
          <w:color w:val="auto"/>
        </w:rPr>
      </w:pPr>
    </w:p>
    <w:p>
      <w:pPr>
        <w:ind w:left="440" w:right="220" w:firstLine="443"/>
        <w:spacing w:after="0" w:line="255" w:lineRule="auto"/>
        <w:tabs>
          <w:tab w:leader="none" w:pos="1117"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the Company does not elect to rely on Rule 434 under the Act, immediately following execution and delivery of the applicable Pricing Agreement, to prepare the Prospectus as amended and supplemented in relation to the applicable Designated Securities in a form approved by the Representatives and to file such Prospectus as amended or supplemented pursuant to Rule 424(b) under the Act not later than the Commission’s close of business on the second business day following the execution and delivery of the Pricing Agreement relating to the applicable Designated Securities or, if applicable, such earlier time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11" w:name="page12"/>
    <w:bookmarkEnd w:id="11"/>
    <w:p>
      <w:pPr>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may be required by Rule 424(b), or if the Company elects to rely on Rule 434 under the Act, immediately following execution and delivery of the applicable Pricing Agreement, to prepare an abbreviated term sheet relating to the Designated Securities in a form approved by the Representatives that complies with the requirements of Rule 434 under the Act and to file such form of Rule 434 Prospectus complying with Rule 434(c)(2) of the Act pursuant to Rule 424(b) under the Act not later than the Commission’s close of business on the business day following the execution and delivery of the Pricing Agreement relating to the applicable Designated Securities or, if applicable, such earlier time as may be required by Rule 424(b); to make no further amendment or any supplement to the Registration Statement or Prospectus as amended or supplemented after the date of the Pricing Agreement relating to such Designated Securities and prior to the Time of Delivery for such Designated Securities which shall be reasonably disapproved by the Representatives for such Designated Securities promptly after reasonable notice thereof; to advise the Representatives promptly of any such amendment or supplement after such Time of Delivery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is required in connection with the offering or sale of such Designated Securities,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as amended or supplemented, of the suspension of the qualification of such Designated Securities for offering or sale in any jurisdiction, of the initiation or threatening of any proceeding for any such purpose, or of any request by the Commission for the amending or supplementing of the Registration Statement or Prospectus as amended or supplemented or for additional information; and, in the event of the issuance of any such stop order or of any such order preventing or suspending the use of any Prospectus as amended or supplemented relating to the Designated Securities or suspending any such qualification, to use promptly its best efforts to obtain its withdrawal;</w:t>
      </w:r>
    </w:p>
    <w:p>
      <w:pPr>
        <w:spacing w:after="0" w:line="243" w:lineRule="exact"/>
        <w:rPr>
          <w:sz w:val="20"/>
          <w:szCs w:val="20"/>
          <w:color w:val="auto"/>
        </w:rPr>
      </w:pPr>
    </w:p>
    <w:p>
      <w:pPr>
        <w:ind w:right="100" w:firstLine="443"/>
        <w:spacing w:after="0" w:line="255"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2" w:name="page13"/>
    <w:bookmarkEnd w:id="12"/>
    <w:p>
      <w:pPr>
        <w:ind w:firstLine="443"/>
        <w:spacing w:after="0" w:line="287" w:lineRule="auto"/>
        <w:tabs>
          <w:tab w:leader="none" w:pos="677" w:val="left"/>
        </w:tabs>
        <w:numPr>
          <w:ilvl w:val="1"/>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Promptly to furnish to the Underwriters in New York City with copies of the Prospectus, as amended or supplemented, in such quantities as the Representatives may reasonably request, and, if the delivery of a prospectus is required at any time in connection with the offering or sale of the Designated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as amended or supplemented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28" w:lineRule="exact"/>
        <w:rPr>
          <w:rFonts w:ascii="Arial" w:cs="Arial" w:eastAsia="Arial" w:hAnsi="Arial"/>
          <w:sz w:val="16"/>
          <w:szCs w:val="16"/>
          <w:color w:val="auto"/>
        </w:rPr>
      </w:pPr>
    </w:p>
    <w:p>
      <w:pPr>
        <w:ind w:right="700" w:firstLine="443"/>
        <w:spacing w:after="0" w:line="259" w:lineRule="auto"/>
        <w:tabs>
          <w:tab w:leader="none" w:pos="68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Company will timely file such reports pursuant to the Exchange Act as are necessary in order to make generally available to its securityholders as soon as practicable an earnings statement for the purposes of, and to provide the benefits contemplated by, the last paragraph of Section 11(a) of the Act;</w:t>
      </w:r>
    </w:p>
    <w:p>
      <w:pPr>
        <w:spacing w:after="0" w:line="45" w:lineRule="exact"/>
        <w:rPr>
          <w:rFonts w:ascii="Arial" w:cs="Arial" w:eastAsia="Arial" w:hAnsi="Arial"/>
          <w:sz w:val="18"/>
          <w:szCs w:val="18"/>
          <w:color w:val="auto"/>
        </w:rPr>
      </w:pPr>
    </w:p>
    <w:p>
      <w:pPr>
        <w:ind w:right="360" w:firstLine="443"/>
        <w:spacing w:after="0" w:line="286" w:lineRule="auto"/>
        <w:tabs>
          <w:tab w:leader="none" w:pos="677" w:val="left"/>
        </w:tabs>
        <w:numPr>
          <w:ilvl w:val="1"/>
          <w:numId w:val="11"/>
        </w:numPr>
        <w:rPr>
          <w:rFonts w:ascii="Arial" w:cs="Arial" w:eastAsia="Arial" w:hAnsi="Arial"/>
          <w:sz w:val="16"/>
          <w:szCs w:val="16"/>
          <w:color w:val="auto"/>
        </w:rPr>
      </w:pPr>
      <w:r>
        <w:rPr>
          <w:rFonts w:ascii="Arial" w:cs="Arial" w:eastAsia="Arial" w:hAnsi="Arial"/>
          <w:sz w:val="16"/>
          <w:szCs w:val="16"/>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w:t>
      </w:r>
    </w:p>
    <w:p>
      <w:pPr>
        <w:ind w:right="120" w:firstLine="4"/>
        <w:spacing w:after="0" w:line="302" w:lineRule="auto"/>
        <w:tabs>
          <w:tab w:leader="none" w:pos="2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Time of Delivery for such Designated Securities, but in no event later than 90 days from the date of the Pricing Agreement, not to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14" w:lineRule="exact"/>
        <w:rPr>
          <w:rFonts w:ascii="Arial" w:cs="Arial" w:eastAsia="Arial" w:hAnsi="Arial"/>
          <w:sz w:val="16"/>
          <w:szCs w:val="16"/>
          <w:color w:val="auto"/>
        </w:rPr>
      </w:pPr>
    </w:p>
    <w:p>
      <w:pPr>
        <w:ind w:right="80" w:firstLine="443"/>
        <w:spacing w:after="0" w:line="268" w:lineRule="auto"/>
        <w:tabs>
          <w:tab w:leader="none" w:pos="6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Designated Securities in the manner specified in the Prospectus under the caption “Use of Proceeds”; and</w:t>
      </w:r>
    </w:p>
    <w:p>
      <w:pPr>
        <w:spacing w:after="0" w:line="37" w:lineRule="exact"/>
        <w:rPr>
          <w:rFonts w:ascii="Arial" w:cs="Arial" w:eastAsia="Arial" w:hAnsi="Arial"/>
          <w:sz w:val="18"/>
          <w:szCs w:val="18"/>
          <w:color w:val="auto"/>
        </w:rPr>
      </w:pPr>
    </w:p>
    <w:p>
      <w:pPr>
        <w:ind w:right="180" w:firstLine="443"/>
        <w:spacing w:after="0" w:line="268" w:lineRule="auto"/>
        <w:tabs>
          <w:tab w:leader="none" w:pos="68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qualify as a “real estate investment trust” under the Code, and to use its best efforts to continue to meet the requirements to qualify as a “real estate investment trust.”</w:t>
      </w:r>
    </w:p>
    <w:p>
      <w:pPr>
        <w:spacing w:after="0" w:line="37" w:lineRule="exact"/>
        <w:rPr>
          <w:rFonts w:ascii="Arial" w:cs="Arial" w:eastAsia="Arial" w:hAnsi="Arial"/>
          <w:sz w:val="18"/>
          <w:szCs w:val="18"/>
          <w:color w:val="auto"/>
        </w:rPr>
      </w:pPr>
    </w:p>
    <w:p>
      <w:pPr>
        <w:ind w:right="200" w:firstLine="443"/>
        <w:spacing w:after="0" w:line="268" w:lineRule="auto"/>
        <w:tabs>
          <w:tab w:leader="none" w:pos="687"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 acknowledges and agrees that the Underwriters of such Designated Securities are acting solely in the capacity of an arm’s length contractual counterparty to the Company with respect to the offering of such</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3" w:name="page14"/>
    <w:bookmarkEnd w:id="13"/>
    <w:p>
      <w:pPr>
        <w:ind w:left="440"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Designated Securities (including in connection with determining the terms of the offering) and not as a financial advisor or a fiduciary to, or an agent of, the Company or any other person. Additionally, neither the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05" w:lineRule="exact"/>
        <w:rPr>
          <w:sz w:val="20"/>
          <w:szCs w:val="20"/>
          <w:color w:val="auto"/>
        </w:rPr>
      </w:pPr>
    </w:p>
    <w:p>
      <w:pPr>
        <w:ind w:left="-20" w:firstLine="464"/>
        <w:spacing w:after="0" w:line="285" w:lineRule="auto"/>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and the Prospectus and amendments and supplements thereto (including each abbreviated term sheet delivered by the Company pursuant to Rule 434 under the Act) and the mailing and delivering of copies thereof to the Underwriters and dealers; (ii) the cost of printing or producing any Agreement Among Underwriters, this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5(b) hereof, including the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National Association of Securities Dealers, Inc. of the terms of the sale of the Securities; (vi) the fees and expenses of any Trustee and any agent of any Trustee and the fees and disbursements of counsel for any Trustee in connection with any Indenture and the Securities; and (vii) all other costs and expenses incident to the performance of its obligations hereunder which are not otherwise specifically provided for in this Section. It is understood, however, that, except as provided in this Section,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14" w:lineRule="exact"/>
        <w:rPr>
          <w:rFonts w:ascii="Arial" w:cs="Arial" w:eastAsia="Arial" w:hAnsi="Arial"/>
          <w:sz w:val="16"/>
          <w:szCs w:val="16"/>
          <w:color w:val="auto"/>
        </w:rPr>
      </w:pPr>
    </w:p>
    <w:p>
      <w:pPr>
        <w:jc w:val="both"/>
        <w:ind w:left="-20" w:right="40" w:firstLine="464"/>
        <w:spacing w:after="0" w:line="256" w:lineRule="auto"/>
        <w:tabs>
          <w:tab w:leader="none" w:pos="6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Agreement into, the Pricing Agreement relating to such Designated Securities are, at and as of the Time of Delivery for such Designated Securities, true and correct, to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 that the Company shall have performed all of its obligations hereunder theretofore to be performed, and to the following additional conditions:</w:t>
      </w:r>
    </w:p>
    <w:p>
      <w:pPr>
        <w:spacing w:after="0" w:line="100" w:lineRule="exact"/>
        <w:rPr>
          <w:sz w:val="20"/>
          <w:szCs w:val="20"/>
          <w:color w:val="auto"/>
        </w:rPr>
      </w:pPr>
    </w:p>
    <w:p>
      <w:pPr>
        <w:ind w:right="120" w:firstLine="443"/>
        <w:spacing w:after="0" w:line="294" w:lineRule="auto"/>
        <w:tabs>
          <w:tab w:leader="none" w:pos="67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Prospectus as amended or supplemented in relation to the applicable Designated Securities shall have been filed with the Commission pursuant to Rule 424(b) within the applicable time period prescribed for such filing by the rules and regulations under the Act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21" w:lineRule="exact"/>
        <w:rPr>
          <w:rFonts w:ascii="Arial" w:cs="Arial" w:eastAsia="Arial" w:hAnsi="Arial"/>
          <w:sz w:val="16"/>
          <w:szCs w:val="16"/>
          <w:color w:val="auto"/>
        </w:rPr>
      </w:pPr>
    </w:p>
    <w:p>
      <w:pPr>
        <w:ind w:right="60" w:firstLine="443"/>
        <w:spacing w:after="0" w:line="318" w:lineRule="auto"/>
        <w:tabs>
          <w:tab w:leader="none" w:pos="687"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Sidley Austin Brown &amp; Wood </w:t>
      </w:r>
      <w:r>
        <w:rPr>
          <w:rFonts w:ascii="Arial" w:cs="Arial" w:eastAsia="Arial" w:hAnsi="Arial"/>
          <w:sz w:val="12"/>
          <w:szCs w:val="12"/>
          <w:color w:val="auto"/>
        </w:rPr>
        <w:t>LLP</w:t>
      </w:r>
      <w:r>
        <w:rPr>
          <w:rFonts w:ascii="Arial" w:cs="Arial" w:eastAsia="Arial" w:hAnsi="Arial"/>
          <w:sz w:val="15"/>
          <w:szCs w:val="15"/>
          <w:color w:val="auto"/>
        </w:rPr>
        <w:t xml:space="preserve">, counsel for the Underwriters, shall have furnished to the Representatives such opinion or opinions, dated the Time of Delivery for such Designated Securities, with respect to the organization of the Company,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Brown &amp; Wood </w:t>
      </w:r>
      <w:r>
        <w:rPr>
          <w:rFonts w:ascii="Arial" w:cs="Arial" w:eastAsia="Arial" w:hAnsi="Arial"/>
          <w:sz w:val="12"/>
          <w:szCs w:val="12"/>
          <w:color w:val="auto"/>
        </w:rPr>
        <w:t xml:space="preserve">LLP </w:t>
      </w:r>
      <w:r>
        <w:rPr>
          <w:rFonts w:ascii="Arial" w:cs="Arial" w:eastAsia="Arial" w:hAnsi="Arial"/>
          <w:sz w:val="15"/>
          <w:szCs w:val="15"/>
          <w:color w:val="auto"/>
        </w:rPr>
        <w:t>may rely, as to all matters arising under or governed by the laws of the State of Maryland, on the opinion of Pillsbury Winthrop Shaw Pittman LLP);</w:t>
      </w:r>
    </w:p>
    <w:p>
      <w:pPr>
        <w:spacing w:after="0" w:line="5" w:lineRule="exact"/>
        <w:rPr>
          <w:rFonts w:ascii="Arial" w:cs="Arial" w:eastAsia="Arial" w:hAnsi="Arial"/>
          <w:sz w:val="15"/>
          <w:szCs w:val="15"/>
          <w:color w:val="auto"/>
        </w:rPr>
      </w:pPr>
    </w:p>
    <w:p>
      <w:pPr>
        <w:ind w:firstLine="443"/>
        <w:spacing w:after="0" w:line="325" w:lineRule="auto"/>
        <w:tabs>
          <w:tab w:leader="none" w:pos="677" w:val="left"/>
        </w:tabs>
        <w:numPr>
          <w:ilvl w:val="0"/>
          <w:numId w:val="14"/>
        </w:numPr>
        <w:rPr>
          <w:rFonts w:ascii="Arial" w:cs="Arial" w:eastAsia="Arial" w:hAnsi="Arial"/>
          <w:sz w:val="16"/>
          <w:szCs w:val="16"/>
          <w:color w:val="auto"/>
        </w:rPr>
      </w:pPr>
      <w:r>
        <w:rPr>
          <w:rFonts w:ascii="Arial" w:cs="Arial" w:eastAsia="Arial" w:hAnsi="Arial"/>
          <w:sz w:val="16"/>
          <w:szCs w:val="16"/>
          <w:color w:val="auto"/>
        </w:rPr>
        <w:t>Pillsbury Winthrop Shaw Pittman LLP, counsel for the Company, shall have furnished to the Representatives their written opinion, dated the Time of Delivery for such Designated Securities, in form and substance satisfactory to the Representatives, to the effect set forth in Schedule A hereto.</w:t>
      </w:r>
    </w:p>
    <w:p>
      <w:pPr>
        <w:spacing w:after="0" w:line="1" w:lineRule="exact"/>
        <w:rPr>
          <w:rFonts w:ascii="Arial" w:cs="Arial" w:eastAsia="Arial" w:hAnsi="Arial"/>
          <w:sz w:val="16"/>
          <w:szCs w:val="16"/>
          <w:color w:val="auto"/>
        </w:rPr>
      </w:pPr>
    </w:p>
    <w:p>
      <w:pPr>
        <w:ind w:right="60" w:firstLine="443"/>
        <w:spacing w:after="0" w:line="287" w:lineRule="auto"/>
        <w:tabs>
          <w:tab w:leader="none" w:pos="6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addition to the above opinion, the Representatives shall have received the opinion or opinions of Pillsbury Winthrop Shaw Pittman LLP, Tax Counsel to the Company, dated the Time of Delivery for such Designated Securities, in form and substance satisfactory to the Representatives, to the effect that, subject to customary representations, qualifications and exclusions, (1) the Company qualified as a real estate investment trust (“REIT”) under the Code for its taxable years ending through December 31, 2004, (2) the Company is organized in conformity with the requirements for qualification as a REIT under the Code, and its current method of operation will enable it to meet the requirements for qualification as a REIT for the current taxable year and for future taxable years; and (3) the discussion in (x) the Prospectus under the captions “Certain Federal Income Tax Considerations” and “Federal Income Tax Consequences,” and (y) the Company’s Current Report on Form 8-K filed with the Commission on March 2, 2005 (hereafter, the “Company’s Form 8-K”)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15" w:name="page16"/>
    <w:bookmarkEnd w:id="15"/>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maintain our status as a REIT, we limit the amount of shares any one shareholder can own,” which is incorporated by reference into the Prospectus Supplement, to the extent that it discusses matters of law or legal conclusions or purports to describe certain provisions of the federal tax laws, is a correct summary of the matters discussed therein, and the opinions of such counsel appearing in the Prospectus under “Federal Income Tax Consequences” are hereby confirmed;</w:t>
      </w:r>
    </w:p>
    <w:p>
      <w:pPr>
        <w:spacing w:after="0" w:line="49" w:lineRule="exact"/>
        <w:rPr>
          <w:sz w:val="20"/>
          <w:szCs w:val="20"/>
          <w:color w:val="auto"/>
        </w:rPr>
      </w:pPr>
    </w:p>
    <w:p>
      <w:pPr>
        <w:ind w:right="100" w:firstLine="443"/>
        <w:spacing w:after="0" w:line="259" w:lineRule="auto"/>
        <w:tabs>
          <w:tab w:leader="none" w:pos="6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Grant Thornton LLP, the independent accountants of the Company, shall have furnished to the Underwriters a “comfort letter” in form and substance satisfactory to the Representatives;</w:t>
      </w:r>
    </w:p>
    <w:p>
      <w:pPr>
        <w:spacing w:after="0" w:line="45" w:lineRule="exact"/>
        <w:rPr>
          <w:rFonts w:ascii="Arial" w:cs="Arial" w:eastAsia="Arial" w:hAnsi="Arial"/>
          <w:sz w:val="18"/>
          <w:szCs w:val="18"/>
          <w:color w:val="auto"/>
        </w:rPr>
      </w:pPr>
    </w:p>
    <w:p>
      <w:pPr>
        <w:ind w:right="240" w:firstLine="443"/>
        <w:spacing w:after="0" w:line="259" w:lineRule="auto"/>
        <w:tabs>
          <w:tab w:leader="none" w:pos="6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the Chief Executive Officer or Chief Operating Officer and the Chief Financial Officer shall have furnished to the Representatives a certificate substantially in the form of Annex II hereto;</w:t>
      </w:r>
    </w:p>
    <w:p>
      <w:pPr>
        <w:spacing w:after="0" w:line="45" w:lineRule="exact"/>
        <w:rPr>
          <w:rFonts w:ascii="Arial" w:cs="Arial" w:eastAsia="Arial" w:hAnsi="Arial"/>
          <w:sz w:val="18"/>
          <w:szCs w:val="18"/>
          <w:color w:val="auto"/>
        </w:rPr>
      </w:pPr>
    </w:p>
    <w:p>
      <w:pPr>
        <w:ind w:firstLine="443"/>
        <w:spacing w:after="0" w:line="256" w:lineRule="auto"/>
        <w:tabs>
          <w:tab w:leader="none" w:pos="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Time of Delivery for such Designated Securities, the Designated Securities shall be rated at least Baa2 by Moody’s Investor’s Service Inc. and BBB by Standard &amp; Poor’s Ratings Group, a division of McGraw-Hill, Inc., and the Company shall have delivered to the Representatives a letter dated the Time of Delivery, from each such rating agency, or other evidence satisfactory to the Representatives, confirming that the Designated Securities have such ratings;</w:t>
      </w:r>
    </w:p>
    <w:p>
      <w:pPr>
        <w:spacing w:after="0" w:line="48" w:lineRule="exact"/>
        <w:rPr>
          <w:rFonts w:ascii="Arial" w:cs="Arial" w:eastAsia="Arial" w:hAnsi="Arial"/>
          <w:sz w:val="18"/>
          <w:szCs w:val="18"/>
          <w:color w:val="auto"/>
        </w:rPr>
      </w:pPr>
    </w:p>
    <w:p>
      <w:pPr>
        <w:ind w:right="40" w:firstLine="443"/>
        <w:spacing w:after="0" w:line="286" w:lineRule="auto"/>
        <w:tabs>
          <w:tab w:leader="none" w:pos="687"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as amended or supplemented there shall not have been any change in the authorized, issued or outstanding capital shares of the Company (except for subsequent issuances, if any, of Common Shares pursuant to (x) the Company’s Dividend Reinvestment and Share Purchase Plan as in effect on the date of the applicable Pricing Agreement, (y) any of the Company’s employee or trustee benefits plans, including upon exercise of share options granted pursuant thereto, as such plans are in effect on the date of the applicable Pricing Agreement or (z) the exercise of contractual rights existing on the date of the applicable Pricing Agreement by the current and former holders of partnership or other interests in certain of the “DownREIT” and other Entities listed in Annex III hereto which may result in the issuance of Common Shares of the Company) or increase in long-term debt of the Company or any of the Entities or any change, or any development involving a prospective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16" w:name="page17"/>
    <w:bookmarkEnd w:id="16"/>
    <w:p>
      <w:pPr>
        <w:jc w:val="both"/>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in or affecting the general affairs, management, financial position, shareholders’ equity or results of operations of the Company and the Entities, otherwise than as set forth or contemplated in the Prospectus as amended or supplemented, the effect of which, in any such case described in clause (i) or (ii), is in the judgment of the Representatives so material and adverse as to make it impracticable or inadvisable to proceed with the public offering or the delivery of the Designated Securities on the terms and in the manner contemplated in the Prospectus as amended or supplemented;</w:t>
      </w:r>
    </w:p>
    <w:p>
      <w:pPr>
        <w:spacing w:after="0" w:line="18" w:lineRule="exact"/>
        <w:rPr>
          <w:sz w:val="20"/>
          <w:szCs w:val="20"/>
          <w:color w:val="auto"/>
        </w:rPr>
      </w:pPr>
    </w:p>
    <w:p>
      <w:pPr>
        <w:jc w:val="both"/>
        <w:ind w:right="80" w:firstLine="443"/>
        <w:spacing w:after="0" w:line="298" w:lineRule="auto"/>
        <w:tabs>
          <w:tab w:leader="none" w:pos="6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shares;</w:t>
      </w:r>
    </w:p>
    <w:p>
      <w:pPr>
        <w:spacing w:after="0" w:line="18" w:lineRule="exact"/>
        <w:rPr>
          <w:rFonts w:ascii="Arial" w:cs="Arial" w:eastAsia="Arial" w:hAnsi="Arial"/>
          <w:sz w:val="16"/>
          <w:szCs w:val="16"/>
          <w:color w:val="auto"/>
        </w:rPr>
      </w:pPr>
    </w:p>
    <w:p>
      <w:pPr>
        <w:ind w:right="80" w:firstLine="443"/>
        <w:spacing w:after="0" w:line="290" w:lineRule="auto"/>
        <w:tabs>
          <w:tab w:leader="none" w:pos="6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or the delivery of the Designated Securities on the terms and in the manner contemplated in the Prospectus as amended or supplemented;</w:t>
      </w:r>
    </w:p>
    <w:p>
      <w:pPr>
        <w:spacing w:after="0" w:line="23" w:lineRule="exact"/>
        <w:rPr>
          <w:rFonts w:ascii="Arial" w:cs="Arial" w:eastAsia="Arial" w:hAnsi="Arial"/>
          <w:sz w:val="16"/>
          <w:szCs w:val="16"/>
          <w:color w:val="auto"/>
        </w:rPr>
      </w:pPr>
    </w:p>
    <w:p>
      <w:pPr>
        <w:ind w:right="520" w:firstLine="443"/>
        <w:spacing w:after="0" w:line="268" w:lineRule="auto"/>
        <w:tabs>
          <w:tab w:leader="none" w:pos="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as amended or supplemented; and</w:t>
      </w:r>
    </w:p>
    <w:p>
      <w:pPr>
        <w:spacing w:after="0" w:line="37" w:lineRule="exact"/>
        <w:rPr>
          <w:rFonts w:ascii="Arial" w:cs="Arial" w:eastAsia="Arial" w:hAnsi="Arial"/>
          <w:sz w:val="18"/>
          <w:szCs w:val="18"/>
          <w:color w:val="auto"/>
        </w:rPr>
      </w:pPr>
    </w:p>
    <w:p>
      <w:pPr>
        <w:ind w:firstLine="443"/>
        <w:spacing w:after="0" w:line="255"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(h) of this Section and as to such other matters as the Representatives may reasonably request.</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80" w:right="279" w:bottom="1440" w:gutter="0" w:footer="0" w:header="0"/>
        </w:sectPr>
      </w:pPr>
    </w:p>
    <w:bookmarkStart w:id="17" w:name="page18"/>
    <w:bookmarkEnd w:id="17"/>
    <w:p>
      <w:pPr>
        <w:ind w:left="-60" w:firstLine="464"/>
        <w:spacing w:after="0" w:line="284" w:lineRule="auto"/>
        <w:tabs>
          <w:tab w:leader="none" w:pos="572"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any Underwriter of Designated Securities through the Representatives expressly for use in the Prospectus as amended or supplemented relating to such Securities; and provided, further, that this indemnity agreement with respect to any Preliminary Prospectus shall not inure to the benefit of any Underwriter from whom the person asserting any such losses, claims, damages or liabilities purchased Designated Securities if a copy of the Prospectus as amended or supplemented relating to the Designated Securities (excluding documents incorporated or deemed to be incorporated or deemed to be incorporated by reference therein) was not sent or given by or on behalf of such Underwriter to such person, if such is required by the Act or the rules and regulations of the Commission thereunder, at or prior to written confirmation of the sale of such Designated Securities to such person and if the Prospectus as amended or supplemented relating to the Designated Securities would have corrected the defect giving rise to such loss, claim, damage or liability, except that this proviso shall not be applicable if such defect shall have been corrected in a document which is incorporated or deemed to be incorporated by reference in the Prospectus as amended or supplemented relating to the Designated Securities.</w:t>
      </w:r>
    </w:p>
    <w:p>
      <w:pPr>
        <w:spacing w:after="0" w:line="34" w:lineRule="exact"/>
        <w:rPr>
          <w:rFonts w:ascii="Arial" w:cs="Arial" w:eastAsia="Arial" w:hAnsi="Arial"/>
          <w:sz w:val="16"/>
          <w:szCs w:val="16"/>
          <w:color w:val="auto"/>
        </w:rPr>
      </w:pPr>
    </w:p>
    <w:p>
      <w:pPr>
        <w:ind w:left="400" w:firstLine="443"/>
        <w:spacing w:after="0" w:line="254" w:lineRule="auto"/>
        <w:tabs>
          <w:tab w:leader="none" w:pos="1087"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(including the information deemed to be a part of the Registration Statement pursuant to Rule 434 under the Act, if applicable), or arise out of or are based upon the omission 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300" w:top="280" w:right="299" w:bottom="1440" w:gutter="0" w:footer="0" w:header="0"/>
        </w:sectPr>
      </w:pPr>
    </w:p>
    <w:bookmarkStart w:id="18" w:name="page19"/>
    <w:bookmarkEnd w:id="18"/>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24" w:lineRule="exact"/>
        <w:rPr>
          <w:sz w:val="20"/>
          <w:szCs w:val="20"/>
          <w:color w:val="auto"/>
        </w:rPr>
      </w:pPr>
    </w:p>
    <w:p>
      <w:pPr>
        <w:ind w:firstLine="443"/>
        <w:spacing w:after="0" w:line="285" w:lineRule="auto"/>
        <w:tabs>
          <w:tab w:leader="none" w:pos="677" w:val="left"/>
        </w:tabs>
        <w:numPr>
          <w:ilvl w:val="1"/>
          <w:numId w:val="18"/>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compromises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31" w:lineRule="exact"/>
        <w:rPr>
          <w:rFonts w:ascii="Arial" w:cs="Arial" w:eastAsia="Arial" w:hAnsi="Arial"/>
          <w:sz w:val="16"/>
          <w:szCs w:val="16"/>
          <w:color w:val="auto"/>
        </w:rPr>
      </w:pPr>
    </w:p>
    <w:p>
      <w:pPr>
        <w:ind w:left="700" w:hanging="257"/>
        <w:spacing w:after="0"/>
        <w:tabs>
          <w:tab w:leader="none" w:pos="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 (a) or</w:t>
      </w:r>
    </w:p>
    <w:p>
      <w:pPr>
        <w:spacing w:after="0" w:line="38" w:lineRule="exact"/>
        <w:rPr>
          <w:rFonts w:ascii="Arial" w:cs="Arial" w:eastAsia="Arial" w:hAnsi="Arial"/>
          <w:sz w:val="16"/>
          <w:szCs w:val="16"/>
          <w:color w:val="auto"/>
        </w:rPr>
      </w:pPr>
    </w:p>
    <w:p>
      <w:pPr>
        <w:ind w:right="540" w:firstLine="4"/>
        <w:spacing w:after="0" w:line="261"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above in respect of any losses, claims damages or liabilities (or actions in respect thereof) referred to therein, then each indemnifying party shall contribute to the</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80" w:right="279" w:bottom="1440" w:gutter="0" w:footer="0" w:header="0"/>
        </w:sectPr>
      </w:pPr>
    </w:p>
    <w:bookmarkStart w:id="19" w:name="page20"/>
    <w:bookmarkEnd w:id="1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20" w:name="page21"/>
    <w:bookmarkEnd w:id="20"/>
    <w:p>
      <w:pPr>
        <w:ind w:left="440" w:right="80" w:firstLine="443"/>
        <w:spacing w:after="0" w:line="255" w:lineRule="auto"/>
        <w:tabs>
          <w:tab w:leader="none" w:pos="1117" w:val="left"/>
        </w:tabs>
        <w:numPr>
          <w:ilvl w:val="1"/>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129" w:lineRule="exact"/>
        <w:rPr>
          <w:rFonts w:ascii="Arial" w:cs="Arial" w:eastAsia="Arial" w:hAnsi="Arial"/>
          <w:sz w:val="18"/>
          <w:szCs w:val="18"/>
          <w:color w:val="auto"/>
        </w:rPr>
      </w:pPr>
    </w:p>
    <w:p>
      <w:pPr>
        <w:ind w:left="-20" w:right="60" w:firstLine="464"/>
        <w:spacing w:after="0" w:line="286" w:lineRule="auto"/>
        <w:tabs>
          <w:tab w:leader="none" w:pos="612"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Agreement shall include any person substituted under this Section with like effect as if such person had originally been a party to the Pricing Agreement with respect to such Designated Securities.</w:t>
      </w:r>
    </w:p>
    <w:p>
      <w:pPr>
        <w:spacing w:after="0" w:line="29" w:lineRule="exact"/>
        <w:rPr>
          <w:rFonts w:ascii="Arial" w:cs="Arial" w:eastAsia="Arial" w:hAnsi="Arial"/>
          <w:sz w:val="16"/>
          <w:szCs w:val="16"/>
          <w:color w:val="auto"/>
        </w:rPr>
      </w:pPr>
    </w:p>
    <w:p>
      <w:pPr>
        <w:ind w:left="440" w:firstLine="443"/>
        <w:spacing w:after="0" w:line="289" w:lineRule="auto"/>
        <w:tabs>
          <w:tab w:leader="none" w:pos="1127"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80" w:right="239" w:bottom="1440" w:gutter="0" w:footer="0" w:header="0"/>
        </w:sectPr>
      </w:pPr>
    </w:p>
    <w:bookmarkStart w:id="21" w:name="page22"/>
    <w:bookmarkEnd w:id="21"/>
    <w:p>
      <w:pPr>
        <w:ind w:left="460" w:firstLine="443"/>
        <w:spacing w:after="0" w:line="303" w:lineRule="auto"/>
        <w:tabs>
          <w:tab w:leader="none" w:pos="1137" w:val="left"/>
        </w:tabs>
        <w:numPr>
          <w:ilvl w:val="1"/>
          <w:numId w:val="2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w:t>
      </w:r>
    </w:p>
    <w:p>
      <w:pPr>
        <w:spacing w:after="0" w:line="1" w:lineRule="exact"/>
        <w:rPr>
          <w:rFonts w:ascii="Arial" w:cs="Arial" w:eastAsia="Arial" w:hAnsi="Arial"/>
          <w:sz w:val="15"/>
          <w:szCs w:val="15"/>
          <w:color w:val="auto"/>
        </w:rPr>
      </w:pPr>
    </w:p>
    <w:p>
      <w:pPr>
        <w:ind w:left="460" w:right="160" w:firstLine="4"/>
        <w:spacing w:after="0" w:line="292" w:lineRule="auto"/>
        <w:tabs>
          <w:tab w:leader="none" w:pos="70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03" w:lineRule="exact"/>
        <w:rPr>
          <w:sz w:val="20"/>
          <w:szCs w:val="20"/>
          <w:color w:val="auto"/>
        </w:rPr>
      </w:pPr>
    </w:p>
    <w:p>
      <w:pPr>
        <w:ind w:right="60" w:firstLine="464"/>
        <w:spacing w:after="0" w:line="298"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99" w:lineRule="exact"/>
        <w:rPr>
          <w:rFonts w:ascii="Arial" w:cs="Arial" w:eastAsia="Arial" w:hAnsi="Arial"/>
          <w:sz w:val="16"/>
          <w:szCs w:val="16"/>
          <w:color w:val="auto"/>
        </w:rPr>
      </w:pPr>
    </w:p>
    <w:p>
      <w:pPr>
        <w:ind w:right="80" w:firstLine="464"/>
        <w:spacing w:after="0" w:line="290" w:lineRule="auto"/>
        <w:tabs>
          <w:tab w:leader="none" w:pos="713"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any Pricing Agreement shall be terminated pursuant to Section 9 hereof, the Company shall not then be under any liability to any Underwriter with respect to the Designated Securities covered by such Pricing Agreement except as provided in Section 6 and Section 8 hereof. If this Agreement shall be terminated as a result of any of the conditions set forth in Section 7 (other than clause (i), (iii) or (iv) of Section 7(j) hereto)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be under no further liability to any Underwriter with respect to such Designated Securities except as provided in Section 6 and Section 8 hereof.</w:t>
      </w:r>
    </w:p>
    <w:p>
      <w:pPr>
        <w:spacing w:after="0" w:line="104" w:lineRule="exact"/>
        <w:rPr>
          <w:rFonts w:ascii="Arial" w:cs="Arial" w:eastAsia="Arial" w:hAnsi="Arial"/>
          <w:sz w:val="16"/>
          <w:szCs w:val="16"/>
          <w:color w:val="auto"/>
        </w:rPr>
      </w:pPr>
    </w:p>
    <w:p>
      <w:pPr>
        <w:ind w:right="320" w:firstLine="464"/>
        <w:spacing w:after="0" w:line="306"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9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All statements, requests, notices and agreements hereunder shall be in writing, and if to the Underwriters shall be delivered or sent by mail, overnight courier, hand delivery or facsimile transmission to the address of the Representatives as set forth in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02" w:lineRule="exact"/>
        <w:rPr>
          <w:sz w:val="20"/>
          <w:szCs w:val="20"/>
          <w:color w:val="auto"/>
        </w:rPr>
      </w:pPr>
    </w:p>
    <w:p>
      <w:pPr>
        <w:ind w:right="40" w:firstLine="464"/>
        <w:spacing w:after="0" w:line="294"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who controls the Company or any Underwriter, and their respective heirs, executors, administrators, successors and assigns, and no other person shall acquire or have any right under or by virtue of this Agreement or any such Pricing Agreement. No purchaser of any of the Securities from any Underwriter shall be deemed a successor or assign by reason merely of such purchase.</w:t>
      </w:r>
    </w:p>
    <w:p>
      <w:pPr>
        <w:spacing w:after="0" w:line="102" w:lineRule="exact"/>
        <w:rPr>
          <w:rFonts w:ascii="Arial" w:cs="Arial" w:eastAsia="Arial" w:hAnsi="Arial"/>
          <w:sz w:val="16"/>
          <w:szCs w:val="16"/>
          <w:color w:val="auto"/>
        </w:rPr>
      </w:pPr>
    </w:p>
    <w:p>
      <w:pPr>
        <w:ind w:right="760" w:firstLine="464"/>
        <w:spacing w:after="0" w:line="268"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Agreement and each Pricing Agreement shall be governed by and construed in accordance with the laws of the State of New York.</w:t>
      </w:r>
    </w:p>
    <w:p>
      <w:pPr>
        <w:spacing w:after="0" w:line="180" w:lineRule="exact"/>
        <w:rPr>
          <w:rFonts w:ascii="Arial" w:cs="Arial" w:eastAsia="Arial" w:hAnsi="Arial"/>
          <w:sz w:val="16"/>
          <w:szCs w:val="16"/>
          <w:color w:val="auto"/>
        </w:rPr>
      </w:pPr>
    </w:p>
    <w:p>
      <w:pPr>
        <w:ind w:right="40" w:firstLine="464"/>
        <w:spacing w:after="0" w:line="332"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Agreement to us.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jc w:val="right"/>
        <w:ind w:right="16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Donald C. Wood</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Donald C. Wood</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8"/>
              </w:rPr>
              <w:t>President and Chief Executive Officer and Trustee</w:t>
            </w:r>
          </w:p>
        </w:tc>
      </w:tr>
    </w:tbl>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as of the date hereof:</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ERRILL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YNCH</w:t>
      </w:r>
      <w:r>
        <w:rPr>
          <w:rFonts w:ascii="Arial" w:cs="Arial" w:eastAsia="Arial" w:hAnsi="Arial"/>
          <w:sz w:val="18"/>
          <w:szCs w:val="18"/>
          <w:b w:val="1"/>
          <w:bCs w:val="1"/>
          <w:color w:val="auto"/>
        </w:rPr>
        <w:t>, P</w:t>
      </w:r>
      <w:r>
        <w:rPr>
          <w:rFonts w:ascii="Arial" w:cs="Arial" w:eastAsia="Arial" w:hAnsi="Arial"/>
          <w:sz w:val="14"/>
          <w:szCs w:val="14"/>
          <w:b w:val="1"/>
          <w:bCs w:val="1"/>
          <w:color w:val="auto"/>
        </w:rPr>
        <w:t>IERCE</w:t>
      </w:r>
      <w:r>
        <w:rPr>
          <w:rFonts w:ascii="Arial" w:cs="Arial" w:eastAsia="Arial" w:hAnsi="Arial"/>
          <w:sz w:val="18"/>
          <w:szCs w:val="18"/>
          <w:b w:val="1"/>
          <w:bCs w:val="1"/>
          <w:color w:val="auto"/>
        </w:rPr>
        <w:t>, F</w:t>
      </w:r>
      <w:r>
        <w:rPr>
          <w:rFonts w:ascii="Arial" w:cs="Arial" w:eastAsia="Arial" w:hAnsi="Arial"/>
          <w:sz w:val="14"/>
          <w:szCs w:val="14"/>
          <w:b w:val="1"/>
          <w:bCs w:val="1"/>
          <w:color w:val="auto"/>
        </w:rPr>
        <w:t>ENNER</w:t>
      </w:r>
      <w:r>
        <w:rPr>
          <w:rFonts w:ascii="Arial" w:cs="Arial" w:eastAsia="Arial" w:hAnsi="Arial"/>
          <w:sz w:val="18"/>
          <w:szCs w:val="18"/>
          <w:b w:val="1"/>
          <w:bCs w:val="1"/>
          <w:color w:val="auto"/>
        </w:rPr>
        <w:t xml:space="preserve"> &amp; S</w:t>
      </w:r>
      <w:r>
        <w:rPr>
          <w:rFonts w:ascii="Arial" w:cs="Arial" w:eastAsia="Arial" w:hAnsi="Arial"/>
          <w:sz w:val="14"/>
          <w:szCs w:val="14"/>
          <w:b w:val="1"/>
          <w:bCs w:val="1"/>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NCORPORATED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w:t>
      </w:r>
      <w:r>
        <w:rPr>
          <w:rFonts w:ascii="Arial" w:cs="Arial" w:eastAsia="Arial" w:hAnsi="Arial"/>
          <w:sz w:val="14"/>
          <w:szCs w:val="14"/>
          <w:b w:val="1"/>
          <w:bCs w:val="1"/>
          <w:color w:val="auto"/>
        </w:rPr>
        <w:t>ORGAN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Wachovia Capital Markets, LLC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Teresa Hee</w:t>
            </w:r>
          </w:p>
        </w:tc>
      </w:tr>
      <w:tr>
        <w:trPr>
          <w:trHeight w:val="110"/>
        </w:trPr>
        <w:tc>
          <w:tcPr>
            <w:tcW w:w="60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Teresa Hee</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Citigroup Global Markets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Scott Eisen</w:t>
            </w:r>
          </w:p>
        </w:tc>
      </w:tr>
      <w:tr>
        <w:trPr>
          <w:trHeight w:val="110"/>
        </w:trPr>
        <w:tc>
          <w:tcPr>
            <w:tcW w:w="60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Scott Eisen</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64" w:lineRule="exact"/>
        <w:rPr>
          <w:sz w:val="20"/>
          <w:szCs w:val="20"/>
          <w:color w:val="auto"/>
        </w:rPr>
      </w:pPr>
    </w:p>
    <w:p>
      <w:pPr>
        <w:ind w:right="220" w:firstLine="421"/>
        <w:spacing w:after="0" w:line="284" w:lineRule="auto"/>
        <w:tabs>
          <w:tab w:leader="none" w:pos="62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is a real estate investment trust formed and validly existing and in good standing (as of the date of the applicable good standing certificate referred to in such opinion) under the laws of the State of Maryland and has the trust power and trust authority under Title 8 of the Corporations and Associations Article of the Annotated Code of Maryland (the “Maryland REIT Law”), its Declaration of Trust and</w:t>
      </w:r>
    </w:p>
    <w:p>
      <w:pPr>
        <w:spacing w:after="0" w:line="1"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its Bylaws to own its current properties and to conduct its business as described in the Prospectus as amended and supplemented in relation to the Designated Securities. The Company is registered, qualified or authorized to transact business as a foreign entity in the respective states specified in such opinion as of the respective dates listed therein;</w:t>
      </w:r>
    </w:p>
    <w:p>
      <w:pPr>
        <w:spacing w:after="0" w:line="49" w:lineRule="exact"/>
        <w:rPr>
          <w:rFonts w:ascii="Arial" w:cs="Arial" w:eastAsia="Arial" w:hAnsi="Arial"/>
          <w:sz w:val="16"/>
          <w:szCs w:val="16"/>
          <w:color w:val="auto"/>
        </w:rPr>
      </w:pPr>
    </w:p>
    <w:p>
      <w:pPr>
        <w:ind w:right="120" w:firstLine="421"/>
        <w:spacing w:after="0" w:line="298" w:lineRule="auto"/>
        <w:tabs>
          <w:tab w:leader="none" w:pos="678" w:val="left"/>
        </w:tabs>
        <w:numPr>
          <w:ilvl w:val="0"/>
          <w:numId w:val="26"/>
        </w:numPr>
        <w:rPr>
          <w:rFonts w:ascii="Arial" w:cs="Arial" w:eastAsia="Arial" w:hAnsi="Arial"/>
          <w:sz w:val="16"/>
          <w:szCs w:val="16"/>
          <w:color w:val="auto"/>
        </w:rPr>
      </w:pPr>
      <w:r>
        <w:rPr>
          <w:rFonts w:ascii="Arial" w:cs="Arial" w:eastAsia="Arial" w:hAnsi="Arial"/>
          <w:sz w:val="16"/>
          <w:szCs w:val="16"/>
          <w:color w:val="auto"/>
        </w:rPr>
        <w:t>Street Retail, Inc., a Maryland corporation (“SRI”), is validly existing and in good standing (as of the date of the applicable good standing certificate specified in such opinion) as a corporation under the laws of the State of Maryland and has the corporate power and corporate authority under the Maryland General Corporation Law, the SRI Articles and the SRI Bylaws to own its current properties and to conduct its business as described in the Prospectus as amended and supplemented in relation to the Designated Securities.</w:t>
      </w:r>
    </w:p>
    <w:p>
      <w:pPr>
        <w:spacing w:after="0" w:line="18" w:lineRule="exact"/>
        <w:rPr>
          <w:rFonts w:ascii="Arial" w:cs="Arial" w:eastAsia="Arial" w:hAnsi="Arial"/>
          <w:sz w:val="16"/>
          <w:szCs w:val="16"/>
          <w:color w:val="auto"/>
        </w:rPr>
      </w:pPr>
    </w:p>
    <w:p>
      <w:pPr>
        <w:ind w:right="200" w:firstLine="421"/>
        <w:spacing w:after="0" w:line="268" w:lineRule="auto"/>
        <w:tabs>
          <w:tab w:leader="none" w:pos="7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Agreement and the Pricing Agreement with respect to the Designated Securities have been duly authorized, executed and delivered by the Company;</w:t>
      </w:r>
    </w:p>
    <w:p>
      <w:pPr>
        <w:spacing w:after="0" w:line="37" w:lineRule="exact"/>
        <w:rPr>
          <w:rFonts w:ascii="Arial" w:cs="Arial" w:eastAsia="Arial" w:hAnsi="Arial"/>
          <w:sz w:val="18"/>
          <w:szCs w:val="18"/>
          <w:color w:val="auto"/>
        </w:rPr>
      </w:pPr>
    </w:p>
    <w:p>
      <w:pPr>
        <w:ind w:right="240" w:firstLine="421"/>
        <w:spacing w:after="0" w:line="255" w:lineRule="auto"/>
        <w:tabs>
          <w:tab w:leader="none" w:pos="7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Designated Securities have been duly authorized for issuance and sale to the Underwriters in accordance with the terms of this Agreement and the Pricing Agreement with respect to the Designated Securities and, when issued and authenticated in the manner provided for in the Indenture and delivered against payment therefor in accordance with the provisions of this Agreement and such Pricing Agreement, will constitute valid and legally binding obligations of the Company, entitled to the benefits of the Indenture, enforceable against the Company in accordance with their terms;</w:t>
      </w:r>
    </w:p>
    <w:p>
      <w:pPr>
        <w:spacing w:after="0" w:line="48" w:lineRule="exact"/>
        <w:rPr>
          <w:rFonts w:ascii="Arial" w:cs="Arial" w:eastAsia="Arial" w:hAnsi="Arial"/>
          <w:sz w:val="18"/>
          <w:szCs w:val="18"/>
          <w:color w:val="auto"/>
        </w:rPr>
      </w:pPr>
    </w:p>
    <w:p>
      <w:pPr>
        <w:ind w:right="140" w:firstLine="421"/>
        <w:spacing w:after="0" w:line="259" w:lineRule="auto"/>
        <w:tabs>
          <w:tab w:leader="none" w:pos="6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assuming due authorization, execution and delivery by each other party thereto, constitutes a valid and binding agreement of the Company, enforceable against the Company in accordance with its terms;</w:t>
      </w:r>
    </w:p>
    <w:p>
      <w:pPr>
        <w:spacing w:after="0" w:line="45" w:lineRule="exact"/>
        <w:rPr>
          <w:rFonts w:ascii="Arial" w:cs="Arial" w:eastAsia="Arial" w:hAnsi="Arial"/>
          <w:sz w:val="18"/>
          <w:szCs w:val="18"/>
          <w:color w:val="auto"/>
        </w:rPr>
      </w:pPr>
    </w:p>
    <w:p>
      <w:pPr>
        <w:ind w:left="720" w:hanging="29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15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500"/>
          </w:cols>
          <w:pgMar w:left="1160" w:top="274" w:right="239" w:bottom="1440" w:gutter="0" w:footer="0" w:header="0"/>
        </w:sectPr>
      </w:pPr>
    </w:p>
    <w:bookmarkStart w:id="25" w:name="page26"/>
    <w:bookmarkEnd w:id="25"/>
    <w:p>
      <w:pPr>
        <w:ind w:left="-280" w:right="40" w:firstLine="421"/>
        <w:spacing w:after="0" w:line="268" w:lineRule="auto"/>
        <w:tabs>
          <w:tab w:leader="none" w:pos="486"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Designated Securities and the Indenture conform in all material respects to the descriptions thereof in the Prospectus as amended and supplemented;</w:t>
      </w:r>
    </w:p>
    <w:p>
      <w:pPr>
        <w:spacing w:after="0" w:line="37" w:lineRule="exact"/>
        <w:rPr>
          <w:rFonts w:ascii="Arial" w:cs="Arial" w:eastAsia="Arial" w:hAnsi="Arial"/>
          <w:sz w:val="18"/>
          <w:szCs w:val="18"/>
          <w:color w:val="auto"/>
        </w:rPr>
      </w:pPr>
    </w:p>
    <w:p>
      <w:pPr>
        <w:ind w:left="-280" w:right="200" w:firstLine="421"/>
        <w:spacing w:after="0" w:line="256" w:lineRule="auto"/>
        <w:tabs>
          <w:tab w:leader="none" w:pos="5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in the Company’s Form 8-K under the caption “Risk Factors—Certain tax and anti-takeover provisions of our declaration of trust and bylaws may inhibit a change of our control,” to the extent that such information constitute a summary of provisions of the Company’s Declaration of Trust or Bylaws, a summary of the Rights Agreement, a matter of law or a legal conclusion, has been reviewed by such counsel and is correct in all material respects;</w:t>
      </w:r>
    </w:p>
    <w:p>
      <w:pPr>
        <w:spacing w:after="0" w:line="48" w:lineRule="exact"/>
        <w:rPr>
          <w:rFonts w:ascii="Arial" w:cs="Arial" w:eastAsia="Arial" w:hAnsi="Arial"/>
          <w:sz w:val="18"/>
          <w:szCs w:val="18"/>
          <w:color w:val="auto"/>
        </w:rPr>
      </w:pPr>
    </w:p>
    <w:p>
      <w:pPr>
        <w:ind w:left="-280" w:right="40" w:firstLine="421"/>
        <w:spacing w:after="0" w:line="294" w:lineRule="auto"/>
        <w:tabs>
          <w:tab w:leader="none" w:pos="43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Registration Statement has been declared effective under the Act; the required filing of the Prospectus as amended and supplemented in relation to the applicable Designated Securities pursuant to Rule 424(b) has been made in the manner and within the time period required by Rule 424(b); and, to the best of such counsel’s knowledge, no stop order suspending the effectiveness of the Registration Statement has been issued under the Act and no proceedings for that purpose have been instituted or are pending or threatened by the Commission. The Company meets the requirements for use of Form S-3 with respect to the issuance and sale of the Designated Securities;</w:t>
      </w:r>
    </w:p>
    <w:p>
      <w:pPr>
        <w:spacing w:after="0" w:line="21" w:lineRule="exact"/>
        <w:rPr>
          <w:rFonts w:ascii="Arial" w:cs="Arial" w:eastAsia="Arial" w:hAnsi="Arial"/>
          <w:sz w:val="16"/>
          <w:szCs w:val="16"/>
          <w:color w:val="auto"/>
        </w:rPr>
      </w:pPr>
    </w:p>
    <w:p>
      <w:pPr>
        <w:ind w:left="-280" w:firstLine="421"/>
        <w:spacing w:after="0" w:line="291" w:lineRule="auto"/>
        <w:tabs>
          <w:tab w:leader="none" w:pos="38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execution, delivery and performance as of the date of such opinion by the Company of this Agreement and the Pricing Agreement with respect to the Designated Securities and the issuance and sale of the Designated Securities being issued on the date of such opinion do not (a) violate the Maryland REIT Law, (b) violate the Company’s Declaration of Trust or Bylaws, (c) to such counsel’s knowledge, violate any applicable law, rule, regulation, order, judgment or decree of any Maryland agency or court, or (d) breach or constitute a default under the agreements listed in Schedule A-1 to this Agreement (other than with respect to the compliance by the Company with the financial and numerical covenants contained therein, as to which such counsel need express no opinion);</w:t>
      </w:r>
    </w:p>
    <w:p>
      <w:pPr>
        <w:spacing w:after="0" w:line="25" w:lineRule="exact"/>
        <w:rPr>
          <w:rFonts w:ascii="Arial" w:cs="Arial" w:eastAsia="Arial" w:hAnsi="Arial"/>
          <w:sz w:val="16"/>
          <w:szCs w:val="16"/>
          <w:color w:val="auto"/>
        </w:rPr>
      </w:pPr>
    </w:p>
    <w:p>
      <w:pPr>
        <w:ind w:left="-280" w:right="60" w:firstLine="421"/>
        <w:spacing w:after="0" w:line="291" w:lineRule="auto"/>
        <w:tabs>
          <w:tab w:leader="none" w:pos="43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Registration Statement and the Prospectus, excluding the documents incorporated by reference therein, and each amendment or supplement to the Registration Statement and Prospectus, excluding the documents incorporated by reference therein, as of their respective effective or issue dates (other than the financial statements and notes thereto and supporting schedules and other financial information and financial data included therein or omitted therefrom, and the Trustee’s Statement of Eligibility on Form T-1, as to which such counsel need express no opinion), complied as to form in all material respects with the requirements of the Act and the rules and regulations of the Commission thereunder; if applicable, the Rule 434 Prospectus complies as to form in all material respects with the requirements of Rule 434 under the Act;</w:t>
      </w:r>
    </w:p>
    <w:p>
      <w:pPr>
        <w:spacing w:after="0" w:line="10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200"/>
          </w:cols>
          <w:pgMar w:left="1440" w:top="280" w:right="259" w:bottom="1440" w:gutter="0" w:footer="0" w:header="0"/>
        </w:sectPr>
      </w:pPr>
    </w:p>
    <w:bookmarkStart w:id="26" w:name="page27"/>
    <w:bookmarkEnd w:id="26"/>
    <w:p>
      <w:pPr>
        <w:ind w:right="60" w:firstLine="421"/>
        <w:spacing w:after="0" w:line="255" w:lineRule="auto"/>
        <w:tabs>
          <w:tab w:leader="none" w:pos="766"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documents incorporated by reference in the Prospectus as amended and supplemented in relation to the applicable Designated Securities (other than the financial statements and notes thereto and supporting schedules and other financial information and financial data included therein or omitted therefrom,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w:t>
      </w:r>
    </w:p>
    <w:p>
      <w:pPr>
        <w:spacing w:after="0" w:line="48" w:lineRule="exact"/>
        <w:rPr>
          <w:rFonts w:ascii="Arial" w:cs="Arial" w:eastAsia="Arial" w:hAnsi="Arial"/>
          <w:sz w:val="18"/>
          <w:szCs w:val="18"/>
          <w:color w:val="auto"/>
        </w:rPr>
      </w:pPr>
    </w:p>
    <w:p>
      <w:pPr>
        <w:ind w:firstLine="421"/>
        <w:spacing w:after="0" w:line="291" w:lineRule="auto"/>
        <w:tabs>
          <w:tab w:leader="none" w:pos="8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Except for such consents, approvals, authorizations, registrations or qualifications as have been obtained under the Act and the Trust Indenture Act, and except for consents, approvals, authorizations, registrations or qualifications as may be required under applicable state securities or real estate syndication laws (as to which such counsel need express no opinion) in connection with the offer and sale of the Designated Securities, no consent, approval, authorization or order of, or filing or registration with, the Commission or any Maryland court or governmental agency or body is required to be obtained or made by the Company for the issuance of the Designated Securities or the performance as of the date of such opinion of the obligations contained in the Designated Securities and in this Agreement and the Pricing Agreement by the Company;</w:t>
      </w:r>
    </w:p>
    <w:p>
      <w:pPr>
        <w:spacing w:after="0" w:line="25" w:lineRule="exact"/>
        <w:rPr>
          <w:rFonts w:ascii="Arial" w:cs="Arial" w:eastAsia="Arial" w:hAnsi="Arial"/>
          <w:sz w:val="16"/>
          <w:szCs w:val="16"/>
          <w:color w:val="auto"/>
        </w:rPr>
      </w:pPr>
    </w:p>
    <w:p>
      <w:pPr>
        <w:ind w:firstLine="421"/>
        <w:spacing w:after="0" w:line="290" w:lineRule="auto"/>
        <w:tabs>
          <w:tab w:leader="none" w:pos="8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such counsel’s knowledge, except as set forth in the Prospectus as amended and supplemented in relation to the Designated Securities, there is not pending or threatened any action, suit, proceeding, inquiry or investigation to which the Company or any Entity is a party, or to which the property of the Company or any Entity is subject, before or brought by any court or governmental agency or body, domestic or foreign, which might reasonably be expected to have a material adverse effect on the condition, financial or otherwise, or on the earnings, business affairs or business prospects of the Company and the Entities considered as one enterprise or which might reasonably be expected to materially and adversely affect the properties or assets of the Company and the Entities considered as one enterprise, or the consummation of the transactions contemplated in the Agreement and the Pricing Agreement or the performance by the Company of its obligations thereunder;</w:t>
      </w:r>
    </w:p>
    <w:p>
      <w:pPr>
        <w:spacing w:after="0" w:line="24" w:lineRule="exact"/>
        <w:rPr>
          <w:sz w:val="20"/>
          <w:szCs w:val="20"/>
          <w:color w:val="auto"/>
        </w:rPr>
      </w:pPr>
    </w:p>
    <w:p>
      <w:pPr>
        <w:jc w:val="both"/>
        <w:ind w:right="180" w:firstLine="420"/>
        <w:spacing w:after="0" w:line="259" w:lineRule="auto"/>
        <w:rPr>
          <w:sz w:val="20"/>
          <w:szCs w:val="20"/>
          <w:color w:val="auto"/>
        </w:rPr>
      </w:pPr>
      <w:r>
        <w:rPr>
          <w:rFonts w:ascii="Arial" w:cs="Arial" w:eastAsia="Arial" w:hAnsi="Arial"/>
          <w:sz w:val="18"/>
          <w:szCs w:val="18"/>
          <w:color w:val="auto"/>
        </w:rPr>
        <w:t>During the course of preparation of the Registration Statement and the Prospectus, such counsel participated in conferences with officers and other representatives of the Company, the Company’s independent accountants and the Underwriters and their representatives. While such counsel has not undertaken to determine independently, and does not</w:t>
      </w:r>
    </w:p>
    <w:p>
      <w:pPr>
        <w:spacing w:after="0" w:line="12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500"/>
          </w:cols>
          <w:pgMar w:left="1160" w:top="280" w:right="239" w:bottom="1440" w:gutter="0" w:footer="0" w:header="0"/>
        </w:sectPr>
      </w:pPr>
    </w:p>
    <w:bookmarkStart w:id="27" w:name="page28"/>
    <w:bookmarkEnd w:id="27"/>
    <w:p>
      <w:pPr>
        <w:ind w:left="9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assume any responsibility for, the accuracy, completeness, or fairness of the statements in the Registration Statement or the Prospectus (except as set</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forth in paragraph (vii) above and in the opinion referred to in Section 7(d)(3) of the Underwriting Agreement) no facts have come to such counsel’s</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attention which have caused them to believe that (i) the Registration Statement or any amendments thereto, as of their respective effective dates and,</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the case of the Registration Statement, as of the date on which the Company’s Annual Report on Form 10-K for the fiscal year ended</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December 31, 2004 was filed with the Commission, contained an untrue statement of a material fact or omitted to state a material fact required to be</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stated therein or necessary to make the statements therein not misleading or (ii) the Prospectus as amended and supplemented in relation to the</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Designated Securities, or any further amendments or supplements thereto, as of their respective issue dates or as of the date of such opinion, included</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or includes an untrue statement of a material fact or omitted or omits to state a material fact necessary in order to make the statements therein, in the</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making the foregoing statements (which shall not constitute</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an opinion), such counsel need not express any view as to the financial statements and notes thereto and supporting schedules and other financial</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information and financial data included in or omitted from the Registration Statement or the Prospectus as amended and supplemented;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Qualifications to the Opinion:</w:t>
      </w:r>
    </w:p>
    <w:p>
      <w:pPr>
        <w:spacing w:after="0" w:line="77" w:lineRule="exact"/>
        <w:rPr>
          <w:sz w:val="20"/>
          <w:szCs w:val="20"/>
          <w:color w:val="auto"/>
        </w:rPr>
      </w:pPr>
    </w:p>
    <w:p>
      <w:pPr>
        <w:ind w:left="880" w:right="480" w:hanging="446"/>
        <w:spacing w:after="0" w:line="325"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rendering such opinions, counsel may rely as to matters of fact (but not to legal conclusions) on representations of the Company made in the Agreement and the Pricing Agreement and certificates of responsible officers of the Company and public officials.</w:t>
      </w:r>
    </w:p>
    <w:p>
      <w:pPr>
        <w:spacing w:after="0" w:line="1" w:lineRule="exact"/>
        <w:rPr>
          <w:rFonts w:ascii="Arial" w:cs="Arial" w:eastAsia="Arial" w:hAnsi="Arial"/>
          <w:sz w:val="16"/>
          <w:szCs w:val="16"/>
          <w:color w:val="auto"/>
        </w:rPr>
      </w:pPr>
    </w:p>
    <w:p>
      <w:pPr>
        <w:ind w:left="880" w:right="560" w:hanging="446"/>
        <w:spacing w:after="0" w:line="259"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enforceability of the documents referred to in the opinion may be limited by applicable bankruptcy, insolvency, fraudulent conveyance, reorganization, moratorium, voidable preference, rearrangement, liquidation, conservatorship or other similar laws relating to, or affecting the enforcement of, creditors’ rights and remedies generally, now or hereafter in effect.</w:t>
      </w:r>
    </w:p>
    <w:p>
      <w:pPr>
        <w:spacing w:after="0" w:line="45" w:lineRule="exact"/>
        <w:rPr>
          <w:rFonts w:ascii="Arial" w:cs="Arial" w:eastAsia="Arial" w:hAnsi="Arial"/>
          <w:sz w:val="18"/>
          <w:szCs w:val="18"/>
          <w:color w:val="auto"/>
        </w:rPr>
      </w:pPr>
    </w:p>
    <w:p>
      <w:pPr>
        <w:ind w:left="880" w:right="240" w:hanging="446"/>
        <w:spacing w:after="0" w:line="298"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enforceability of any or all of the provisions of the documents referred to in the opinion is subject to such laws, legal and equitable principles, principles of commercial reasonableness, good faith and fair dealing (regardless of whether enforcement is sought in a proceeding at law or in equity), principles of public policy, statutory provisions, procedural requirements and/or exercise of judicial discretion as may limit the specific enforcement or existence of certain rights or remedies of the party seeking to enforce them.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60" w:top="280" w:right="239" w:bottom="1440" w:gutter="0" w:footer="0" w:header="0"/>
        </w:sectPr>
      </w:pPr>
    </w:p>
    <w:bookmarkStart w:id="28" w:name="page29"/>
    <w:bookmarkEnd w:id="28"/>
    <w:p>
      <w:pPr>
        <w:jc w:val="both"/>
        <w:ind w:left="446" w:right="40" w:hanging="446"/>
        <w:spacing w:after="0" w:line="306" w:lineRule="auto"/>
        <w:tabs>
          <w:tab w:leader="none" w:pos="446"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enforceability of any or all of the provisions of the documents referred to in the opinion may be limited to the extent that (i) remedies are sought with respect to a breach that a court concludes is not material or does not adversely affect the party seeking to enforce the provision or provisions of such documents, or (ii) a court concludes that it would be unreasonable or unconscionable to enforce such documents.</w:t>
      </w:r>
    </w:p>
    <w:p>
      <w:pPr>
        <w:spacing w:after="0" w:line="12" w:lineRule="exact"/>
        <w:rPr>
          <w:rFonts w:ascii="Arial" w:cs="Arial" w:eastAsia="Arial" w:hAnsi="Arial"/>
          <w:sz w:val="16"/>
          <w:szCs w:val="16"/>
          <w:color w:val="auto"/>
        </w:rPr>
      </w:pPr>
    </w:p>
    <w:p>
      <w:pPr>
        <w:ind w:left="446" w:right="340" w:hanging="446"/>
        <w:spacing w:after="0" w:line="255"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Counsel need not express any opinion as to the validity or enforceability of (i) the indemnification and contribution provisions of the documents referred to in the opinion, to the extent that the validity or enforceability of such provisions may be limited by the federal securities laws, (ii) the severability provisions contained in such documents, or (iii) the choice-of-law provisions contained in such documents as to which laws shall be deemed to govern. The validity or enforceability of such documents may also be limited by the exercise of judicial discretion regarding the entitlement to attorneys’ fees and other costs.</w:t>
      </w:r>
    </w:p>
    <w:p>
      <w:pPr>
        <w:spacing w:after="0" w:line="48" w:lineRule="exact"/>
        <w:rPr>
          <w:rFonts w:ascii="Arial" w:cs="Arial" w:eastAsia="Arial" w:hAnsi="Arial"/>
          <w:sz w:val="18"/>
          <w:szCs w:val="18"/>
          <w:color w:val="auto"/>
        </w:rPr>
      </w:pPr>
    </w:p>
    <w:p>
      <w:pPr>
        <w:jc w:val="both"/>
        <w:ind w:left="446" w:hanging="446"/>
        <w:spacing w:after="0" w:line="306" w:lineRule="auto"/>
        <w:tabs>
          <w:tab w:leader="none" w:pos="446"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Such counsel’s opinions shall be based upon and are limited to the laws of the United States of America and the State of Maryland. To the extent that any agreement referred to in clause (d) of subparagraph (ix) above is governed by the laws of any jurisdiction other than the State of Maryland, such opinion shall further state that such counsel has assumed that such agreement is governed by the laws of the State of Maryland.</w:t>
      </w:r>
    </w:p>
    <w:p>
      <w:pPr>
        <w:spacing w:after="0" w:line="12" w:lineRule="exact"/>
        <w:rPr>
          <w:rFonts w:ascii="Arial" w:cs="Arial" w:eastAsia="Arial" w:hAnsi="Arial"/>
          <w:sz w:val="16"/>
          <w:szCs w:val="16"/>
          <w:color w:val="auto"/>
        </w:rPr>
      </w:pPr>
    </w:p>
    <w:p>
      <w:pPr>
        <w:ind w:left="446" w:hanging="446"/>
        <w:spacing w:after="0" w:line="256"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counsel’s opinions as to the valid existence of the Company or SRI may be based solely upon certified copies of the Declaration of Trust of the Company and Articles of Incorporation of SRI issued by the Maryland Department of Assessments and Taxation and as to the qualification and good standing of the Company or SRI may be based solely upon good standing certificates with respect to such entities issued by the applicable state regulatory authority or authorities.</w:t>
      </w:r>
    </w:p>
    <w:p>
      <w:pPr>
        <w:spacing w:after="0" w:line="48" w:lineRule="exact"/>
        <w:rPr>
          <w:rFonts w:ascii="Arial" w:cs="Arial" w:eastAsia="Arial" w:hAnsi="Arial"/>
          <w:sz w:val="18"/>
          <w:szCs w:val="18"/>
          <w:color w:val="auto"/>
        </w:rPr>
      </w:pPr>
    </w:p>
    <w:p>
      <w:pPr>
        <w:ind w:left="446" w:right="80" w:hanging="446"/>
        <w:spacing w:after="0" w:line="256"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references therein to “our knowledge” or words of similar effect shall mean that, in the course of its representation of the Company, no information has come to the attention of such counsel’s attorneys who have performed substantive legal services in connection with the transaction contemplated by this Agreement and who are familiar with the substance of this opinion that gives such attorneys actual current knowledge that any such opinions are not accurate.</w:t>
      </w:r>
    </w:p>
    <w:p>
      <w:pPr>
        <w:spacing w:after="0" w:line="48" w:lineRule="exact"/>
        <w:rPr>
          <w:rFonts w:ascii="Arial" w:cs="Arial" w:eastAsia="Arial" w:hAnsi="Arial"/>
          <w:sz w:val="18"/>
          <w:szCs w:val="18"/>
          <w:color w:val="auto"/>
        </w:rPr>
      </w:pPr>
    </w:p>
    <w:p>
      <w:pPr>
        <w:ind w:left="446" w:right="40" w:hanging="446"/>
        <w:spacing w:after="0" w:line="256"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Except as agreed by counsel in writing, the opinion shall be solely for the benefit of the addressees thereof and the Underwriters and may be relied upon solely by such addressees and Underwriters in connection with the transactions contemplated by the Agreement. Such opinion shall state that Sidley Austin Brown &amp; Wood </w:t>
      </w:r>
      <w:r>
        <w:rPr>
          <w:rFonts w:ascii="Arial" w:cs="Arial" w:eastAsia="Arial" w:hAnsi="Arial"/>
          <w:sz w:val="14"/>
          <w:szCs w:val="14"/>
          <w:color w:val="auto"/>
        </w:rPr>
        <w:t>LLP</w:t>
      </w:r>
      <w:r>
        <w:rPr>
          <w:rFonts w:ascii="Arial" w:cs="Arial" w:eastAsia="Arial" w:hAnsi="Arial"/>
          <w:sz w:val="18"/>
          <w:szCs w:val="18"/>
          <w:color w:val="auto"/>
        </w:rPr>
        <w:t>, counsel for the Underwriters, may rely on such opinion as to all matters arising under or governed by the laws of the State of Maryland in rendering their opinion pursuant to the</w:t>
      </w:r>
    </w:p>
    <w:p>
      <w:pPr>
        <w:spacing w:after="0" w:line="130"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26"/>
          </w:cols>
          <w:pgMar w:left="694" w:top="280" w:right="279" w:bottom="1440" w:gutter="0" w:footer="0" w:header="0"/>
        </w:sectPr>
      </w:pPr>
    </w:p>
    <w:bookmarkStart w:id="29" w:name="page30"/>
    <w:bookmarkEnd w:id="2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Underwriting Agreement. Without counsel’s express permission, the opinion letter may not be used, circulated, quoted or otherwise referred to for any purpose except as stated therein.</w:t>
      </w:r>
    </w:p>
    <w:p>
      <w:pPr>
        <w:spacing w:after="0" w:line="11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280"/>
          </w:cols>
          <w:pgMar w:left="1160" w:top="280" w:right="459" w:bottom="1440" w:gutter="0" w:footer="0" w:header="0"/>
        </w:sectPr>
      </w:pPr>
    </w:p>
    <w:bookmarkStart w:id="30" w:name="page31"/>
    <w:bookmarkEnd w:id="30"/>
    <w:p>
      <w:pPr>
        <w:ind w:left="10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A-1</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Indenture dated December 13, 1993, related to the Company’s 7.48% Debentures due August 15, 2026; 6 5/8% Notes due 2005; 6.82% Medium Term Notes due August 1, 2027; and 6.99% Medium Term Notes due March 10, 2006, filed with the Commission on December 13, 1993 as Exhibit 4(a) to the Company’s Registration Statement on Form S-3 (File No. 33-51029).</w:t>
      </w:r>
    </w:p>
    <w:p>
      <w:pPr>
        <w:spacing w:after="0" w:line="127"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 xml:space="preserve">Indenture dated September 1, 1998 related to the Company’s 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Notes due November 15, 2007 and 8.75% Notes due December 1, 2009 filed as Exhibit 4(a) to the Company’s Registration Statement on Form S-3 (File No. 333-63619).</w:t>
      </w:r>
    </w:p>
    <w:p>
      <w:pPr>
        <w:spacing w:after="0" w:line="14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Credit Agreement dated as of October 8, 2003, by and among the Company, as Borrower, The Financial Institutions Party Thereto and Their Assignees Under Section 13.5.(a), as Lenders, Wachovia Capital Markets, LLC as sole Lead Arranger and Administrative Agent, Commerzbank, New York Branch as the sole Syndication Agent, Wells Fargo Bank N.A., Bank One and SunTrust Bank as Documentation Agents, and PNC Real Estate Finance, Eurohypo AG, New York Branch and Fleet National Bank as Managing Agents.</w:t>
      </w:r>
    </w:p>
    <w:p>
      <w:pPr>
        <w:sectPr>
          <w:pgSz w:w="11900" w:h="16838" w:orient="portrait"/>
          <w:cols w:equalWidth="0" w:num="1">
            <w:col w:w="11420"/>
          </w:cols>
          <w:pgMar w:left="240" w:top="274" w:right="239" w:bottom="1440" w:gutter="0" w:footer="0" w:header="0"/>
        </w:sectPr>
      </w:pPr>
    </w:p>
    <w:bookmarkStart w:id="31" w:name="page32"/>
    <w:bookmarkEnd w:id="31"/>
    <w:p>
      <w:pPr>
        <w:ind w:left="106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29,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ERRILL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YNCH</w:t>
      </w:r>
      <w:r>
        <w:rPr>
          <w:rFonts w:ascii="Arial" w:cs="Arial" w:eastAsia="Arial" w:hAnsi="Arial"/>
          <w:sz w:val="18"/>
          <w:szCs w:val="18"/>
          <w:b w:val="1"/>
          <w:bCs w:val="1"/>
          <w:color w:val="auto"/>
        </w:rPr>
        <w:t>, P</w:t>
      </w:r>
      <w:r>
        <w:rPr>
          <w:rFonts w:ascii="Arial" w:cs="Arial" w:eastAsia="Arial" w:hAnsi="Arial"/>
          <w:sz w:val="14"/>
          <w:szCs w:val="14"/>
          <w:b w:val="1"/>
          <w:bCs w:val="1"/>
          <w:color w:val="auto"/>
        </w:rPr>
        <w:t>IERCE</w:t>
      </w:r>
      <w:r>
        <w:rPr>
          <w:rFonts w:ascii="Arial" w:cs="Arial" w:eastAsia="Arial" w:hAnsi="Arial"/>
          <w:sz w:val="18"/>
          <w:szCs w:val="18"/>
          <w:b w:val="1"/>
          <w:bCs w:val="1"/>
          <w:color w:val="auto"/>
        </w:rPr>
        <w:t>, F</w:t>
      </w:r>
      <w:r>
        <w:rPr>
          <w:rFonts w:ascii="Arial" w:cs="Arial" w:eastAsia="Arial" w:hAnsi="Arial"/>
          <w:sz w:val="14"/>
          <w:szCs w:val="14"/>
          <w:b w:val="1"/>
          <w:bCs w:val="1"/>
          <w:color w:val="auto"/>
        </w:rPr>
        <w:t>ENNER</w:t>
      </w:r>
      <w:r>
        <w:rPr>
          <w:rFonts w:ascii="Arial" w:cs="Arial" w:eastAsia="Arial" w:hAnsi="Arial"/>
          <w:sz w:val="18"/>
          <w:szCs w:val="18"/>
          <w:b w:val="1"/>
          <w:bCs w:val="1"/>
          <w:color w:val="auto"/>
        </w:rPr>
        <w:t xml:space="preserve"> &amp; S</w:t>
      </w:r>
      <w:r>
        <w:rPr>
          <w:rFonts w:ascii="Arial" w:cs="Arial" w:eastAsia="Arial" w:hAnsi="Arial"/>
          <w:sz w:val="14"/>
          <w:szCs w:val="14"/>
          <w:b w:val="1"/>
          <w:bCs w:val="1"/>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w:t>
      </w:r>
      <w:r>
        <w:rPr>
          <w:rFonts w:ascii="Arial" w:cs="Arial" w:eastAsia="Arial" w:hAnsi="Arial"/>
          <w:sz w:val="14"/>
          <w:szCs w:val="14"/>
          <w:b w:val="1"/>
          <w:bCs w:val="1"/>
          <w:color w:val="auto"/>
        </w:rPr>
        <w:t>ORGAN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C</w:t>
      </w:r>
      <w:r>
        <w:rPr>
          <w:rFonts w:ascii="Arial" w:cs="Arial" w:eastAsia="Arial" w:hAnsi="Arial"/>
          <w:sz w:val="17"/>
          <w:szCs w:val="17"/>
          <w:color w:val="auto"/>
        </w:rPr>
        <w:t>/</w:t>
      </w:r>
      <w:r>
        <w:rPr>
          <w:rFonts w:ascii="Arial" w:cs="Arial" w:eastAsia="Arial" w:hAnsi="Arial"/>
          <w:sz w:val="15"/>
          <w:szCs w:val="15"/>
          <w:color w:val="auto"/>
        </w:rPr>
        <w:t>O</w:t>
      </w:r>
      <w:r>
        <w:rPr>
          <w:sz w:val="20"/>
          <w:szCs w:val="20"/>
          <w:color w:val="auto"/>
        </w:rPr>
        <w:tab/>
      </w:r>
      <w:r>
        <w:rPr>
          <w:rFonts w:ascii="Arial" w:cs="Arial" w:eastAsia="Arial" w:hAnsi="Arial"/>
          <w:sz w:val="16"/>
          <w:szCs w:val="16"/>
          <w:color w:val="auto"/>
        </w:rPr>
        <w:t>Wachovia Capital Markets, LLC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Saint Paul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Baltimore, MD 21202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November 29, 2005 (the “Underwriting Agreement”), between the Company on the one hand and Wachovia Capital Markets, LLC, Citigroup Global Markets Inc., Bear, Stearns &amp; Co. Inc., Merrill Lynch, Pierce, Fenner &amp; Smith Incorporated, Commerzbank Capital Markets Corp., J.P. Morgan Securities Inc. and PNC Capital Markets, Inc. on the other hand, to issue and sell to the Underwriters named in Schedule I hereto (the “Underwriters”) the Securities specified in Schedules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w:t>
      </w:r>
    </w:p>
    <w:p>
      <w:pPr>
        <w:sectPr>
          <w:pgSz w:w="11900" w:h="16838" w:orient="portrait"/>
          <w:cols w:equalWidth="0" w:num="1">
            <w:col w:w="11420"/>
          </w:cols>
          <w:pgMar w:left="240" w:top="274" w:right="239" w:bottom="1440" w:gutter="0" w:footer="0" w:header="0"/>
        </w:sectPr>
      </w:pPr>
    </w:p>
    <w:bookmarkStart w:id="32" w:name="page33"/>
    <w:bookmarkEnd w:id="32"/>
    <w:p>
      <w:pPr>
        <w:jc w:val="both"/>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Underwriters pursuant to Section 12 of the Underwriting Agreement are Wachovia Capital Markets, LLC and Citigroup Global Markets Inc., and the address of the Representatives referred to in such Section 12 are set forth in Schedule II hereto.</w:t>
      </w:r>
    </w:p>
    <w:p>
      <w:pPr>
        <w:spacing w:after="0" w:line="9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58"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33" w:name="page34"/>
    <w:bookmarkEnd w:id="33"/>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as of the date hereof:</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ERRILL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YNCH</w:t>
      </w:r>
      <w:r>
        <w:rPr>
          <w:rFonts w:ascii="Arial" w:cs="Arial" w:eastAsia="Arial" w:hAnsi="Arial"/>
          <w:sz w:val="18"/>
          <w:szCs w:val="18"/>
          <w:b w:val="1"/>
          <w:bCs w:val="1"/>
          <w:color w:val="auto"/>
        </w:rPr>
        <w:t>, P</w:t>
      </w:r>
      <w:r>
        <w:rPr>
          <w:rFonts w:ascii="Arial" w:cs="Arial" w:eastAsia="Arial" w:hAnsi="Arial"/>
          <w:sz w:val="14"/>
          <w:szCs w:val="14"/>
          <w:b w:val="1"/>
          <w:bCs w:val="1"/>
          <w:color w:val="auto"/>
        </w:rPr>
        <w:t>IERCE</w:t>
      </w:r>
      <w:r>
        <w:rPr>
          <w:rFonts w:ascii="Arial" w:cs="Arial" w:eastAsia="Arial" w:hAnsi="Arial"/>
          <w:sz w:val="18"/>
          <w:szCs w:val="18"/>
          <w:b w:val="1"/>
          <w:bCs w:val="1"/>
          <w:color w:val="auto"/>
        </w:rPr>
        <w:t>, F</w:t>
      </w:r>
      <w:r>
        <w:rPr>
          <w:rFonts w:ascii="Arial" w:cs="Arial" w:eastAsia="Arial" w:hAnsi="Arial"/>
          <w:sz w:val="14"/>
          <w:szCs w:val="14"/>
          <w:b w:val="1"/>
          <w:bCs w:val="1"/>
          <w:color w:val="auto"/>
        </w:rPr>
        <w:t>ENNER</w:t>
      </w:r>
      <w:r>
        <w:rPr>
          <w:rFonts w:ascii="Arial" w:cs="Arial" w:eastAsia="Arial" w:hAnsi="Arial"/>
          <w:sz w:val="18"/>
          <w:szCs w:val="18"/>
          <w:b w:val="1"/>
          <w:bCs w:val="1"/>
          <w:color w:val="auto"/>
        </w:rPr>
        <w:t xml:space="preserve"> &amp; S</w:t>
      </w:r>
      <w:r>
        <w:rPr>
          <w:rFonts w:ascii="Arial" w:cs="Arial" w:eastAsia="Arial" w:hAnsi="Arial"/>
          <w:sz w:val="14"/>
          <w:szCs w:val="14"/>
          <w:b w:val="1"/>
          <w:bCs w:val="1"/>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NCORPORATED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w:t>
      </w:r>
      <w:r>
        <w:rPr>
          <w:rFonts w:ascii="Arial" w:cs="Arial" w:eastAsia="Arial" w:hAnsi="Arial"/>
          <w:sz w:val="14"/>
          <w:szCs w:val="14"/>
          <w:b w:val="1"/>
          <w:bCs w:val="1"/>
          <w:color w:val="auto"/>
        </w:rPr>
        <w:t>ORGAN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Wachovia Capital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36830</wp:posOffset>
            </wp:positionV>
            <wp:extent cx="25215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36830</wp:posOffset>
            </wp:positionV>
            <wp:extent cx="2521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240" w:top="280" w:right="5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SCHEDULE I</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Principal Amount of</w:t>
            </w:r>
          </w:p>
        </w:tc>
        <w:tc>
          <w:tcPr>
            <w:tcW w:w="0" w:type="dxa"/>
            <w:vAlign w:val="bottom"/>
          </w:tcPr>
          <w:p>
            <w:pPr>
              <w:spacing w:after="0"/>
              <w:rPr>
                <w:sz w:val="1"/>
                <w:szCs w:val="1"/>
                <w:color w:val="auto"/>
              </w:rPr>
            </w:pPr>
          </w:p>
        </w:tc>
      </w:tr>
      <w:tr>
        <w:trPr>
          <w:trHeight w:val="174"/>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402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83"/>
              </w:rPr>
              <w:t>Designated Securities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414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5"/>
              </w:rPr>
              <w:t>Merrill Lynch, Pierce, Fenner &amp; Smith Incorporated</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Commerzbank Capital Markets Corp.</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J.P. Morgan Securities Inc.</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Inc.</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14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5796915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-29210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9140"/>
          </w:cols>
          <w:pgMar w:left="1380" w:top="280" w:right="1379" w:bottom="1440" w:gutter="0" w:footer="0" w:header="0"/>
        </w:sectPr>
      </w:pPr>
    </w:p>
    <w:bookmarkStart w:id="35" w:name="page36"/>
    <w:bookmarkEnd w:id="35"/>
    <w:p>
      <w:pPr>
        <w:jc w:val="center"/>
        <w:ind w:right="-4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5.65% Notes due 2016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$125,000,000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of the principal amount of the Designated Securities, plus accrued interest from December 2,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99.35% of the principal amount of the Designated Securities, plus accrued interest from December 2,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Indenture dated as of September 1, 1998, between the Company and Wachovia Bank, National Association (formerly, First Union National Bank), as Trustee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 2016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5.65%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 and December 1, commencing June 1, 2006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Designated Securities may be redeemed at any time, in whole or in part, at a redemption price as described in the Prospectus Supplement</w:t>
      </w:r>
    </w:p>
    <w:p>
      <w:pPr>
        <w:sectPr>
          <w:pgSz w:w="11900" w:h="16838" w:orient="portrait"/>
          <w:cols w:equalWidth="0" w:num="1">
            <w:col w:w="10940"/>
          </w:cols>
          <w:pgMar w:left="240" w:top="280" w:right="7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Sinking Fund Provisions: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83" w:lineRule="exact"/>
        <w:rPr>
          <w:sz w:val="20"/>
          <w:szCs w:val="20"/>
          <w:color w:val="auto"/>
        </w:rPr>
      </w:pPr>
    </w:p>
    <w:p>
      <w:pPr>
        <w:ind w:right="3660" w:firstLine="456"/>
        <w:spacing w:after="0" w:line="375" w:lineRule="auto"/>
        <w:rPr>
          <w:sz w:val="20"/>
          <w:szCs w:val="20"/>
          <w:color w:val="auto"/>
        </w:rPr>
      </w:pPr>
      <w:r>
        <w:rPr>
          <w:rFonts w:ascii="Arial" w:cs="Arial" w:eastAsia="Arial" w:hAnsi="Arial"/>
          <w:sz w:val="18"/>
          <w:szCs w:val="18"/>
          <w:color w:val="auto"/>
        </w:rPr>
        <w:t xml:space="preserve">The defeasance and covenant defeasance provisions of the Indenture apply to the Designated Securities </w:t>
      </w:r>
      <w:r>
        <w:rPr>
          <w:rFonts w:ascii="Arial" w:cs="Arial" w:eastAsia="Arial" w:hAnsi="Arial"/>
          <w:sz w:val="18"/>
          <w:szCs w:val="18"/>
          <w:b w:val="1"/>
          <w:bCs w:val="1"/>
          <w:color w:val="auto"/>
        </w:rPr>
        <w:t>Time of Delivery: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2,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Brown &amp; Wood </w:t>
      </w:r>
      <w:r>
        <w:rPr>
          <w:rFonts w:ascii="Arial" w:cs="Arial" w:eastAsia="Arial" w:hAnsi="Arial"/>
          <w:sz w:val="14"/>
          <w:szCs w:val="14"/>
          <w:color w:val="auto"/>
        </w:rPr>
        <w:t>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Names and addresses of Representative(s):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Designated Representative(s):</w:t>
      </w:r>
    </w:p>
    <w:p>
      <w:pPr>
        <w:spacing w:after="0" w:line="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Wachovia Capital Markets, LLC and Citigroup Global Markets Inc., on behalf of themselves and Bear, Stearns &amp; Co. Inc., Merrill Lynch, Pierce, Fenner &amp; Smith Incorporated, Commerzbank Capital Markets Corp., J.P. Morgan Securities Inc. and PNC Capital Markets, Inc.</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 for Notices, etc.:</w:t>
      </w:r>
    </w:p>
    <w:p>
      <w:pPr>
        <w:sectPr>
          <w:pgSz w:w="11900" w:h="16838" w:orient="portrait"/>
          <w:cols w:equalWidth="0" w:num="1">
            <w:col w:w="11380"/>
          </w:cols>
          <w:pgMar w:left="240" w:top="274" w:right="279" w:bottom="1440" w:gutter="0" w:footer="0" w:header="0"/>
        </w:sectPr>
      </w:pPr>
    </w:p>
    <w:p>
      <w:pPr>
        <w:spacing w:after="0" w:line="7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c/o</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Wachovia Capital Markets, LLC</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7 Saint Paul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Baltimore, MD 21202</w:t>
      </w:r>
    </w:p>
    <w:p>
      <w:pPr>
        <w:spacing w:after="0" w:line="151" w:lineRule="exact"/>
        <w:rPr>
          <w:sz w:val="20"/>
          <w:szCs w:val="20"/>
          <w:color w:val="auto"/>
        </w:rPr>
      </w:pPr>
    </w:p>
    <w:p>
      <w:pPr>
        <w:sectPr>
          <w:pgSz w:w="11900" w:h="16838" w:orient="portrait"/>
          <w:cols w:equalWidth="0" w:num="2">
            <w:col w:w="1120" w:space="360"/>
            <w:col w:w="9900"/>
          </w:cols>
          <w:pgMar w:left="240" w:top="274" w:right="279" w:bottom="1440" w:gutter="0" w:footer="0" w:header="0"/>
          <w:type w:val="continuous"/>
        </w:sectPr>
      </w:pPr>
    </w:p>
    <w:p>
      <w:pPr>
        <w:ind w:left="150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Citigroup Global Markets Inc.</w:t>
      </w:r>
    </w:p>
    <w:p>
      <w:pPr>
        <w:spacing w:after="0" w:line="3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New York, New York 10013</w:t>
      </w:r>
    </w:p>
    <w:p>
      <w:pPr>
        <w:sectPr>
          <w:pgSz w:w="11900" w:h="16838" w:orient="portrait"/>
          <w:cols w:equalWidth="0" w:num="1">
            <w:col w:w="11380"/>
          </w:cols>
          <w:pgMar w:left="240" w:top="274" w:right="279" w:bottom="1440" w:gutter="0" w:footer="0" w:header="0"/>
          <w:type w:val="continuous"/>
        </w:sectPr>
      </w:pP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80"/>
          </w:cols>
          <w:pgMar w:left="240" w:top="274" w:right="27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II</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 PRESIDENT AND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7(f) OF THE UNDERWRITING AGREEMENT</w:t>
      </w:r>
    </w:p>
    <w:p>
      <w:pPr>
        <w:spacing w:after="0" w:line="15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 Donald C. Wood, the President and Chief Executive Officer and a Trustee, and I, Larry E. Finger, the Executive Vice President and Chief Financial Officer, of Federal Realty Investment Trust, certify that:</w:t>
      </w:r>
    </w:p>
    <w:p>
      <w:pPr>
        <w:spacing w:after="0" w:line="3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Annual Report on Form 10-K for the year ended December 31, 2004, and Quarterly Reports on Form 10-Q for the fiscal quarters ended</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March 31, 2005, June 30, 2005 and September 30, 2005, and the Current Report on Form 8-K filed with the Securities and Exchange Commission on March 2, 2005 (collectively, the “Reports”), fully comply with the requirements of Section 13(a) or 15(d) of the Securities and Exchange Act of 1934; and</w:t>
      </w:r>
    </w:p>
    <w:p>
      <w:pPr>
        <w:spacing w:after="0" w:line="49" w:lineRule="exact"/>
        <w:rPr>
          <w:rFonts w:ascii="Arial" w:cs="Arial" w:eastAsia="Arial" w:hAnsi="Arial"/>
          <w:sz w:val="16"/>
          <w:szCs w:val="16"/>
          <w:color w:val="auto"/>
        </w:rPr>
      </w:pPr>
    </w:p>
    <w:p>
      <w:pPr>
        <w:ind w:left="900" w:right="22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each Report fairly presents, in all material respects, the financial condition and results of operations of Federal Realty Investment Trust as of its date of filing with the Securities and Exchange Commission.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173990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Donald C. Wood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 and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221615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Larry E. Finger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274" w:right="239" w:bottom="1440" w:gutter="0" w:footer="0" w:header="0"/>
        </w:sectPr>
      </w:pPr>
    </w:p>
    <w:bookmarkStart w:id="38" w:name="page39"/>
    <w:bookmarkEnd w:id="38"/>
    <w:p>
      <w:pPr>
        <w:ind w:left="10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III</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jc w:val="center"/>
              <w:ind w:right="260"/>
              <w:spacing w:after="0"/>
              <w:rPr>
                <w:sz w:val="20"/>
                <w:szCs w:val="20"/>
                <w:color w:val="auto"/>
              </w:rPr>
            </w:pPr>
            <w:r>
              <w:rPr>
                <w:rFonts w:ascii="Arial" w:cs="Arial" w:eastAsia="Arial" w:hAnsi="Arial"/>
                <w:sz w:val="14"/>
                <w:szCs w:val="14"/>
                <w:b w:val="1"/>
                <w:bCs w:val="1"/>
                <w:color w:val="auto"/>
                <w:w w:val="87"/>
              </w:rPr>
              <w:t>Company’s Direct or</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Indirect Ownership</w:t>
            </w:r>
          </w:p>
        </w:tc>
        <w:tc>
          <w:tcPr>
            <w:tcW w:w="0" w:type="dxa"/>
            <w:vAlign w:val="bottom"/>
          </w:tcPr>
          <w:p>
            <w:pPr>
              <w:spacing w:after="0"/>
              <w:rPr>
                <w:sz w:val="1"/>
                <w:szCs w:val="1"/>
                <w:color w:val="auto"/>
              </w:rPr>
            </w:pPr>
          </w:p>
        </w:tc>
      </w:tr>
      <w:tr>
        <w:trPr>
          <w:trHeight w:val="174"/>
        </w:trPr>
        <w:tc>
          <w:tcPr>
            <w:tcW w:w="8580" w:type="dxa"/>
            <w:vAlign w:val="bottom"/>
            <w:gridSpan w:val="2"/>
          </w:tcPr>
          <w:p>
            <w:pPr>
              <w:spacing w:after="0"/>
              <w:rPr>
                <w:sz w:val="20"/>
                <w:szCs w:val="20"/>
                <w:color w:val="auto"/>
              </w:rPr>
            </w:pPr>
            <w:r>
              <w:rPr>
                <w:rFonts w:ascii="Arial" w:cs="Arial" w:eastAsia="Arial" w:hAnsi="Arial"/>
                <w:sz w:val="14"/>
                <w:szCs w:val="14"/>
                <w:b w:val="1"/>
                <w:bCs w:val="1"/>
                <w:color w:val="auto"/>
              </w:rPr>
              <w:t>FEDERAL REALTY INVESTMENT TRUST</w:t>
            </w:r>
          </w:p>
        </w:tc>
        <w:tc>
          <w:tcPr>
            <w:tcW w:w="340" w:type="dxa"/>
            <w:vAlign w:val="bottom"/>
          </w:tcPr>
          <w:p>
            <w:pPr>
              <w:spacing w:after="0"/>
              <w:rPr>
                <w:sz w:val="15"/>
                <w:szCs w:val="15"/>
                <w:color w:val="auto"/>
              </w:rPr>
            </w:pPr>
          </w:p>
        </w:tc>
        <w:tc>
          <w:tcPr>
            <w:tcW w:w="2500" w:type="dxa"/>
            <w:vAlign w:val="bottom"/>
          </w:tcPr>
          <w:p>
            <w:pPr>
              <w:jc w:val="center"/>
              <w:ind w:right="260"/>
              <w:spacing w:after="0"/>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95"/>
        </w:trPr>
        <w:tc>
          <w:tcPr>
            <w:tcW w:w="3500" w:type="dxa"/>
            <w:vAlign w:val="bottom"/>
            <w:tcBorders>
              <w:bottom w:val="single" w:sz="8" w:color="auto"/>
            </w:tcBorders>
          </w:tcPr>
          <w:p>
            <w:pPr>
              <w:spacing w:after="0"/>
              <w:rPr>
                <w:sz w:val="8"/>
                <w:szCs w:val="8"/>
                <w:color w:val="auto"/>
              </w:rPr>
            </w:pPr>
          </w:p>
        </w:tc>
        <w:tc>
          <w:tcPr>
            <w:tcW w:w="50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8580" w:type="dxa"/>
            <w:vAlign w:val="bottom"/>
            <w:gridSpan w:val="2"/>
          </w:tcPr>
          <w:p>
            <w:pPr>
              <w:spacing w:after="0"/>
              <w:rPr>
                <w:sz w:val="20"/>
                <w:szCs w:val="20"/>
                <w:color w:val="auto"/>
              </w:rPr>
            </w:pPr>
            <w:r>
              <w:rPr>
                <w:rFonts w:ascii="Arial" w:cs="Arial" w:eastAsia="Arial" w:hAnsi="Arial"/>
                <w:sz w:val="18"/>
                <w:szCs w:val="18"/>
                <w:color w:val="auto"/>
              </w:rPr>
              <w:t>FR Associates Limited Partnership (“FR”)</w:t>
            </w:r>
          </w:p>
        </w:tc>
        <w:tc>
          <w:tcPr>
            <w:tcW w:w="340" w:type="dxa"/>
            <w:vAlign w:val="bottom"/>
          </w:tcPr>
          <w:p>
            <w:pPr>
              <w:spacing w:after="0"/>
              <w:rPr>
                <w:sz w:val="20"/>
                <w:szCs w:val="20"/>
                <w:color w:val="auto"/>
              </w:rPr>
            </w:pPr>
            <w:r>
              <w:rPr>
                <w:rFonts w:ascii="Arial" w:cs="Arial" w:eastAsia="Arial" w:hAnsi="Arial"/>
                <w:sz w:val="18"/>
                <w:szCs w:val="18"/>
                <w:color w:val="auto"/>
                <w:w w:val="88"/>
              </w:rPr>
              <w:t>99%</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Andorra Associates</w:t>
            </w:r>
          </w:p>
        </w:tc>
        <w:tc>
          <w:tcPr>
            <w:tcW w:w="340" w:type="dxa"/>
            <w:vAlign w:val="bottom"/>
          </w:tcPr>
          <w:p>
            <w:pPr>
              <w:spacing w:after="0"/>
              <w:rPr>
                <w:sz w:val="20"/>
                <w:szCs w:val="20"/>
                <w:color w:val="auto"/>
              </w:rPr>
            </w:pPr>
            <w:r>
              <w:rPr>
                <w:rFonts w:ascii="Arial" w:cs="Arial" w:eastAsia="Arial" w:hAnsi="Arial"/>
                <w:sz w:val="18"/>
                <w:szCs w:val="18"/>
                <w:color w:val="auto"/>
                <w:w w:val="88"/>
              </w:rPr>
              <w:t>99%</w:t>
            </w:r>
          </w:p>
        </w:tc>
        <w:tc>
          <w:tcPr>
            <w:tcW w:w="2500" w:type="dxa"/>
            <w:vAlign w:val="bottom"/>
          </w:tcPr>
          <w:p>
            <w:pPr>
              <w:ind w:left="20"/>
              <w:spacing w:after="0"/>
              <w:rPr>
                <w:sz w:val="20"/>
                <w:szCs w:val="20"/>
                <w:color w:val="auto"/>
              </w:rPr>
            </w:pPr>
            <w:r>
              <w:rPr>
                <w:rFonts w:ascii="Arial" w:cs="Arial" w:eastAsia="Arial" w:hAnsi="Arial"/>
                <w:sz w:val="18"/>
                <w:szCs w:val="18"/>
                <w:color w:val="auto"/>
              </w:rPr>
              <w:t>(1% FR)</w:t>
            </w:r>
          </w:p>
        </w:tc>
        <w:tc>
          <w:tcPr>
            <w:tcW w:w="0" w:type="dxa"/>
            <w:vAlign w:val="bottom"/>
          </w:tcPr>
          <w:p>
            <w:pPr>
              <w:spacing w:after="0"/>
              <w:rPr>
                <w:sz w:val="1"/>
                <w:szCs w:val="1"/>
                <w:color w:val="auto"/>
              </w:rPr>
            </w:pP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Governor Plaza Associates</w:t>
            </w:r>
          </w:p>
        </w:tc>
        <w:tc>
          <w:tcPr>
            <w:tcW w:w="340" w:type="dxa"/>
            <w:vAlign w:val="bottom"/>
          </w:tcPr>
          <w:p>
            <w:pPr>
              <w:spacing w:after="0"/>
              <w:rPr>
                <w:sz w:val="20"/>
                <w:szCs w:val="20"/>
                <w:color w:val="auto"/>
              </w:rPr>
            </w:pPr>
            <w:r>
              <w:rPr>
                <w:rFonts w:ascii="Arial" w:cs="Arial" w:eastAsia="Arial" w:hAnsi="Arial"/>
                <w:sz w:val="18"/>
                <w:szCs w:val="18"/>
                <w:color w:val="auto"/>
                <w:w w:val="88"/>
              </w:rPr>
              <w:t>99%</w:t>
            </w:r>
          </w:p>
        </w:tc>
        <w:tc>
          <w:tcPr>
            <w:tcW w:w="2500" w:type="dxa"/>
            <w:vAlign w:val="bottom"/>
          </w:tcPr>
          <w:p>
            <w:pPr>
              <w:ind w:left="20"/>
              <w:spacing w:after="0"/>
              <w:rPr>
                <w:sz w:val="20"/>
                <w:szCs w:val="20"/>
                <w:color w:val="auto"/>
              </w:rPr>
            </w:pPr>
            <w:r>
              <w:rPr>
                <w:rFonts w:ascii="Arial" w:cs="Arial" w:eastAsia="Arial" w:hAnsi="Arial"/>
                <w:sz w:val="18"/>
                <w:szCs w:val="18"/>
                <w:color w:val="auto"/>
              </w:rPr>
              <w:t>(1% FR)</w:t>
            </w:r>
          </w:p>
        </w:tc>
        <w:tc>
          <w:tcPr>
            <w:tcW w:w="0" w:type="dxa"/>
            <w:vAlign w:val="bottom"/>
          </w:tcPr>
          <w:p>
            <w:pPr>
              <w:spacing w:after="0"/>
              <w:rPr>
                <w:sz w:val="1"/>
                <w:szCs w:val="1"/>
                <w:color w:val="auto"/>
              </w:rPr>
            </w:pP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Shopping Center Associates</w:t>
            </w:r>
          </w:p>
        </w:tc>
        <w:tc>
          <w:tcPr>
            <w:tcW w:w="340" w:type="dxa"/>
            <w:vAlign w:val="bottom"/>
          </w:tcPr>
          <w:p>
            <w:pPr>
              <w:spacing w:after="0"/>
              <w:rPr>
                <w:sz w:val="20"/>
                <w:szCs w:val="20"/>
                <w:color w:val="auto"/>
              </w:rPr>
            </w:pPr>
            <w:r>
              <w:rPr>
                <w:rFonts w:ascii="Arial" w:cs="Arial" w:eastAsia="Arial" w:hAnsi="Arial"/>
                <w:sz w:val="18"/>
                <w:szCs w:val="18"/>
                <w:color w:val="auto"/>
                <w:w w:val="88"/>
              </w:rPr>
              <w:t>99%</w:t>
            </w:r>
          </w:p>
        </w:tc>
        <w:tc>
          <w:tcPr>
            <w:tcW w:w="2500" w:type="dxa"/>
            <w:vAlign w:val="bottom"/>
          </w:tcPr>
          <w:p>
            <w:pPr>
              <w:ind w:left="20"/>
              <w:spacing w:after="0"/>
              <w:rPr>
                <w:sz w:val="20"/>
                <w:szCs w:val="20"/>
                <w:color w:val="auto"/>
              </w:rPr>
            </w:pPr>
            <w:r>
              <w:rPr>
                <w:rFonts w:ascii="Arial" w:cs="Arial" w:eastAsia="Arial" w:hAnsi="Arial"/>
                <w:sz w:val="18"/>
                <w:szCs w:val="18"/>
                <w:color w:val="auto"/>
              </w:rPr>
              <w:t>(1% FR)</w:t>
            </w:r>
          </w:p>
        </w:tc>
        <w:tc>
          <w:tcPr>
            <w:tcW w:w="0" w:type="dxa"/>
            <w:vAlign w:val="bottom"/>
          </w:tcPr>
          <w:p>
            <w:pPr>
              <w:spacing w:after="0"/>
              <w:rPr>
                <w:sz w:val="1"/>
                <w:szCs w:val="1"/>
                <w:color w:val="auto"/>
              </w:rPr>
            </w:pP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Berman Enterprises II Limited Partnership</w:t>
            </w:r>
          </w:p>
        </w:tc>
        <w:tc>
          <w:tcPr>
            <w:tcW w:w="340" w:type="dxa"/>
            <w:vAlign w:val="bottom"/>
          </w:tcPr>
          <w:p>
            <w:pPr>
              <w:spacing w:after="0"/>
              <w:rPr>
                <w:sz w:val="20"/>
                <w:szCs w:val="20"/>
                <w:color w:val="auto"/>
              </w:rPr>
            </w:pPr>
            <w:r>
              <w:rPr>
                <w:rFonts w:ascii="Arial" w:cs="Arial" w:eastAsia="Arial" w:hAnsi="Arial"/>
                <w:sz w:val="18"/>
                <w:szCs w:val="18"/>
                <w:color w:val="auto"/>
                <w:w w:val="88"/>
              </w:rPr>
              <w:t>99%</w:t>
            </w:r>
          </w:p>
        </w:tc>
        <w:tc>
          <w:tcPr>
            <w:tcW w:w="2500" w:type="dxa"/>
            <w:vAlign w:val="bottom"/>
          </w:tcPr>
          <w:p>
            <w:pPr>
              <w:ind w:left="20"/>
              <w:spacing w:after="0"/>
              <w:rPr>
                <w:sz w:val="20"/>
                <w:szCs w:val="20"/>
                <w:color w:val="auto"/>
              </w:rPr>
            </w:pPr>
            <w:r>
              <w:rPr>
                <w:rFonts w:ascii="Arial" w:cs="Arial" w:eastAsia="Arial" w:hAnsi="Arial"/>
                <w:sz w:val="18"/>
                <w:szCs w:val="18"/>
                <w:color w:val="auto"/>
              </w:rPr>
              <w:t>(1% FR)</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FRIT Escondido Promenade, LLC</w:t>
            </w:r>
          </w:p>
        </w:tc>
        <w:tc>
          <w:tcPr>
            <w:tcW w:w="340" w:type="dxa"/>
            <w:vAlign w:val="bottom"/>
          </w:tcPr>
          <w:p>
            <w:pPr>
              <w:spacing w:after="0"/>
              <w:rPr>
                <w:sz w:val="20"/>
                <w:szCs w:val="20"/>
                <w:color w:val="auto"/>
              </w:rPr>
            </w:pPr>
            <w:r>
              <w:rPr>
                <w:rFonts w:ascii="Arial" w:cs="Arial" w:eastAsia="Arial" w:hAnsi="Arial"/>
                <w:sz w:val="18"/>
                <w:szCs w:val="18"/>
                <w:color w:val="auto"/>
                <w:w w:val="88"/>
              </w:rPr>
              <w:t>70%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FRIT Leasing &amp; Development Services, Inc. (“FRIT L&amp;D”)</w:t>
            </w:r>
          </w:p>
        </w:tc>
        <w:tc>
          <w:tcPr>
            <w:tcW w:w="2840" w:type="dxa"/>
            <w:vAlign w:val="bottom"/>
            <w:gridSpan w:val="2"/>
          </w:tcPr>
          <w:p>
            <w:pPr>
              <w:spacing w:after="0"/>
              <w:rPr>
                <w:sz w:val="20"/>
                <w:szCs w:val="20"/>
                <w:color w:val="auto"/>
              </w:rPr>
            </w:pPr>
            <w:r>
              <w:rPr>
                <w:rFonts w:ascii="Arial" w:cs="Arial" w:eastAsia="Arial" w:hAnsi="Arial"/>
                <w:sz w:val="18"/>
                <w:szCs w:val="18"/>
                <w:color w:val="auto"/>
              </w:rPr>
              <w:t>100% voting stock</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FRIT Santana Row TRS, Inc.</w:t>
            </w:r>
          </w:p>
        </w:tc>
        <w:tc>
          <w:tcPr>
            <w:tcW w:w="2840" w:type="dxa"/>
            <w:vAlign w:val="bottom"/>
            <w:gridSpan w:val="2"/>
          </w:tcPr>
          <w:p>
            <w:pPr>
              <w:spacing w:after="0"/>
              <w:rPr>
                <w:sz w:val="20"/>
                <w:szCs w:val="20"/>
                <w:color w:val="auto"/>
              </w:rPr>
            </w:pPr>
            <w:r>
              <w:rPr>
                <w:rFonts w:ascii="Arial" w:cs="Arial" w:eastAsia="Arial" w:hAnsi="Arial"/>
                <w:sz w:val="18"/>
                <w:szCs w:val="18"/>
                <w:color w:val="auto"/>
              </w:rPr>
              <w:t>100% voting stock (FRIT L&amp;D)</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Congressional Plaza Associates, LLC</w:t>
            </w:r>
          </w:p>
        </w:tc>
        <w:tc>
          <w:tcPr>
            <w:tcW w:w="2840" w:type="dxa"/>
            <w:vAlign w:val="bottom"/>
            <w:gridSpan w:val="2"/>
          </w:tcPr>
          <w:p>
            <w:pPr>
              <w:spacing w:after="0"/>
              <w:rPr>
                <w:sz w:val="20"/>
                <w:szCs w:val="20"/>
                <w:color w:val="auto"/>
              </w:rPr>
            </w:pPr>
            <w:r>
              <w:rPr>
                <w:rFonts w:ascii="Arial" w:cs="Arial" w:eastAsia="Arial" w:hAnsi="Arial"/>
                <w:sz w:val="18"/>
                <w:szCs w:val="18"/>
                <w:color w:val="auto"/>
              </w:rPr>
              <w:t>64.1030%</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FR Pike 7 Limited Partnership (DownREIT) – 12,393.71 units outstanding)</w:t>
            </w:r>
          </w:p>
        </w:tc>
        <w:tc>
          <w:tcPr>
            <w:tcW w:w="340" w:type="dxa"/>
            <w:vAlign w:val="bottom"/>
          </w:tcPr>
          <w:p>
            <w:pPr>
              <w:spacing w:after="0"/>
              <w:rPr>
                <w:sz w:val="20"/>
                <w:szCs w:val="20"/>
                <w:color w:val="auto"/>
              </w:rPr>
            </w:pPr>
            <w:r>
              <w:rPr>
                <w:rFonts w:ascii="Arial" w:cs="Arial" w:eastAsia="Arial" w:hAnsi="Arial"/>
                <w:sz w:val="18"/>
                <w:szCs w:val="18"/>
                <w:color w:val="auto"/>
                <w:w w:val="88"/>
              </w:rPr>
              <w:t>99%</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80" w:type="dxa"/>
            <w:vAlign w:val="bottom"/>
            <w:gridSpan w:val="2"/>
          </w:tcPr>
          <w:p>
            <w:pPr>
              <w:spacing w:after="0"/>
              <w:rPr>
                <w:sz w:val="20"/>
                <w:szCs w:val="20"/>
                <w:color w:val="auto"/>
              </w:rPr>
            </w:pPr>
            <w:r>
              <w:rPr>
                <w:rFonts w:ascii="Arial" w:cs="Arial" w:eastAsia="Arial" w:hAnsi="Arial"/>
                <w:sz w:val="18"/>
                <w:szCs w:val="18"/>
                <w:color w:val="auto"/>
                <w:w w:val="93"/>
              </w:rPr>
              <w:t>Federal Realty Partners L. P. (Master DownREIT- 370,765 units outstanding – 490,783 units have been redeemed)</w:t>
            </w: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40 units (FedRP Inc.)</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35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40 units (FRLP Inc.)</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Federal Realty Partners, Inc.</w:t>
            </w:r>
          </w:p>
        </w:tc>
        <w:tc>
          <w:tcPr>
            <w:tcW w:w="2840" w:type="dxa"/>
            <w:vAlign w:val="bottom"/>
            <w:gridSpan w:val="2"/>
          </w:tcPr>
          <w:p>
            <w:pPr>
              <w:spacing w:after="0"/>
              <w:rPr>
                <w:sz w:val="20"/>
                <w:szCs w:val="20"/>
                <w:color w:val="auto"/>
              </w:rPr>
            </w:pPr>
            <w:r>
              <w:rPr>
                <w:rFonts w:ascii="Arial" w:cs="Arial" w:eastAsia="Arial" w:hAnsi="Arial"/>
                <w:sz w:val="18"/>
                <w:szCs w:val="18"/>
                <w:color w:val="auto"/>
              </w:rPr>
              <w:t>100% voting stock</w:t>
            </w:r>
          </w:p>
        </w:tc>
        <w:tc>
          <w:tcPr>
            <w:tcW w:w="0" w:type="dxa"/>
            <w:vAlign w:val="bottom"/>
          </w:tcPr>
          <w:p>
            <w:pPr>
              <w:spacing w:after="0"/>
              <w:rPr>
                <w:sz w:val="1"/>
                <w:szCs w:val="1"/>
                <w:color w:val="auto"/>
              </w:rPr>
            </w:pP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w w:val="96"/>
              </w:rPr>
              <w:t>Loehmann’s Plaza Limited Partnership (DownREIT – 60,000 units outstanding) ; 190,000 units have been</w:t>
            </w: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2,500 units</w:t>
            </w:r>
          </w:p>
        </w:tc>
        <w:tc>
          <w:tcPr>
            <w:tcW w:w="0" w:type="dxa"/>
            <w:vAlign w:val="bottom"/>
          </w:tcPr>
          <w:p>
            <w:pPr>
              <w:spacing w:after="0"/>
              <w:rPr>
                <w:sz w:val="1"/>
                <w:szCs w:val="1"/>
                <w:color w:val="auto"/>
              </w:rPr>
            </w:pPr>
          </w:p>
        </w:tc>
      </w:tr>
      <w:tr>
        <w:trPr>
          <w:trHeight w:val="149"/>
        </w:trPr>
        <w:tc>
          <w:tcPr>
            <w:tcW w:w="8580" w:type="dxa"/>
            <w:vAlign w:val="bottom"/>
            <w:gridSpan w:val="2"/>
            <w:vMerge w:val="restart"/>
          </w:tcPr>
          <w:p>
            <w:pPr>
              <w:ind w:left="660"/>
              <w:spacing w:after="0"/>
              <w:rPr>
                <w:sz w:val="20"/>
                <w:szCs w:val="20"/>
                <w:color w:val="auto"/>
              </w:rPr>
            </w:pPr>
            <w:r>
              <w:rPr>
                <w:rFonts w:ascii="Arial" w:cs="Arial" w:eastAsia="Arial" w:hAnsi="Arial"/>
                <w:sz w:val="18"/>
                <w:szCs w:val="18"/>
                <w:color w:val="auto"/>
              </w:rPr>
              <w:t>redeemed) [dissolution pending]</w:t>
            </w:r>
          </w:p>
        </w:tc>
        <w:tc>
          <w:tcPr>
            <w:tcW w:w="2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8580" w:type="dxa"/>
            <w:vAlign w:val="bottom"/>
            <w:gridSpan w:val="2"/>
            <w:vMerge w:val="continue"/>
          </w:tcPr>
          <w:p>
            <w:pPr>
              <w:spacing w:after="0"/>
              <w:rPr>
                <w:sz w:val="6"/>
                <w:szCs w:val="6"/>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57,500 units (FedRP Inc.)</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FRLP, Inc.</w:t>
            </w:r>
          </w:p>
        </w:tc>
        <w:tc>
          <w:tcPr>
            <w:tcW w:w="2840" w:type="dxa"/>
            <w:vAlign w:val="bottom"/>
            <w:gridSpan w:val="2"/>
          </w:tcPr>
          <w:p>
            <w:pPr>
              <w:spacing w:after="0"/>
              <w:rPr>
                <w:sz w:val="20"/>
                <w:szCs w:val="20"/>
                <w:color w:val="auto"/>
              </w:rPr>
            </w:pPr>
            <w:r>
              <w:rPr>
                <w:rFonts w:ascii="Arial" w:cs="Arial" w:eastAsia="Arial" w:hAnsi="Arial"/>
                <w:sz w:val="18"/>
                <w:szCs w:val="18"/>
                <w:color w:val="auto"/>
              </w:rPr>
              <w:t>100% voting stock</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FR Leesburg Plaza, LLC</w:t>
            </w:r>
          </w:p>
        </w:tc>
        <w:tc>
          <w:tcPr>
            <w:tcW w:w="2840" w:type="dxa"/>
            <w:vAlign w:val="bottom"/>
            <w:gridSpan w:val="2"/>
          </w:tcPr>
          <w:p>
            <w:pPr>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FR Leesburg Plaza, LP (DownREIT–352,500 total units issued – 100,733 units have been redeemed)</w:t>
            </w: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35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227,416 units (LLC)</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Federal Realty Management Services, Inc.</w:t>
            </w:r>
          </w:p>
        </w:tc>
        <w:tc>
          <w:tcPr>
            <w:tcW w:w="2840" w:type="dxa"/>
            <w:vAlign w:val="bottom"/>
            <w:gridSpan w:val="2"/>
          </w:tcPr>
          <w:p>
            <w:pPr>
              <w:spacing w:after="0"/>
              <w:rPr>
                <w:sz w:val="20"/>
                <w:szCs w:val="20"/>
                <w:color w:val="auto"/>
              </w:rPr>
            </w:pPr>
            <w:r>
              <w:rPr>
                <w:rFonts w:ascii="Arial" w:cs="Arial" w:eastAsia="Arial" w:hAnsi="Arial"/>
                <w:sz w:val="18"/>
                <w:szCs w:val="18"/>
                <w:color w:val="auto"/>
              </w:rPr>
              <w:t>100% voting stock</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FR Federal Plaza, Inc.</w:t>
            </w:r>
          </w:p>
        </w:tc>
        <w:tc>
          <w:tcPr>
            <w:tcW w:w="2840" w:type="dxa"/>
            <w:vAlign w:val="bottom"/>
            <w:gridSpan w:val="2"/>
          </w:tcPr>
          <w:p>
            <w:pPr>
              <w:spacing w:after="0"/>
              <w:rPr>
                <w:sz w:val="20"/>
                <w:szCs w:val="20"/>
                <w:color w:val="auto"/>
              </w:rPr>
            </w:pPr>
            <w:r>
              <w:rPr>
                <w:rFonts w:ascii="Arial" w:cs="Arial" w:eastAsia="Arial" w:hAnsi="Arial"/>
                <w:sz w:val="18"/>
                <w:szCs w:val="18"/>
                <w:color w:val="auto"/>
              </w:rPr>
              <w:t>100% voting stock</w:t>
            </w:r>
          </w:p>
        </w:tc>
        <w:tc>
          <w:tcPr>
            <w:tcW w:w="0" w:type="dxa"/>
            <w:vAlign w:val="bottom"/>
          </w:tcPr>
          <w:p>
            <w:pPr>
              <w:spacing w:after="0"/>
              <w:rPr>
                <w:sz w:val="1"/>
                <w:szCs w:val="1"/>
                <w:color w:val="auto"/>
              </w:rPr>
            </w:pP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FR Federal Plaza, LLC</w:t>
            </w:r>
          </w:p>
        </w:tc>
        <w:tc>
          <w:tcPr>
            <w:tcW w:w="2840" w:type="dxa"/>
            <w:vAlign w:val="bottom"/>
            <w:gridSpan w:val="2"/>
          </w:tcPr>
          <w:p>
            <w:pPr>
              <w:spacing w:after="0"/>
              <w:rPr>
                <w:sz w:val="20"/>
                <w:szCs w:val="20"/>
                <w:color w:val="auto"/>
              </w:rPr>
            </w:pPr>
            <w:r>
              <w:rPr>
                <w:rFonts w:ascii="Arial" w:cs="Arial" w:eastAsia="Arial" w:hAnsi="Arial"/>
                <w:sz w:val="18"/>
                <w:szCs w:val="18"/>
                <w:color w:val="auto"/>
              </w:rPr>
              <w:t>100% (FedPlaza Inc.)</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FR Mercer Mall, Inc.</w:t>
            </w:r>
          </w:p>
        </w:tc>
        <w:tc>
          <w:tcPr>
            <w:tcW w:w="2840" w:type="dxa"/>
            <w:vAlign w:val="bottom"/>
            <w:gridSpan w:val="2"/>
          </w:tcPr>
          <w:p>
            <w:pPr>
              <w:spacing w:after="0"/>
              <w:rPr>
                <w:sz w:val="20"/>
                <w:szCs w:val="20"/>
                <w:color w:val="auto"/>
              </w:rPr>
            </w:pPr>
            <w:r>
              <w:rPr>
                <w:rFonts w:ascii="Arial" w:cs="Arial" w:eastAsia="Arial" w:hAnsi="Arial"/>
                <w:sz w:val="18"/>
                <w:szCs w:val="18"/>
                <w:color w:val="auto"/>
              </w:rPr>
              <w:t>100% voting stock</w:t>
            </w:r>
          </w:p>
        </w:tc>
        <w:tc>
          <w:tcPr>
            <w:tcW w:w="0" w:type="dxa"/>
            <w:vAlign w:val="bottom"/>
          </w:tcPr>
          <w:p>
            <w:pPr>
              <w:spacing w:after="0"/>
              <w:rPr>
                <w:sz w:val="1"/>
                <w:szCs w:val="1"/>
                <w:color w:val="auto"/>
              </w:rPr>
            </w:pP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FR Mercer Mall, LLC</w:t>
            </w:r>
          </w:p>
        </w:tc>
        <w:tc>
          <w:tcPr>
            <w:tcW w:w="2840" w:type="dxa"/>
            <w:vAlign w:val="bottom"/>
            <w:gridSpan w:val="2"/>
          </w:tcPr>
          <w:p>
            <w:pPr>
              <w:spacing w:after="0"/>
              <w:rPr>
                <w:sz w:val="20"/>
                <w:szCs w:val="20"/>
                <w:color w:val="auto"/>
              </w:rPr>
            </w:pPr>
            <w:r>
              <w:rPr>
                <w:rFonts w:ascii="Arial" w:cs="Arial" w:eastAsia="Arial" w:hAnsi="Arial"/>
                <w:sz w:val="18"/>
                <w:szCs w:val="18"/>
                <w:color w:val="auto"/>
              </w:rPr>
              <w:t>100% (FR Mercer Mall, Inc.)</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Federal/LPF GP, Inc.</w:t>
            </w:r>
          </w:p>
        </w:tc>
        <w:tc>
          <w:tcPr>
            <w:tcW w:w="2840" w:type="dxa"/>
            <w:vAlign w:val="bottom"/>
            <w:gridSpan w:val="2"/>
          </w:tcPr>
          <w:p>
            <w:pPr>
              <w:spacing w:after="0"/>
              <w:rPr>
                <w:sz w:val="20"/>
                <w:szCs w:val="20"/>
                <w:color w:val="auto"/>
              </w:rPr>
            </w:pPr>
            <w:r>
              <w:rPr>
                <w:rFonts w:ascii="Arial" w:cs="Arial" w:eastAsia="Arial" w:hAnsi="Arial"/>
                <w:sz w:val="18"/>
                <w:szCs w:val="18"/>
                <w:color w:val="auto"/>
              </w:rPr>
              <w:t>100% voting stock</w:t>
            </w:r>
          </w:p>
        </w:tc>
        <w:tc>
          <w:tcPr>
            <w:tcW w:w="0" w:type="dxa"/>
            <w:vAlign w:val="bottom"/>
          </w:tcPr>
          <w:p>
            <w:pPr>
              <w:spacing w:after="0"/>
              <w:rPr>
                <w:sz w:val="1"/>
                <w:szCs w:val="1"/>
                <w:color w:val="auto"/>
              </w:rPr>
            </w:pP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Federal/Lion Venture LP</w:t>
            </w:r>
          </w:p>
        </w:tc>
        <w:tc>
          <w:tcPr>
            <w:tcW w:w="340" w:type="dxa"/>
            <w:vAlign w:val="bottom"/>
          </w:tcPr>
          <w:p>
            <w:pPr>
              <w:spacing w:after="0"/>
              <w:rPr>
                <w:sz w:val="20"/>
                <w:szCs w:val="20"/>
                <w:color w:val="auto"/>
              </w:rPr>
            </w:pPr>
            <w:r>
              <w:rPr>
                <w:rFonts w:ascii="Arial" w:cs="Arial" w:eastAsia="Arial" w:hAnsi="Arial"/>
                <w:sz w:val="18"/>
                <w:szCs w:val="18"/>
                <w:color w:val="auto"/>
                <w:w w:val="88"/>
              </w:rPr>
              <w:t>30%</w:t>
            </w:r>
          </w:p>
        </w:tc>
        <w:tc>
          <w:tcPr>
            <w:tcW w:w="2500" w:type="dxa"/>
            <w:vAlign w:val="bottom"/>
          </w:tcPr>
          <w:p>
            <w:pPr>
              <w:ind w:left="20"/>
              <w:spacing w:after="0"/>
              <w:rPr>
                <w:sz w:val="20"/>
                <w:szCs w:val="20"/>
                <w:color w:val="auto"/>
              </w:rPr>
            </w:pPr>
            <w:r>
              <w:rPr>
                <w:rFonts w:ascii="Arial" w:cs="Arial" w:eastAsia="Arial" w:hAnsi="Arial"/>
                <w:sz w:val="18"/>
                <w:szCs w:val="18"/>
                <w:color w:val="auto"/>
                <w:w w:val="99"/>
              </w:rPr>
              <w:t>(29.99% Federal/LPF GP, Inc.)</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FLV Plaza del Mercado, LLC</w:t>
            </w:r>
          </w:p>
        </w:tc>
        <w:tc>
          <w:tcPr>
            <w:tcW w:w="2840" w:type="dxa"/>
            <w:vAlign w:val="bottom"/>
            <w:gridSpan w:val="2"/>
          </w:tcPr>
          <w:p>
            <w:pPr>
              <w:spacing w:after="0"/>
              <w:rPr>
                <w:sz w:val="20"/>
                <w:szCs w:val="20"/>
                <w:color w:val="auto"/>
              </w:rPr>
            </w:pPr>
            <w:r>
              <w:rPr>
                <w:rFonts w:ascii="Arial" w:cs="Arial" w:eastAsia="Arial" w:hAnsi="Arial"/>
                <w:sz w:val="18"/>
                <w:szCs w:val="18"/>
                <w:color w:val="auto"/>
              </w:rPr>
              <w:t>30% through Federal/</w:t>
            </w:r>
          </w:p>
        </w:tc>
        <w:tc>
          <w:tcPr>
            <w:tcW w:w="0" w:type="dxa"/>
            <w:vAlign w:val="bottom"/>
          </w:tcPr>
          <w:p>
            <w:pPr>
              <w:spacing w:after="0"/>
              <w:rPr>
                <w:sz w:val="1"/>
                <w:szCs w:val="1"/>
                <w:color w:val="auto"/>
              </w:rPr>
            </w:pPr>
          </w:p>
        </w:tc>
      </w:tr>
      <w:tr>
        <w:trPr>
          <w:trHeight w:val="222"/>
        </w:trPr>
        <w:tc>
          <w:tcPr>
            <w:tcW w:w="35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Lion Venture LP</w:t>
            </w:r>
          </w:p>
        </w:tc>
        <w:tc>
          <w:tcPr>
            <w:tcW w:w="0" w:type="dxa"/>
            <w:vAlign w:val="bottom"/>
          </w:tcPr>
          <w:p>
            <w:pPr>
              <w:spacing w:after="0"/>
              <w:rPr>
                <w:sz w:val="1"/>
                <w:szCs w:val="1"/>
                <w:color w:val="auto"/>
              </w:rPr>
            </w:pPr>
          </w:p>
        </w:tc>
      </w:tr>
      <w:tr>
        <w:trPr>
          <w:trHeight w:val="223"/>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FLV Plaza del Mercado, LP</w:t>
            </w:r>
          </w:p>
        </w:tc>
        <w:tc>
          <w:tcPr>
            <w:tcW w:w="2840" w:type="dxa"/>
            <w:vAlign w:val="bottom"/>
            <w:gridSpan w:val="2"/>
          </w:tcPr>
          <w:p>
            <w:pPr>
              <w:spacing w:after="0"/>
              <w:rPr>
                <w:sz w:val="20"/>
                <w:szCs w:val="20"/>
                <w:color w:val="auto"/>
              </w:rPr>
            </w:pPr>
            <w:r>
              <w:rPr>
                <w:rFonts w:ascii="Arial" w:cs="Arial" w:eastAsia="Arial" w:hAnsi="Arial"/>
                <w:sz w:val="18"/>
                <w:szCs w:val="18"/>
                <w:color w:val="auto"/>
                <w:w w:val="94"/>
              </w:rPr>
              <w:t>30% through FLV Plaza del Mercado,</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16"/>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FLV Campus Plaza GP, LLC</w:t>
            </w:r>
          </w:p>
        </w:tc>
        <w:tc>
          <w:tcPr>
            <w:tcW w:w="2840" w:type="dxa"/>
            <w:vAlign w:val="bottom"/>
            <w:gridSpan w:val="2"/>
          </w:tcPr>
          <w:p>
            <w:pPr>
              <w:spacing w:after="0"/>
              <w:rPr>
                <w:sz w:val="20"/>
                <w:szCs w:val="20"/>
                <w:color w:val="auto"/>
              </w:rPr>
            </w:pPr>
            <w:r>
              <w:rPr>
                <w:rFonts w:ascii="Arial" w:cs="Arial" w:eastAsia="Arial" w:hAnsi="Arial"/>
                <w:sz w:val="18"/>
                <w:szCs w:val="18"/>
                <w:color w:val="auto"/>
              </w:rPr>
              <w:t>30% through Federal/</w:t>
            </w:r>
          </w:p>
        </w:tc>
        <w:tc>
          <w:tcPr>
            <w:tcW w:w="0" w:type="dxa"/>
            <w:vAlign w:val="bottom"/>
          </w:tcPr>
          <w:p>
            <w:pPr>
              <w:spacing w:after="0"/>
              <w:rPr>
                <w:sz w:val="1"/>
                <w:szCs w:val="1"/>
                <w:color w:val="auto"/>
              </w:rPr>
            </w:pPr>
          </w:p>
        </w:tc>
      </w:tr>
      <w:tr>
        <w:trPr>
          <w:trHeight w:val="222"/>
        </w:trPr>
        <w:tc>
          <w:tcPr>
            <w:tcW w:w="35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Lion Venture LP</w:t>
            </w:r>
          </w:p>
        </w:tc>
        <w:tc>
          <w:tcPr>
            <w:tcW w:w="0" w:type="dxa"/>
            <w:vAlign w:val="bottom"/>
          </w:tcPr>
          <w:p>
            <w:pPr>
              <w:spacing w:after="0"/>
              <w:rPr>
                <w:sz w:val="1"/>
                <w:szCs w:val="1"/>
                <w:color w:val="auto"/>
              </w:rPr>
            </w:pPr>
          </w:p>
        </w:tc>
      </w:tr>
      <w:tr>
        <w:trPr>
          <w:trHeight w:val="230"/>
        </w:trPr>
        <w:tc>
          <w:tcPr>
            <w:tcW w:w="8580" w:type="dxa"/>
            <w:vAlign w:val="bottom"/>
            <w:gridSpan w:val="2"/>
          </w:tcPr>
          <w:p>
            <w:pPr>
              <w:ind w:left="440"/>
              <w:spacing w:after="0"/>
              <w:rPr>
                <w:sz w:val="20"/>
                <w:szCs w:val="20"/>
                <w:color w:val="auto"/>
              </w:rPr>
            </w:pPr>
            <w:r>
              <w:rPr>
                <w:rFonts w:ascii="Arial" w:cs="Arial" w:eastAsia="Arial" w:hAnsi="Arial"/>
                <w:sz w:val="18"/>
                <w:szCs w:val="18"/>
                <w:color w:val="auto"/>
              </w:rPr>
              <w:t>FLV Campus Plaza Limited Partnership</w:t>
            </w:r>
          </w:p>
        </w:tc>
        <w:tc>
          <w:tcPr>
            <w:tcW w:w="2840" w:type="dxa"/>
            <w:vAlign w:val="bottom"/>
            <w:gridSpan w:val="2"/>
          </w:tcPr>
          <w:p>
            <w:pPr>
              <w:spacing w:after="0"/>
              <w:rPr>
                <w:sz w:val="20"/>
                <w:szCs w:val="20"/>
                <w:color w:val="auto"/>
              </w:rPr>
            </w:pPr>
            <w:r>
              <w:rPr>
                <w:rFonts w:ascii="Arial" w:cs="Arial" w:eastAsia="Arial" w:hAnsi="Arial"/>
                <w:sz w:val="18"/>
                <w:szCs w:val="18"/>
                <w:color w:val="auto"/>
                <w:w w:val="92"/>
              </w:rPr>
              <w:t>30% through FLV Campus Plaza, LLC</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FLV Pleasant Shops GP, LLC</w:t>
            </w: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30% through Federal/</w:t>
            </w:r>
          </w:p>
        </w:tc>
      </w:tr>
      <w:tr>
        <w:trPr>
          <w:trHeight w:val="222"/>
        </w:trPr>
        <w:tc>
          <w:tcPr>
            <w:tcW w:w="24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Lion Venture LP</w:t>
            </w:r>
          </w:p>
        </w:tc>
      </w:tr>
      <w:tr>
        <w:trPr>
          <w:trHeight w:val="223"/>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FLV Pleasant Shops Limited Partnership</w:t>
            </w: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30% through FLV</w:t>
            </w:r>
          </w:p>
        </w:tc>
      </w:tr>
      <w:tr>
        <w:trPr>
          <w:trHeight w:val="222"/>
        </w:trPr>
        <w:tc>
          <w:tcPr>
            <w:tcW w:w="24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Pleasant Shops, LLC</w:t>
            </w:r>
          </w:p>
        </w:tc>
      </w:tr>
      <w:tr>
        <w:trPr>
          <w:trHeight w:val="223"/>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FLV Atlantic Plaza GP, LLC</w:t>
            </w: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30% through Federal/</w:t>
            </w:r>
          </w:p>
        </w:tc>
      </w:tr>
      <w:tr>
        <w:trPr>
          <w:trHeight w:val="222"/>
        </w:trPr>
        <w:tc>
          <w:tcPr>
            <w:tcW w:w="24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Lion Venture LP</w:t>
            </w:r>
          </w:p>
        </w:tc>
      </w:tr>
      <w:tr>
        <w:trPr>
          <w:trHeight w:val="223"/>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FLV Atlantic Plaza Limited Partnership</w:t>
            </w: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w w:val="90"/>
              </w:rPr>
              <w:t>30% through Atlantic Plaza, LLC</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FR Westgate Mall, Inc.</w:t>
            </w: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100% voting stock</w:t>
            </w: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FR Westgate Mall, LLC</w:t>
            </w:r>
          </w:p>
        </w:tc>
        <w:tc>
          <w:tcPr>
            <w:tcW w:w="1780" w:type="dxa"/>
            <w:vAlign w:val="bottom"/>
          </w:tcPr>
          <w:p>
            <w:pPr>
              <w:ind w:left="1360"/>
              <w:spacing w:after="0"/>
              <w:rPr>
                <w:sz w:val="20"/>
                <w:szCs w:val="20"/>
                <w:color w:val="auto"/>
              </w:rPr>
            </w:pPr>
            <w:r>
              <w:rPr>
                <w:rFonts w:ascii="Arial" w:cs="Arial" w:eastAsia="Arial" w:hAnsi="Arial"/>
                <w:sz w:val="18"/>
                <w:szCs w:val="18"/>
                <w:color w:val="auto"/>
                <w:w w:val="86"/>
              </w:rPr>
              <w:t>100%</w:t>
            </w:r>
          </w:p>
        </w:tc>
        <w:tc>
          <w:tcPr>
            <w:tcW w:w="1940" w:type="dxa"/>
            <w:vAlign w:val="bottom"/>
          </w:tcPr>
          <w:p>
            <w:pPr>
              <w:ind w:left="20"/>
              <w:spacing w:after="0"/>
              <w:rPr>
                <w:sz w:val="20"/>
                <w:szCs w:val="20"/>
                <w:color w:val="auto"/>
              </w:rPr>
            </w:pPr>
            <w:r>
              <w:rPr>
                <w:rFonts w:ascii="Arial" w:cs="Arial" w:eastAsia="Arial" w:hAnsi="Arial"/>
                <w:sz w:val="18"/>
                <w:szCs w:val="18"/>
                <w:color w:val="auto"/>
                <w:w w:val="97"/>
              </w:rPr>
              <w:t>(FR Westgate Mall, Inc.)</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FR Assembly Square, LLC</w:t>
            </w:r>
          </w:p>
        </w:tc>
        <w:tc>
          <w:tcPr>
            <w:tcW w:w="1780" w:type="dxa"/>
            <w:vAlign w:val="bottom"/>
          </w:tcPr>
          <w:p>
            <w:pPr>
              <w:ind w:left="1360"/>
              <w:spacing w:after="0"/>
              <w:rPr>
                <w:sz w:val="20"/>
                <w:szCs w:val="20"/>
                <w:color w:val="auto"/>
              </w:rPr>
            </w:pPr>
            <w:r>
              <w:rPr>
                <w:rFonts w:ascii="Arial" w:cs="Arial" w:eastAsia="Arial" w:hAnsi="Arial"/>
                <w:sz w:val="18"/>
                <w:szCs w:val="18"/>
                <w:color w:val="auto"/>
                <w:w w:val="86"/>
              </w:rPr>
              <w:t>100%</w:t>
            </w:r>
          </w:p>
        </w:tc>
        <w:tc>
          <w:tcPr>
            <w:tcW w:w="194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FR Sturtevant Street, Inc.</w:t>
            </w: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100% voting stock</w:t>
            </w: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FR Sturtevant Street, LLC</w:t>
            </w:r>
          </w:p>
        </w:tc>
        <w:tc>
          <w:tcPr>
            <w:tcW w:w="1780" w:type="dxa"/>
            <w:vAlign w:val="bottom"/>
          </w:tcPr>
          <w:p>
            <w:pPr>
              <w:ind w:left="1360"/>
              <w:spacing w:after="0"/>
              <w:rPr>
                <w:sz w:val="20"/>
                <w:szCs w:val="20"/>
                <w:color w:val="auto"/>
              </w:rPr>
            </w:pPr>
            <w:r>
              <w:rPr>
                <w:rFonts w:ascii="Arial" w:cs="Arial" w:eastAsia="Arial" w:hAnsi="Arial"/>
                <w:sz w:val="18"/>
                <w:szCs w:val="18"/>
                <w:color w:val="auto"/>
                <w:w w:val="86"/>
              </w:rPr>
              <w:t>100%</w:t>
            </w:r>
          </w:p>
        </w:tc>
        <w:tc>
          <w:tcPr>
            <w:tcW w:w="1940" w:type="dxa"/>
            <w:vAlign w:val="bottom"/>
          </w:tcPr>
          <w:p>
            <w:pPr>
              <w:ind w:left="20"/>
              <w:spacing w:after="0"/>
              <w:rPr>
                <w:sz w:val="20"/>
                <w:szCs w:val="20"/>
                <w:color w:val="auto"/>
              </w:rPr>
            </w:pPr>
            <w:r>
              <w:rPr>
                <w:rFonts w:ascii="Arial" w:cs="Arial" w:eastAsia="Arial" w:hAnsi="Arial"/>
                <w:sz w:val="18"/>
                <w:szCs w:val="18"/>
                <w:color w:val="auto"/>
                <w:w w:val="88"/>
              </w:rPr>
              <w:t>(FR Sturtevant Street, Inc.)</w:t>
            </w:r>
          </w:p>
        </w:tc>
      </w:tr>
      <w:tr>
        <w:trPr>
          <w:trHeight w:val="210"/>
        </w:trPr>
        <w:tc>
          <w:tcPr>
            <w:tcW w:w="7220" w:type="dxa"/>
            <w:vAlign w:val="bottom"/>
            <w:gridSpan w:val="2"/>
          </w:tcPr>
          <w:p>
            <w:pPr>
              <w:spacing w:after="0"/>
              <w:rPr>
                <w:sz w:val="20"/>
                <w:szCs w:val="20"/>
                <w:color w:val="auto"/>
              </w:rPr>
            </w:pPr>
            <w:r>
              <w:rPr>
                <w:rFonts w:ascii="Arial" w:cs="Arial" w:eastAsia="Arial" w:hAnsi="Arial"/>
                <w:sz w:val="18"/>
                <w:szCs w:val="18"/>
                <w:color w:val="auto"/>
              </w:rPr>
              <w:t>Street Retail, Inc.</w:t>
            </w: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100% voting stock</w:t>
            </w:r>
          </w:p>
        </w:tc>
      </w:tr>
      <w:tr>
        <w:trPr>
          <w:trHeight w:val="190"/>
        </w:trPr>
        <w:tc>
          <w:tcPr>
            <w:tcW w:w="722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STREET RETAIL, INC. (“SRI”)</w:t>
            </w:r>
          </w:p>
        </w:tc>
        <w:tc>
          <w:tcPr>
            <w:tcW w:w="178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36"/>
        </w:trPr>
        <w:tc>
          <w:tcPr>
            <w:tcW w:w="2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SRI Old Town, LLC</w:t>
            </w:r>
          </w:p>
        </w:tc>
        <w:tc>
          <w:tcPr>
            <w:tcW w:w="4740" w:type="dxa"/>
            <w:vAlign w:val="bottom"/>
          </w:tcPr>
          <w:p>
            <w:pPr>
              <w:spacing w:after="0"/>
              <w:rPr>
                <w:sz w:val="24"/>
                <w:szCs w:val="24"/>
                <w:color w:val="auto"/>
              </w:rPr>
            </w:pPr>
          </w:p>
        </w:tc>
        <w:tc>
          <w:tcPr>
            <w:tcW w:w="1780" w:type="dxa"/>
            <w:vAlign w:val="bottom"/>
          </w:tcPr>
          <w:p>
            <w:pPr>
              <w:ind w:left="1360"/>
              <w:spacing w:after="0"/>
              <w:rPr>
                <w:sz w:val="20"/>
                <w:szCs w:val="20"/>
                <w:color w:val="auto"/>
              </w:rPr>
            </w:pPr>
            <w:r>
              <w:rPr>
                <w:rFonts w:ascii="Arial" w:cs="Arial" w:eastAsia="Arial" w:hAnsi="Arial"/>
                <w:sz w:val="18"/>
                <w:szCs w:val="18"/>
                <w:color w:val="auto"/>
                <w:w w:val="86"/>
              </w:rPr>
              <w:t>100%</w:t>
            </w:r>
          </w:p>
        </w:tc>
        <w:tc>
          <w:tcPr>
            <w:tcW w:w="1940" w:type="dxa"/>
            <w:vAlign w:val="bottom"/>
          </w:tcPr>
          <w:p>
            <w:pPr>
              <w:spacing w:after="0"/>
              <w:rPr>
                <w:sz w:val="24"/>
                <w:szCs w:val="24"/>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Street Retail Forest Hills I, LLC</w:t>
            </w:r>
          </w:p>
        </w:tc>
        <w:tc>
          <w:tcPr>
            <w:tcW w:w="1780" w:type="dxa"/>
            <w:vAlign w:val="bottom"/>
          </w:tcPr>
          <w:p>
            <w:pPr>
              <w:ind w:left="1360"/>
              <w:spacing w:after="0"/>
              <w:rPr>
                <w:sz w:val="20"/>
                <w:szCs w:val="20"/>
                <w:color w:val="auto"/>
              </w:rPr>
            </w:pPr>
            <w:r>
              <w:rPr>
                <w:rFonts w:ascii="Arial" w:cs="Arial" w:eastAsia="Arial" w:hAnsi="Arial"/>
                <w:sz w:val="18"/>
                <w:szCs w:val="18"/>
                <w:color w:val="auto"/>
                <w:w w:val="86"/>
              </w:rPr>
              <w:t>100%</w:t>
            </w:r>
          </w:p>
        </w:tc>
        <w:tc>
          <w:tcPr>
            <w:tcW w:w="194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Street Retail Forest Hills II, LLC</w:t>
            </w:r>
          </w:p>
        </w:tc>
        <w:tc>
          <w:tcPr>
            <w:tcW w:w="1780" w:type="dxa"/>
            <w:vAlign w:val="bottom"/>
          </w:tcPr>
          <w:p>
            <w:pPr>
              <w:ind w:left="1360"/>
              <w:spacing w:after="0"/>
              <w:rPr>
                <w:sz w:val="20"/>
                <w:szCs w:val="20"/>
                <w:color w:val="auto"/>
              </w:rPr>
            </w:pPr>
            <w:r>
              <w:rPr>
                <w:rFonts w:ascii="Arial" w:cs="Arial" w:eastAsia="Arial" w:hAnsi="Arial"/>
                <w:sz w:val="18"/>
                <w:szCs w:val="18"/>
                <w:color w:val="auto"/>
                <w:w w:val="86"/>
              </w:rPr>
              <w:t>100%</w:t>
            </w:r>
          </w:p>
        </w:tc>
        <w:tc>
          <w:tcPr>
            <w:tcW w:w="194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Street Retail Tempe I, LLC [dissolution pending]</w:t>
            </w:r>
          </w:p>
        </w:tc>
        <w:tc>
          <w:tcPr>
            <w:tcW w:w="1780" w:type="dxa"/>
            <w:vAlign w:val="bottom"/>
          </w:tcPr>
          <w:p>
            <w:pPr>
              <w:ind w:left="1360"/>
              <w:spacing w:after="0"/>
              <w:rPr>
                <w:sz w:val="20"/>
                <w:szCs w:val="20"/>
                <w:color w:val="auto"/>
              </w:rPr>
            </w:pPr>
            <w:r>
              <w:rPr>
                <w:rFonts w:ascii="Arial" w:cs="Arial" w:eastAsia="Arial" w:hAnsi="Arial"/>
                <w:sz w:val="18"/>
                <w:szCs w:val="18"/>
                <w:color w:val="auto"/>
                <w:w w:val="86"/>
              </w:rPr>
              <w:t>100%</w:t>
            </w:r>
          </w:p>
        </w:tc>
        <w:tc>
          <w:tcPr>
            <w:tcW w:w="194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Street Retail West GP, Inc. (“SRWGP”)</w:t>
            </w: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100% voting stock</w:t>
            </w: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Street Retail West I, L.P.</w:t>
            </w:r>
          </w:p>
        </w:tc>
        <w:tc>
          <w:tcPr>
            <w:tcW w:w="1780" w:type="dxa"/>
            <w:vAlign w:val="bottom"/>
          </w:tcPr>
          <w:p>
            <w:pPr>
              <w:ind w:left="1360"/>
              <w:spacing w:after="0"/>
              <w:rPr>
                <w:sz w:val="20"/>
                <w:szCs w:val="20"/>
                <w:color w:val="auto"/>
              </w:rPr>
            </w:pPr>
            <w:r>
              <w:rPr>
                <w:rFonts w:ascii="Arial" w:cs="Arial" w:eastAsia="Arial" w:hAnsi="Arial"/>
                <w:sz w:val="18"/>
                <w:szCs w:val="18"/>
                <w:color w:val="auto"/>
                <w:w w:val="86"/>
              </w:rPr>
              <w:t>100%</w:t>
            </w:r>
          </w:p>
        </w:tc>
        <w:tc>
          <w:tcPr>
            <w:tcW w:w="194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Street Retail West II, L.P.</w:t>
            </w:r>
          </w:p>
        </w:tc>
        <w:tc>
          <w:tcPr>
            <w:tcW w:w="1780" w:type="dxa"/>
            <w:vAlign w:val="bottom"/>
          </w:tcPr>
          <w:p>
            <w:pPr>
              <w:ind w:left="1360"/>
              <w:spacing w:after="0"/>
              <w:rPr>
                <w:sz w:val="20"/>
                <w:szCs w:val="20"/>
                <w:color w:val="auto"/>
              </w:rPr>
            </w:pPr>
            <w:r>
              <w:rPr>
                <w:rFonts w:ascii="Arial" w:cs="Arial" w:eastAsia="Arial" w:hAnsi="Arial"/>
                <w:sz w:val="18"/>
                <w:szCs w:val="18"/>
                <w:color w:val="auto"/>
                <w:w w:val="86"/>
              </w:rPr>
              <w:t>100%</w:t>
            </w:r>
          </w:p>
        </w:tc>
        <w:tc>
          <w:tcPr>
            <w:tcW w:w="194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Street Retail West 3, L.P.</w:t>
            </w:r>
          </w:p>
        </w:tc>
        <w:tc>
          <w:tcPr>
            <w:tcW w:w="1780" w:type="dxa"/>
            <w:vAlign w:val="bottom"/>
          </w:tcPr>
          <w:p>
            <w:pPr>
              <w:ind w:left="1360"/>
              <w:spacing w:after="0"/>
              <w:rPr>
                <w:sz w:val="20"/>
                <w:szCs w:val="20"/>
                <w:color w:val="auto"/>
              </w:rPr>
            </w:pPr>
            <w:r>
              <w:rPr>
                <w:rFonts w:ascii="Arial" w:cs="Arial" w:eastAsia="Arial" w:hAnsi="Arial"/>
                <w:sz w:val="18"/>
                <w:szCs w:val="18"/>
                <w:color w:val="auto"/>
                <w:w w:val="86"/>
              </w:rPr>
              <w:t>100%</w:t>
            </w:r>
          </w:p>
        </w:tc>
        <w:tc>
          <w:tcPr>
            <w:tcW w:w="194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Street Retail West 4, L.P.</w:t>
            </w:r>
          </w:p>
        </w:tc>
        <w:tc>
          <w:tcPr>
            <w:tcW w:w="1780" w:type="dxa"/>
            <w:vAlign w:val="bottom"/>
          </w:tcPr>
          <w:p>
            <w:pPr>
              <w:ind w:left="1360"/>
              <w:spacing w:after="0"/>
              <w:rPr>
                <w:sz w:val="20"/>
                <w:szCs w:val="20"/>
                <w:color w:val="auto"/>
              </w:rPr>
            </w:pPr>
            <w:r>
              <w:rPr>
                <w:rFonts w:ascii="Arial" w:cs="Arial" w:eastAsia="Arial" w:hAnsi="Arial"/>
                <w:sz w:val="18"/>
                <w:szCs w:val="18"/>
                <w:color w:val="auto"/>
              </w:rPr>
              <w:t>90%</w:t>
            </w:r>
          </w:p>
        </w:tc>
        <w:tc>
          <w:tcPr>
            <w:tcW w:w="1940" w:type="dxa"/>
            <w:vAlign w:val="bottom"/>
          </w:tcPr>
          <w:p>
            <w:pPr>
              <w:spacing w:after="0"/>
              <w:rPr>
                <w:sz w:val="18"/>
                <w:szCs w:val="18"/>
                <w:color w:val="auto"/>
              </w:rPr>
            </w:pP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Street Retail West 6, L.P.</w:t>
            </w:r>
          </w:p>
        </w:tc>
        <w:tc>
          <w:tcPr>
            <w:tcW w:w="1780" w:type="dxa"/>
            <w:vAlign w:val="bottom"/>
          </w:tcPr>
          <w:p>
            <w:pPr>
              <w:ind w:left="1360"/>
              <w:spacing w:after="0"/>
              <w:rPr>
                <w:sz w:val="20"/>
                <w:szCs w:val="20"/>
                <w:color w:val="auto"/>
              </w:rPr>
            </w:pPr>
            <w:r>
              <w:rPr>
                <w:rFonts w:ascii="Arial" w:cs="Arial" w:eastAsia="Arial" w:hAnsi="Arial"/>
                <w:sz w:val="18"/>
                <w:szCs w:val="18"/>
                <w:color w:val="auto"/>
                <w:w w:val="86"/>
              </w:rPr>
              <w:t>100%</w:t>
            </w:r>
          </w:p>
        </w:tc>
        <w:tc>
          <w:tcPr>
            <w:tcW w:w="194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Street Retail West 7, L.P.</w:t>
            </w:r>
          </w:p>
        </w:tc>
        <w:tc>
          <w:tcPr>
            <w:tcW w:w="1780" w:type="dxa"/>
            <w:vAlign w:val="bottom"/>
          </w:tcPr>
          <w:p>
            <w:pPr>
              <w:ind w:left="1360"/>
              <w:spacing w:after="0"/>
              <w:rPr>
                <w:sz w:val="20"/>
                <w:szCs w:val="20"/>
                <w:color w:val="auto"/>
              </w:rPr>
            </w:pPr>
            <w:r>
              <w:rPr>
                <w:rFonts w:ascii="Arial" w:cs="Arial" w:eastAsia="Arial" w:hAnsi="Arial"/>
                <w:sz w:val="18"/>
                <w:szCs w:val="18"/>
                <w:color w:val="auto"/>
              </w:rPr>
              <w:t>90%</w:t>
            </w:r>
          </w:p>
        </w:tc>
        <w:tc>
          <w:tcPr>
            <w:tcW w:w="1940" w:type="dxa"/>
            <w:vAlign w:val="bottom"/>
          </w:tcPr>
          <w:p>
            <w:pPr>
              <w:spacing w:after="0"/>
              <w:rPr>
                <w:sz w:val="18"/>
                <w:szCs w:val="18"/>
                <w:color w:val="auto"/>
              </w:rPr>
            </w:pPr>
          </w:p>
        </w:tc>
      </w:tr>
      <w:tr>
        <w:trPr>
          <w:trHeight w:val="222"/>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Street Retail West 10, L.P.</w:t>
            </w:r>
          </w:p>
        </w:tc>
        <w:tc>
          <w:tcPr>
            <w:tcW w:w="1780" w:type="dxa"/>
            <w:vAlign w:val="bottom"/>
          </w:tcPr>
          <w:p>
            <w:pPr>
              <w:ind w:left="1360"/>
              <w:spacing w:after="0"/>
              <w:rPr>
                <w:sz w:val="20"/>
                <w:szCs w:val="20"/>
                <w:color w:val="auto"/>
              </w:rPr>
            </w:pPr>
            <w:r>
              <w:rPr>
                <w:rFonts w:ascii="Arial" w:cs="Arial" w:eastAsia="Arial" w:hAnsi="Arial"/>
                <w:sz w:val="18"/>
                <w:szCs w:val="18"/>
                <w:color w:val="auto"/>
                <w:w w:val="86"/>
              </w:rPr>
              <w:t>100%</w:t>
            </w:r>
          </w:p>
        </w:tc>
        <w:tc>
          <w:tcPr>
            <w:tcW w:w="194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318"/>
        </w:trPr>
        <w:tc>
          <w:tcPr>
            <w:tcW w:w="7220" w:type="dxa"/>
            <w:vAlign w:val="bottom"/>
            <w:gridSpan w:val="2"/>
          </w:tcPr>
          <w:p>
            <w:pPr>
              <w:spacing w:after="0"/>
              <w:rPr>
                <w:sz w:val="20"/>
                <w:szCs w:val="20"/>
                <w:color w:val="auto"/>
              </w:rPr>
            </w:pPr>
            <w:r>
              <w:rPr>
                <w:rFonts w:ascii="Arial" w:cs="Arial" w:eastAsia="Arial" w:hAnsi="Arial"/>
                <w:sz w:val="18"/>
                <w:szCs w:val="18"/>
                <w:color w:val="auto"/>
              </w:rPr>
              <w:t>Street Retail San Antonio, LP</w:t>
            </w: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.1% (SRI San Anton)</w:t>
            </w:r>
          </w:p>
        </w:tc>
      </w:tr>
      <w:tr>
        <w:trPr>
          <w:trHeight w:val="222"/>
        </w:trPr>
        <w:tc>
          <w:tcPr>
            <w:tcW w:w="24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99.9% (SRI Texas)</w:t>
            </w: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color w:val="auto"/>
              </w:rPr>
              <w:t>SRI San Antonio, Inc. (f/k/a Dim Sum, Inc. f/k/a FR Acquisition Holding Co., Inc.)</w:t>
            </w: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100% voting stock</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SRI Texas, Inc.</w:t>
            </w: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100% voting stock</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JS&amp;DB, Inc.</w:t>
            </w: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100% voting stock</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FRIT San Jose Town and Country Village, LLC</w:t>
            </w:r>
          </w:p>
        </w:tc>
        <w:tc>
          <w:tcPr>
            <w:tcW w:w="1780" w:type="dxa"/>
            <w:vAlign w:val="bottom"/>
          </w:tcPr>
          <w:p>
            <w:pPr>
              <w:ind w:left="1360"/>
              <w:spacing w:after="0"/>
              <w:rPr>
                <w:sz w:val="20"/>
                <w:szCs w:val="20"/>
                <w:color w:val="auto"/>
              </w:rPr>
            </w:pPr>
            <w:r>
              <w:rPr>
                <w:rFonts w:ascii="Arial" w:cs="Arial" w:eastAsia="Arial" w:hAnsi="Arial"/>
                <w:sz w:val="18"/>
                <w:szCs w:val="18"/>
                <w:color w:val="auto"/>
                <w:w w:val="86"/>
              </w:rPr>
              <w:t>100%</w:t>
            </w:r>
          </w:p>
        </w:tc>
        <w:tc>
          <w:tcPr>
            <w:tcW w:w="1940" w:type="dxa"/>
            <w:vAlign w:val="bottom"/>
          </w:tcPr>
          <w:p>
            <w:pPr>
              <w:spacing w:after="0"/>
              <w:rPr>
                <w:sz w:val="18"/>
                <w:szCs w:val="18"/>
                <w:color w:val="auto"/>
              </w:rPr>
            </w:pP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San Jose Residential, Inc.</w:t>
            </w: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100% nonvoting stock (LLC)</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Santana Row Services, Inc.</w:t>
            </w: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100% voting</w:t>
            </w:r>
          </w:p>
        </w:tc>
      </w:tr>
      <w:tr>
        <w:trPr>
          <w:trHeight w:val="222"/>
        </w:trPr>
        <w:tc>
          <w:tcPr>
            <w:tcW w:w="7220" w:type="dxa"/>
            <w:vAlign w:val="bottom"/>
            <w:gridSpan w:val="2"/>
          </w:tcPr>
          <w:p>
            <w:pPr>
              <w:spacing w:after="0"/>
              <w:rPr>
                <w:sz w:val="20"/>
                <w:szCs w:val="20"/>
                <w:color w:val="auto"/>
              </w:rPr>
            </w:pPr>
            <w:r>
              <w:rPr>
                <w:rFonts w:ascii="Arial" w:cs="Arial" w:eastAsia="Arial" w:hAnsi="Arial"/>
                <w:sz w:val="18"/>
                <w:szCs w:val="18"/>
                <w:color w:val="auto"/>
              </w:rPr>
              <w:t>Santana Row ROF, Inc.</w:t>
            </w:r>
          </w:p>
        </w:tc>
        <w:tc>
          <w:tcPr>
            <w:tcW w:w="3720" w:type="dxa"/>
            <w:vAlign w:val="bottom"/>
            <w:gridSpan w:val="2"/>
          </w:tcPr>
          <w:p>
            <w:pPr>
              <w:ind w:left="1360"/>
              <w:spacing w:after="0"/>
              <w:rPr>
                <w:sz w:val="20"/>
                <w:szCs w:val="20"/>
                <w:color w:val="auto"/>
              </w:rPr>
            </w:pPr>
            <w:r>
              <w:rPr>
                <w:rFonts w:ascii="Arial" w:cs="Arial" w:eastAsia="Arial" w:hAnsi="Arial"/>
                <w:sz w:val="18"/>
                <w:szCs w:val="18"/>
                <w:color w:val="auto"/>
              </w:rPr>
              <w:t>100% voting</w:t>
            </w:r>
          </w:p>
        </w:tc>
      </w:tr>
      <w:tr>
        <w:trPr>
          <w:trHeight w:val="365"/>
        </w:trPr>
        <w:tc>
          <w:tcPr>
            <w:tcW w:w="7220" w:type="dxa"/>
            <w:vAlign w:val="bottom"/>
            <w:gridSpan w:val="2"/>
          </w:tcPr>
          <w:p>
            <w:pPr>
              <w:ind w:left="5680"/>
              <w:spacing w:after="0"/>
              <w:rPr>
                <w:sz w:val="20"/>
                <w:szCs w:val="20"/>
                <w:color w:val="auto"/>
              </w:rPr>
            </w:pPr>
            <w:r>
              <w:rPr>
                <w:rFonts w:ascii="Arial" w:cs="Arial" w:eastAsia="Arial" w:hAnsi="Arial"/>
                <w:sz w:val="18"/>
                <w:szCs w:val="18"/>
                <w:color w:val="auto"/>
              </w:rPr>
              <w:t>2</w:t>
            </w:r>
          </w:p>
        </w:tc>
        <w:tc>
          <w:tcPr>
            <w:tcW w:w="178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0940"/>
          </w:cols>
          <w:pgMar w:left="240" w:top="280" w:right="719"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La Rive Gauche San Jose, LLC</w:t>
            </w:r>
          </w:p>
        </w:tc>
        <w:tc>
          <w:tcPr>
            <w:tcW w:w="3380" w:type="dxa"/>
            <w:vAlign w:val="bottom"/>
          </w:tcPr>
          <w:p>
            <w:pPr>
              <w:ind w:left="2940"/>
              <w:spacing w:after="0"/>
              <w:rPr>
                <w:sz w:val="20"/>
                <w:szCs w:val="20"/>
                <w:color w:val="auto"/>
              </w:rPr>
            </w:pPr>
            <w:r>
              <w:rPr>
                <w:rFonts w:ascii="Arial" w:cs="Arial" w:eastAsia="Arial" w:hAnsi="Arial"/>
                <w:sz w:val="18"/>
                <w:szCs w:val="18"/>
                <w:color w:val="auto"/>
                <w:w w:val="82"/>
              </w:rPr>
              <w:t>37.5%</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Straits Santana Row, LLC</w:t>
            </w:r>
          </w:p>
        </w:tc>
        <w:tc>
          <w:tcPr>
            <w:tcW w:w="3380" w:type="dxa"/>
            <w:vAlign w:val="bottom"/>
          </w:tcPr>
          <w:p>
            <w:pPr>
              <w:ind w:left="2940"/>
              <w:spacing w:after="0"/>
              <w:rPr>
                <w:sz w:val="20"/>
                <w:szCs w:val="20"/>
                <w:color w:val="auto"/>
              </w:rPr>
            </w:pPr>
            <w:r>
              <w:rPr>
                <w:rFonts w:ascii="Arial" w:cs="Arial" w:eastAsia="Arial" w:hAnsi="Arial"/>
                <w:sz w:val="18"/>
                <w:szCs w:val="18"/>
                <w:color w:val="auto"/>
              </w:rPr>
              <w:t>90%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Blowfish SR, LLC</w:t>
            </w:r>
          </w:p>
        </w:tc>
        <w:tc>
          <w:tcPr>
            <w:tcW w:w="3380" w:type="dxa"/>
            <w:vAlign w:val="bottom"/>
          </w:tcPr>
          <w:p>
            <w:pPr>
              <w:ind w:left="2940"/>
              <w:spacing w:after="0"/>
              <w:rPr>
                <w:sz w:val="20"/>
                <w:szCs w:val="20"/>
                <w:color w:val="auto"/>
              </w:rPr>
            </w:pPr>
            <w:r>
              <w:rPr>
                <w:rFonts w:ascii="Arial" w:cs="Arial" w:eastAsia="Arial" w:hAnsi="Arial"/>
                <w:sz w:val="18"/>
                <w:szCs w:val="18"/>
                <w:color w:val="auto"/>
              </w:rPr>
              <w:t>30%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Village Café Santana Row, LLC</w:t>
            </w:r>
          </w:p>
        </w:tc>
        <w:tc>
          <w:tcPr>
            <w:tcW w:w="3380" w:type="dxa"/>
            <w:vAlign w:val="bottom"/>
          </w:tcPr>
          <w:p>
            <w:pPr>
              <w:ind w:left="2940"/>
              <w:spacing w:after="0"/>
              <w:rPr>
                <w:sz w:val="20"/>
                <w:szCs w:val="20"/>
                <w:color w:val="auto"/>
              </w:rPr>
            </w:pPr>
            <w:r>
              <w:rPr>
                <w:rFonts w:ascii="Arial" w:cs="Arial" w:eastAsia="Arial" w:hAnsi="Arial"/>
                <w:sz w:val="18"/>
                <w:szCs w:val="18"/>
                <w:color w:val="auto"/>
                <w:w w:val="82"/>
              </w:rPr>
              <w:t>49.3%</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Yankee Pier Santana Row, LLC</w:t>
            </w:r>
          </w:p>
        </w:tc>
        <w:tc>
          <w:tcPr>
            <w:tcW w:w="3380" w:type="dxa"/>
            <w:vAlign w:val="bottom"/>
          </w:tcPr>
          <w:p>
            <w:pPr>
              <w:ind w:left="2940"/>
              <w:spacing w:after="0"/>
              <w:rPr>
                <w:sz w:val="20"/>
                <w:szCs w:val="20"/>
                <w:color w:val="auto"/>
              </w:rPr>
            </w:pPr>
            <w:r>
              <w:rPr>
                <w:rFonts w:ascii="Arial" w:cs="Arial" w:eastAsia="Arial" w:hAnsi="Arial"/>
                <w:sz w:val="18"/>
                <w:szCs w:val="18"/>
                <w:color w:val="auto"/>
              </w:rPr>
              <w:t>75%</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Pizza Antica, LLC</w:t>
            </w:r>
          </w:p>
        </w:tc>
        <w:tc>
          <w:tcPr>
            <w:tcW w:w="3380" w:type="dxa"/>
            <w:vAlign w:val="bottom"/>
          </w:tcPr>
          <w:p>
            <w:pPr>
              <w:ind w:left="2940"/>
              <w:spacing w:after="0"/>
              <w:rPr>
                <w:sz w:val="20"/>
                <w:szCs w:val="20"/>
                <w:color w:val="auto"/>
              </w:rPr>
            </w:pPr>
            <w:r>
              <w:rPr>
                <w:rFonts w:ascii="Arial" w:cs="Arial" w:eastAsia="Arial" w:hAnsi="Arial"/>
                <w:sz w:val="18"/>
                <w:szCs w:val="18"/>
                <w:color w:val="auto"/>
              </w:rPr>
              <w:t>20%</w:t>
            </w: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Red Lantern Restaurant, LLC</w:t>
            </w:r>
          </w:p>
        </w:tc>
        <w:tc>
          <w:tcPr>
            <w:tcW w:w="3380" w:type="dxa"/>
            <w:vAlign w:val="bottom"/>
          </w:tcPr>
          <w:p>
            <w:pPr>
              <w:ind w:left="2940"/>
              <w:spacing w:after="0"/>
              <w:rPr>
                <w:sz w:val="20"/>
                <w:szCs w:val="20"/>
                <w:color w:val="auto"/>
              </w:rPr>
            </w:pPr>
            <w:r>
              <w:rPr>
                <w:rFonts w:ascii="Arial" w:cs="Arial" w:eastAsia="Arial" w:hAnsi="Arial"/>
                <w:sz w:val="18"/>
                <w:szCs w:val="18"/>
                <w:color w:val="auto"/>
              </w:rPr>
              <w:t>90%</w:t>
            </w:r>
          </w:p>
        </w:tc>
      </w:tr>
    </w:tbl>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Santana Row Association, a California non-profit mutual benefit corporation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Deforest Building Condominium Owners Association, a California non-profit mutual benefit corporation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Deforest Building Residential Condominium Owners Association, a California non-profit mutual benefit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Margo Building and Villa Cornet Building Condominium Owners Association, a California non-profit mutual benefit corporation</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Margo Building Condominium Owners Association, a California non-profit mutual benefit corporation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Villa Cornet Condominium Owners Association, a California non-profit mutual benefit corporation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29,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ERRILL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YNCH</w:t>
      </w:r>
      <w:r>
        <w:rPr>
          <w:rFonts w:ascii="Arial" w:cs="Arial" w:eastAsia="Arial" w:hAnsi="Arial"/>
          <w:sz w:val="18"/>
          <w:szCs w:val="18"/>
          <w:b w:val="1"/>
          <w:bCs w:val="1"/>
          <w:color w:val="auto"/>
        </w:rPr>
        <w:t>, P</w:t>
      </w:r>
      <w:r>
        <w:rPr>
          <w:rFonts w:ascii="Arial" w:cs="Arial" w:eastAsia="Arial" w:hAnsi="Arial"/>
          <w:sz w:val="14"/>
          <w:szCs w:val="14"/>
          <w:b w:val="1"/>
          <w:bCs w:val="1"/>
          <w:color w:val="auto"/>
        </w:rPr>
        <w:t>IERCE</w:t>
      </w:r>
      <w:r>
        <w:rPr>
          <w:rFonts w:ascii="Arial" w:cs="Arial" w:eastAsia="Arial" w:hAnsi="Arial"/>
          <w:sz w:val="18"/>
          <w:szCs w:val="18"/>
          <w:b w:val="1"/>
          <w:bCs w:val="1"/>
          <w:color w:val="auto"/>
        </w:rPr>
        <w:t>, F</w:t>
      </w:r>
      <w:r>
        <w:rPr>
          <w:rFonts w:ascii="Arial" w:cs="Arial" w:eastAsia="Arial" w:hAnsi="Arial"/>
          <w:sz w:val="14"/>
          <w:szCs w:val="14"/>
          <w:b w:val="1"/>
          <w:bCs w:val="1"/>
          <w:color w:val="auto"/>
        </w:rPr>
        <w:t>ENNER</w:t>
      </w:r>
      <w:r>
        <w:rPr>
          <w:rFonts w:ascii="Arial" w:cs="Arial" w:eastAsia="Arial" w:hAnsi="Arial"/>
          <w:sz w:val="18"/>
          <w:szCs w:val="18"/>
          <w:b w:val="1"/>
          <w:bCs w:val="1"/>
          <w:color w:val="auto"/>
        </w:rPr>
        <w:t xml:space="preserve"> &amp; S</w:t>
      </w:r>
      <w:r>
        <w:rPr>
          <w:rFonts w:ascii="Arial" w:cs="Arial" w:eastAsia="Arial" w:hAnsi="Arial"/>
          <w:sz w:val="14"/>
          <w:szCs w:val="14"/>
          <w:b w:val="1"/>
          <w:bCs w:val="1"/>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w:t>
      </w:r>
      <w:r>
        <w:rPr>
          <w:rFonts w:ascii="Arial" w:cs="Arial" w:eastAsia="Arial" w:hAnsi="Arial"/>
          <w:sz w:val="14"/>
          <w:szCs w:val="14"/>
          <w:b w:val="1"/>
          <w:bCs w:val="1"/>
          <w:color w:val="auto"/>
        </w:rPr>
        <w:t>ORGAN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C</w:t>
      </w:r>
      <w:r>
        <w:rPr>
          <w:rFonts w:ascii="Arial" w:cs="Arial" w:eastAsia="Arial" w:hAnsi="Arial"/>
          <w:sz w:val="17"/>
          <w:szCs w:val="17"/>
          <w:color w:val="auto"/>
        </w:rPr>
        <w:t>/</w:t>
      </w:r>
      <w:r>
        <w:rPr>
          <w:rFonts w:ascii="Arial" w:cs="Arial" w:eastAsia="Arial" w:hAnsi="Arial"/>
          <w:sz w:val="15"/>
          <w:szCs w:val="15"/>
          <w:color w:val="auto"/>
        </w:rPr>
        <w:t>O</w:t>
      </w:r>
      <w:r>
        <w:rPr>
          <w:sz w:val="20"/>
          <w:szCs w:val="20"/>
          <w:color w:val="auto"/>
        </w:rPr>
        <w:tab/>
      </w:r>
      <w:r>
        <w:rPr>
          <w:rFonts w:ascii="Arial" w:cs="Arial" w:eastAsia="Arial" w:hAnsi="Arial"/>
          <w:sz w:val="16"/>
          <w:szCs w:val="16"/>
          <w:color w:val="auto"/>
        </w:rPr>
        <w:t>Wachovia Capital Markets, LLC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Saint Paul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Baltimore, MD 21202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November 29, 2005 (the “Underwriting Agreement”), between the Company on the one hand and Wachovia Capital Markets, LLC, Citigroup Global Markets Inc., Bear, Stearns &amp; Co. Inc., Merrill Lynch, Pierce, Fenner &amp; Smith Incorporated, Commerzbank Capital Markets Corp., J.P. Morgan Securities Inc. and PNC Capital Markets, Inc. on the other hand, to issue and sell to the Underwriters named in Schedule I hereto (the “Underwriters”) the Securities specified in Schedules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w:t>
      </w:r>
    </w:p>
    <w:p>
      <w:pPr>
        <w:sectPr>
          <w:pgSz w:w="11900" w:h="16838" w:orient="portrait"/>
          <w:cols w:equalWidth="0" w:num="1">
            <w:col w:w="11420"/>
          </w:cols>
          <w:pgMar w:left="240" w:top="125" w:right="239" w:bottom="1440" w:gutter="0" w:footer="0" w:header="0"/>
        </w:sectPr>
      </w:pPr>
    </w:p>
    <w:bookmarkStart w:id="42" w:name="page43"/>
    <w:bookmarkEnd w:id="42"/>
    <w:p>
      <w:pPr>
        <w:jc w:val="both"/>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Underwriters pursuant to Section 12 of the Underwriting Agreement are Wachovia Capital Markets, LLC and Citigroup Global Markets Inc., and the address of the Representatives referred to in such Section 12 are set forth in Schedule II hereto.</w:t>
      </w:r>
    </w:p>
    <w:p>
      <w:pPr>
        <w:spacing w:after="0" w:line="9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58"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43" w:name="page44"/>
    <w:bookmarkEnd w:id="43"/>
    <w:p>
      <w:pPr>
        <w:jc w:val="both"/>
        <w:ind w:right="3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Donald C. Wood</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Donald C. Wood</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8"/>
              </w:rPr>
              <w:t>President and Chief Executive Officer and Trustee</w:t>
            </w:r>
          </w:p>
        </w:tc>
      </w:tr>
    </w:tbl>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as of the date hereof:</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ACHOVIA</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EAR</w:t>
      </w:r>
      <w:r>
        <w:rPr>
          <w:rFonts w:ascii="Arial" w:cs="Arial" w:eastAsia="Arial" w:hAnsi="Arial"/>
          <w:sz w:val="18"/>
          <w:szCs w:val="18"/>
          <w:b w:val="1"/>
          <w:bCs w:val="1"/>
          <w:color w:val="auto"/>
        </w:rPr>
        <w:t>, S</w:t>
      </w:r>
      <w:r>
        <w:rPr>
          <w:rFonts w:ascii="Arial" w:cs="Arial" w:eastAsia="Arial" w:hAnsi="Arial"/>
          <w:sz w:val="14"/>
          <w:szCs w:val="14"/>
          <w:b w:val="1"/>
          <w:bCs w:val="1"/>
          <w:color w:val="auto"/>
        </w:rPr>
        <w:t>TEARNS</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ERRILL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YNCH</w:t>
      </w:r>
      <w:r>
        <w:rPr>
          <w:rFonts w:ascii="Arial" w:cs="Arial" w:eastAsia="Arial" w:hAnsi="Arial"/>
          <w:sz w:val="18"/>
          <w:szCs w:val="18"/>
          <w:b w:val="1"/>
          <w:bCs w:val="1"/>
          <w:color w:val="auto"/>
        </w:rPr>
        <w:t>, P</w:t>
      </w:r>
      <w:r>
        <w:rPr>
          <w:rFonts w:ascii="Arial" w:cs="Arial" w:eastAsia="Arial" w:hAnsi="Arial"/>
          <w:sz w:val="14"/>
          <w:szCs w:val="14"/>
          <w:b w:val="1"/>
          <w:bCs w:val="1"/>
          <w:color w:val="auto"/>
        </w:rPr>
        <w:t>IERCE</w:t>
      </w:r>
      <w:r>
        <w:rPr>
          <w:rFonts w:ascii="Arial" w:cs="Arial" w:eastAsia="Arial" w:hAnsi="Arial"/>
          <w:sz w:val="18"/>
          <w:szCs w:val="18"/>
          <w:b w:val="1"/>
          <w:bCs w:val="1"/>
          <w:color w:val="auto"/>
        </w:rPr>
        <w:t>, F</w:t>
      </w:r>
      <w:r>
        <w:rPr>
          <w:rFonts w:ascii="Arial" w:cs="Arial" w:eastAsia="Arial" w:hAnsi="Arial"/>
          <w:sz w:val="14"/>
          <w:szCs w:val="14"/>
          <w:b w:val="1"/>
          <w:bCs w:val="1"/>
          <w:color w:val="auto"/>
        </w:rPr>
        <w:t>ENNER</w:t>
      </w:r>
      <w:r>
        <w:rPr>
          <w:rFonts w:ascii="Arial" w:cs="Arial" w:eastAsia="Arial" w:hAnsi="Arial"/>
          <w:sz w:val="18"/>
          <w:szCs w:val="18"/>
          <w:b w:val="1"/>
          <w:bCs w:val="1"/>
          <w:color w:val="auto"/>
        </w:rPr>
        <w:t xml:space="preserve"> &amp; S</w:t>
      </w:r>
      <w:r>
        <w:rPr>
          <w:rFonts w:ascii="Arial" w:cs="Arial" w:eastAsia="Arial" w:hAnsi="Arial"/>
          <w:sz w:val="14"/>
          <w:szCs w:val="14"/>
          <w:b w:val="1"/>
          <w:bCs w:val="1"/>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OMMERZBANK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w:t>
      </w:r>
      <w:r>
        <w:rPr>
          <w:rFonts w:ascii="Arial" w:cs="Arial" w:eastAsia="Arial" w:hAnsi="Arial"/>
          <w:sz w:val="14"/>
          <w:szCs w:val="14"/>
          <w:b w:val="1"/>
          <w:bCs w:val="1"/>
          <w:color w:val="auto"/>
        </w:rPr>
        <w:t>ORGAN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Wachovia Capital Markets, LLC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Teresa Hee</w:t>
            </w:r>
          </w:p>
        </w:tc>
      </w:tr>
      <w:tr>
        <w:trPr>
          <w:trHeight w:val="110"/>
        </w:trPr>
        <w:tc>
          <w:tcPr>
            <w:tcW w:w="60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Teresa Hee</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Citigroup Global Markets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Scott Eisen</w:t>
            </w:r>
          </w:p>
        </w:tc>
      </w:tr>
      <w:tr>
        <w:trPr>
          <w:trHeight w:val="110"/>
        </w:trPr>
        <w:tc>
          <w:tcPr>
            <w:tcW w:w="60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Scott Eisen</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SCHEDULE I</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Principal Amount of</w:t>
            </w:r>
          </w:p>
        </w:tc>
        <w:tc>
          <w:tcPr>
            <w:tcW w:w="0" w:type="dxa"/>
            <w:vAlign w:val="bottom"/>
          </w:tcPr>
          <w:p>
            <w:pPr>
              <w:spacing w:after="0"/>
              <w:rPr>
                <w:sz w:val="1"/>
                <w:szCs w:val="1"/>
                <w:color w:val="auto"/>
              </w:rPr>
            </w:pPr>
          </w:p>
        </w:tc>
      </w:tr>
      <w:tr>
        <w:trPr>
          <w:trHeight w:val="174"/>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402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83"/>
              </w:rPr>
              <w:t>Designated Securities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424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4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5"/>
              </w:rPr>
              <w:t>Merrill Lynch, Pierce, Fenner &amp; Smith Incorporated</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Commerzbank Capital Markets Corp.</w:t>
            </w:r>
          </w:p>
        </w:tc>
        <w:tc>
          <w:tcPr>
            <w:tcW w:w="4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J.P. Morgan Securities Inc.</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Inc.</w:t>
            </w:r>
          </w:p>
        </w:tc>
        <w:tc>
          <w:tcPr>
            <w:tcW w:w="4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24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125,000,000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5796915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-29210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9140"/>
          </w:cols>
          <w:pgMar w:left="1380" w:top="280" w:right="1379" w:bottom="1440" w:gutter="0" w:footer="0" w:header="0"/>
        </w:sectPr>
      </w:pPr>
    </w:p>
    <w:bookmarkStart w:id="45" w:name="page46"/>
    <w:bookmarkEnd w:id="45"/>
    <w:p>
      <w:pPr>
        <w:jc w:val="center"/>
        <w:ind w:right="-4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5.65% Notes due 2016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$125,000,000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of the principal amount of the Designated Securities, plus accrued interest from December 2,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99.35% of the principal amount of the Designated Securities, plus accrued interest from December 2,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Indenture dated as of September 1, 1998, between the Company and Wachovia Bank, National Association (formerly, First Union National Bank), as Trustee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 2016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5.65%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 and December 1, commencing June 1, 2006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Designated Securities may be redeemed at any time, in whole or in part, at a redemption price as described in the Prospectus Supplement</w:t>
      </w:r>
    </w:p>
    <w:p>
      <w:pPr>
        <w:sectPr>
          <w:pgSz w:w="11900" w:h="16838" w:orient="portrait"/>
          <w:cols w:equalWidth="0" w:num="1">
            <w:col w:w="10940"/>
          </w:cols>
          <w:pgMar w:left="240" w:top="280" w:right="7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Sinking Fund Provisions: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83" w:lineRule="exact"/>
        <w:rPr>
          <w:sz w:val="20"/>
          <w:szCs w:val="20"/>
          <w:color w:val="auto"/>
        </w:rPr>
      </w:pPr>
    </w:p>
    <w:p>
      <w:pPr>
        <w:ind w:right="3660" w:firstLine="456"/>
        <w:spacing w:after="0" w:line="375" w:lineRule="auto"/>
        <w:rPr>
          <w:sz w:val="20"/>
          <w:szCs w:val="20"/>
          <w:color w:val="auto"/>
        </w:rPr>
      </w:pPr>
      <w:r>
        <w:rPr>
          <w:rFonts w:ascii="Arial" w:cs="Arial" w:eastAsia="Arial" w:hAnsi="Arial"/>
          <w:sz w:val="18"/>
          <w:szCs w:val="18"/>
          <w:color w:val="auto"/>
        </w:rPr>
        <w:t xml:space="preserve">The defeasance and covenant defeasance provisions of the Indenture apply to the Designated Securities </w:t>
      </w:r>
      <w:r>
        <w:rPr>
          <w:rFonts w:ascii="Arial" w:cs="Arial" w:eastAsia="Arial" w:hAnsi="Arial"/>
          <w:sz w:val="18"/>
          <w:szCs w:val="18"/>
          <w:b w:val="1"/>
          <w:bCs w:val="1"/>
          <w:color w:val="auto"/>
        </w:rPr>
        <w:t>Time of Delivery: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2,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Brown &amp; Wood </w:t>
      </w:r>
      <w:r>
        <w:rPr>
          <w:rFonts w:ascii="Arial" w:cs="Arial" w:eastAsia="Arial" w:hAnsi="Arial"/>
          <w:sz w:val="14"/>
          <w:szCs w:val="14"/>
          <w:color w:val="auto"/>
        </w:rPr>
        <w:t>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Names and addresses of Representative(s):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Designated Representative(s):</w:t>
      </w:r>
    </w:p>
    <w:p>
      <w:pPr>
        <w:spacing w:after="0" w:line="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Wachovia Capital Markets, LLC and Citigroup Global Markets Inc., on behalf of themselves and Bear, Stearns &amp; Co. Inc., Merrill Lynch, Pierce, Fenner &amp; Smith Incorporated, Commerzbank Capital Markets Corp., J.P. Morgan Securities Inc. and PNC Capital Markets, Inc.</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 for Notices, etc.:</w:t>
      </w:r>
    </w:p>
    <w:p>
      <w:pPr>
        <w:sectPr>
          <w:pgSz w:w="11900" w:h="16838" w:orient="portrait"/>
          <w:cols w:equalWidth="0" w:num="1">
            <w:col w:w="11380"/>
          </w:cols>
          <w:pgMar w:left="240" w:top="274" w:right="279" w:bottom="1440" w:gutter="0" w:footer="0" w:header="0"/>
        </w:sectPr>
      </w:pPr>
    </w:p>
    <w:p>
      <w:pPr>
        <w:spacing w:after="0" w:line="7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c/o</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Wachovia Capital Markets, LLC</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7 Saint Paul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Baltimore, MD 21202</w:t>
      </w:r>
    </w:p>
    <w:p>
      <w:pPr>
        <w:spacing w:after="0" w:line="151" w:lineRule="exact"/>
        <w:rPr>
          <w:sz w:val="20"/>
          <w:szCs w:val="20"/>
          <w:color w:val="auto"/>
        </w:rPr>
      </w:pPr>
    </w:p>
    <w:p>
      <w:pPr>
        <w:sectPr>
          <w:pgSz w:w="11900" w:h="16838" w:orient="portrait"/>
          <w:cols w:equalWidth="0" w:num="2">
            <w:col w:w="1120" w:space="360"/>
            <w:col w:w="9900"/>
          </w:cols>
          <w:pgMar w:left="240" w:top="274" w:right="279" w:bottom="1440" w:gutter="0" w:footer="0" w:header="0"/>
          <w:type w:val="continuous"/>
        </w:sectPr>
      </w:pPr>
    </w:p>
    <w:p>
      <w:pPr>
        <w:ind w:left="150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Citigroup Global Markets Inc.</w:t>
      </w:r>
    </w:p>
    <w:p>
      <w:pPr>
        <w:spacing w:after="0" w:line="3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New York, New York 10013</w:t>
      </w:r>
    </w:p>
    <w:p>
      <w:pPr>
        <w:sectPr>
          <w:pgSz w:w="11900" w:h="16838" w:orient="portrait"/>
          <w:cols w:equalWidth="0" w:num="1">
            <w:col w:w="11380"/>
          </w:cols>
          <w:pgMar w:left="240" w:top="274" w:right="27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4.1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5.65% Note due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CUSIP No. 313747 AL 1</w:t>
            </w:r>
          </w:p>
        </w:tc>
        <w:tc>
          <w:tcPr>
            <w:tcW w:w="5300" w:type="dxa"/>
            <w:vAlign w:val="bottom"/>
          </w:tcPr>
          <w:p>
            <w:pPr>
              <w:jc w:val="right"/>
              <w:spacing w:after="0"/>
              <w:rPr>
                <w:sz w:val="20"/>
                <w:szCs w:val="20"/>
                <w:color w:val="auto"/>
              </w:rPr>
            </w:pPr>
            <w:r>
              <w:rPr>
                <w:rFonts w:ascii="Arial" w:cs="Arial" w:eastAsia="Arial" w:hAnsi="Arial"/>
                <w:sz w:val="18"/>
                <w:szCs w:val="18"/>
                <w:color w:val="auto"/>
              </w:rPr>
              <w:t>$125,000,000</w:t>
            </w:r>
          </w:p>
        </w:tc>
      </w:tr>
    </w:tbl>
    <w:p>
      <w:pPr>
        <w:spacing w:after="0" w:line="136"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2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23" w:lineRule="exact"/>
        <w:rPr>
          <w:sz w:val="20"/>
          <w:szCs w:val="20"/>
          <w:color w:val="auto"/>
        </w:rPr>
      </w:pPr>
    </w:p>
    <w:p>
      <w:pPr>
        <w:ind w:right="960"/>
        <w:spacing w:after="0" w:line="275"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$1,000 AND INTEGRAL MULTIPLES OF $1,000 IN EXCESS THEREOF.</w:t>
      </w:r>
    </w:p>
    <w:p>
      <w:pPr>
        <w:spacing w:after="0" w:line="11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One Hundred Twenty-Five Million Dollars on June 1, 2016 (the “Stated Maturity Date”) or the date fixed for earlier redemption (the “Redemption Date,” and together with the Stated Maturity Date with respect to principal repayable on such date, the “Maturity Date”), and to pay interest thereon from December 2, 2005 or from the most recent interest payment date to which interest has been paid or duly provided for, semi-annually on June 1 and December 1 in each year (each, an “Interest Payment Date”), commencing June 1, 2006, at the rate of 5.65%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May 15 or November 15 (whether or not a Business Day), as the case may be, next preceding such Interest Payment Date at the office or agency of the Company maintained for such purpose; provided, however, that such interest may be paid, at the Company’s option, by mailing a check to such Holder at its registered</w:t>
      </w:r>
    </w:p>
    <w:p>
      <w:pPr>
        <w:sectPr>
          <w:pgSz w:w="11900" w:h="16838" w:orient="portrait"/>
          <w:cols w:equalWidth="0" w:num="1">
            <w:col w:w="11420"/>
          </w:cols>
          <w:pgMar w:left="240" w:top="125" w:right="239" w:bottom="1440" w:gutter="0" w:footer="0" w:header="0"/>
        </w:sectPr>
      </w:pPr>
    </w:p>
    <w:bookmarkStart w:id="48" w:name="page49"/>
    <w:bookmarkEnd w:id="48"/>
    <w:p>
      <w:pPr>
        <w:ind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3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3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December 2, 2005, if no interest has been paid on this Note) to but excluding such Interest Payment Date or the Maturity Date, as the case may be. If any Interest Payment Date or the Maturity Date falls on a day that is not a Business Day, as defined below,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payments of principal, premium, if any, and interest in respect of this Note will be made by the Company in immediately available funds.</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instrument to be duly executed.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December 2,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FEDERAL REALTY INVESTMENT TRUST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Trustee</w:t>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Executive Vice President-General Counsel</w:t>
      </w:r>
    </w:p>
    <w:p>
      <w:pPr>
        <w:spacing w:after="0" w:line="4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 Secretary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Darlene M. Hough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TRUSTEE’S CERTIFICATE OF AUTHENTICATION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30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WACHOVIA BANK, NATIONAL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ASSOCIATION, as Trustee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856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240"/>
          </w:cols>
          <w:pgMar w:left="240" w:top="280" w:right="141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Security]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INVESTMENT TRUST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5.65% Note due 2016</w:t>
      </w:r>
    </w:p>
    <w:p>
      <w:pPr>
        <w:spacing w:after="0" w:line="158"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This Note is one of a duly authorized issue of securities of the Company (herein called the “Securities”), issued and to be issued in one or more series under an Indenture, dated as of September 1, 1998 (herein called the “Indenture”) between the Company and Wachovia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“5.65% Notes due 2016” (collectively, the “Notes”), and the aggregate principal amount of the Notes to be issued under such series is initially limited to $125,000,000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will all existing and future unsecured and unsubordinated indebtedness of the Company. All terms used in this Note which are defined in the Indenture shall have the meanings assigned to them in the Indenture.</w:t>
      </w:r>
    </w:p>
    <w:p>
      <w:pPr>
        <w:spacing w:after="0" w:line="9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Notes are subject to redemption at any time, in whole or in part, at the election of the Company, at a redemption price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20 basis points plus, in each case, accrued interest thereon to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77" w:lineRule="exact"/>
        <w:rPr>
          <w:sz w:val="20"/>
          <w:szCs w:val="20"/>
          <w:color w:val="auto"/>
        </w:rPr>
      </w:pPr>
    </w:p>
    <w:p>
      <w:pPr>
        <w:ind w:left="460"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w:t>
      </w:r>
    </w:p>
    <w:p>
      <w:pPr>
        <w:sectPr>
          <w:pgSz w:w="11900" w:h="16838" w:orient="portrait"/>
          <w:cols w:equalWidth="0" w:num="1">
            <w:col w:w="11420"/>
          </w:cols>
          <w:pgMar w:left="240" w:top="280" w:right="239" w:bottom="1440" w:gutter="0" w:footer="0" w:header="0"/>
        </w:sectPr>
      </w:pPr>
    </w:p>
    <w:bookmarkStart w:id="51" w:name="page52"/>
    <w:bookmarkEnd w:id="51"/>
    <w:p>
      <w:pPr>
        <w:ind w:left="46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Treasury Issue, assuming a price for the Comparable Treasury Issue (expressed as a percentage of its principal amount) equal to the Comparable Treasury Price for such Redemption Date.</w:t>
      </w:r>
    </w:p>
    <w:p>
      <w:pPr>
        <w:spacing w:after="0" w:line="37" w:lineRule="exact"/>
        <w:rPr>
          <w:sz w:val="20"/>
          <w:szCs w:val="20"/>
          <w:color w:val="auto"/>
        </w:rPr>
      </w:pPr>
    </w:p>
    <w:p>
      <w:pPr>
        <w:ind w:left="460" w:right="1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2" w:lineRule="exact"/>
        <w:rPr>
          <w:sz w:val="20"/>
          <w:szCs w:val="20"/>
          <w:color w:val="auto"/>
        </w:rPr>
      </w:pPr>
    </w:p>
    <w:p>
      <w:pPr>
        <w:jc w:val="both"/>
        <w:ind w:left="460" w:right="240" w:firstLine="438"/>
        <w:spacing w:after="0" w:line="259"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after excluding the highest and lowest such Reference Treasury Dealer Quotations, or (2) if the Trustee obtains fewer than three such Reference Treasury Dealer quotations, the average of all such Quotations.</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77" w:lineRule="exact"/>
        <w:rPr>
          <w:sz w:val="20"/>
          <w:szCs w:val="20"/>
          <w:color w:val="auto"/>
        </w:rPr>
      </w:pPr>
    </w:p>
    <w:p>
      <w:pPr>
        <w:ind w:left="460" w:right="16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w:t>
      </w:r>
      <w:r>
        <w:rPr>
          <w:rFonts w:ascii="Arial" w:cs="Arial" w:eastAsia="Arial" w:hAnsi="Arial"/>
          <w:sz w:val="16"/>
          <w:szCs w:val="16"/>
          <w:color w:val="auto"/>
        </w:rPr>
        <w:t>” means (1) each of Citigroup Global Markets Inc., Merrill Lynch, Pierce, Fenner &amp; Smith Incorporated and one other primary U.S. Government securities dealer in New York City selected by Wachovia Capital Markets, LLC, and their respective successors; provided, however, that if any of the foregoing cease to be a primary U.S. Government securities dealer (a “Primary Treasury Dealer”), the Company will substitute therefor another Primary Treasury Dealer; and (2) any other Primary Treasury Dealer selected by the Company.</w:t>
      </w:r>
    </w:p>
    <w:p>
      <w:pPr>
        <w:spacing w:after="0" w:line="18"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Notice of redemption will be given by mail to Holders of Securities, not less than 30 nor more than 60 days prior to the Redemption Date, all as provided in the Indenture.</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2" w:name="page53"/>
    <w:bookmarkEnd w:id="52"/>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05"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In addition to the foregoing limitation on the incurrence of Debt, the Company will not, and will not permit any Subsidiary to, incur any Debt secured by any mortgage, lien, charge, pledge, encumbrance or security interest of any kind upon any of the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under capital leases shown as a liability on the Company’s consolidated balance sheet shall be deducted from Debt and Total Assets.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Furthermore, the Company and each of its Subsidiaries taken as a whole, will, at all times maintain an Unencumbered Total Asset Value (as defined below) in an amount not less than 150% of the aggregate outstanding principal amount of the unsecured Debt of the Company and each of its Subsidiaries, taken as a whole.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77"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“Acquired Debt”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49" w:lineRule="exact"/>
        <w:rPr>
          <w:sz w:val="20"/>
          <w:szCs w:val="20"/>
          <w:color w:val="auto"/>
        </w:rPr>
      </w:pPr>
    </w:p>
    <w:p>
      <w:pPr>
        <w:ind w:left="460" w:right="40" w:firstLine="438"/>
        <w:spacing w:after="0" w:line="370" w:lineRule="auto"/>
        <w:rPr>
          <w:sz w:val="20"/>
          <w:szCs w:val="20"/>
          <w:color w:val="auto"/>
        </w:rPr>
      </w:pPr>
      <w:r>
        <w:rPr>
          <w:rFonts w:ascii="Arial" w:cs="Arial" w:eastAsia="Arial" w:hAnsi="Arial"/>
          <w:sz w:val="15"/>
          <w:szCs w:val="15"/>
          <w:color w:val="auto"/>
        </w:rPr>
        <w:t>“Annual Debt Service Charge”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4" w:name="page55"/>
    <w:bookmarkEnd w:id="54"/>
    <w:p>
      <w:pPr>
        <w:jc w:val="both"/>
        <w:ind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46" w:lineRule="exact"/>
        <w:rPr>
          <w:sz w:val="20"/>
          <w:szCs w:val="20"/>
          <w:color w:val="auto"/>
        </w:rPr>
      </w:pPr>
    </w:p>
    <w:p>
      <w:pPr>
        <w:ind w:right="700" w:firstLine="438"/>
        <w:spacing w:after="0" w:line="325" w:lineRule="auto"/>
        <w:rPr>
          <w:sz w:val="20"/>
          <w:szCs w:val="20"/>
          <w:color w:val="auto"/>
        </w:rPr>
      </w:pPr>
      <w:r>
        <w:rPr>
          <w:rFonts w:ascii="Arial" w:cs="Arial" w:eastAsia="Arial" w:hAnsi="Arial"/>
          <w:sz w:val="16"/>
          <w:szCs w:val="16"/>
          <w:color w:val="auto"/>
        </w:rPr>
        <w:t>“Consolidated Income Available for Debt Service” for any period means Funds from Operations (as defined below) of the Company and its Subsidiaries plus amounts which have been deducted for interest on Debt of the Company and its Subsidiaries.</w:t>
      </w:r>
    </w:p>
    <w:p>
      <w:pPr>
        <w:spacing w:after="0" w:line="1" w:lineRule="exact"/>
        <w:rPr>
          <w:sz w:val="20"/>
          <w:szCs w:val="20"/>
          <w:color w:val="auto"/>
        </w:rPr>
      </w:pPr>
    </w:p>
    <w:p>
      <w:pPr>
        <w:ind w:right="60" w:firstLine="438"/>
        <w:spacing w:after="0" w:line="302" w:lineRule="auto"/>
        <w:rPr>
          <w:sz w:val="20"/>
          <w:szCs w:val="20"/>
          <w:color w:val="auto"/>
        </w:rPr>
      </w:pPr>
      <w:r>
        <w:rPr>
          <w:rFonts w:ascii="Arial" w:cs="Arial" w:eastAsia="Arial" w:hAnsi="Arial"/>
          <w:sz w:val="15"/>
          <w:szCs w:val="15"/>
          <w:color w:val="auto"/>
        </w:rPr>
        <w:t>“Debt”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2" w:lineRule="exact"/>
        <w:rPr>
          <w:sz w:val="20"/>
          <w:szCs w:val="20"/>
          <w:color w:val="auto"/>
        </w:rPr>
      </w:pPr>
    </w:p>
    <w:p>
      <w:pPr>
        <w:ind w:firstLine="4"/>
        <w:spacing w:after="0" w:line="300" w:lineRule="auto"/>
        <w:tabs>
          <w:tab w:leader="none" w:pos="29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 accepted accounting principles to the extent, in the case of items of indebtedness under (i) through</w:t>
      </w:r>
    </w:p>
    <w:p>
      <w:pPr>
        <w:spacing w:after="0" w:line="1" w:lineRule="exact"/>
        <w:rPr>
          <w:rFonts w:ascii="Arial" w:cs="Arial" w:eastAsia="Arial" w:hAnsi="Arial"/>
          <w:sz w:val="15"/>
          <w:szCs w:val="15"/>
          <w:color w:val="auto"/>
        </w:rPr>
      </w:pPr>
    </w:p>
    <w:p>
      <w:pPr>
        <w:ind w:firstLine="4"/>
        <w:spacing w:after="0" w:line="288" w:lineRule="auto"/>
        <w:tabs>
          <w:tab w:leader="none" w:pos="307" w:val="left"/>
        </w:tabs>
        <w:numPr>
          <w:ilvl w:val="0"/>
          <w:numId w:val="33"/>
        </w:numPr>
        <w:rPr>
          <w:rFonts w:ascii="Arial" w:cs="Arial" w:eastAsia="Arial" w:hAnsi="Arial"/>
          <w:sz w:val="16"/>
          <w:szCs w:val="16"/>
          <w:color w:val="auto"/>
        </w:rPr>
      </w:pPr>
      <w:r>
        <w:rPr>
          <w:rFonts w:ascii="Arial" w:cs="Arial" w:eastAsia="Arial" w:hAnsi="Arial"/>
          <w:sz w:val="16"/>
          <w:szCs w:val="16"/>
          <w:color w:val="auto"/>
        </w:rPr>
        <w:t>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provided that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28" w:lineRule="exact"/>
        <w:rPr>
          <w:sz w:val="20"/>
          <w:szCs w:val="20"/>
          <w:color w:val="auto"/>
        </w:rPr>
      </w:pPr>
    </w:p>
    <w:p>
      <w:pPr>
        <w:ind w:right="80" w:firstLine="438"/>
        <w:spacing w:after="0" w:line="298" w:lineRule="auto"/>
        <w:rPr>
          <w:sz w:val="20"/>
          <w:szCs w:val="20"/>
          <w:color w:val="auto"/>
        </w:rPr>
      </w:pPr>
      <w:r>
        <w:rPr>
          <w:rFonts w:ascii="Arial" w:cs="Arial" w:eastAsia="Arial" w:hAnsi="Arial"/>
          <w:sz w:val="16"/>
          <w:szCs w:val="16"/>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55" w:name="page56"/>
    <w:bookmarkEnd w:id="55"/>
    <w:p>
      <w:pPr>
        <w:ind w:left="460" w:right="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“Funds from Operations” for any period means income available to common shareholders before depreciation and amortization of real estate assets and before extraordinary items less gain on sale of real estate.</w:t>
      </w:r>
    </w:p>
    <w:p>
      <w:pPr>
        <w:spacing w:after="0" w:line="37" w:lineRule="exact"/>
        <w:rPr>
          <w:sz w:val="20"/>
          <w:szCs w:val="20"/>
          <w:color w:val="auto"/>
        </w:rPr>
      </w:pPr>
    </w:p>
    <w:p>
      <w:pPr>
        <w:ind w:left="460" w:right="120" w:firstLine="438"/>
        <w:spacing w:after="0" w:line="325" w:lineRule="auto"/>
        <w:rPr>
          <w:sz w:val="20"/>
          <w:szCs w:val="20"/>
          <w:color w:val="auto"/>
        </w:rPr>
      </w:pPr>
      <w:r>
        <w:rPr>
          <w:rFonts w:ascii="Arial" w:cs="Arial" w:eastAsia="Arial" w:hAnsi="Arial"/>
          <w:sz w:val="16"/>
          <w:szCs w:val="16"/>
          <w:color w:val="auto"/>
        </w:rPr>
        <w:t>“Total Assets”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1"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“Undepreciated Real Estate Assets”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46" w:lineRule="exact"/>
        <w:rPr>
          <w:sz w:val="20"/>
          <w:szCs w:val="20"/>
          <w:color w:val="auto"/>
        </w:rPr>
      </w:pPr>
    </w:p>
    <w:p>
      <w:pPr>
        <w:ind w:left="460" w:right="160" w:firstLine="438"/>
        <w:spacing w:after="0" w:line="298" w:lineRule="auto"/>
        <w:rPr>
          <w:sz w:val="20"/>
          <w:szCs w:val="20"/>
          <w:color w:val="auto"/>
        </w:rPr>
      </w:pPr>
      <w:r>
        <w:rPr>
          <w:rFonts w:ascii="Arial" w:cs="Arial" w:eastAsia="Arial" w:hAnsi="Arial"/>
          <w:sz w:val="16"/>
          <w:szCs w:val="16"/>
          <w:color w:val="auto"/>
        </w:rPr>
        <w:t>“Unencumbered Total Asset Value”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02"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Securities of this series are issuable only in registered form without coupons in denominations of $1,000 and any integral multiple thereof.</w:t>
      </w:r>
    </w:p>
    <w:p>
      <w:pPr>
        <w:spacing w:after="0" w:line="18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1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neither the Company, the Trustee nor any such agent shall be affected by notice to the contrary.</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240" w:top="280" w:right="379" w:bottom="1440" w:gutter="0" w:footer="0" w:header="0"/>
        </w:sectPr>
      </w:pPr>
    </w:p>
    <w:bookmarkStart w:id="57" w:name="page58"/>
    <w:bookmarkEnd w:id="57"/>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[PILLSBURY WINTHROP SHAW PITTMAN LLP GRAPHIC APPEARS HERE]</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30, 2005</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Rockville, Maryland 20852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20"/>
                <w:szCs w:val="20"/>
                <w:color w:val="auto"/>
              </w:rPr>
            </w:pPr>
            <w:r>
              <w:rPr>
                <w:rFonts w:ascii="Arial" w:cs="Arial" w:eastAsia="Arial" w:hAnsi="Arial"/>
                <w:sz w:val="14"/>
                <w:szCs w:val="14"/>
                <w:color w:val="auto"/>
              </w:rPr>
              <w:t>2300 N Street, N.W.</w:t>
            </w:r>
          </w:p>
        </w:tc>
        <w:tc>
          <w:tcPr>
            <w:tcW w:w="1240" w:type="dxa"/>
            <w:vAlign w:val="bottom"/>
          </w:tcPr>
          <w:p>
            <w:pPr>
              <w:spacing w:after="0"/>
              <w:rPr>
                <w:sz w:val="20"/>
                <w:szCs w:val="20"/>
                <w:color w:val="auto"/>
              </w:rPr>
            </w:pPr>
            <w:r>
              <w:rPr>
                <w:rFonts w:ascii="Arial" w:cs="Arial" w:eastAsia="Arial" w:hAnsi="Arial"/>
                <w:sz w:val="14"/>
                <w:szCs w:val="14"/>
                <w:color w:val="auto"/>
              </w:rPr>
              <w:t>Tel 202.663.8000</w:t>
            </w: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Washington, D.C. 20037-1128</w:t>
            </w:r>
          </w:p>
        </w:tc>
        <w:tc>
          <w:tcPr>
            <w:tcW w:w="1240" w:type="dxa"/>
            <w:vAlign w:val="bottom"/>
          </w:tcPr>
          <w:p>
            <w:pPr>
              <w:spacing w:after="0" w:line="149" w:lineRule="exact"/>
              <w:rPr>
                <w:sz w:val="20"/>
                <w:szCs w:val="20"/>
                <w:color w:val="auto"/>
              </w:rPr>
            </w:pPr>
            <w:r>
              <w:rPr>
                <w:rFonts w:ascii="Arial" w:cs="Arial" w:eastAsia="Arial" w:hAnsi="Arial"/>
                <w:sz w:val="14"/>
                <w:szCs w:val="14"/>
                <w:color w:val="auto"/>
              </w:rPr>
              <w:t>Fax 202.663.8007</w:t>
            </w:r>
          </w:p>
        </w:tc>
      </w:tr>
      <w:tr>
        <w:trPr>
          <w:trHeight w:val="146"/>
        </w:trPr>
        <w:tc>
          <w:tcPr>
            <w:tcW w:w="2620" w:type="dxa"/>
            <w:vAlign w:val="bottom"/>
          </w:tcPr>
          <w:p>
            <w:pPr>
              <w:spacing w:after="0"/>
              <w:rPr>
                <w:sz w:val="12"/>
                <w:szCs w:val="12"/>
                <w:color w:val="auto"/>
              </w:rPr>
            </w:pPr>
          </w:p>
        </w:tc>
        <w:tc>
          <w:tcPr>
            <w:tcW w:w="124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w w:val="89"/>
              </w:rPr>
              <w:t>www.pillsburylaw.com</w:t>
            </w:r>
          </w:p>
        </w:tc>
      </w:tr>
    </w:tbl>
    <w:p>
      <w:pPr>
        <w:spacing w:after="0" w:line="1295" w:lineRule="exact"/>
        <w:rPr>
          <w:sz w:val="20"/>
          <w:szCs w:val="20"/>
          <w:color w:val="auto"/>
        </w:rPr>
      </w:pPr>
    </w:p>
    <w:p>
      <w:pPr>
        <w:sectPr>
          <w:pgSz w:w="11900" w:h="16838" w:orient="portrait"/>
          <w:cols w:equalWidth="0" w:num="2">
            <w:col w:w="6260" w:space="720"/>
            <w:col w:w="4440"/>
          </w:cols>
          <w:pgMar w:left="240" w:top="125" w:right="239" w:bottom="1440" w:gutter="0" w:footer="0" w:header="0"/>
        </w:sect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Federal Realty Investment Trust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Underwritten Public Offering of $125,000,000 5.65% Notes due 2016</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5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acted as counsel to Federal Realty Investment Trust, a Maryland real estate investment trust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filing with the Securities and Exchange Commission under the Securities Act of 1933, as amended, of a prospectus supplement dated November 29, 2005 (the “</w:t>
      </w:r>
      <w:r>
        <w:rPr>
          <w:rFonts w:ascii="Arial" w:cs="Arial" w:eastAsia="Arial" w:hAnsi="Arial"/>
          <w:sz w:val="16"/>
          <w:szCs w:val="16"/>
          <w:b w:val="1"/>
          <w:bCs w:val="1"/>
          <w:color w:val="auto"/>
        </w:rPr>
        <w:t>Prospectus</w:t>
      </w:r>
      <w:r>
        <w:rPr>
          <w:rFonts w:ascii="Arial" w:cs="Arial" w:eastAsia="Arial" w:hAnsi="Arial"/>
          <w:sz w:val="16"/>
          <w:szCs w:val="16"/>
          <w:color w:val="auto"/>
        </w:rPr>
        <w:t xml:space="preserve"> </w:t>
      </w:r>
      <w:r>
        <w:rPr>
          <w:rFonts w:ascii="Arial" w:cs="Arial" w:eastAsia="Arial" w:hAnsi="Arial"/>
          <w:sz w:val="16"/>
          <w:szCs w:val="16"/>
          <w:b w:val="1"/>
          <w:bCs w:val="1"/>
          <w:color w:val="auto"/>
        </w:rPr>
        <w:t>Supplement</w:t>
      </w:r>
      <w:r>
        <w:rPr>
          <w:rFonts w:ascii="Arial" w:cs="Arial" w:eastAsia="Arial" w:hAnsi="Arial"/>
          <w:sz w:val="16"/>
          <w:szCs w:val="16"/>
          <w:color w:val="auto"/>
        </w:rPr>
        <w:t>”) to the prospectus dated May 9, 2003 (the “</w:t>
      </w:r>
      <w:r>
        <w:rPr>
          <w:rFonts w:ascii="Arial" w:cs="Arial" w:eastAsia="Arial" w:hAnsi="Arial"/>
          <w:sz w:val="16"/>
          <w:szCs w:val="16"/>
          <w:b w:val="1"/>
          <w:bCs w:val="1"/>
          <w:color w:val="auto"/>
        </w:rPr>
        <w:t>Base Prospectus</w:t>
      </w:r>
      <w:r>
        <w:rPr>
          <w:rFonts w:ascii="Arial" w:cs="Arial" w:eastAsia="Arial" w:hAnsi="Arial"/>
          <w:sz w:val="16"/>
          <w:szCs w:val="16"/>
          <w:color w:val="auto"/>
        </w:rPr>
        <w:t>”) contained in the registration statement on Form S-3 (File No. 333-100819)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which was declared effective on November 6, 2002. The Base Prospectus and the Prospectus Supplement are together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The Prospectus related to the issuance and sale by the Company of $125,000,000 aggregate principal amount of its 5.65% Notes due 2016 (the “</w:t>
      </w:r>
      <w:r>
        <w:rPr>
          <w:rFonts w:ascii="Arial" w:cs="Arial" w:eastAsia="Arial" w:hAnsi="Arial"/>
          <w:sz w:val="16"/>
          <w:szCs w:val="16"/>
          <w:b w:val="1"/>
          <w:bCs w:val="1"/>
          <w:color w:val="auto"/>
        </w:rPr>
        <w:t>Notes</w:t>
      </w:r>
      <w:r>
        <w:rPr>
          <w:rFonts w:ascii="Arial" w:cs="Arial" w:eastAsia="Arial" w:hAnsi="Arial"/>
          <w:sz w:val="16"/>
          <w:szCs w:val="16"/>
          <w:color w:val="auto"/>
        </w:rPr>
        <w:t>”), pursuant to the Underwriting Agreement dated November 29, 2005 between the Company and the Underwriters (as defined below)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and the related Pricing Agreement dated November 29, 2005 between the Company and the Underwriters (the “</w:t>
      </w:r>
      <w:r>
        <w:rPr>
          <w:rFonts w:ascii="Arial" w:cs="Arial" w:eastAsia="Arial" w:hAnsi="Arial"/>
          <w:sz w:val="16"/>
          <w:szCs w:val="16"/>
          <w:b w:val="1"/>
          <w:bCs w:val="1"/>
          <w:color w:val="auto"/>
        </w:rPr>
        <w:t>Pricing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to the firms named in Schedule I to the Pricing Agreement (the “</w:t>
      </w:r>
      <w:r>
        <w:rPr>
          <w:rFonts w:ascii="Arial" w:cs="Arial" w:eastAsia="Arial" w:hAnsi="Arial"/>
          <w:sz w:val="16"/>
          <w:szCs w:val="16"/>
          <w:b w:val="1"/>
          <w:bCs w:val="1"/>
          <w:color w:val="auto"/>
        </w:rPr>
        <w:t>Underwriters</w:t>
      </w:r>
      <w:r>
        <w:rPr>
          <w:rFonts w:ascii="Arial" w:cs="Arial" w:eastAsia="Arial" w:hAnsi="Arial"/>
          <w:sz w:val="16"/>
          <w:szCs w:val="16"/>
          <w:color w:val="auto"/>
        </w:rPr>
        <w:t>”). The Notes will be offered and sold pursuant to an Indenture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dated as of September 1, 1998 between the Company and Wachovia Bank National Association, formerly known as First Union National Bank (the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rendering our opinion, we have examined the following:</w:t>
      </w:r>
    </w:p>
    <w:p>
      <w:pPr>
        <w:spacing w:after="0" w:line="7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Indenture, as certified by the Secretary of the Company on November 30, 2005;</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1000" w:right="20" w:hanging="566"/>
        <w:spacing w:after="0" w:line="268"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Declaration of Trust of the Company, as amended and corrected, as certified by the Maryland State Department of Assessments and Taxation on November 21, 2005;</w:t>
      </w:r>
    </w:p>
    <w:p>
      <w:pPr>
        <w:spacing w:after="0" w:line="37" w:lineRule="exact"/>
        <w:rPr>
          <w:rFonts w:ascii="Arial" w:cs="Arial" w:eastAsia="Arial" w:hAnsi="Arial"/>
          <w:sz w:val="18"/>
          <w:szCs w:val="18"/>
          <w:color w:val="auto"/>
        </w:rPr>
      </w:pPr>
    </w:p>
    <w:p>
      <w:pPr>
        <w:ind w:left="1000" w:hanging="566"/>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Amended and Restated Bylaws, as amended, of the Company, as certified by the Secretary of the Company on November 30, 2005;</w:t>
      </w:r>
    </w:p>
    <w:p>
      <w:pPr>
        <w:spacing w:after="0" w:line="99" w:lineRule="exact"/>
        <w:rPr>
          <w:rFonts w:ascii="Arial" w:cs="Arial" w:eastAsia="Arial" w:hAnsi="Arial"/>
          <w:sz w:val="16"/>
          <w:szCs w:val="16"/>
          <w:color w:val="auto"/>
        </w:rPr>
      </w:pPr>
    </w:p>
    <w:p>
      <w:pPr>
        <w:ind w:left="1000" w:hanging="566"/>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form of Notes;</w:t>
      </w:r>
    </w:p>
    <w:p>
      <w:pPr>
        <w:spacing w:after="0" w:line="76" w:lineRule="exact"/>
        <w:rPr>
          <w:rFonts w:ascii="Arial" w:cs="Arial" w:eastAsia="Arial" w:hAnsi="Arial"/>
          <w:sz w:val="18"/>
          <w:szCs w:val="18"/>
          <w:color w:val="auto"/>
        </w:rPr>
      </w:pPr>
    </w:p>
    <w:p>
      <w:pPr>
        <w:ind w:left="1000" w:hanging="566"/>
        <w:spacing w:after="0" w:line="268"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resolutions of the Board of Trustees of the Company adopted at a special meeting of the Board held on September 2, 1998, approving the Indenture, as certified by the Secretary of the Company on November 30, 2005;</w:t>
      </w:r>
    </w:p>
    <w:p>
      <w:pPr>
        <w:spacing w:after="0" w:line="37" w:lineRule="exact"/>
        <w:rPr>
          <w:rFonts w:ascii="Arial" w:cs="Arial" w:eastAsia="Arial" w:hAnsi="Arial"/>
          <w:sz w:val="18"/>
          <w:szCs w:val="18"/>
          <w:color w:val="auto"/>
        </w:rPr>
      </w:pPr>
    </w:p>
    <w:p>
      <w:pPr>
        <w:ind w:left="1000" w:right="860" w:hanging="566"/>
        <w:spacing w:after="0" w:line="268"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resolutions of the Board of Trustees of the Company adopted at a special meeting of the Board held on October 29, 2002, approving the Registration Statement, as certified by the Secretary of the Company on November 30, 2005;</w:t>
      </w:r>
    </w:p>
    <w:p>
      <w:pPr>
        <w:spacing w:after="0" w:line="37" w:lineRule="exact"/>
        <w:rPr>
          <w:rFonts w:ascii="Arial" w:cs="Arial" w:eastAsia="Arial" w:hAnsi="Arial"/>
          <w:sz w:val="18"/>
          <w:szCs w:val="18"/>
          <w:color w:val="auto"/>
        </w:rPr>
      </w:pPr>
    </w:p>
    <w:p>
      <w:pPr>
        <w:ind w:left="1000" w:right="140" w:hanging="566"/>
        <w:spacing w:after="0" w:line="268"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resolutions of the Board of Trustees of the Company adopted at a special meeting of the Board held on February 13, 2004, ratifying the Indenture, as certified by the Secretary of the Company on November 30, 2005;</w:t>
      </w:r>
    </w:p>
    <w:p>
      <w:pPr>
        <w:spacing w:after="0" w:line="37" w:lineRule="exact"/>
        <w:rPr>
          <w:rFonts w:ascii="Arial" w:cs="Arial" w:eastAsia="Arial" w:hAnsi="Arial"/>
          <w:sz w:val="18"/>
          <w:szCs w:val="18"/>
          <w:color w:val="auto"/>
        </w:rPr>
      </w:pPr>
    </w:p>
    <w:p>
      <w:pPr>
        <w:ind w:left="1000" w:right="80" w:hanging="566"/>
        <w:spacing w:after="0" w:line="268"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resolutions of the Board of Trustees of the Company adopted at a special meeting of the Board held on November 22, 2005, approving the offering of the Notes, as certified by the Secretary of the Company on November 30, 2005;</w:t>
      </w:r>
    </w:p>
    <w:p>
      <w:pPr>
        <w:spacing w:after="0" w:line="37" w:lineRule="exact"/>
        <w:rPr>
          <w:rFonts w:ascii="Arial" w:cs="Arial" w:eastAsia="Arial" w:hAnsi="Arial"/>
          <w:sz w:val="18"/>
          <w:szCs w:val="18"/>
          <w:color w:val="auto"/>
        </w:rPr>
      </w:pPr>
    </w:p>
    <w:p>
      <w:pPr>
        <w:ind w:left="1000" w:right="540" w:hanging="566"/>
        <w:spacing w:after="0" w:line="325"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resolutions of the Pricing Committee of the Board of Trustees of the Company adopted by written consent in lieu of a meeting of the Pricing Committee on November 29, 2005, as certified by the Secretary of the Company on November 30, 2005;</w:t>
      </w:r>
    </w:p>
    <w:p>
      <w:pPr>
        <w:spacing w:after="0" w:line="1" w:lineRule="exact"/>
        <w:rPr>
          <w:rFonts w:ascii="Arial" w:cs="Arial" w:eastAsia="Arial" w:hAnsi="Arial"/>
          <w:sz w:val="16"/>
          <w:szCs w:val="16"/>
          <w:color w:val="auto"/>
        </w:rPr>
      </w:pPr>
    </w:p>
    <w:p>
      <w:pPr>
        <w:ind w:left="1000" w:hanging="566"/>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 and</w:t>
      </w:r>
    </w:p>
    <w:p>
      <w:pPr>
        <w:spacing w:after="0" w:line="76" w:lineRule="exact"/>
        <w:rPr>
          <w:rFonts w:ascii="Arial" w:cs="Arial" w:eastAsia="Arial" w:hAnsi="Arial"/>
          <w:sz w:val="18"/>
          <w:szCs w:val="18"/>
          <w:color w:val="auto"/>
        </w:rPr>
      </w:pPr>
    </w:p>
    <w:p>
      <w:pPr>
        <w:ind w:left="1000" w:right="340" w:hanging="566"/>
        <w:spacing w:after="0" w:line="268"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other documents, corporate records, certificates of public officials and other instruments as we have deemed necessary for the purposes of rendering this opinion.</w:t>
      </w:r>
    </w:p>
    <w:p>
      <w:pPr>
        <w:sectPr>
          <w:pgSz w:w="11900" w:h="16838" w:orient="portrait"/>
          <w:cols w:equalWidth="0" w:num="1">
            <w:col w:w="11400"/>
          </w:cols>
          <w:pgMar w:left="260" w:top="28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30, 2005</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14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documents referred to in clauses (vii) through (x) are collectively referred to as the “</w:t>
      </w:r>
      <w:r>
        <w:rPr>
          <w:rFonts w:ascii="Arial" w:cs="Arial" w:eastAsia="Arial" w:hAnsi="Arial"/>
          <w:sz w:val="16"/>
          <w:szCs w:val="16"/>
          <w:b w:val="1"/>
          <w:bCs w:val="1"/>
          <w:color w:val="auto"/>
        </w:rPr>
        <w:t>Resolutions</w:t>
      </w:r>
      <w:r>
        <w:rPr>
          <w:rFonts w:ascii="Arial" w:cs="Arial" w:eastAsia="Arial" w:hAnsi="Arial"/>
          <w:sz w:val="16"/>
          <w:szCs w:val="16"/>
          <w:color w:val="auto"/>
        </w:rPr>
        <w:t>.” In our examination of the aforesaid documents, we have assumed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opinions expressed below, we have assumed that, at and prior to the time of the sale and delivery of any Notes pursuant to the Registration Statement, (i) the Resolutions have not been amended, modified or rescinded, (ii) no stop order suspending the effectiveness of the Registration Statement has been issued and no proceedings with respect thereto have been commenced or threatened, and (iii) there has not occurred any change in law materially adversely affecting the power of the Company to offer and sell the Notes or the validity of the Notes.</w:t>
      </w:r>
    </w:p>
    <w:p>
      <w:pPr>
        <w:spacing w:after="0" w:line="10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also assumed that the offering, sale and delivery of the Notes, and compliance by the Company with the rights, powers, privileges and preferences and other terms of the Notes will not at the time of such offering, sale and delivery violate or conflict with (i) the Declaration of Trust, as then amended, restated and supplemented, and Bylaws, as then amended, restated and supplemented, of the Company, (ii) any provision of any license, indenture, instrument, mortgage, contract, document or agreement to which the Company is then a party or by which the Company is then bound, or (iii) any law or regulation or any decree, judgment or order then applicable to the Company.</w:t>
      </w:r>
    </w:p>
    <w:p>
      <w:pPr>
        <w:spacing w:after="0" w:line="12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Based upon the foregoing and subject to the limitations and qualifications hereinafter set forth, we are of the opinion that the Notes will constitute legally valid and binding obligations of the Company, enforceable against the Company in accordance with their terms when duly executed and delivered by the Company against payment therefor and countersigned or authenticated by the Trustee in accordance with the Indenture and delivered to and paid for by the purchasers of the Notes in the manner contemplated by the Underwriting Agreement.</w:t>
      </w:r>
    </w:p>
    <w:p>
      <w:pPr>
        <w:spacing w:after="0" w:line="13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opinion above with respect to the enforceability of obligations may be limited by bankruptcy, insolvency, reorganization, moratorium or other laws affecting creditors’ rights (including, without limitation, the effect of statutory and other law regarding fraudulent conveyances, fraudulent transfers and preferential transfers) and by the exercise of judicial discretion and the application of principles of equity, including, without limitation, requirements of good faith, fair dealing, conscionability and materiality (regardless of whether the Notes are considered in a proceeding in equity or at law). Such opinions shall be understood to mean only that if there is a default in</w:t>
      </w:r>
    </w:p>
    <w:p>
      <w:pPr>
        <w:sectPr>
          <w:pgSz w:w="11900" w:h="16838" w:orient="portrait"/>
          <w:cols w:equalWidth="0" w:num="1">
            <w:col w:w="11380"/>
          </w:cols>
          <w:pgMar w:left="240" w:top="280" w:right="279" w:bottom="1440" w:gutter="0" w:footer="0" w:header="0"/>
        </w:sectPr>
      </w:pPr>
    </w:p>
    <w:bookmarkStart w:id="60" w:name="page61"/>
    <w:bookmarkEnd w:id="6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30, 2005</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performance of an obligation, (i) if a failure to pay or other damage can be shown and (ii) if the defaulting party can be brought into a court which will hear the case and apply the governing law, then, subject to the availability of defenses and to the exceptions set forth in the previous sentence, the court will provide a money damage (or perhaps injunctive or specific performance) remedy.</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opinion is limited to the laws of the United States, Title 8 of the Corporations and Associations Article of the Annotated Code of Maryland and New York contract law (but not including any statutes, ordinances, administrative decisions, rules or regulations of any political subdivision of the State of New York), in each case excluding choice of law provisions thereof. We render no opinions with respect to the law of any other jurisdiction. Our opinion is rendered only with respect to the laws and the rules, regulations and orders thereunder that are currently in effect. We assume no obligation to advise you of any changes in the foregoing subsequent to the delivery of this opinion. This opinion has been prepared solely for your use in connection with the filing of the Prospectus to the Registration Statement, and should not be quoted in whole or in part or otherwise be referred to, nor otherwise be filed with or furnished to, any governmental agency or other person or entity, without our express prior written consent.</w:t>
      </w:r>
    </w:p>
    <w:p>
      <w:pPr>
        <w:spacing w:after="0" w:line="105"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use of our name in the Prospectus under the caption “Legal Matters.”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420"/>
          </w:cols>
          <w:pgMar w:left="240" w:top="280" w:right="239" w:bottom="1440" w:gutter="0" w:footer="0" w:header="0"/>
        </w:sectPr>
      </w:pPr>
    </w:p>
    <w:bookmarkStart w:id="61" w:name="page62"/>
    <w:bookmarkEnd w:id="61"/>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[PILLSBURY WINTHROP SHAW PITTMAN LLP GRAPHIC APPEARS HERE]</w:t>
      </w:r>
    </w:p>
    <w:p>
      <w:pPr>
        <w:spacing w:after="0" w:line="200" w:lineRule="exact"/>
        <w:rPr>
          <w:sz w:val="20"/>
          <w:szCs w:val="20"/>
          <w:color w:val="auto"/>
        </w:rPr>
      </w:pPr>
    </w:p>
    <w:p>
      <w:pPr>
        <w:spacing w:after="0" w:line="336"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auto"/>
        </w:rPr>
        <w:t>November 30, 2005</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Rockville, Maryland 20852</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ind w:left="460"/>
              <w:spacing w:after="0"/>
              <w:rPr>
                <w:sz w:val="20"/>
                <w:szCs w:val="20"/>
                <w:color w:val="auto"/>
              </w:rPr>
            </w:pPr>
            <w:r>
              <w:rPr>
                <w:rFonts w:ascii="Arial" w:cs="Arial" w:eastAsia="Arial" w:hAnsi="Arial"/>
                <w:sz w:val="18"/>
                <w:szCs w:val="18"/>
                <w:b w:val="1"/>
                <w:bCs w:val="1"/>
                <w:color w:val="auto"/>
                <w:w w:val="88"/>
              </w:rPr>
              <w:t>Exhibit 8.1</w:t>
            </w:r>
          </w:p>
        </w:tc>
      </w:tr>
      <w:tr>
        <w:trPr>
          <w:trHeight w:val="288"/>
        </w:trPr>
        <w:tc>
          <w:tcPr>
            <w:tcW w:w="2340" w:type="dxa"/>
            <w:vAlign w:val="bottom"/>
          </w:tcPr>
          <w:p>
            <w:pPr>
              <w:spacing w:after="0"/>
              <w:rPr>
                <w:sz w:val="20"/>
                <w:szCs w:val="20"/>
                <w:color w:val="auto"/>
              </w:rPr>
            </w:pPr>
            <w:r>
              <w:rPr>
                <w:rFonts w:ascii="Arial" w:cs="Arial" w:eastAsia="Arial" w:hAnsi="Arial"/>
                <w:sz w:val="14"/>
                <w:szCs w:val="14"/>
                <w:color w:val="auto"/>
              </w:rPr>
              <w:t>2300 N Street, N.W.</w:t>
            </w:r>
          </w:p>
        </w:tc>
        <w:tc>
          <w:tcPr>
            <w:tcW w:w="280" w:type="dxa"/>
            <w:vAlign w:val="bottom"/>
          </w:tcPr>
          <w:p>
            <w:pPr>
              <w:spacing w:after="0"/>
              <w:rPr>
                <w:sz w:val="20"/>
                <w:szCs w:val="20"/>
                <w:color w:val="auto"/>
              </w:rPr>
            </w:pPr>
            <w:r>
              <w:rPr>
                <w:rFonts w:ascii="Arial" w:cs="Arial" w:eastAsia="Arial" w:hAnsi="Arial"/>
                <w:sz w:val="14"/>
                <w:szCs w:val="14"/>
                <w:color w:val="auto"/>
              </w:rPr>
              <w:t>Tel</w:t>
            </w:r>
          </w:p>
        </w:tc>
        <w:tc>
          <w:tcPr>
            <w:tcW w:w="980" w:type="dxa"/>
            <w:vAlign w:val="bottom"/>
          </w:tcPr>
          <w:p>
            <w:pPr>
              <w:jc w:val="right"/>
              <w:ind w:right="106"/>
              <w:spacing w:after="0"/>
              <w:rPr>
                <w:sz w:val="20"/>
                <w:szCs w:val="20"/>
                <w:color w:val="auto"/>
              </w:rPr>
            </w:pPr>
            <w:r>
              <w:rPr>
                <w:rFonts w:ascii="Arial" w:cs="Arial" w:eastAsia="Arial" w:hAnsi="Arial"/>
                <w:sz w:val="14"/>
                <w:szCs w:val="14"/>
                <w:color w:val="auto"/>
                <w:w w:val="91"/>
              </w:rPr>
              <w:t>202.663.8000</w:t>
            </w:r>
          </w:p>
        </w:tc>
        <w:tc>
          <w:tcPr>
            <w:tcW w:w="300" w:type="dxa"/>
            <w:vAlign w:val="bottom"/>
          </w:tcPr>
          <w:p>
            <w:pPr>
              <w:spacing w:after="0"/>
              <w:rPr>
                <w:sz w:val="24"/>
                <w:szCs w:val="24"/>
                <w:color w:val="auto"/>
              </w:rPr>
            </w:pP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Washington, D.C. 20037-1128</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Fax</w:t>
            </w:r>
          </w:p>
        </w:tc>
        <w:tc>
          <w:tcPr>
            <w:tcW w:w="980" w:type="dxa"/>
            <w:vAlign w:val="bottom"/>
          </w:tcPr>
          <w:p>
            <w:pPr>
              <w:jc w:val="right"/>
              <w:ind w:right="106"/>
              <w:spacing w:after="0" w:line="149" w:lineRule="exact"/>
              <w:rPr>
                <w:sz w:val="20"/>
                <w:szCs w:val="20"/>
                <w:color w:val="auto"/>
              </w:rPr>
            </w:pPr>
            <w:r>
              <w:rPr>
                <w:rFonts w:ascii="Arial" w:cs="Arial" w:eastAsia="Arial" w:hAnsi="Arial"/>
                <w:sz w:val="14"/>
                <w:szCs w:val="14"/>
                <w:color w:val="auto"/>
                <w:w w:val="91"/>
              </w:rPr>
              <w:t>202.663.8007</w:t>
            </w:r>
          </w:p>
        </w:tc>
        <w:tc>
          <w:tcPr>
            <w:tcW w:w="300" w:type="dxa"/>
            <w:vAlign w:val="bottom"/>
          </w:tcPr>
          <w:p>
            <w:pPr>
              <w:spacing w:after="0"/>
              <w:rPr>
                <w:sz w:val="12"/>
                <w:szCs w:val="12"/>
                <w:color w:val="auto"/>
              </w:rPr>
            </w:pPr>
          </w:p>
        </w:tc>
      </w:tr>
      <w:tr>
        <w:trPr>
          <w:trHeight w:val="146"/>
        </w:trPr>
        <w:tc>
          <w:tcPr>
            <w:tcW w:w="2340" w:type="dxa"/>
            <w:vAlign w:val="bottom"/>
          </w:tcPr>
          <w:p>
            <w:pPr>
              <w:spacing w:after="0"/>
              <w:rPr>
                <w:sz w:val="12"/>
                <w:szCs w:val="12"/>
                <w:color w:val="auto"/>
              </w:rPr>
            </w:pPr>
          </w:p>
        </w:tc>
        <w:tc>
          <w:tcPr>
            <w:tcW w:w="126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4"/>
                <w:szCs w:val="14"/>
                <w:color w:val="auto"/>
                <w:w w:val="90"/>
              </w:rPr>
              <w:t>www.pillsburylaw.com</w:t>
            </w:r>
          </w:p>
        </w:tc>
        <w:tc>
          <w:tcPr>
            <w:tcW w:w="300" w:type="dxa"/>
            <w:vAlign w:val="bottom"/>
          </w:tcPr>
          <w:p>
            <w:pPr>
              <w:spacing w:after="0"/>
              <w:rPr>
                <w:sz w:val="12"/>
                <w:szCs w:val="12"/>
                <w:color w:val="auto"/>
              </w:rPr>
            </w:pPr>
          </w:p>
        </w:tc>
      </w:tr>
    </w:tbl>
    <w:p>
      <w:pPr>
        <w:spacing w:after="0" w:line="2179" w:lineRule="exact"/>
        <w:rPr>
          <w:sz w:val="20"/>
          <w:szCs w:val="20"/>
          <w:color w:val="auto"/>
        </w:rPr>
      </w:pPr>
    </w:p>
    <w:p>
      <w:pPr>
        <w:sectPr>
          <w:pgSz w:w="11900" w:h="16838" w:orient="portrait"/>
          <w:cols w:equalWidth="0" w:num="2">
            <w:col w:w="6800" w:space="720"/>
            <w:col w:w="3900"/>
          </w:cols>
          <w:pgMar w:left="240" w:top="125" w:right="239" w:bottom="1440" w:gutter="0" w:footer="0" w:header="0"/>
        </w:sectPr>
      </w:pPr>
    </w:p>
    <w:p>
      <w:pPr>
        <w:jc w:val="both"/>
        <w:ind w:right="220" w:firstLine="456"/>
        <w:spacing w:after="0" w:line="256"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the Prospectus, the Prospectus Supplement, and all documents incorporated and deemed to be incorporated by reference therein) with the Securities and Exchange Commission (the “Commission”).</w:t>
      </w:r>
    </w:p>
    <w:p>
      <w:pPr>
        <w:spacing w:after="0" w:line="13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0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0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99"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2005;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(2005) taxable year and for future taxable years, and (iii) the discussions in (x) the Prospectus under the caption “Federal Income Tax Consequences,” (y) the Prospectus Supplement under the caption “Certain Federal Income Tax Considerations,” and (z) the Company’s Current Report on Form 8-K filed with the Commission on March 2, 2005 (hereafter, the “Company’s Form 8-K”)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Prospectus Supplement, to the extent that they discuss matters of law or legal conclusions or purport to describe certain provisions of the federal tax laws, are correct summaries of the matters discussed therein, and the opinions of such counsel appearing in the Prospectus under “Federal Income Tax Consequences” are hereby confirmed.</w:t>
      </w:r>
    </w:p>
    <w:p>
      <w:pPr>
        <w:spacing w:after="0" w:line="11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w:t>
      </w:r>
    </w:p>
    <w:p>
      <w:pPr>
        <w:sectPr>
          <w:pgSz w:w="11900" w:h="16838" w:orient="portrait"/>
          <w:cols w:equalWidth="0" w:num="1">
            <w:col w:w="11420"/>
          </w:cols>
          <w:pgMar w:left="240" w:top="28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stock and its actual operating results and distributions satisfy the tests necessary to achieve and maintain its status as a REIT.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400"/>
          </w:cols>
          <w:pgMar w:left="240" w:top="280" w:right="2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5"/>
          </w:tcPr>
          <w:p>
            <w:pPr>
              <w:ind w:left="320"/>
              <w:spacing w:after="0"/>
              <w:rPr>
                <w:sz w:val="20"/>
                <w:szCs w:val="20"/>
                <w:color w:val="auto"/>
              </w:rPr>
            </w:pPr>
            <w:r>
              <w:rPr>
                <w:rFonts w:ascii="Arial" w:cs="Arial" w:eastAsia="Arial" w:hAnsi="Arial"/>
                <w:sz w:val="18"/>
                <w:szCs w:val="18"/>
                <w:b w:val="1"/>
                <w:bCs w:val="1"/>
                <w:color w:val="auto"/>
                <w:w w:val="99"/>
              </w:rPr>
              <w:t>EXHIBIT 12.1</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380" w:type="dxa"/>
            <w:vAlign w:val="bottom"/>
            <w:gridSpan w:val="7"/>
          </w:tcPr>
          <w:p>
            <w:pPr>
              <w:jc w:val="center"/>
              <w:ind w:left="3912"/>
              <w:spacing w:after="0"/>
              <w:rPr>
                <w:sz w:val="20"/>
                <w:szCs w:val="20"/>
                <w:color w:val="auto"/>
              </w:rPr>
            </w:pPr>
            <w:r>
              <w:rPr>
                <w:rFonts w:ascii="Arial" w:cs="Arial" w:eastAsia="Arial" w:hAnsi="Arial"/>
                <w:sz w:val="18"/>
                <w:szCs w:val="18"/>
                <w:color w:val="auto"/>
                <w:w w:val="88"/>
              </w:rPr>
              <w:t>Federal Realty Investment Trust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9"/>
          </w:tcPr>
          <w:p>
            <w:pPr>
              <w:jc w:val="center"/>
              <w:ind w:left="3712"/>
              <w:spacing w:after="0"/>
              <w:rPr>
                <w:sz w:val="20"/>
                <w:szCs w:val="20"/>
                <w:color w:val="auto"/>
              </w:rPr>
            </w:pPr>
            <w:r>
              <w:rPr>
                <w:rFonts w:ascii="Arial" w:cs="Arial" w:eastAsia="Arial" w:hAnsi="Arial"/>
                <w:sz w:val="18"/>
                <w:szCs w:val="18"/>
                <w:color w:val="auto"/>
                <w:w w:val="88"/>
              </w:rPr>
              <w:t>Computation of Ratio of Earnings to Fixed Charges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40" w:type="dxa"/>
            <w:vAlign w:val="bottom"/>
            <w:gridSpan w:val="3"/>
          </w:tcPr>
          <w:p>
            <w:pPr>
              <w:jc w:val="center"/>
              <w:ind w:right="34"/>
              <w:spacing w:after="0"/>
              <w:rPr>
                <w:sz w:val="20"/>
                <w:szCs w:val="20"/>
                <w:color w:val="auto"/>
              </w:rPr>
            </w:pPr>
            <w:r>
              <w:rPr>
                <w:rFonts w:ascii="Arial" w:cs="Arial" w:eastAsia="Arial" w:hAnsi="Arial"/>
                <w:sz w:val="18"/>
                <w:szCs w:val="18"/>
                <w:color w:val="auto"/>
                <w:w w:val="88"/>
              </w:rPr>
              <w:t>(dollars in thousands)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7"/>
          </w:tcPr>
          <w:p>
            <w:pPr>
              <w:jc w:val="right"/>
              <w:ind w:right="274"/>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7"/>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45,726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50,869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39,926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69,106</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66,729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50,509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Interest on debt and capital leases, excluding capitalized interest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Interest portion of rents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earnings (A)</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113,553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121,659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106,460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146,487</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153,752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129,424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w w:val="88"/>
              </w:rPr>
              <w:t>Interest on debt and capital leases, including capitalized interest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79,667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87,116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88,637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88,691</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90,179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67,654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portion of rents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90,840</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 (A divided by B)</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-1186815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-1186815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-1186815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-1186815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-1186815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-1186815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-1186815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-1186815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-1186815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-1186815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-1186815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-1186815</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-1186815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-1186815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-1186815</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-1186815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-1186815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-1186815</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-1186815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-1186815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-1186815</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-329565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-329565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-329565</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-329565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-329565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-329565</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-329565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-329565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-329565</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-329565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-329565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-329565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-329565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-329565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-329565</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-329565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-329565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-329565</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-329565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-329565</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42748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27480"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
    </w:lvl>
    <w:lvl w:ilvl="1">
      <w:lvlJc w:val="left"/>
      <w:lvlText w:val="(%2)"/>
      <w:numFmt w:val="lowerLetter"/>
      <w:start w:val="1"/>
    </w:lvl>
  </w:abstractNum>
  <w:abstractNum w:abstractNumId="2">
    <w:nsid w:val="7C83E458"/>
    <w:multiLevelType w:val="hybridMultilevel"/>
    <w:lvl w:ilvl="0">
      <w:lvlJc w:val="left"/>
      <w:lvlText w:val="(%1)"/>
      <w:numFmt w:val="lowerLetter"/>
      <w:start w:val="2"/>
    </w:lvl>
  </w:abstractNum>
  <w:abstractNum w:abstractNumId="3">
    <w:nsid w:val="257130A3"/>
    <w:multiLevelType w:val="hybridMultilevel"/>
    <w:lvl w:ilvl="0">
      <w:lvlJc w:val="left"/>
      <w:lvlText w:val="(%1)"/>
      <w:numFmt w:val="lowerLetter"/>
      <w:start w:val="3"/>
    </w:lvl>
  </w:abstractNum>
  <w:abstractNum w:abstractNumId="4">
    <w:nsid w:val="62BBD95A"/>
    <w:multiLevelType w:val="hybridMultilevel"/>
    <w:lvl w:ilvl="0">
      <w:lvlJc w:val="left"/>
      <w:lvlText w:val="(%1)"/>
      <w:numFmt w:val="lowerLetter"/>
      <w:start w:val="5"/>
    </w:lvl>
  </w:abstractNum>
  <w:abstractNum w:abstractNumId="5">
    <w:nsid w:val="436C6125"/>
    <w:multiLevelType w:val="hybridMultilevel"/>
    <w:lvl w:ilvl="0">
      <w:lvlJc w:val="left"/>
      <w:lvlText w:val="(%1)"/>
      <w:numFmt w:val="lowerLetter"/>
      <w:start w:val="8"/>
    </w:lvl>
  </w:abstractNum>
  <w:abstractNum w:abstractNumId="6">
    <w:nsid w:val="628C895D"/>
    <w:multiLevelType w:val="hybridMultilevel"/>
    <w:lvl w:ilvl="0">
      <w:lvlJc w:val="left"/>
      <w:lvlText w:val="(%1)"/>
      <w:numFmt w:val="lowerLetter"/>
      <w:start w:val="11"/>
    </w:lvl>
  </w:abstractNum>
  <w:abstractNum w:abstractNumId="7">
    <w:nsid w:val="333AB105"/>
    <w:multiLevelType w:val="hybridMultilevel"/>
    <w:lvl w:ilvl="0">
      <w:lvlJc w:val="left"/>
      <w:lvlText w:val="%1"/>
      <w:numFmt w:val="decimal"/>
      <w:start w:val="1"/>
    </w:lvl>
    <w:lvl w:ilvl="1">
      <w:lvlJc w:val="left"/>
      <w:lvlText w:val="(%2)"/>
      <w:numFmt w:val="lowerLetter"/>
      <w:start w:val="17"/>
    </w:lvl>
  </w:abstractNum>
  <w:abstractNum w:abstractNumId="8">
    <w:nsid w:val="721DA317"/>
    <w:multiLevelType w:val="hybridMultilevel"/>
    <w:lvl w:ilvl="0">
      <w:lvlJc w:val="left"/>
      <w:lvlText w:val="%1."/>
      <w:numFmt w:val="decimal"/>
      <w:start w:val="3"/>
    </w:lvl>
    <w:lvl w:ilvl="1">
      <w:lvlJc w:val="left"/>
      <w:lvlText w:val="(%2)"/>
      <w:numFmt w:val="lowerLetter"/>
      <w:start w:val="1"/>
    </w:lvl>
  </w:abstractNum>
  <w:abstractNum w:abstractNumId="9">
    <w:nsid w:val="2443A858"/>
    <w:multiLevelType w:val="hybridMultilevel"/>
    <w:lvl w:ilvl="0">
      <w:lvlJc w:val="left"/>
      <w:lvlText w:val="(%1)"/>
      <w:numFmt w:val="lowerLetter"/>
      <w:start w:val="2"/>
    </w:lvl>
  </w:abstractNum>
  <w:abstractNum w:abstractNumId="10">
    <w:nsid w:val="2D1D5AE9"/>
    <w:multiLevelType w:val="hybridMultilevel"/>
    <w:lvl w:ilvl="0">
      <w:lvlJc w:val="left"/>
      <w:lvlText w:val="%1"/>
      <w:numFmt w:val="lowerLetter"/>
      <w:start w:val="1"/>
    </w:lvl>
    <w:lvl w:ilvl="1">
      <w:lvlJc w:val="left"/>
      <w:lvlText w:val="(%2)"/>
      <w:numFmt w:val="lowerLetter"/>
      <w:start w:val="3"/>
    </w:lvl>
  </w:abstractNum>
  <w:abstractNum w:abstractNumId="11">
    <w:nsid w:val="6763845E"/>
    <w:multiLevelType w:val="hybridMultilevel"/>
    <w:lvl w:ilvl="0">
      <w:lvlJc w:val="left"/>
      <w:lvlText w:val="(%1)"/>
      <w:numFmt w:val="lowerLetter"/>
      <w:start w:val="35"/>
    </w:lvl>
    <w:lvl w:ilvl="1">
      <w:lvlJc w:val="left"/>
      <w:lvlText w:val="(%2)"/>
      <w:numFmt w:val="lowerLetter"/>
      <w:start w:val="6"/>
    </w:lvl>
  </w:abstractNum>
  <w:abstractNum w:abstractNumId="12">
    <w:nsid w:val="75A2A8D4"/>
    <w:multiLevelType w:val="hybridMultilevel"/>
    <w:lvl w:ilvl="0">
      <w:lvlJc w:val="left"/>
      <w:lvlText w:val="%1."/>
      <w:numFmt w:val="decimal"/>
      <w:start w:val="6"/>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5"/>
    </w:lvl>
  </w:abstractNum>
  <w:abstractNum w:abstractNumId="15">
    <w:nsid w:val="4353D0CD"/>
    <w:multiLevelType w:val="hybridMultilevel"/>
    <w:lvl w:ilvl="0">
      <w:lvlJc w:val="left"/>
      <w:lvlText w:val="(%1)"/>
      <w:numFmt w:val="lowerLetter"/>
      <w:start w:val="9"/>
    </w:lvl>
  </w:abstractNum>
  <w:abstractNum w:abstractNumId="16">
    <w:nsid w:val="B03E0C6"/>
    <w:multiLevelType w:val="hybridMultilevel"/>
    <w:lvl w:ilvl="0">
      <w:lvlJc w:val="left"/>
      <w:lvlText w:val="%1."/>
      <w:numFmt w:val="decimal"/>
      <w:start w:val="8"/>
    </w:lvl>
    <w:lvl w:ilvl="1">
      <w:lvlJc w:val="left"/>
      <w:lvlText w:val="(%2)"/>
      <w:numFmt w:val="lowerLetter"/>
      <w:start w:val="2"/>
    </w:lvl>
  </w:abstractNum>
  <w:abstractNum w:abstractNumId="17">
    <w:nsid w:val="189A769B"/>
    <w:multiLevelType w:val="hybridMultilevel"/>
    <w:lvl w:ilvl="0">
      <w:lvlJc w:val="left"/>
      <w:lvlText w:val="%1"/>
      <w:numFmt w:val="lowerLetter"/>
      <w:start w:val="1"/>
    </w:lvl>
    <w:lvl w:ilvl="1">
      <w:lvlJc w:val="left"/>
      <w:lvlText w:val="(%2)"/>
      <w:numFmt w:val="lowerLetter"/>
      <w:start w:val="3"/>
    </w:lvl>
  </w:abstractNum>
  <w:abstractNum w:abstractNumId="18">
    <w:nsid w:val="54E49EB4"/>
    <w:multiLevelType w:val="hybridMultilevel"/>
    <w:lvl w:ilvl="0">
      <w:lvlJc w:val="left"/>
      <w:lvlText w:val="(%1)"/>
      <w:numFmt w:val="lowerLetter"/>
      <w:start w:val="2"/>
    </w:lvl>
    <w:lvl w:ilvl="1">
      <w:lvlJc w:val="left"/>
      <w:lvlText w:val="%2"/>
      <w:numFmt w:val="lowerLetter"/>
      <w:start w:val="1"/>
    </w:lvl>
  </w:abstractNum>
  <w:abstractNum w:abstractNumId="19">
    <w:nsid w:val="71F32454"/>
    <w:multiLevelType w:val="hybridMultilevel"/>
    <w:lvl w:ilvl="0">
      <w:lvlJc w:val="left"/>
      <w:lvlText w:val="%1"/>
      <w:numFmt w:val="decimal"/>
      <w:start w:val="1"/>
    </w:lvl>
    <w:lvl w:ilvl="1">
      <w:lvlJc w:val="left"/>
      <w:lvlText w:val="(%2)"/>
      <w:numFmt w:val="lowerLetter"/>
      <w:start w:val="5"/>
    </w:lvl>
  </w:abstractNum>
  <w:abstractNum w:abstractNumId="20">
    <w:nsid w:val="2CA88611"/>
    <w:multiLevelType w:val="hybridMultilevel"/>
    <w:lvl w:ilvl="0">
      <w:lvlJc w:val="left"/>
      <w:lvlText w:val="%1."/>
      <w:numFmt w:val="decimal"/>
      <w:start w:val="9"/>
    </w:lvl>
    <w:lvl w:ilvl="1">
      <w:lvlJc w:val="left"/>
      <w:lvlText w:val="(%2)"/>
      <w:numFmt w:val="lowerLetter"/>
      <w:start w:val="2"/>
    </w:lvl>
  </w:abstractNum>
  <w:abstractNum w:abstractNumId="21">
    <w:nsid w:val="836C40E"/>
    <w:multiLevelType w:val="hybridMultilevel"/>
    <w:lvl w:ilvl="0">
      <w:lvlJc w:val="left"/>
      <w:lvlText w:val="%1"/>
      <w:numFmt w:val="lowerLetter"/>
      <w:start w:val="1"/>
    </w:lvl>
    <w:lvl w:ilvl="1">
      <w:lvlJc w:val="left"/>
      <w:lvlText w:val="(%2)"/>
      <w:numFmt w:val="lowerLetter"/>
      <w:start w:val="3"/>
    </w:lvl>
  </w:abstractNum>
  <w:abstractNum w:abstractNumId="22">
    <w:nsid w:val="2901D82"/>
    <w:multiLevelType w:val="hybridMultilevel"/>
    <w:lvl w:ilvl="0">
      <w:lvlJc w:val="left"/>
      <w:lvlText w:val="(%1)"/>
      <w:numFmt w:val="lowerLetter"/>
      <w:start w:val="2"/>
    </w:lvl>
    <w:lvl w:ilvl="1">
      <w:lvlJc w:val="left"/>
      <w:lvlText w:val="%2"/>
      <w:numFmt w:val="lowerLetter"/>
      <w:start w:val="1"/>
    </w:lvl>
  </w:abstractNum>
  <w:abstractNum w:abstractNumId="23">
    <w:nsid w:val="3A95F874"/>
    <w:multiLevelType w:val="hybridMultilevel"/>
    <w:lvl w:ilvl="0">
      <w:lvlJc w:val="left"/>
      <w:lvlText w:val="%1."/>
      <w:numFmt w:val="decimal"/>
      <w:start w:val="10"/>
    </w:lvl>
  </w:abstractNum>
  <w:abstractNum w:abstractNumId="24">
    <w:nsid w:val="8138641"/>
    <w:multiLevelType w:val="hybridMultilevel"/>
    <w:lvl w:ilvl="0">
      <w:lvlJc w:val="left"/>
      <w:lvlText w:val="%1."/>
      <w:numFmt w:val="decimal"/>
      <w:start w:val="13"/>
    </w:lvl>
  </w:abstractNum>
  <w:abstractNum w:abstractNumId="25">
    <w:nsid w:val="1E7FF521"/>
    <w:multiLevelType w:val="hybridMultilevel"/>
    <w:lvl w:ilvl="0">
      <w:lvlJc w:val="left"/>
      <w:lvlText w:val="(%1)"/>
      <w:numFmt w:val="lowerRoman"/>
      <w:start w:val="1"/>
    </w:lvl>
  </w:abstractNum>
  <w:abstractNum w:abstractNumId="26">
    <w:nsid w:val="7C3DBD3D"/>
    <w:multiLevelType w:val="hybridMultilevel"/>
    <w:lvl w:ilvl="0">
      <w:lvlJc w:val="left"/>
      <w:lvlText w:val="(%1)"/>
      <w:numFmt w:val="lowerRoman"/>
      <w:start w:val="7"/>
    </w:lvl>
  </w:abstractNum>
  <w:abstractNum w:abstractNumId="27">
    <w:nsid w:val="737B8DDC"/>
    <w:multiLevelType w:val="hybridMultilevel"/>
    <w:lvl w:ilvl="0">
      <w:lvlJc w:val="left"/>
      <w:lvlText w:val="(%1)"/>
      <w:numFmt w:val="lowerRoman"/>
      <w:start w:val="12"/>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4"/>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lowerRoman"/>
      <w:start w:val="4"/>
    </w:lvl>
  </w:abstractNum>
  <w:abstractNum w:abstractNumId="32">
    <w:nsid w:val="614FD4A1"/>
    <w:multiLevelType w:val="hybridMultilevel"/>
    <w:lvl w:ilvl="0">
      <w:lvlJc w:val="left"/>
      <w:lvlText w:val="(%1)"/>
      <w:numFmt w:val="lowerRoman"/>
      <w:start w:val="3"/>
    </w:lvl>
  </w:abstractNum>
  <w:abstractNum w:abstractNumId="33">
    <w:nsid w:val="419AC241"/>
    <w:multiLevelType w:val="hybridMultilevel"/>
    <w:lvl w:ilvl="0">
      <w:lvlJc w:val="left"/>
      <w:lvlText w:val="(%1)"/>
      <w:numFmt w:val="lowerRoman"/>
      <w:start w:val="1"/>
    </w:lvl>
  </w:abstractNum>
  <w:abstractNum w:abstractNumId="34">
    <w:nsid w:val="5577F8E1"/>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2019-12-13T00:45:14Z</dcterms:created>
  <dcterms:modified xsi:type="dcterms:W3CDTF">2019-12-13T00:45:14Z</dcterms:modified>
</cp:coreProperties>
</file>