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6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May 4, 2005</w:t>
      </w:r>
    </w:p>
    <w:p>
      <w:pPr>
        <w:spacing w:after="0" w:line="12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03" w:right="639" w:bottom="1440" w:gutter="0" w:footer="0" w:header="0"/>
        </w:sectPr>
      </w:pPr>
    </w:p>
    <w:p>
      <w:pPr>
        <w:spacing w:after="0" w:line="121"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503"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960"/>
          </w:cols>
          <w:pgMar w:left="240" w:top="503"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503"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503"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2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May 4, 2005, Federal Realty Investment Trust issued supplemental data pertaining to its operations, as well as a press release, to report its financial results for the quarter ended March 31, 2005. The supplemental data and press release are furnished as Exhibit 99.1 hereto.</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8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March 31, 2005 (including press release dated May 4, 2005)</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May 4, 2005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Larry E. Finger</w:t>
      </w:r>
    </w:p>
    <w:p>
      <w:pPr>
        <w:jc w:val="center"/>
        <w:ind w:left="60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0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Exh No.</w:t>
            </w:r>
          </w:p>
        </w:tc>
        <w:tc>
          <w:tcPr>
            <w:tcW w:w="54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95"/>
        </w:trPr>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r>
      <w:tr>
        <w:trPr>
          <w:trHeight w:val="424"/>
        </w:trPr>
        <w:tc>
          <w:tcPr>
            <w:tcW w:w="64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88"/>
              </w:rPr>
              <w:t>Supplemental Information at March 31, 2005</w:t>
            </w:r>
          </w:p>
        </w:tc>
      </w:tr>
    </w:tbl>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2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20" w:type="dxa"/>
            <w:vAlign w:val="bottom"/>
            <w:gridSpan w:val="2"/>
            <w:vMerge w:val="restart"/>
          </w:tcPr>
          <w:p>
            <w:pPr>
              <w:jc w:val="center"/>
              <w:ind w:right="63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2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2"/>
          </w:tcPr>
          <w:p>
            <w:pPr>
              <w:jc w:val="center"/>
              <w:ind w:right="612"/>
              <w:spacing w:after="0"/>
              <w:rPr>
                <w:sz w:val="20"/>
                <w:szCs w:val="20"/>
                <w:color w:val="auto"/>
              </w:rPr>
            </w:pPr>
            <w:r>
              <w:rPr>
                <w:rFonts w:ascii="Arial" w:cs="Arial" w:eastAsia="Arial" w:hAnsi="Arial"/>
                <w:sz w:val="18"/>
                <w:szCs w:val="18"/>
                <w:color w:val="auto"/>
                <w:w w:val="89"/>
              </w:rPr>
              <w:t>Supplemental Information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20" w:type="dxa"/>
            <w:vAlign w:val="bottom"/>
          </w:tcPr>
          <w:p>
            <w:pPr>
              <w:jc w:val="center"/>
              <w:ind w:right="2412"/>
              <w:spacing w:after="0"/>
              <w:rPr>
                <w:sz w:val="20"/>
                <w:szCs w:val="20"/>
                <w:color w:val="auto"/>
              </w:rPr>
            </w:pPr>
            <w:r>
              <w:rPr>
                <w:rFonts w:ascii="Arial" w:cs="Arial" w:eastAsia="Arial" w:hAnsi="Arial"/>
                <w:sz w:val="18"/>
                <w:szCs w:val="18"/>
                <w:color w:val="auto"/>
                <w:w w:val="89"/>
              </w:rPr>
              <w:t>March 31, 2005</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80" w:type="dxa"/>
            <w:vAlign w:val="bottom"/>
            <w:gridSpan w:val="7"/>
          </w:tcPr>
          <w:p>
            <w:pPr>
              <w:spacing w:after="0"/>
              <w:rPr>
                <w:sz w:val="20"/>
                <w:szCs w:val="20"/>
                <w:color w:val="auto"/>
              </w:rPr>
            </w:pPr>
            <w:r>
              <w:rPr>
                <w:rFonts w:ascii="Arial" w:cs="Arial" w:eastAsia="Arial" w:hAnsi="Arial"/>
                <w:sz w:val="18"/>
                <w:szCs w:val="18"/>
                <w:color w:val="auto"/>
              </w:rPr>
              <w:t>1.   First Quarter 2005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8980" w:type="dxa"/>
            <w:vAlign w:val="bottom"/>
            <w:gridSpan w:val="7"/>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5"/>
                <w:szCs w:val="15"/>
                <w:color w:val="auto"/>
              </w:rPr>
            </w:pPr>
          </w:p>
        </w:tc>
        <w:tc>
          <w:tcPr>
            <w:tcW w:w="2200" w:type="dxa"/>
            <w:vAlign w:val="bottom"/>
            <w:tcBorders>
              <w:bottom w:val="single" w:sz="8" w:color="0000EE"/>
            </w:tcBorders>
            <w:gridSpan w:val="3"/>
          </w:tcPr>
          <w:p>
            <w:pPr>
              <w:spacing w:after="0" w:line="184"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Summarized Operating Results</w:t>
              </w:r>
            </w:hyperlink>
          </w:p>
        </w:tc>
        <w:tc>
          <w:tcPr>
            <w:tcW w:w="6020" w:type="dxa"/>
            <w:vAlign w:val="bottom"/>
            <w:gridSpan w:val="3"/>
          </w:tcPr>
          <w:p>
            <w:pPr>
              <w:spacing w:after="0"/>
              <w:rPr>
                <w:sz w:val="15"/>
                <w:szCs w:val="15"/>
                <w:color w:val="auto"/>
              </w:rPr>
            </w:pP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220" w:type="dxa"/>
            <w:vAlign w:val="bottom"/>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Summarized Balance Sheets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220" w:type="dxa"/>
            <w:vAlign w:val="bottom"/>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Funds From Operations / Summary of Capital Expenditures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Market Data / Capital Availability</w:t>
              </w:r>
            </w:hyperlink>
          </w:p>
        </w:tc>
        <w:tc>
          <w:tcPr>
            <w:tcW w:w="1800" w:type="dxa"/>
            <w:vAlign w:val="bottom"/>
            <w:tcBorders>
              <w:top w:val="single" w:sz="8" w:color="0000EE"/>
            </w:tcBorders>
          </w:tcPr>
          <w:p>
            <w:pPr>
              <w:spacing w:after="0"/>
              <w:rPr>
                <w:sz w:val="17"/>
                <w:szCs w:val="17"/>
                <w:color w:val="auto"/>
              </w:rPr>
            </w:pPr>
          </w:p>
        </w:tc>
        <w:tc>
          <w:tcPr>
            <w:tcW w:w="402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Components of Rental Income</w:t>
              </w:r>
            </w:hyperlink>
          </w:p>
        </w:tc>
        <w:tc>
          <w:tcPr>
            <w:tcW w:w="606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tbl>
      <w:tblPr>
        <w:tblLayout w:type="fixed"/>
        <w:tblInd w:w="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40" w:type="dxa"/>
            <w:vAlign w:val="bottom"/>
            <w:gridSpan w:val="13"/>
          </w:tcPr>
          <w:p>
            <w:pPr>
              <w:spacing w:after="0" w:line="193" w:lineRule="exact"/>
              <w:rPr>
                <w:rFonts w:ascii="Arial" w:cs="Arial" w:eastAsia="Arial" w:hAnsi="Arial"/>
                <w:sz w:val="18"/>
                <w:szCs w:val="18"/>
                <w:color w:val="0000EE"/>
              </w:rPr>
            </w:pPr>
            <w:hyperlink w:anchor="page16">
              <w:r>
                <w:rPr>
                  <w:rFonts w:ascii="Arial" w:cs="Arial" w:eastAsia="Arial" w:hAnsi="Arial"/>
                  <w:sz w:val="18"/>
                  <w:szCs w:val="18"/>
                  <w:color w:val="0000EE"/>
                </w:rPr>
                <w:t>Summary of Outstanding Debt</w:t>
              </w:r>
            </w:hyperlink>
          </w:p>
        </w:tc>
        <w:tc>
          <w:tcPr>
            <w:tcW w:w="3620" w:type="dxa"/>
            <w:vAlign w:val="bottom"/>
          </w:tcPr>
          <w:p>
            <w:pPr>
              <w:jc w:val="right"/>
              <w:spacing w:after="0" w:line="193" w:lineRule="exact"/>
              <w:rPr>
                <w:sz w:val="20"/>
                <w:szCs w:val="20"/>
                <w:color w:val="auto"/>
              </w:rPr>
            </w:pPr>
            <w:r>
              <w:rPr>
                <w:rFonts w:ascii="Arial" w:cs="Arial" w:eastAsia="Arial" w:hAnsi="Arial"/>
                <w:sz w:val="18"/>
                <w:szCs w:val="18"/>
                <w:color w:val="auto"/>
              </w:rPr>
              <w:t>12</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Summary of Debt Maturities</w:t>
              </w:r>
            </w:hyperlink>
          </w:p>
        </w:tc>
        <w:tc>
          <w:tcPr>
            <w:tcW w:w="4880" w:type="dxa"/>
            <w:vAlign w:val="bottom"/>
            <w:gridSpan w:val="4"/>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746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Summary of Redevelopment Opportunities</w:t>
              </w:r>
            </w:hyperlink>
          </w:p>
        </w:tc>
        <w:tc>
          <w:tcPr>
            <w:tcW w:w="3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Santana Row Summary</w:t>
              </w:r>
            </w:hyperlink>
          </w:p>
        </w:tc>
        <w:tc>
          <w:tcPr>
            <w:tcW w:w="1360" w:type="dxa"/>
            <w:vAlign w:val="bottom"/>
            <w:tcBorders>
              <w:top w:val="single" w:sz="8" w:color="0000EE"/>
            </w:tcBorders>
            <w:gridSpan w:val="8"/>
          </w:tcPr>
          <w:p>
            <w:pPr>
              <w:spacing w:after="0"/>
              <w:rPr>
                <w:sz w:val="24"/>
                <w:szCs w:val="24"/>
                <w:color w:val="auto"/>
              </w:rPr>
            </w:pPr>
          </w:p>
        </w:tc>
        <w:tc>
          <w:tcPr>
            <w:tcW w:w="4440" w:type="dxa"/>
            <w:vAlign w:val="bottom"/>
            <w:gridSpan w:val="3"/>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25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2005 Acquisitions and Dispositions</w:t>
              </w:r>
            </w:hyperlink>
          </w:p>
        </w:tc>
        <w:tc>
          <w:tcPr>
            <w:tcW w:w="4960" w:type="dxa"/>
            <w:vAlign w:val="bottom"/>
            <w:gridSpan w:val="5"/>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746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Real Estate Status Report</w:t>
              </w:r>
            </w:hyperlink>
          </w:p>
        </w:tc>
        <w:tc>
          <w:tcPr>
            <w:tcW w:w="3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51"/>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7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89"/>
              </w:rPr>
              <w:t>Retail Leasing Summary</w:t>
            </w:r>
          </w:p>
        </w:tc>
        <w:tc>
          <w:tcPr>
            <w:tcW w:w="5680" w:type="dxa"/>
            <w:vAlign w:val="bottom"/>
            <w:gridSpan w:val="10"/>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2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Lease Expirations</w:t>
              </w:r>
            </w:hyperlink>
          </w:p>
        </w:tc>
        <w:tc>
          <w:tcPr>
            <w:tcW w:w="6180" w:type="dxa"/>
            <w:vAlign w:val="bottom"/>
            <w:gridSpan w:val="12"/>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8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Portfolio Leased Statistics</w:t>
              </w:r>
            </w:hyperlink>
          </w:p>
        </w:tc>
        <w:tc>
          <w:tcPr>
            <w:tcW w:w="5620" w:type="dxa"/>
            <w:vAlign w:val="bottom"/>
            <w:gridSpan w:val="9"/>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746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Summary of Top 25 Tenants</w:t>
              </w:r>
            </w:hyperlink>
          </w:p>
        </w:tc>
        <w:tc>
          <w:tcPr>
            <w:tcW w:w="3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4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51"/>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7460" w:type="dxa"/>
            <w:vAlign w:val="bottom"/>
            <w:gridSpan w:val="14"/>
          </w:tcPr>
          <w:p>
            <w:pPr>
              <w:spacing w:after="0"/>
              <w:rPr>
                <w:sz w:val="20"/>
                <w:szCs w:val="20"/>
                <w:color w:val="auto"/>
              </w:rPr>
            </w:pPr>
            <w:r>
              <w:rPr>
                <w:rFonts w:ascii="Arial" w:cs="Arial" w:eastAsia="Arial" w:hAnsi="Arial"/>
                <w:sz w:val="18"/>
                <w:szCs w:val="18"/>
                <w:color w:val="auto"/>
              </w:rPr>
              <w:t>Reconciliation of Net Income to FFO Guidance</w:t>
            </w:r>
          </w:p>
        </w:tc>
        <w:tc>
          <w:tcPr>
            <w:tcW w:w="3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7460" w:type="dxa"/>
            <w:vAlign w:val="bottom"/>
            <w:gridSpan w:val="14"/>
          </w:tcPr>
          <w:p>
            <w:pPr>
              <w:spacing w:after="0"/>
              <w:rPr>
                <w:sz w:val="20"/>
                <w:szCs w:val="20"/>
                <w:color w:val="auto"/>
              </w:rPr>
            </w:pPr>
            <w:r>
              <w:rPr>
                <w:rFonts w:ascii="Arial" w:cs="Arial" w:eastAsia="Arial" w:hAnsi="Arial"/>
                <w:sz w:val="18"/>
                <w:szCs w:val="18"/>
                <w:color w:val="auto"/>
              </w:rPr>
              <w:t>Joint Venture Disclosure</w:t>
            </w:r>
          </w:p>
        </w:tc>
        <w:tc>
          <w:tcPr>
            <w:tcW w:w="3620" w:type="dxa"/>
            <w:vAlign w:val="bottom"/>
          </w:tcPr>
          <w:p>
            <w:pPr>
              <w:spacing w:after="0"/>
              <w:rPr>
                <w:sz w:val="24"/>
                <w:szCs w:val="24"/>
                <w:color w:val="auto"/>
              </w:rPr>
            </w:pPr>
          </w:p>
        </w:tc>
      </w:tr>
      <w:tr>
        <w:trPr>
          <w:trHeight w:val="184"/>
        </w:trPr>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40" w:type="dxa"/>
            <w:vAlign w:val="bottom"/>
            <w:tcBorders>
              <w:bottom w:val="single" w:sz="8" w:color="0000EE"/>
            </w:tcBorders>
            <w:gridSpan w:val="11"/>
          </w:tcPr>
          <w:p>
            <w:pPr>
              <w:spacing w:after="0" w:line="184"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Summarized Operating Results and Balance Sheet</w:t>
              </w:r>
            </w:hyperlink>
          </w:p>
        </w:tc>
        <w:tc>
          <w:tcPr>
            <w:tcW w:w="3500" w:type="dxa"/>
            <w:vAlign w:val="bottom"/>
            <w:gridSpan w:val="2"/>
          </w:tcPr>
          <w:p>
            <w:pPr>
              <w:spacing w:after="0"/>
              <w:rPr>
                <w:sz w:val="15"/>
                <w:szCs w:val="15"/>
                <w:color w:val="auto"/>
              </w:rPr>
            </w:pPr>
          </w:p>
        </w:tc>
        <w:tc>
          <w:tcPr>
            <w:tcW w:w="3620" w:type="dxa"/>
            <w:vAlign w:val="bottom"/>
          </w:tcPr>
          <w:p>
            <w:pPr>
              <w:jc w:val="right"/>
              <w:spacing w:after="0" w:line="184" w:lineRule="exact"/>
              <w:rPr>
                <w:sz w:val="20"/>
                <w:szCs w:val="20"/>
                <w:color w:val="auto"/>
              </w:rPr>
            </w:pPr>
            <w:r>
              <w:rPr>
                <w:rFonts w:ascii="Arial" w:cs="Arial" w:eastAsia="Arial" w:hAnsi="Arial"/>
                <w:sz w:val="18"/>
                <w:szCs w:val="18"/>
                <w:color w:val="auto"/>
              </w:rPr>
              <w:t>25</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Summary of Outstanding Debt and Debt Maturities</w:t>
              </w:r>
            </w:hyperlink>
          </w:p>
        </w:tc>
        <w:tc>
          <w:tcPr>
            <w:tcW w:w="3420" w:type="dxa"/>
            <w:vAlign w:val="bottom"/>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Real Estate Status Report</w:t>
              </w:r>
            </w:hyperlink>
          </w:p>
        </w:tc>
        <w:tc>
          <w:tcPr>
            <w:tcW w:w="5240" w:type="dxa"/>
            <w:vAlign w:val="bottom"/>
            <w:gridSpan w:val="7"/>
          </w:tcPr>
          <w:p>
            <w:pPr>
              <w:spacing w:after="0"/>
              <w:rPr>
                <w:sz w:val="17"/>
                <w:szCs w:val="17"/>
                <w:color w:val="auto"/>
              </w:rPr>
            </w:pPr>
          </w:p>
        </w:tc>
        <w:tc>
          <w:tcPr>
            <w:tcW w:w="3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74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Glossary of Terms</w:t>
              </w:r>
            </w:hyperlink>
          </w:p>
        </w:tc>
        <w:tc>
          <w:tcPr>
            <w:tcW w:w="3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900" w:right="100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900" w:right="14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900" w:hanging="446"/>
        <w:spacing w:after="0" w:line="256"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900" w:hanging="446"/>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90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900" w:right="2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ectPr>
          <w:pgSz w:w="11900" w:h="16838" w:orient="portrait"/>
          <w:cols w:equalWidth="0" w:num="1">
            <w:col w:w="11360"/>
          </w:cols>
          <w:pgMar w:left="240" w:top="274"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NEWS RELEASE</w:t>
            </w:r>
          </w:p>
        </w:tc>
        <w:tc>
          <w:tcPr>
            <w:tcW w:w="3560" w:type="dxa"/>
            <w:vAlign w:val="bottom"/>
          </w:tcPr>
          <w:p>
            <w:pPr>
              <w:ind w:left="1120"/>
              <w:spacing w:after="0"/>
              <w:rPr>
                <w:sz w:val="20"/>
                <w:szCs w:val="20"/>
                <w:color w:val="auto"/>
              </w:rPr>
            </w:pPr>
            <w:r>
              <w:rPr>
                <w:rFonts w:ascii="Arial" w:cs="Arial" w:eastAsia="Arial" w:hAnsi="Arial"/>
                <w:sz w:val="18"/>
                <w:szCs w:val="18"/>
                <w:b w:val="1"/>
                <w:bCs w:val="1"/>
                <w:color w:val="auto"/>
                <w:w w:val="88"/>
              </w:rPr>
              <w:t>Federal Realty Investment Trust</w:t>
            </w:r>
          </w:p>
        </w:tc>
      </w:tr>
      <w:tr>
        <w:trPr>
          <w:trHeight w:val="216"/>
        </w:trPr>
        <w:tc>
          <w:tcPr>
            <w:tcW w:w="2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560" w:type="dxa"/>
            <w:vAlign w:val="bottom"/>
          </w:tcPr>
          <w:p>
            <w:pPr>
              <w:ind w:left="1120"/>
              <w:spacing w:after="0"/>
              <w:rPr>
                <w:sz w:val="20"/>
                <w:szCs w:val="20"/>
                <w:color w:val="auto"/>
              </w:rPr>
            </w:pPr>
            <w:r>
              <w:rPr>
                <w:rFonts w:ascii="Arial" w:cs="Arial" w:eastAsia="Arial" w:hAnsi="Arial"/>
                <w:sz w:val="18"/>
                <w:szCs w:val="18"/>
                <w:color w:val="auto"/>
              </w:rPr>
              <w:t>1626 East Jefferson Street</w:t>
            </w:r>
          </w:p>
        </w:tc>
      </w:tr>
      <w:tr>
        <w:trPr>
          <w:trHeight w:val="216"/>
        </w:trPr>
        <w:tc>
          <w:tcPr>
            <w:tcW w:w="2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560" w:type="dxa"/>
            <w:vAlign w:val="bottom"/>
          </w:tcPr>
          <w:p>
            <w:pPr>
              <w:ind w:left="1120"/>
              <w:spacing w:after="0"/>
              <w:rPr>
                <w:sz w:val="20"/>
                <w:szCs w:val="20"/>
                <w:color w:val="auto"/>
              </w:rPr>
            </w:pPr>
            <w:r>
              <w:rPr>
                <w:rFonts w:ascii="Arial" w:cs="Arial" w:eastAsia="Arial" w:hAnsi="Arial"/>
                <w:sz w:val="18"/>
                <w:szCs w:val="18"/>
                <w:color w:val="auto"/>
              </w:rPr>
              <w:t>Rockville, MD 20852</w:t>
            </w:r>
          </w:p>
        </w:tc>
      </w:tr>
      <w:tr>
        <w:trPr>
          <w:trHeight w:val="222"/>
        </w:trPr>
        <w:tc>
          <w:tcPr>
            <w:tcW w:w="20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560" w:type="dxa"/>
            <w:vAlign w:val="bottom"/>
          </w:tcPr>
          <w:p>
            <w:pPr>
              <w:ind w:left="1120"/>
              <w:spacing w:after="0"/>
              <w:rPr>
                <w:sz w:val="20"/>
                <w:szCs w:val="20"/>
                <w:color w:val="auto"/>
              </w:rPr>
            </w:pPr>
            <w:r>
              <w:rPr>
                <w:rFonts w:ascii="Arial" w:cs="Arial" w:eastAsia="Arial" w:hAnsi="Arial"/>
                <w:sz w:val="18"/>
                <w:szCs w:val="18"/>
                <w:color w:val="auto"/>
              </w:rPr>
              <w:t>www.federalrealty.com</w:t>
            </w:r>
          </w:p>
        </w:tc>
      </w:tr>
      <w:tr>
        <w:trPr>
          <w:trHeight w:val="378"/>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560" w:type="dxa"/>
            <w:vAlign w:val="bottom"/>
          </w:tcPr>
          <w:p>
            <w:pPr>
              <w:spacing w:after="0"/>
              <w:rPr>
                <w:sz w:val="24"/>
                <w:szCs w:val="24"/>
                <w:color w:val="auto"/>
              </w:rPr>
            </w:pPr>
          </w:p>
        </w:tc>
      </w:tr>
      <w:tr>
        <w:trPr>
          <w:trHeight w:val="28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35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780" w:type="dxa"/>
            <w:vAlign w:val="bottom"/>
          </w:tcPr>
          <w:p>
            <w:pPr>
              <w:spacing w:after="0"/>
              <w:rPr>
                <w:sz w:val="19"/>
                <w:szCs w:val="19"/>
                <w:color w:val="auto"/>
              </w:rPr>
            </w:pPr>
          </w:p>
        </w:tc>
        <w:tc>
          <w:tcPr>
            <w:tcW w:w="3560" w:type="dxa"/>
            <w:vAlign w:val="bottom"/>
          </w:tcPr>
          <w:p>
            <w:pPr>
              <w:ind w:left="1120"/>
              <w:spacing w:after="0"/>
              <w:rPr>
                <w:sz w:val="20"/>
                <w:szCs w:val="20"/>
                <w:color w:val="auto"/>
              </w:rPr>
            </w:pPr>
            <w:r>
              <w:rPr>
                <w:rFonts w:ascii="Arial" w:cs="Arial" w:eastAsia="Arial" w:hAnsi="Arial"/>
                <w:sz w:val="18"/>
                <w:szCs w:val="18"/>
                <w:color w:val="auto"/>
              </w:rPr>
              <w:t>Suzanne O’Neill</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3560" w:type="dxa"/>
            <w:vAlign w:val="bottom"/>
          </w:tcPr>
          <w:p>
            <w:pPr>
              <w:ind w:left="1120"/>
              <w:spacing w:after="0"/>
              <w:rPr>
                <w:sz w:val="20"/>
                <w:szCs w:val="20"/>
                <w:color w:val="auto"/>
              </w:rPr>
            </w:pPr>
            <w:r>
              <w:rPr>
                <w:rFonts w:ascii="Arial" w:cs="Arial" w:eastAsia="Arial" w:hAnsi="Arial"/>
                <w:sz w:val="18"/>
                <w:szCs w:val="18"/>
                <w:color w:val="auto"/>
              </w:rPr>
              <w:t>Manager, Investor Relations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780" w:type="dxa"/>
            <w:vAlign w:val="bottom"/>
          </w:tcPr>
          <w:p>
            <w:pPr>
              <w:spacing w:after="0"/>
              <w:rPr>
                <w:sz w:val="18"/>
                <w:szCs w:val="18"/>
                <w:color w:val="auto"/>
              </w:rPr>
            </w:pPr>
          </w:p>
        </w:tc>
        <w:tc>
          <w:tcPr>
            <w:tcW w:w="3560" w:type="dxa"/>
            <w:vAlign w:val="bottom"/>
          </w:tcPr>
          <w:p>
            <w:pPr>
              <w:ind w:left="1120"/>
              <w:spacing w:after="0"/>
              <w:rPr>
                <w:sz w:val="20"/>
                <w:szCs w:val="20"/>
                <w:color w:val="auto"/>
              </w:rPr>
            </w:pPr>
            <w:r>
              <w:rPr>
                <w:rFonts w:ascii="Arial" w:cs="Arial" w:eastAsia="Arial" w:hAnsi="Arial"/>
                <w:sz w:val="18"/>
                <w:szCs w:val="18"/>
                <w:color w:val="auto"/>
              </w:rPr>
              <w:t>301/998-8358</w:t>
            </w: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3560" w:type="dxa"/>
            <w:vAlign w:val="bottom"/>
          </w:tcPr>
          <w:p>
            <w:pPr>
              <w:ind w:left="1120"/>
              <w:spacing w:after="0"/>
              <w:rPr>
                <w:sz w:val="20"/>
                <w:szCs w:val="20"/>
                <w:color w:val="auto"/>
              </w:rPr>
            </w:pPr>
            <w:r>
              <w:rPr>
                <w:rFonts w:ascii="Arial" w:cs="Arial" w:eastAsia="Arial" w:hAnsi="Arial"/>
                <w:sz w:val="18"/>
                <w:szCs w:val="18"/>
                <w:i w:val="1"/>
                <w:iCs w:val="1"/>
                <w:color w:val="auto"/>
              </w:rPr>
              <w:t>soneill@federalrealty.com</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FEDERAL REALTY INVESTMENT TRUST REPORTS FIRST QUARTER 2005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OPERATING RESULTS</w:t>
      </w:r>
    </w:p>
    <w:p>
      <w:pPr>
        <w:spacing w:after="0" w:line="151"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Aggressive Leasing and Increased Occupancy Drive Strong Internal Growth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4, 2005) – Federal Realty Investment Trust (NYSE:FRT) today reported operating results for its first quarter ended March 31, 2005.</w:t>
      </w:r>
    </w:p>
    <w:p>
      <w:pPr>
        <w:spacing w:after="0" w:line="94" w:lineRule="exact"/>
        <w:rPr>
          <w:sz w:val="20"/>
          <w:szCs w:val="20"/>
          <w:color w:val="auto"/>
        </w:rPr>
      </w:pPr>
    </w:p>
    <w:p>
      <w:pPr>
        <w:ind w:left="1360" w:right="160" w:hanging="555"/>
        <w:spacing w:after="0" w:line="347" w:lineRule="auto"/>
        <w:tabs>
          <w:tab w:leader="none" w:pos="13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Funds from operations available for common shareholders (FFO) per diluted share was $0.74 and net income available for common shareholders per diluted share was $0.40 for the quarter ended March 31, 2005 versus $0.69 and $0.28 for first quarter 2004.</w:t>
      </w:r>
    </w:p>
    <w:p>
      <w:pPr>
        <w:ind w:left="1360" w:right="680" w:hanging="555"/>
        <w:spacing w:after="0" w:line="275" w:lineRule="auto"/>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When compared to first quarter 2004, same-center property operating income increased 6.3% including redevelopments and expansions.</w:t>
      </w:r>
    </w:p>
    <w:p>
      <w:pPr>
        <w:spacing w:after="0" w:line="25" w:lineRule="exact"/>
        <w:rPr>
          <w:rFonts w:ascii="Arial" w:cs="Arial" w:eastAsia="Arial" w:hAnsi="Arial"/>
          <w:sz w:val="18"/>
          <w:szCs w:val="18"/>
          <w:b w:val="1"/>
          <w:bCs w:val="1"/>
          <w:color w:val="auto"/>
        </w:rPr>
      </w:pPr>
    </w:p>
    <w:p>
      <w:pPr>
        <w:ind w:left="1360" w:right="160" w:hanging="555"/>
        <w:spacing w:after="0" w:line="275" w:lineRule="auto"/>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Rent increases on lease rollovers for retail space for which there was a prior tenant were 14% on a cash-basis and 25% on a GAAP-basis for the quarter ended March 31, 2005.</w:t>
      </w:r>
    </w:p>
    <w:p>
      <w:pPr>
        <w:spacing w:after="0" w:line="25" w:lineRule="exact"/>
        <w:rPr>
          <w:rFonts w:ascii="Arial" w:cs="Arial" w:eastAsia="Arial" w:hAnsi="Arial"/>
          <w:sz w:val="18"/>
          <w:szCs w:val="18"/>
          <w:b w:val="1"/>
          <w:bCs w:val="1"/>
          <w:color w:val="auto"/>
        </w:rPr>
      </w:pPr>
    </w:p>
    <w:p>
      <w:pPr>
        <w:ind w:left="1360" w:hanging="555"/>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Trust’s portfolio was 95.1% leased as of March 31, 2005.</w:t>
      </w:r>
    </w:p>
    <w:p>
      <w:pPr>
        <w:spacing w:after="0" w:line="103" w:lineRule="exact"/>
        <w:rPr>
          <w:rFonts w:ascii="Arial" w:cs="Arial" w:eastAsia="Arial" w:hAnsi="Arial"/>
          <w:sz w:val="18"/>
          <w:szCs w:val="18"/>
          <w:b w:val="1"/>
          <w:bCs w:val="1"/>
          <w:color w:val="auto"/>
        </w:rPr>
      </w:pPr>
    </w:p>
    <w:p>
      <w:pPr>
        <w:ind w:left="1360" w:right="140" w:hanging="555"/>
        <w:spacing w:after="0" w:line="275" w:lineRule="auto"/>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Federal Realty increased guidance for 2005 FFO per diluted share to a range of $3.03 to $3.05 and net income available for common shareholders per diluted share of $1.43 to $1.45.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reported FFO of $39.3 million, or $0.74 per diluted share, in first quarter 2005. This compares to FFO of $34.8 million, or $0.69 per diluted share, reported in first quarter 2004, which included $1.1 million ($0.02 per diluted share) of insurance recovery for lost income from the Santana Row fire. Net income available for common shareholders was $21.1 million, and net income available for common shareholders per diluted share was $0.40 for the quarter ended March 31, 2005, versus $14.4 million and $0.28, respectively, for the first quarter of 2004.</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available for common shareholders and FFO per diluted share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REPORTS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 net income available for common shareholders and net income available for common shareholders per diluted share, respectively, is attached to this press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 same-center basis, including redevelopment and expansion properties, property operating income increased 6.3% over first quarter 2004, the highest such growth in the last 12 quarters. When redevelopment and expansion properties are excluded from the same-center results, property operating income increased 4.7% from first quarter 2004.</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Overall, the Trust’s portfolio was 95.1% leased as of March 31, 2005, compared to 93.3% on March 31, 2004. Federal Realty’s same-center portfolio was 96.5% leased on March 31, 2005, compared to 96.1% on March 31, 2004.</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During the first quarter of 2005, the Trust signed 60 leases for approximately 257,000 square feet of retail space. On a comparable space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spaces for which there was a former tenant), the Trust leased 225,000 square feet at a weighted-average cash-basis contractual rent increase per square foot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the impact of straight-line rents) of 14%. The weighted-average contractual rent on this comparable space for the first year of the new lease is $25.88 per square foot compared to the weighted-average contractual rent of $22.61 per square foot for the last year of the prior lease. The previous weighted-average contractual rent is calculated by including both the minimum rent and the percentage rent actually paid during the last year of the lease term for the re-leased space. On a GAAP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including the impact of straight-line rents), rent increases per square foot for comparable retail space were 25% for the first quarter of 2005. As of March 31, 2005, Federal Realty’s weighted-average contractual rent for retail and commercial space in its portfolio is $18.25 per square foot.</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significant increase in our internal growth rate this quarter reflects continued aggressive leasing of our portfolio combined with occupancy improvements both in our same-center portfolio as well as at our redevelopment properties,” commented Donald Wood, Federal Realty’s President and Chief Executive Officer. “Continued strong internal growth and our ability to create significant additional value from our core portfolio, through our large redevelopment pipeline and through the improving performance and potential condominium sales at Santana Row, are the foundation for Federal Realty to provide well-balanced, risk-adjusted growth in the future.”</w:t>
      </w:r>
    </w:p>
    <w:p>
      <w:pPr>
        <w:spacing w:after="0" w:line="12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Santana Row, Federal Realty’s mixed-use community in San Jose, Calif., 94.3% of the retail space was leased to 106 tenants, with 100 stores open and operating as of March 31, 2005. As previously announced, Federal Realty is pursuing the potential sale of up to 219 residential condominiums in buildings three, four and six at Santana Row. To facilitate the sale of these units, the Trust is allowing residential units in these buildings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40"/>
          </w:cols>
          <w:pgMar w:left="240" w:top="28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REPORTS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to remain vacant upon the expiration of leases, and as a result, as of March 31, 2005, 91% of the 255 existing residential units were leased. Initial occupancy of the 256 residential rental units on the podium of building seven commenced in April 2005, with lease-up expected to continue through mid-2006.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Federal Realty today increased guidance for 2005 FFO per diluted share to a range of $3.03 to $3.05, and net income available for common shareholders per diluted share to $1.43 to $1.45.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3" w:lineRule="exact"/>
        <w:rPr>
          <w:sz w:val="20"/>
          <w:szCs w:val="20"/>
          <w:color w:val="auto"/>
        </w:rPr>
      </w:pPr>
    </w:p>
    <w:p>
      <w:pPr>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March 1, 2005 – Federal Realty acquired Assembly Square Mall and an adjacent 220,000 square foot retail/industrial complex for $64 million. The properties are located in the City of Somerville, Mass., the most densely populated community in New England, just 1.5 miles from Boston’s financial and commercial districts and easily accessible from I-93. Federal Realty anticipates investing significant efforts in the master planning of the site, which could provide investment opportunities for the Trust over the next ten years.</w:t>
      </w:r>
    </w:p>
    <w:p>
      <w:pPr>
        <w:spacing w:after="0" w:line="4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March 3, 2005 – Federal Realty announced that its Board of Trustees declared a regular quarterly cash dividend of $0.505 per share on its common shares, resulting in an indicated annual rate of $2.02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2005 earnings conference call, which is scheduled for May 5, 2005, at 11 a.m. Eastern Daylight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for 30 days by dialing (866) 448-4809.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17.4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REPORTS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right="540"/>
        <w:spacing w:after="0" w:line="335" w:lineRule="auto"/>
        <w:rPr>
          <w:sz w:val="20"/>
          <w:szCs w:val="20"/>
          <w:color w:val="auto"/>
        </w:rPr>
      </w:pPr>
      <w:r>
        <w:rPr>
          <w:rFonts w:ascii="Arial" w:cs="Arial" w:eastAsia="Arial" w:hAnsi="Arial"/>
          <w:sz w:val="15"/>
          <w:szCs w:val="15"/>
          <w:color w:val="auto"/>
        </w:rPr>
        <w:t>properties) was 95.1% leased to national, regional, and local retailers as of March 31, 2005, with no single tenant accounting for more than 2.3% of rental revenue. Federal Realty has paid quarterly dividends to its shareholders continuously since its founding in 1962, and has increased its dividend rate for 37 consecutive years, the longest consecutive record in the REIT industry. Shares of Federal Realty are traded on the NYSE under the symbol FRT.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900" w:right="1000" w:hanging="446"/>
        <w:spacing w:after="0" w:line="268"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900" w:hanging="446"/>
        <w:spacing w:after="0" w:line="256"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900" w:hanging="446"/>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900" w:right="20" w:hanging="446"/>
        <w:spacing w:after="0" w:line="259"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w:t>
      </w:r>
    </w:p>
    <w:p>
      <w:pPr>
        <w:sectPr>
          <w:pgSz w:w="11900" w:h="16838" w:orient="portrait"/>
          <w:cols w:equalWidth="0" w:num="1">
            <w:col w:w="11360"/>
          </w:cols>
          <w:pgMar w:left="240" w:top="280" w:right="299" w:bottom="1440" w:gutter="0" w:footer="0" w:header="0"/>
        </w:sectPr>
      </w:pPr>
    </w:p>
    <w:bookmarkStart w:id="9" w:name="page10"/>
    <w:bookmarkEnd w:id="9"/>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60325</wp:posOffset>
            </wp:positionV>
            <wp:extent cx="1020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RESULTS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(22,063)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 income from discontinued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Results from operations of discontinued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23,997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on real estate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-4319270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-4319270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-4319270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-4319270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-4319270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-2492375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-2492375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-2492375</wp:posOffset>
            </wp:positionV>
            <wp:extent cx="62992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-931545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-931545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-931545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-931545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-931545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-931545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904" w:orient="portrait"/>
          <w:cols w:equalWidth="0" w:num="1">
            <w:col w:w="11420"/>
          </w:cols>
          <w:pgMar w:left="240" w:top="274"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available for common shareholders, diluted</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360" w:type="dxa"/>
            <w:vAlign w:val="bottom"/>
          </w:tcPr>
          <w:p>
            <w:pPr>
              <w:spacing w:after="0"/>
              <w:rPr>
                <w:sz w:val="9"/>
                <w:szCs w:val="9"/>
                <w:color w:val="auto"/>
              </w:rPr>
            </w:pPr>
          </w:p>
        </w:tc>
        <w:tc>
          <w:tcPr>
            <w:tcW w:w="4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4"/>
              </w:rPr>
              <w:t>Weighted average number of common shares, diluted</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tcPr>
          <w:p>
            <w:pPr>
              <w:spacing w:after="0"/>
              <w:rPr>
                <w:sz w:val="9"/>
                <w:szCs w:val="9"/>
                <w:color w:val="auto"/>
              </w:rPr>
            </w:pPr>
          </w:p>
        </w:tc>
        <w:tc>
          <w:tcPr>
            <w:tcW w:w="4380" w:type="dxa"/>
            <w:vAlign w:val="bottom"/>
            <w:vMerge w:val="restart"/>
          </w:tcPr>
          <w:p>
            <w:pPr>
              <w:jc w:val="right"/>
              <w:ind w:right="3892"/>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3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6340475</wp:posOffset>
            </wp:positionH>
            <wp:positionV relativeFrom="page">
              <wp:posOffset>88900</wp:posOffset>
            </wp:positionV>
            <wp:extent cx="1020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-608965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-608965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-608965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-608965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-608965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-608965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2,740,608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(612,605)</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(595,338)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2,128,003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2,327,325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Liabilities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and mortgage notes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Notes payable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381,382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liabilities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147,498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1,506,983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Minority interests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2,327,325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420" w:type="dxa"/>
            <w:vAlign w:val="bottom"/>
            <w:vMerge w:val="restart"/>
          </w:tcPr>
          <w:p>
            <w:pPr>
              <w:jc w:val="right"/>
              <w:ind w:right="3632"/>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-2710180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-2710180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-2710180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-2710180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-2710180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-2710180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3"/>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 (FFO)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23,997</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(4,282)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20,519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on real estate partnership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42,016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(2,869)</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 (2)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39,305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50,613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Funds from operations available for common shareholders per diluted share (2)</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0.74</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Non-maintenance 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related (3)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Development, redevelopment and expansions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Tenant improvements and incentives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Payout Ratios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Common dividends declared</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26,506</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24,167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payout ratio % - FFO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-2496820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-2496820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-2496820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-2496820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-2496820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-2496820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-2059940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-2059940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-2059940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-2059940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-2059940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-2059940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-507365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-507365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-507365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-507365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March 31, 2004, includes $1.1 million ($.02 per share) for Santana Row fire insurance proceeds. For the three months ended March 31, 2005, the amount of insurance proceeds were insignificant and had no per share impact.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(in thousands, except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Common shares outstanding (1)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52,493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price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2,538,037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2,278,584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Series B preferred shares outstanding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price per Series B preferred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2,681,137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2,427,840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debt (2)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1,359,485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1,410,565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4,040,622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3,838,405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 to market capitalization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debt to market capitalization at constant common share price of $46.20</w:t>
            </w:r>
          </w:p>
        </w:tc>
        <w:tc>
          <w:tcPr>
            <w:tcW w:w="10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rate debt ratio:</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availability: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on hand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27,645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27,940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 capacity under line of credit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Available for issuance under shelf registration statement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432,645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-2155825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-2155825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-2155825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-2155825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-2155825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-2155825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-1024255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-1024255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-1024255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-1024255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-1024255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-1024255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jc w:val="both"/>
        <w:ind w:left="460" w:right="2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53,972,962 shares issued net of 1,480,202 shares held in Treasury as of March 31, 2005. As of March 31, 2004, consists of 50,790,678 shares issued net of 1,470,275 shares held in Treasury. Amounts do not include 449,325 and 842,455 Operating Units outstanding at March 31, 2005 and March 31, 2004, respectively.</w:t>
      </w:r>
    </w:p>
    <w:p>
      <w:pPr>
        <w:spacing w:after="0" w:line="45"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6"/>
          </w:tcPr>
          <w:p>
            <w:pPr>
              <w:ind w:lef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Rental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rPr>
              <w:t>Minimum rents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Retail and commercial properties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73,656</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$ 67,753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860"/>
              <w:spacing w:after="0"/>
              <w:rPr>
                <w:sz w:val="20"/>
                <w:szCs w:val="20"/>
                <w:color w:val="auto"/>
              </w:rPr>
            </w:pPr>
            <w:r>
              <w:rPr>
                <w:rFonts w:ascii="Arial" w:cs="Arial" w:eastAsia="Arial" w:hAnsi="Arial"/>
                <w:sz w:val="18"/>
                <w:szCs w:val="18"/>
                <w:color w:val="auto"/>
              </w:rPr>
              <w:t>Residential (2)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3,209</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rPr>
              <w:t>Percentage rents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1,797</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rental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100,220</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$ 90,983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9048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487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4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three months ended March 31, 2005 and March 31, 2004, minimum rents include $2.1 million and $0.9 million, respectively, to recognize rent on a straight-line basis and $0.4 million and $0.2 million, respectively, to recognize income for market lease adjustments on acquired properties in accordance with SFAS 141. Minimum rents include fire insurance proceeds attributable to rental income lost at Santana Row as a result of the August 2002 fire of $1.1 million for the first three months of 2004. For 2005, the amount of insurance proceeds was insignificant.</w:t>
      </w:r>
    </w:p>
    <w:p>
      <w:pPr>
        <w:spacing w:after="0" w:line="18"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comprise the rents at Rollingwood Apartments, The Crest at Congressional Apartments and the residential units at Santana Row.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Interest Rate as of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Maturity</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2005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jc w:val="right"/>
              <w:ind w:right="214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80" w:type="dxa"/>
            <w:vAlign w:val="bottom"/>
            <w:gridSpan w:val="3"/>
          </w:tcPr>
          <w:p>
            <w:pPr>
              <w:jc w:val="right"/>
              <w:ind w:right="19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Mortgage Loans (a)</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10/01/08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164 E Houston Street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10/06/08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09/01/09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Federal Plaza</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06/01/11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35,009</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09/01/11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Barracks Road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43,598</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Hauppauge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Wildwood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27,162</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11/01/15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Mount Vernon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04/15/28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(b)</w:t>
            </w:r>
          </w:p>
        </w:tc>
        <w:tc>
          <w:tcPr>
            <w:tcW w:w="720" w:type="dxa"/>
            <w:vAlign w:val="bottom"/>
          </w:tcPr>
          <w:p>
            <w:pPr>
              <w:jc w:val="right"/>
              <w:spacing w:after="0"/>
              <w:rPr>
                <w:sz w:val="20"/>
                <w:szCs w:val="20"/>
                <w:color w:val="auto"/>
              </w:rPr>
            </w:pPr>
            <w:r>
              <w:rPr>
                <w:rFonts w:ascii="Arial" w:cs="Arial" w:eastAsia="Arial" w:hAnsi="Arial"/>
                <w:sz w:val="18"/>
                <w:szCs w:val="18"/>
                <w:color w:val="auto"/>
              </w:rPr>
              <w:t>12,762</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01/31/13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various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various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10/08/06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LIBOR + .75%</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(c)</w:t>
            </w:r>
          </w:p>
        </w:tc>
        <w:tc>
          <w:tcPr>
            <w:tcW w:w="720" w:type="dxa"/>
            <w:vAlign w:val="bottom"/>
          </w:tcPr>
          <w:p>
            <w:pPr>
              <w:jc w:val="right"/>
              <w:spacing w:after="0"/>
              <w:rPr>
                <w:sz w:val="20"/>
                <w:szCs w:val="20"/>
                <w:color w:val="auto"/>
              </w:rPr>
            </w:pPr>
            <w:r>
              <w:rPr>
                <w:rFonts w:ascii="Arial" w:cs="Arial" w:eastAsia="Arial" w:hAnsi="Arial"/>
                <w:sz w:val="18"/>
                <w:szCs w:val="18"/>
                <w:color w:val="auto"/>
              </w:rPr>
              <w:t>120,000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10/08/06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LIBOR + .95%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Term note with banks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10/08/08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LIBOR + .95%</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(d)</w:t>
            </w: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Escondido (Municipal bonds)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10/01/16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w:t>
            </w:r>
          </w:p>
        </w:tc>
        <w:tc>
          <w:tcPr>
            <w:tcW w:w="7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381,382</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and Debentures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6.625% Notes (fixed)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12/01/05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6.99% Medium Term Notes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03/10/06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(f)</w:t>
            </w:r>
          </w:p>
        </w:tc>
        <w:tc>
          <w:tcPr>
            <w:tcW w:w="720" w:type="dxa"/>
            <w:vAlign w:val="bottom"/>
          </w:tcPr>
          <w:p>
            <w:pPr>
              <w:jc w:val="right"/>
              <w:spacing w:after="0"/>
              <w:rPr>
                <w:sz w:val="20"/>
                <w:szCs w:val="20"/>
                <w:color w:val="auto"/>
              </w:rPr>
            </w:pPr>
            <w:r>
              <w:rPr>
                <w:rFonts w:ascii="Arial" w:cs="Arial" w:eastAsia="Arial" w:hAnsi="Arial"/>
                <w:sz w:val="18"/>
                <w:szCs w:val="18"/>
                <w:color w:val="auto"/>
              </w:rPr>
              <w:t>40,500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6.125%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11/15/07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c>
          <w:tcPr>
            <w:tcW w:w="7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8.75% Notes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12/01/09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02/15/11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7.48% Debentures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08/15/26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08/01/27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Less: Unamortized Debt Discount</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jc w:val="right"/>
              <w:ind w:right="19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568,263</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140" w:type="dxa"/>
            <w:vAlign w:val="bottom"/>
            <w:gridSpan w:val="4"/>
          </w:tcPr>
          <w:p>
            <w:pPr>
              <w:jc w:val="right"/>
              <w:ind w:right="240"/>
              <w:spacing w:after="0"/>
              <w:rPr>
                <w:sz w:val="20"/>
                <w:szCs w:val="20"/>
                <w:color w:val="auto"/>
              </w:rPr>
            </w:pPr>
            <w:r>
              <w:rPr>
                <w:rFonts w:ascii="Arial" w:cs="Arial" w:eastAsia="Arial" w:hAnsi="Arial"/>
                <w:sz w:val="18"/>
                <w:szCs w:val="18"/>
                <w:color w:val="auto"/>
              </w:rPr>
              <w:t>Various through 2077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(h)    $</w:t>
            </w:r>
          </w:p>
        </w:tc>
        <w:tc>
          <w:tcPr>
            <w:tcW w:w="720" w:type="dxa"/>
            <w:vAlign w:val="bottom"/>
          </w:tcPr>
          <w:p>
            <w:pPr>
              <w:jc w:val="right"/>
              <w:spacing w:after="0"/>
              <w:rPr>
                <w:sz w:val="20"/>
                <w:szCs w:val="20"/>
                <w:color w:val="auto"/>
              </w:rPr>
            </w:pPr>
            <w:r>
              <w:rPr>
                <w:rFonts w:ascii="Arial" w:cs="Arial" w:eastAsia="Arial" w:hAnsi="Arial"/>
                <w:sz w:val="18"/>
                <w:szCs w:val="18"/>
                <w:color w:val="auto"/>
              </w:rPr>
              <w:t>158,748</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Fixed and Variable Rate Debt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1,359,485</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74"/>
        </w:trPr>
        <w:tc>
          <w:tcPr>
            <w:tcW w:w="58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interest rate</w:t>
            </w:r>
          </w:p>
        </w:tc>
      </w:tr>
      <w:tr>
        <w:trPr>
          <w:trHeight w:val="95"/>
        </w:trPr>
        <w:tc>
          <w:tcPr>
            <w:tcW w:w="58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8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rate debt</w:t>
            </w: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$ 1,130,085</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83.13%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2"/>
        </w:trPr>
        <w:tc>
          <w:tcPr>
            <w:tcW w:w="5820" w:type="dxa"/>
            <w:vAlign w:val="bottom"/>
          </w:tcPr>
          <w:p>
            <w:pPr>
              <w:ind w:left="880"/>
              <w:spacing w:after="0"/>
              <w:rPr>
                <w:sz w:val="20"/>
                <w:szCs w:val="20"/>
                <w:color w:val="auto"/>
              </w:rPr>
            </w:pPr>
            <w:r>
              <w:rPr>
                <w:rFonts w:ascii="Arial" w:cs="Arial" w:eastAsia="Arial" w:hAnsi="Arial"/>
                <w:sz w:val="18"/>
                <w:szCs w:val="18"/>
                <w:color w:val="auto"/>
              </w:rPr>
              <w:t>Total variable rate debt</w:t>
            </w:r>
          </w:p>
        </w:tc>
        <w:tc>
          <w:tcPr>
            <w:tcW w:w="2820" w:type="dxa"/>
            <w:vAlign w:val="bottom"/>
          </w:tcPr>
          <w:p>
            <w:pPr>
              <w:ind w:left="2440"/>
              <w:spacing w:after="0"/>
              <w:rPr>
                <w:sz w:val="20"/>
                <w:szCs w:val="20"/>
                <w:color w:val="auto"/>
              </w:rPr>
            </w:pPr>
            <w:r>
              <w:rPr>
                <w:rFonts w:ascii="Arial" w:cs="Arial" w:eastAsia="Arial" w:hAnsi="Arial"/>
                <w:sz w:val="18"/>
                <w:szCs w:val="18"/>
                <w:color w:val="auto"/>
              </w:rPr>
              <w:t>(i)</w:t>
            </w:r>
          </w:p>
        </w:tc>
        <w:tc>
          <w:tcPr>
            <w:tcW w:w="820" w:type="dxa"/>
            <w:vAlign w:val="bottom"/>
          </w:tcPr>
          <w:p>
            <w:pPr>
              <w:jc w:val="right"/>
              <w:spacing w:after="0"/>
              <w:rPr>
                <w:sz w:val="20"/>
                <w:szCs w:val="20"/>
                <w:color w:val="auto"/>
              </w:rPr>
            </w:pPr>
            <w:r>
              <w:rPr>
                <w:rFonts w:ascii="Arial" w:cs="Arial" w:eastAsia="Arial" w:hAnsi="Arial"/>
                <w:sz w:val="18"/>
                <w:szCs w:val="18"/>
                <w:color w:val="auto"/>
              </w:rPr>
              <w:t>229,400</w:t>
            </w:r>
          </w:p>
        </w:tc>
        <w:tc>
          <w:tcPr>
            <w:tcW w:w="1100" w:type="dxa"/>
            <w:vAlign w:val="bottom"/>
            <w:gridSpan w:val="4"/>
          </w:tcPr>
          <w:p>
            <w:pPr>
              <w:jc w:val="right"/>
              <w:ind w:right="200"/>
              <w:spacing w:after="0"/>
              <w:rPr>
                <w:sz w:val="20"/>
                <w:szCs w:val="20"/>
                <w:color w:val="auto"/>
              </w:rPr>
            </w:pPr>
            <w:r>
              <w:rPr>
                <w:rFonts w:ascii="Arial" w:cs="Arial" w:eastAsia="Arial" w:hAnsi="Arial"/>
                <w:sz w:val="18"/>
                <w:szCs w:val="18"/>
                <w:color w:val="auto"/>
              </w:rPr>
              <w:t>16.87%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102"/>
        </w:trPr>
        <w:tc>
          <w:tcPr>
            <w:tcW w:w="58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8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AND CAPITAL LEASES</w:t>
            </w:r>
          </w:p>
        </w:tc>
        <w:tc>
          <w:tcPr>
            <w:tcW w:w="28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$ 1,359,485</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132"/>
        </w:trPr>
        <w:tc>
          <w:tcPr>
            <w:tcW w:w="58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1" w:lineRule="exact"/>
        <w:rPr>
          <w:sz w:val="20"/>
          <w:szCs w:val="20"/>
          <w:color w:val="auto"/>
        </w:rPr>
      </w:pPr>
    </w:p>
    <w:p>
      <w:pPr>
        <w:jc w:val="center"/>
        <w:ind w:left="1012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left="10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60325</wp:posOffset>
            </wp:positionV>
            <wp:extent cx="823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84" w:lineRule="exact"/>
        <w:rPr>
          <w:sz w:val="20"/>
          <w:szCs w:val="20"/>
          <w:color w:val="auto"/>
        </w:rPr>
      </w:pPr>
    </w:p>
    <w:p>
      <w:pPr>
        <w:ind w:left="10260"/>
        <w:spacing w:after="0"/>
        <w:tabs>
          <w:tab w:leader="none" w:pos="1098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13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1303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68580</wp:posOffset>
            </wp:positionV>
            <wp:extent cx="823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Operational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w:t>
            </w:r>
          </w:p>
        </w:tc>
        <w:tc>
          <w:tcPr>
            <w:tcW w:w="2060" w:type="dxa"/>
            <w:vAlign w:val="bottom"/>
          </w:tcPr>
          <w:p>
            <w:pPr>
              <w:ind w:left="1680"/>
              <w:spacing w:after="0"/>
              <w:rPr>
                <w:sz w:val="20"/>
                <w:szCs w:val="20"/>
                <w:color w:val="auto"/>
              </w:rPr>
            </w:pPr>
            <w:r>
              <w:rPr>
                <w:rFonts w:ascii="Arial" w:cs="Arial" w:eastAsia="Arial" w:hAnsi="Arial"/>
                <w:sz w:val="18"/>
                <w:szCs w:val="18"/>
                <w:color w:val="auto"/>
              </w:rPr>
              <w:t>(j)</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2.60</w:t>
            </w:r>
          </w:p>
        </w:tc>
        <w:tc>
          <w:tcPr>
            <w:tcW w:w="5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w:t>
            </w:r>
          </w:p>
        </w:tc>
        <w:tc>
          <w:tcPr>
            <w:tcW w:w="20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(j)</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lender has the option to call the loan on April 15, 2013 or anytime thereafter.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$300 million three-year revolving credit facility, with a one-year extension option. The weighted average effective rate for the quarter was 3.31%.</w:t>
      </w:r>
    </w:p>
    <w:p>
      <w:pPr>
        <w:spacing w:after="0" w:line="99"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spacing w:after="0" w:line="37" w:lineRule="exact"/>
        <w:rPr>
          <w:rFonts w:ascii="Arial" w:cs="Arial" w:eastAsia="Arial" w:hAnsi="Arial"/>
          <w:sz w:val="18"/>
          <w:szCs w:val="18"/>
          <w:color w:val="auto"/>
        </w:rPr>
      </w:pPr>
    </w:p>
    <w:p>
      <w:pPr>
        <w:ind w:left="460" w:right="62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to be the interest rate which would enable the bonds to be remarketed at 100% of their principal amount. The weighted average interest rate for the three months ended March 31, 2005 was 2.71%.</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76"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37" w:lineRule="exact"/>
        <w:rPr>
          <w:rFonts w:ascii="Arial" w:cs="Arial" w:eastAsia="Arial" w:hAnsi="Arial"/>
          <w:sz w:val="18"/>
          <w:szCs w:val="18"/>
          <w:color w:val="auto"/>
        </w:rPr>
      </w:pPr>
    </w:p>
    <w:p>
      <w:pPr>
        <w:ind w:left="460" w:right="7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March 31, 2005 is 8.86% on a basis of minimum rent and 11.15% including performance- based participation rent paid by the Trust.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annualized interest rate on variable rate debt as of March 31, 2005.</w:t>
      </w:r>
    </w:p>
    <w:p>
      <w:pPr>
        <w:spacing w:after="0" w:line="76"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is defined and reconciled to net income in the Glossary of Terms.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Percent</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of Debt</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Debt</w:t>
            </w:r>
          </w:p>
        </w:tc>
        <w:tc>
          <w:tcPr>
            <w:tcW w:w="0" w:type="dxa"/>
            <w:vAlign w:val="bottom"/>
          </w:tcPr>
          <w:p>
            <w:pPr>
              <w:spacing w:after="0"/>
              <w:rPr>
                <w:sz w:val="1"/>
                <w:szCs w:val="1"/>
                <w:color w:val="auto"/>
              </w:rPr>
            </w:pPr>
          </w:p>
        </w:tc>
      </w:tr>
      <w:tr>
        <w:trPr>
          <w:trHeight w:val="174"/>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Maturities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Total</w:t>
            </w:r>
          </w:p>
        </w:tc>
        <w:tc>
          <w:tcPr>
            <w:tcW w:w="17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4"/>
              </w:rPr>
              <w:t>Maturing</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5,037</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260,500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60"/>
              <w:spacing w:after="0"/>
              <w:rPr>
                <w:sz w:val="20"/>
                <w:szCs w:val="20"/>
                <w:color w:val="auto"/>
              </w:rPr>
            </w:pPr>
            <w:r>
              <w:rPr>
                <w:rFonts w:ascii="Arial" w:cs="Arial" w:eastAsia="Arial" w:hAnsi="Arial"/>
                <w:sz w:val="18"/>
                <w:szCs w:val="18"/>
                <w:color w:val="auto"/>
              </w:rPr>
              <w:t>265,537(1)</w:t>
            </w: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19.5%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149,343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154,779</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2008</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5,828</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159,542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126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12.2%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178,385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184,549</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2010</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126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2011</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111,655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118,325</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2012</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126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2013</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2014</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1260" w:type="dxa"/>
            <w:vAlign w:val="bottom"/>
          </w:tcPr>
          <w:p>
            <w:pPr>
              <w:spacing w:after="0"/>
              <w:rPr>
                <w:sz w:val="18"/>
                <w:szCs w:val="18"/>
                <w:color w:val="auto"/>
              </w:rPr>
            </w:pPr>
          </w:p>
        </w:tc>
        <w:tc>
          <w:tcPr>
            <w:tcW w:w="1760" w:type="dxa"/>
            <w:vAlign w:val="bottom"/>
            <w:gridSpan w:val="3"/>
          </w:tcPr>
          <w:p>
            <w:pPr>
              <w:jc w:val="right"/>
              <w:ind w:right="1040"/>
              <w:spacing w:after="0"/>
              <w:rPr>
                <w:sz w:val="20"/>
                <w:szCs w:val="20"/>
                <w:color w:val="auto"/>
              </w:rPr>
            </w:pPr>
            <w:r>
              <w:rPr>
                <w:rFonts w:ascii="Arial" w:cs="Arial" w:eastAsia="Arial" w:hAnsi="Arial"/>
                <w:sz w:val="18"/>
                <w:szCs w:val="18"/>
                <w:color w:val="auto"/>
              </w:rPr>
              <w:t>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157,877</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245,206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403,083</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29.6%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214,854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1,144,631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1,359,485</w:t>
            </w:r>
          </w:p>
        </w:tc>
        <w:tc>
          <w:tcPr>
            <w:tcW w:w="1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53594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jc w:val="center"/>
        <w:ind w:left="5620" w:right="940" w:hanging="5612"/>
        <w:spacing w:after="0" w:line="440"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Maturities in 2006 include a $100 million term loan and $120 million drawn under the Trust’s $300 million three-year revolving credit facility. 13</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Projected</w:t>
            </w:r>
          </w:p>
        </w:tc>
        <w:tc>
          <w:tcPr>
            <w:tcW w:w="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1"/>
              </w:rPr>
              <w:t>Projected</w:t>
            </w:r>
          </w:p>
        </w:tc>
        <w:tc>
          <w:tcPr>
            <w:tcW w:w="30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74"/>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920" w:type="dxa"/>
            <w:vAlign w:val="bottom"/>
            <w:gridSpan w:val="3"/>
          </w:tcPr>
          <w:p>
            <w:pPr>
              <w:ind w:left="780"/>
              <w:spacing w:after="0"/>
              <w:rPr>
                <w:sz w:val="20"/>
                <w:szCs w:val="20"/>
                <w:color w:val="auto"/>
              </w:rPr>
            </w:pPr>
            <w:r>
              <w:rPr>
                <w:rFonts w:ascii="Arial" w:cs="Arial" w:eastAsia="Arial" w:hAnsi="Arial"/>
                <w:sz w:val="14"/>
                <w:szCs w:val="14"/>
                <w:b w:val="1"/>
                <w:bCs w:val="1"/>
                <w:color w:val="auto"/>
              </w:rPr>
              <w:t>Location</w:t>
            </w:r>
          </w:p>
        </w:tc>
        <w:tc>
          <w:tcPr>
            <w:tcW w:w="4880" w:type="dxa"/>
            <w:vAlign w:val="bottom"/>
            <w:gridSpan w:val="3"/>
          </w:tcPr>
          <w:p>
            <w:pPr>
              <w:ind w:left="2000"/>
              <w:spacing w:after="0"/>
              <w:rPr>
                <w:sz w:val="20"/>
                <w:szCs w:val="20"/>
                <w:color w:val="auto"/>
              </w:rPr>
            </w:pPr>
            <w:r>
              <w:rPr>
                <w:rFonts w:ascii="Arial" w:cs="Arial" w:eastAsia="Arial" w:hAnsi="Arial"/>
                <w:sz w:val="14"/>
                <w:szCs w:val="14"/>
                <w:b w:val="1"/>
                <w:bCs w:val="1"/>
                <w:color w:val="auto"/>
              </w:rPr>
              <w:t>Opportunity</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ROI (2)</w:t>
            </w:r>
          </w:p>
        </w:tc>
        <w:tc>
          <w:tcPr>
            <w:tcW w:w="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Cost (1)</w:t>
            </w:r>
          </w:p>
        </w:tc>
        <w:tc>
          <w:tcPr>
            <w:tcW w:w="300" w:type="dxa"/>
            <w:vAlign w:val="bottom"/>
          </w:tcPr>
          <w:p>
            <w:pPr>
              <w:spacing w:after="0"/>
              <w:rPr>
                <w:sz w:val="15"/>
                <w:szCs w:val="15"/>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60" w:type="dxa"/>
            <w:vAlign w:val="bottom"/>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Anticipated to Stabilize in 2005 (3)</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Philadelphia, PA</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w w:val="93"/>
              </w:rPr>
              <w:t>Grocer re-location and expansion and re-tenanting (new health</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3"/>
          </w:tcPr>
          <w:p>
            <w:pPr>
              <w:ind w:left="380"/>
              <w:spacing w:after="0"/>
              <w:rPr>
                <w:sz w:val="20"/>
                <w:szCs w:val="20"/>
                <w:color w:val="auto"/>
              </w:rPr>
            </w:pPr>
            <w:r>
              <w:rPr>
                <w:rFonts w:ascii="Arial" w:cs="Arial" w:eastAsia="Arial" w:hAnsi="Arial"/>
                <w:sz w:val="18"/>
                <w:szCs w:val="18"/>
                <w:color w:val="auto"/>
              </w:rPr>
              <w:t>club)</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&gt;20%</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Andorra</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Philadelphia, PA</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(new health club)</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Pan Am</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Fairfax, VA</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Grocer expansion, small shop re-tenanting and site</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3"/>
          </w:tcPr>
          <w:p>
            <w:pPr>
              <w:ind w:left="380"/>
              <w:spacing w:after="0"/>
              <w:rPr>
                <w:sz w:val="20"/>
                <w:szCs w:val="20"/>
                <w:color w:val="auto"/>
              </w:rPr>
            </w:pPr>
            <w:r>
              <w:rPr>
                <w:rFonts w:ascii="Arial" w:cs="Arial" w:eastAsia="Arial" w:hAnsi="Arial"/>
                <w:sz w:val="18"/>
                <w:szCs w:val="18"/>
                <w:color w:val="auto"/>
              </w:rPr>
              <w:t>improvements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Greenlawn, NY</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and new pad site (child care)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&gt;20%</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Bristol Plaza</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Bristol, CT</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Grocer relocation, canopy and façade renovation</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Brunswick</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North Brunswick, NJ</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(new health club)</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Rutgers Plaza</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Franklin, NJ</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Grocer re-location and expansion and backfill of existing</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3"/>
          </w:tcPr>
          <w:p>
            <w:pPr>
              <w:ind w:left="380"/>
              <w:spacing w:after="0"/>
              <w:rPr>
                <w:sz w:val="20"/>
                <w:szCs w:val="20"/>
                <w:color w:val="auto"/>
              </w:rPr>
            </w:pPr>
            <w:r>
              <w:rPr>
                <w:rFonts w:ascii="Arial" w:cs="Arial" w:eastAsia="Arial" w:hAnsi="Arial"/>
                <w:sz w:val="18"/>
                <w:szCs w:val="18"/>
                <w:color w:val="auto"/>
              </w:rPr>
              <w:t>grocer space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Lancaster</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Lancaster, PA</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pad site (bank)</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7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8"/>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2005 (3) (4)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6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Anticipated to Stabilize in 2006 (3)</w:t>
            </w: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Santana Phase IV</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San Jose, CA</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Building seven residential re-build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Vernon /South Valley</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Alexandria, VA</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Grocer expansion, anchor &amp; small shop re-tenanting, four new</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“main street” buildings and a bank pad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Mercer Mall</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Lawrenceville, NJ</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Demolish, redevelop and re-tenant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Leesburg, VA</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Re-demise the former Kmart &amp; Peebles buildings, re-tenant,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and add three pad sites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Village at Shirlington</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Arlington, VA</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New ground floor retail and parking garage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Brick Plaza</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Brick, NJ</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(electronics)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97"/>
              </w:rPr>
              <w:t>Hauppauge Shopping Center</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Hauppauge, NY</w:t>
            </w: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Pad site re-tenanting (restaurant)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&lt;1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6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270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8"/>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2006 (3) (4)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6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270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Projects Anticipated to Stabilize in 2005 and 2006 (3) (4)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-2147570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-2147570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-2147570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-2147570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-2147570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-2147570</wp:posOffset>
            </wp:positionV>
            <wp:extent cx="2698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-329565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-329565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jc w:val="both"/>
        <w:ind w:right="260"/>
        <w:spacing w:after="0" w:line="339" w:lineRule="auto"/>
        <w:rPr>
          <w:sz w:val="20"/>
          <w:szCs w:val="20"/>
          <w:color w:val="auto"/>
        </w:rPr>
      </w:pPr>
      <w:r>
        <w:rPr>
          <w:rFonts w:ascii="Arial" w:cs="Arial" w:eastAsia="Arial" w:hAnsi="Arial"/>
          <w:sz w:val="15"/>
          <w:szCs w:val="15"/>
          <w:b w:val="1"/>
          <w:bCs w:val="1"/>
          <w:color w:val="auto"/>
        </w:rPr>
        <w:t>Redevelopments anticipated to stabilize in 2007 and 2008 include the final phase of Bethesda Row, Galaxy Building, Rockville Town Square, Shops at Willow Lawn, Loehmann’s Plaza, and Flourtown representing $150 million to $200 million of redevelopment capital. Projects anticipated to stabilize after 2008 include future phases of Santana Row, redevelopment phases of Assembly Square, and future phases of Bala Cynwyd. (3) (5)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w:t>
      </w:r>
      <w:r>
        <w:rPr>
          <w:rFonts w:ascii="Arial" w:cs="Arial" w:eastAsia="Arial" w:hAnsi="Arial"/>
          <w:sz w:val="18"/>
          <w:szCs w:val="18"/>
          <w:b w:val="1"/>
          <w:bCs w:val="1"/>
          <w:i w:val="1"/>
          <w:iCs w:val="1"/>
          <w:color w:val="auto"/>
        </w:rPr>
        <w:t>:</w:t>
      </w:r>
    </w:p>
    <w:p>
      <w:pPr>
        <w:spacing w:after="0" w:line="77" w:lineRule="exact"/>
        <w:rPr>
          <w:sz w:val="20"/>
          <w:szCs w:val="20"/>
          <w:color w:val="auto"/>
        </w:rPr>
      </w:pPr>
    </w:p>
    <w:p>
      <w:pPr>
        <w:ind w:left="460" w:right="280" w:hanging="452"/>
        <w:spacing w:after="0" w:line="331" w:lineRule="auto"/>
        <w:tabs>
          <w:tab w:leader="none" w:pos="46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5"/>
          <w:szCs w:val="15"/>
          <w:b w:val="1"/>
          <w:bCs w:val="1"/>
          <w:i w:val="1"/>
          <w:iCs w:val="1"/>
          <w:color w:val="auto"/>
        </w:rPr>
      </w:pPr>
    </w:p>
    <w:p>
      <w:pPr>
        <w:ind w:left="460" w:hanging="452"/>
        <w:spacing w:after="0" w:line="291" w:lineRule="auto"/>
        <w:tabs>
          <w:tab w:leader="none" w:pos="4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25" w:lineRule="exact"/>
        <w:rPr>
          <w:rFonts w:ascii="Arial" w:cs="Arial" w:eastAsia="Arial" w:hAnsi="Arial"/>
          <w:sz w:val="16"/>
          <w:szCs w:val="16"/>
          <w:b w:val="1"/>
          <w:bCs w:val="1"/>
          <w:i w:val="1"/>
          <w:iCs w:val="1"/>
          <w:color w:val="auto"/>
        </w:rPr>
      </w:pPr>
    </w:p>
    <w:p>
      <w:pPr>
        <w:ind w:left="460" w:right="60" w:hanging="452"/>
        <w:spacing w:after="0" w:line="268" w:lineRule="auto"/>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Anticipated Stabilization is the year in which 95% occupancy of the redeveloped space is anticipated to be achieved. Individual items may not add up to total as a result of rounding.</w:t>
      </w:r>
    </w:p>
    <w:p>
      <w:pPr>
        <w:spacing w:after="0" w:line="37"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subtotals and totals reflect cost weighted-average ROIs.</w:t>
      </w:r>
    </w:p>
    <w:p>
      <w:pPr>
        <w:spacing w:after="0" w:line="76" w:lineRule="exact"/>
        <w:rPr>
          <w:rFonts w:ascii="Arial" w:cs="Arial" w:eastAsia="Arial" w:hAnsi="Arial"/>
          <w:sz w:val="18"/>
          <w:szCs w:val="18"/>
          <w:b w:val="1"/>
          <w:bCs w:val="1"/>
          <w:i w:val="1"/>
          <w:iCs w:val="1"/>
          <w:color w:val="auto"/>
        </w:rPr>
      </w:pPr>
    </w:p>
    <w:p>
      <w:pPr>
        <w:ind w:left="460" w:right="20" w:hanging="452"/>
        <w:spacing w:after="0" w:line="268" w:lineRule="auto"/>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Leased</w:t>
            </w:r>
          </w:p>
        </w:tc>
        <w:tc>
          <w:tcPr>
            <w:tcW w:w="76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Operational -</w:t>
            </w: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1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00" w:type="dxa"/>
            <w:vAlign w:val="bottom"/>
          </w:tcPr>
          <w:p>
            <w:pPr>
              <w:ind w:left="220"/>
              <w:spacing w:after="0"/>
              <w:rPr>
                <w:sz w:val="20"/>
                <w:szCs w:val="20"/>
                <w:color w:val="auto"/>
              </w:rPr>
            </w:pPr>
            <w:r>
              <w:rPr>
                <w:rFonts w:ascii="Arial" w:cs="Arial" w:eastAsia="Arial" w:hAnsi="Arial"/>
                <w:sz w:val="18"/>
                <w:szCs w:val="18"/>
                <w:b w:val="1"/>
                <w:bCs w:val="1"/>
                <w:color w:val="auto"/>
              </w:rPr>
              <w:t>Phase I, II and III (2)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00" w:type="dxa"/>
            <w:vAlign w:val="bottom"/>
          </w:tcPr>
          <w:p>
            <w:pPr>
              <w:ind w:left="440"/>
              <w:spacing w:after="0"/>
              <w:rPr>
                <w:sz w:val="20"/>
                <w:szCs w:val="20"/>
                <w:color w:val="auto"/>
              </w:rPr>
            </w:pPr>
            <w:r>
              <w:rPr>
                <w:rFonts w:ascii="Arial" w:cs="Arial" w:eastAsia="Arial" w:hAnsi="Arial"/>
                <w:sz w:val="18"/>
                <w:szCs w:val="18"/>
                <w:color w:val="auto"/>
              </w:rPr>
              <w:t>Retail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558,000 sf</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9"/>
              </w:rPr>
              <w:t>New store openings from January through May 2005 include Brooks Brothers, Tumi, and Thea.</w:t>
            </w:r>
          </w:p>
        </w:tc>
        <w:tc>
          <w:tcPr>
            <w:tcW w:w="0" w:type="dxa"/>
            <w:vAlign w:val="bottom"/>
          </w:tcPr>
          <w:p>
            <w:pPr>
              <w:spacing w:after="0"/>
              <w:rPr>
                <w:sz w:val="1"/>
                <w:szCs w:val="1"/>
                <w:color w:val="auto"/>
              </w:rPr>
            </w:pPr>
          </w:p>
        </w:tc>
      </w:tr>
      <w:tr>
        <w:trPr>
          <w:trHeight w:val="318"/>
        </w:trPr>
        <w:tc>
          <w:tcPr>
            <w:tcW w:w="21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 units</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88"/>
              </w:rPr>
              <w:t>219 loft and villa units are planned for sale as condominiums with the first sales expected in summer 2005.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4"/>
              </w:rPr>
              <w:t>Units in buildings three, four and six are being allowed to remain vacant as leases expire to facilitate</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condominium sales. 36 townhouse units (building eight) will remain as rentals.</w:t>
            </w:r>
          </w:p>
        </w:tc>
        <w:tc>
          <w:tcPr>
            <w:tcW w:w="0" w:type="dxa"/>
            <w:vAlign w:val="bottom"/>
          </w:tcPr>
          <w:p>
            <w:pPr>
              <w:spacing w:after="0"/>
              <w:rPr>
                <w:sz w:val="1"/>
                <w:szCs w:val="1"/>
                <w:color w:val="auto"/>
              </w:rPr>
            </w:pPr>
          </w:p>
        </w:tc>
      </w:tr>
      <w:tr>
        <w:trPr>
          <w:trHeight w:val="318"/>
        </w:trPr>
        <w:tc>
          <w:tcPr>
            <w:tcW w:w="2100" w:type="dxa"/>
            <w:vAlign w:val="bottom"/>
          </w:tcPr>
          <w:p>
            <w:pPr>
              <w:spacing w:after="0"/>
              <w:rPr>
                <w:sz w:val="20"/>
                <w:szCs w:val="20"/>
                <w:color w:val="auto"/>
              </w:rPr>
            </w:pPr>
            <w:r>
              <w:rPr>
                <w:rFonts w:ascii="Arial" w:cs="Arial" w:eastAsia="Arial" w:hAnsi="Arial"/>
                <w:sz w:val="18"/>
                <w:szCs w:val="18"/>
                <w:b w:val="1"/>
                <w:bCs w:val="1"/>
                <w:color w:val="auto"/>
              </w:rPr>
              <w:t>In Progress (3)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440"/>
              <w:spacing w:after="0"/>
              <w:rPr>
                <w:sz w:val="20"/>
                <w:szCs w:val="20"/>
                <w:color w:val="auto"/>
              </w:rPr>
            </w:pPr>
            <w:r>
              <w:rPr>
                <w:rFonts w:ascii="Arial" w:cs="Arial" w:eastAsia="Arial" w:hAnsi="Arial"/>
                <w:sz w:val="18"/>
                <w:szCs w:val="18"/>
                <w:color w:val="auto"/>
              </w:rPr>
              <w:t>Residential - for rent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 units</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0"/>
              </w:rPr>
              <w:t>256 rental units being built on the building seven podium. Initial occupancy commenced in April 2005 with</w:t>
            </w:r>
          </w:p>
        </w:tc>
        <w:tc>
          <w:tcPr>
            <w:tcW w:w="0" w:type="dxa"/>
            <w:vAlign w:val="bottom"/>
          </w:tcPr>
          <w:p>
            <w:pPr>
              <w:spacing w:after="0"/>
              <w:rPr>
                <w:sz w:val="1"/>
                <w:szCs w:val="1"/>
                <w:color w:val="auto"/>
              </w:rPr>
            </w:pPr>
          </w:p>
        </w:tc>
      </w:tr>
      <w:tr>
        <w:trPr>
          <w:trHeight w:val="216"/>
        </w:trPr>
        <w:tc>
          <w:tcPr>
            <w:tcW w:w="2100" w:type="dxa"/>
            <w:vAlign w:val="bottom"/>
          </w:tcPr>
          <w:p>
            <w:pPr>
              <w:ind w:left="440"/>
              <w:spacing w:after="0"/>
              <w:rPr>
                <w:sz w:val="20"/>
                <w:szCs w:val="20"/>
                <w:color w:val="auto"/>
              </w:rPr>
            </w:pPr>
            <w:r>
              <w:rPr>
                <w:rFonts w:ascii="Arial" w:cs="Arial" w:eastAsia="Arial" w:hAnsi="Arial"/>
                <w:sz w:val="18"/>
                <w:szCs w:val="18"/>
                <w:color w:val="auto"/>
              </w:rPr>
              <w:t>Phase IV</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3"/>
              </w:rPr>
              <w:t>lease-up expected to continue through mid-2006. As of May 1, 2005, 40 units have been leased at an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1"/>
              </w:rPr>
              <w:t>average rental rate of $2.53 per square foot per month. Projected cost of $62 million is expected to yield</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11% upon stabilization in 2006.</w:t>
            </w:r>
          </w:p>
        </w:tc>
        <w:tc>
          <w:tcPr>
            <w:tcW w:w="0" w:type="dxa"/>
            <w:vAlign w:val="bottom"/>
          </w:tcPr>
          <w:p>
            <w:pPr>
              <w:spacing w:after="0"/>
              <w:rPr>
                <w:sz w:val="1"/>
                <w:szCs w:val="1"/>
                <w:color w:val="auto"/>
              </w:rPr>
            </w:pPr>
          </w:p>
        </w:tc>
      </w:tr>
      <w:tr>
        <w:trPr>
          <w:trHeight w:val="318"/>
        </w:trPr>
        <w:tc>
          <w:tcPr>
            <w:tcW w:w="2100" w:type="dxa"/>
            <w:vAlign w:val="bottom"/>
          </w:tcPr>
          <w:p>
            <w:pPr>
              <w:ind w:left="440"/>
              <w:spacing w:after="0"/>
              <w:rPr>
                <w:sz w:val="20"/>
                <w:szCs w:val="20"/>
                <w:color w:val="auto"/>
              </w:rPr>
            </w:pPr>
            <w:r>
              <w:rPr>
                <w:rFonts w:ascii="Arial" w:cs="Arial" w:eastAsia="Arial" w:hAnsi="Arial"/>
                <w:sz w:val="18"/>
                <w:szCs w:val="18"/>
                <w:color w:val="auto"/>
              </w:rPr>
              <w:t>Residential -for sale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219 units</w:t>
            </w: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w w:val="90"/>
              </w:rPr>
              <w:t>Currently seeking approval from the California Department of Real Estate to sell 219 loft and villa units as</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condominiums, with sales expected to start in summer 2005.</w:t>
            </w:r>
          </w:p>
        </w:tc>
        <w:tc>
          <w:tcPr>
            <w:tcW w:w="0" w:type="dxa"/>
            <w:vAlign w:val="bottom"/>
          </w:tcPr>
          <w:p>
            <w:pPr>
              <w:spacing w:after="0"/>
              <w:rPr>
                <w:sz w:val="1"/>
                <w:szCs w:val="1"/>
                <w:color w:val="auto"/>
              </w:rPr>
            </w:pPr>
          </w:p>
        </w:tc>
      </w:tr>
      <w:tr>
        <w:trPr>
          <w:trHeight w:val="318"/>
        </w:trPr>
        <w:tc>
          <w:tcPr>
            <w:tcW w:w="2100" w:type="dxa"/>
            <w:vAlign w:val="bottom"/>
          </w:tcPr>
          <w:p>
            <w:pPr>
              <w:spacing w:after="0"/>
              <w:rPr>
                <w:sz w:val="20"/>
                <w:szCs w:val="20"/>
                <w:color w:val="auto"/>
              </w:rPr>
            </w:pPr>
            <w:r>
              <w:rPr>
                <w:rFonts w:ascii="Arial" w:cs="Arial" w:eastAsia="Arial" w:hAnsi="Arial"/>
                <w:sz w:val="18"/>
                <w:szCs w:val="18"/>
                <w:b w:val="1"/>
                <w:bCs w:val="1"/>
                <w:color w:val="auto"/>
              </w:rPr>
              <w:t>Future (4)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00" w:type="dxa"/>
            <w:vAlign w:val="bottom"/>
          </w:tcPr>
          <w:p>
            <w:pPr>
              <w:ind w:left="440"/>
              <w:spacing w:after="0"/>
              <w:rPr>
                <w:sz w:val="20"/>
                <w:szCs w:val="20"/>
                <w:color w:val="auto"/>
              </w:rPr>
            </w:pPr>
            <w:r>
              <w:rPr>
                <w:rFonts w:ascii="Arial" w:cs="Arial" w:eastAsia="Arial" w:hAnsi="Arial"/>
                <w:sz w:val="18"/>
                <w:szCs w:val="18"/>
                <w:color w:val="auto"/>
              </w:rPr>
              <w:t>Retail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125,000 sf</w:t>
            </w: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Currently being master planned.</w:t>
            </w:r>
          </w:p>
        </w:tc>
        <w:tc>
          <w:tcPr>
            <w:tcW w:w="0" w:type="dxa"/>
            <w:vAlign w:val="bottom"/>
          </w:tcPr>
          <w:p>
            <w:pPr>
              <w:spacing w:after="0"/>
              <w:rPr>
                <w:sz w:val="1"/>
                <w:szCs w:val="1"/>
                <w:color w:val="auto"/>
              </w:rPr>
            </w:pPr>
          </w:p>
        </w:tc>
      </w:tr>
      <w:tr>
        <w:trPr>
          <w:trHeight w:val="324"/>
        </w:trPr>
        <w:tc>
          <w:tcPr>
            <w:tcW w:w="21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690 units</w:t>
            </w: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Currently being master planned.</w:t>
            </w:r>
          </w:p>
        </w:tc>
        <w:tc>
          <w:tcPr>
            <w:tcW w:w="0" w:type="dxa"/>
            <w:vAlign w:val="bottom"/>
          </w:tcPr>
          <w:p>
            <w:pPr>
              <w:spacing w:after="0"/>
              <w:rPr>
                <w:sz w:val="1"/>
                <w:szCs w:val="1"/>
                <w:color w:val="auto"/>
              </w:rPr>
            </w:pPr>
          </w:p>
        </w:tc>
      </w:tr>
      <w:tr>
        <w:trPr>
          <w:trHeight w:val="324"/>
        </w:trPr>
        <w:tc>
          <w:tcPr>
            <w:tcW w:w="2100" w:type="dxa"/>
            <w:vAlign w:val="bottom"/>
          </w:tcPr>
          <w:p>
            <w:pPr>
              <w:ind w:left="440"/>
              <w:spacing w:after="0"/>
              <w:rPr>
                <w:sz w:val="20"/>
                <w:szCs w:val="20"/>
                <w:color w:val="auto"/>
              </w:rPr>
            </w:pPr>
            <w:r>
              <w:rPr>
                <w:rFonts w:ascii="Arial" w:cs="Arial" w:eastAsia="Arial" w:hAnsi="Arial"/>
                <w:sz w:val="18"/>
                <w:szCs w:val="18"/>
                <w:color w:val="auto"/>
              </w:rPr>
              <w:t>Hotel</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187 rooms</w:t>
            </w: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7680" w:type="dxa"/>
            <w:vAlign w:val="bottom"/>
            <w:gridSpan w:val="3"/>
          </w:tcPr>
          <w:p>
            <w:pPr>
              <w:ind w:left="120"/>
              <w:spacing w:after="0"/>
              <w:rPr>
                <w:sz w:val="20"/>
                <w:szCs w:val="20"/>
                <w:color w:val="auto"/>
              </w:rPr>
            </w:pPr>
            <w:r>
              <w:rPr>
                <w:rFonts w:ascii="Arial" w:cs="Arial" w:eastAsia="Arial" w:hAnsi="Arial"/>
                <w:sz w:val="18"/>
                <w:szCs w:val="18"/>
                <w:color w:val="auto"/>
              </w:rPr>
              <w:t>Currently being master planned.</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costs are projected final costs. Yield represents stabilized projected Property Operating Income (POI) divided by projected costs.</w:t>
      </w:r>
    </w:p>
    <w:p>
      <w:pPr>
        <w:spacing w:after="0" w:line="76" w:lineRule="exact"/>
        <w:rPr>
          <w:rFonts w:ascii="Arial" w:cs="Arial" w:eastAsia="Arial" w:hAnsi="Arial"/>
          <w:sz w:val="18"/>
          <w:szCs w:val="18"/>
          <w:b w:val="1"/>
          <w:bCs w:val="1"/>
          <w:color w:val="auto"/>
        </w:rPr>
      </w:pPr>
    </w:p>
    <w:p>
      <w:pPr>
        <w:ind w:left="460" w:right="80" w:hanging="452"/>
        <w:spacing w:after="0" w:line="259"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portions of the property currently open and operating which include luxury and lifestyle retail components, loft, townhome and villa residential units, and the 213-room Hotel Valencia Santana Row. $480 million projected final cost (net of $129 million of fire insurance proceeds, $11 million of which was recognized as income in 2003 and 2004) is expected to yield 6% upon stabilization in 2005.</w:t>
      </w:r>
    </w:p>
    <w:p>
      <w:pPr>
        <w:spacing w:after="0" w:line="4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Developments and other significant activities being actively pursued at Santana Row.</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Remaining entitlements for development or sale.</w:t>
      </w:r>
    </w:p>
    <w:p>
      <w:pPr>
        <w:sectPr>
          <w:pgSz w:w="11900" w:h="16838" w:orient="portrait"/>
          <w:cols w:equalWidth="0" w:num="1">
            <w:col w:w="11400"/>
          </w:cols>
          <w:pgMar w:left="240" w:top="27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00" w:type="dxa"/>
            <w:vAlign w:val="bottom"/>
            <w:gridSpan w:val="4"/>
          </w:tcPr>
          <w:p>
            <w:pPr>
              <w:ind w:left="1540"/>
              <w:spacing w:after="0"/>
              <w:rPr>
                <w:sz w:val="20"/>
                <w:szCs w:val="20"/>
                <w:color w:val="auto"/>
              </w:rPr>
            </w:pPr>
            <w:r>
              <w:rPr>
                <w:rFonts w:ascii="Arial" w:cs="Arial" w:eastAsia="Arial" w:hAnsi="Arial"/>
                <w:sz w:val="14"/>
                <w:szCs w:val="14"/>
                <w:b w:val="1"/>
                <w:bCs w:val="1"/>
                <w:color w:val="auto"/>
              </w:rPr>
              <w:t>Property</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City / State</w:t>
            </w:r>
          </w:p>
        </w:tc>
        <w:tc>
          <w:tcPr>
            <w:tcW w:w="620" w:type="dxa"/>
            <w:vAlign w:val="bottom"/>
          </w:tcPr>
          <w:p>
            <w:pPr>
              <w:jc w:val="right"/>
              <w:ind w:right="79"/>
              <w:spacing w:after="0"/>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Purchase price</w:t>
            </w:r>
          </w:p>
        </w:tc>
        <w:tc>
          <w:tcPr>
            <w:tcW w:w="220" w:type="dxa"/>
            <w:vAlign w:val="bottom"/>
          </w:tcPr>
          <w:p>
            <w:pPr>
              <w:spacing w:after="0"/>
              <w:rPr>
                <w:sz w:val="15"/>
                <w:szCs w:val="15"/>
                <w:color w:val="auto"/>
              </w:rPr>
            </w:pPr>
          </w:p>
        </w:tc>
        <w:tc>
          <w:tcPr>
            <w:tcW w:w="2960" w:type="dxa"/>
            <w:vAlign w:val="bottom"/>
          </w:tcPr>
          <w:p>
            <w:pPr>
              <w:ind w:left="1040"/>
              <w:spacing w:after="0"/>
              <w:rPr>
                <w:sz w:val="20"/>
                <w:szCs w:val="20"/>
                <w:color w:val="auto"/>
              </w:rPr>
            </w:pPr>
            <w:r>
              <w:rPr>
                <w:rFonts w:ascii="Arial" w:cs="Arial" w:eastAsia="Arial" w:hAnsi="Arial"/>
                <w:sz w:val="14"/>
                <w:szCs w:val="14"/>
                <w:b w:val="1"/>
                <w:bCs w:val="1"/>
                <w:color w:val="auto"/>
              </w:rPr>
              <w:t>Anchor tenants</w:t>
            </w:r>
          </w:p>
        </w:tc>
      </w:tr>
      <w:tr>
        <w:trPr>
          <w:trHeight w:val="95"/>
        </w:trPr>
        <w:tc>
          <w:tcPr>
            <w:tcW w:w="2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50"/>
        </w:trPr>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2005</w:t>
            </w: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Assembly Square/Sturtevant Street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Somerville, MA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551,233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K-Mart / Good Times Emporium (1)</w:t>
            </w:r>
          </w:p>
        </w:tc>
      </w:tr>
      <w:tr>
        <w:trPr>
          <w:trHeight w:val="500"/>
        </w:trPr>
        <w:tc>
          <w:tcPr>
            <w:tcW w:w="34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Federal Realty Investment Trust Dispositions</w:t>
            </w:r>
          </w:p>
        </w:tc>
        <w:tc>
          <w:tcPr>
            <w:tcW w:w="17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98"/>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00" w:type="dxa"/>
            <w:vAlign w:val="bottom"/>
            <w:gridSpan w:val="4"/>
          </w:tcPr>
          <w:p>
            <w:pPr>
              <w:ind w:left="1540"/>
              <w:spacing w:after="0"/>
              <w:rPr>
                <w:sz w:val="20"/>
                <w:szCs w:val="20"/>
                <w:color w:val="auto"/>
              </w:rPr>
            </w:pPr>
            <w:r>
              <w:rPr>
                <w:rFonts w:ascii="Arial" w:cs="Arial" w:eastAsia="Arial" w:hAnsi="Arial"/>
                <w:sz w:val="14"/>
                <w:szCs w:val="14"/>
                <w:b w:val="1"/>
                <w:bCs w:val="1"/>
                <w:color w:val="auto"/>
              </w:rPr>
              <w:t>Property</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City /State</w:t>
            </w:r>
          </w:p>
        </w:tc>
        <w:tc>
          <w:tcPr>
            <w:tcW w:w="620" w:type="dxa"/>
            <w:vAlign w:val="bottom"/>
          </w:tcPr>
          <w:p>
            <w:pPr>
              <w:jc w:val="right"/>
              <w:ind w:right="79"/>
              <w:spacing w:after="0"/>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Sales price</w:t>
            </w: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95"/>
        </w:trPr>
        <w:tc>
          <w:tcPr>
            <w:tcW w:w="2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Pr>
          <w:p>
            <w:pPr>
              <w:spacing w:after="0"/>
              <w:rPr>
                <w:sz w:val="8"/>
                <w:szCs w:val="8"/>
                <w:color w:val="auto"/>
              </w:rPr>
            </w:pPr>
          </w:p>
        </w:tc>
      </w:tr>
      <w:tr>
        <w:trPr>
          <w:trHeight w:val="250"/>
        </w:trPr>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420 South Mill Avenue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Tempe, AZ</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February 15, 2005</w:t>
            </w: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rPr>
              <w:t>501 South Mill Avenue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Tempe, AZ</w:t>
            </w:r>
          </w:p>
        </w:tc>
        <w:tc>
          <w:tcPr>
            <w:tcW w:w="620" w:type="dxa"/>
            <w:vAlign w:val="bottom"/>
          </w:tcPr>
          <w:p>
            <w:pPr>
              <w:jc w:val="right"/>
              <w:spacing w:after="0"/>
              <w:rPr>
                <w:sz w:val="20"/>
                <w:szCs w:val="20"/>
                <w:color w:val="auto"/>
              </w:rPr>
            </w:pPr>
            <w:r>
              <w:rPr>
                <w:rFonts w:ascii="Arial" w:cs="Arial" w:eastAsia="Arial" w:hAnsi="Arial"/>
                <w:sz w:val="18"/>
                <w:szCs w:val="18"/>
                <w:color w:val="auto"/>
              </w:rPr>
              <w:t>24,013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6,265</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w:t>
            </w: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108"/>
        </w:trPr>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102"/>
        </w:trPr>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Pr>
          <w:p>
            <w:pPr>
              <w:spacing w:after="0"/>
              <w:rPr>
                <w:sz w:val="8"/>
                <w:szCs w:val="8"/>
                <w:color w:val="auto"/>
              </w:rPr>
            </w:pPr>
          </w:p>
        </w:tc>
      </w:tr>
      <w:tr>
        <w:trPr>
          <w:trHeight w:val="216"/>
        </w:trPr>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132"/>
        </w:trPr>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signed at acquisition included, TJ Maxx, Bed, Bath &amp; Beyond, Staples, Sports Authority and AC Moore, who were not occupying space at March 31,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Mortgage or</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Ownership</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5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4"/>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Property Name</w:t>
            </w:r>
          </w:p>
        </w:tc>
        <w:tc>
          <w:tcPr>
            <w:tcW w:w="1000" w:type="dxa"/>
            <w:vAlign w:val="bottom"/>
          </w:tcPr>
          <w:p>
            <w:pPr>
              <w:spacing w:after="0"/>
              <w:rPr>
                <w:sz w:val="20"/>
                <w:szCs w:val="20"/>
                <w:color w:val="auto"/>
              </w:rPr>
            </w:pPr>
            <w:r>
              <w:rPr>
                <w:rFonts w:ascii="Arial" w:cs="Arial" w:eastAsia="Arial" w:hAnsi="Arial"/>
                <w:sz w:val="14"/>
                <w:szCs w:val="14"/>
                <w:b w:val="1"/>
                <w:bCs w:val="1"/>
                <w:color w:val="auto"/>
                <w:w w:val="87"/>
              </w:rPr>
              <w:t>MSA Description</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Acquired</w:t>
            </w: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Investment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Percentage</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(1)</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 Leased</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Obligation</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0"/>
              </w:rPr>
              <w:t>GLA (2)</w:t>
            </w:r>
          </w:p>
        </w:tc>
        <w:tc>
          <w:tcPr>
            <w:tcW w:w="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86"/>
              </w:rPr>
              <w:t>Grocery Anchor (2)</w:t>
            </w:r>
          </w:p>
        </w:tc>
        <w:tc>
          <w:tcPr>
            <w:tcW w:w="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87"/>
              </w:rPr>
              <w:t>Other Principal Tenants</w:t>
            </w:r>
          </w:p>
        </w:tc>
      </w:tr>
      <w:tr>
        <w:trPr>
          <w:trHeight w:val="95"/>
        </w:trPr>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250"/>
        </w:trPr>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East Region</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322"/>
        </w:trPr>
        <w:tc>
          <w:tcPr>
            <w:tcW w:w="3340" w:type="dxa"/>
            <w:vAlign w:val="bottom"/>
            <w:gridSpan w:val="6"/>
          </w:tcPr>
          <w:p>
            <w:pPr>
              <w:ind w:left="440"/>
              <w:spacing w:after="0"/>
              <w:rPr>
                <w:sz w:val="20"/>
                <w:szCs w:val="20"/>
                <w:color w:val="auto"/>
              </w:rPr>
            </w:pPr>
            <w:r>
              <w:rPr>
                <w:rFonts w:ascii="Arial" w:cs="Arial" w:eastAsia="Arial" w:hAnsi="Arial"/>
                <w:sz w:val="18"/>
                <w:szCs w:val="18"/>
                <w:b w:val="1"/>
                <w:bCs w:val="1"/>
                <w:color w:val="auto"/>
              </w:rPr>
              <w:t>Washington Metropolitan Area</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81,566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12,575 40,000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Giant</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Barnes &amp; Noble /</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Food</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Landmark Theater</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w w:val="96"/>
              </w:rPr>
              <w:t>Congressional Plaza</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67,105(4)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c>
          <w:tcPr>
            <w:tcW w:w="700" w:type="dxa"/>
            <w:vAlign w:val="bottom"/>
          </w:tcPr>
          <w:p>
            <w:pPr>
              <w:jc w:val="right"/>
              <w:spacing w:after="0"/>
              <w:rPr>
                <w:sz w:val="20"/>
                <w:szCs w:val="20"/>
                <w:color w:val="auto"/>
              </w:rPr>
            </w:pPr>
            <w:r>
              <w:rPr>
                <w:rFonts w:ascii="Arial" w:cs="Arial" w:eastAsia="Arial" w:hAnsi="Arial"/>
                <w:sz w:val="18"/>
                <w:szCs w:val="18"/>
                <w:color w:val="auto"/>
              </w:rPr>
              <w:t>334,000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Whole</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Buy Buy Baby /</w:t>
            </w: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Foods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Container Store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Tower Records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Courthouse Center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7,604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Falls Plaza</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8,148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Giant</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Food</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Falls Plaza-East</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3,395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CVS / Staples</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62,116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247,000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35,009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TJ Maxx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CompUSA / Ross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Friendship Center</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33,309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Borders / Linens ’n</w:t>
            </w:r>
          </w:p>
        </w:tc>
      </w:tr>
      <w:tr>
        <w:trPr>
          <w:trHeight w:val="216"/>
        </w:trPr>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Things /</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Maggiano’s</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w w:val="95"/>
              </w:rPr>
              <w:t>Gaithersburg Square</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23,967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215,000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Bed, Bath &amp;</w:t>
            </w: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2"/>
              </w:rPr>
              <w:t>Beyond / Borders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Ross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Idylwood Plaza</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15,021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Whole</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Foods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Laurel</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46,251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700" w:type="dxa"/>
            <w:vAlign w:val="bottom"/>
          </w:tcPr>
          <w:p>
            <w:pPr>
              <w:jc w:val="right"/>
              <w:spacing w:after="0"/>
              <w:rPr>
                <w:sz w:val="20"/>
                <w:szCs w:val="20"/>
                <w:color w:val="auto"/>
              </w:rPr>
            </w:pPr>
            <w:r>
              <w:rPr>
                <w:rFonts w:ascii="Arial" w:cs="Arial" w:eastAsia="Arial" w:hAnsi="Arial"/>
                <w:sz w:val="18"/>
                <w:szCs w:val="18"/>
                <w:color w:val="auto"/>
              </w:rPr>
              <w:t>387,000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Giant</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2"/>
              </w:rPr>
              <w:t>Marshalls / Toys R</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Food</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Us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22,705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9,900 55,000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Giant</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Pier One / Office</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Food</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Depot</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Loehmann’s Plaza</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40,213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251,000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Bally’s / Linens ’n</w:t>
            </w: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Things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Loehmann’s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17,280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Linens ’n Things /</w:t>
            </w:r>
          </w:p>
        </w:tc>
      </w:tr>
      <w:tr>
        <w:trPr>
          <w:trHeight w:val="216"/>
        </w:trPr>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Toys R Us / Bally’s</w:t>
            </w:r>
          </w:p>
        </w:tc>
      </w:tr>
      <w:tr>
        <w:trPr>
          <w:trHeight w:val="216"/>
        </w:trPr>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AC Moore /</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Filene’s Basement</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Mount Vernon</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26,272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236,000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12,762 54,000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Shoppers</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Food</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Warehouse</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Keene Mill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5,173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Whole</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Foods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Pan Am</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26,895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227,000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63,000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Safeway</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Micro Center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Michaels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Pentagon Row</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87,360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Harris</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Bally’s / Bed, Bath</w:t>
            </w:r>
          </w:p>
        </w:tc>
      </w:tr>
      <w:tr>
        <w:trPr>
          <w:trHeight w:val="216"/>
        </w:trPr>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Teeter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&amp; Beyond / DSW /</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Plus</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Pike 7</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33,609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164,000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0"/>
              </w:rPr>
              <w:t>Staples / TJ Maxx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Tower Records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Quince Orchard</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19,783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Magruders</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Circuit City /</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Staples</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Rockville Town</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3,086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Magruders</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1620" w:type="dxa"/>
            <w:vAlign w:val="bottom"/>
            <w:gridSpan w:val="2"/>
          </w:tcPr>
          <w:p>
            <w:pPr>
              <w:ind w:left="220"/>
              <w:spacing w:after="0"/>
              <w:rPr>
                <w:sz w:val="20"/>
                <w:szCs w:val="20"/>
                <w:color w:val="auto"/>
              </w:rPr>
            </w:pPr>
            <w:r>
              <w:rPr>
                <w:rFonts w:ascii="Arial" w:cs="Arial" w:eastAsia="Arial" w:hAnsi="Arial"/>
                <w:sz w:val="18"/>
                <w:szCs w:val="18"/>
                <w:color w:val="auto"/>
              </w:rPr>
              <w:t>Square</w:t>
            </w: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(signed)</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Rollingwood</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6,730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4"/>
        </w:trPr>
        <w:tc>
          <w:tcPr>
            <w:tcW w:w="1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Apartments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Sam’s Park &amp; Shop</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12,112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51,000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Petco</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Valley</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16,037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Home Depot / TJ</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Maxx</w:t>
            </w: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Tower</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18,827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109,000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4"/>
              </w:rPr>
              <w:t>Virginia Fine Wine</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 Talbots</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3,360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Trader Joes</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w w:val="97"/>
              </w:rPr>
              <w:t>Village at Shirlington</w:t>
            </w:r>
          </w:p>
        </w:tc>
        <w:tc>
          <w:tcPr>
            <w:tcW w:w="1000" w:type="dxa"/>
            <w:vAlign w:val="bottom"/>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29,193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204,000</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Cineplex Odeon /</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DC-MD-VA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89"/>
              </w:rPr>
              <w:t>Carlyle Grand Café</w:t>
            </w: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Wildwood</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Washington,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17,495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27,163 20,000</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Balducci’s</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CVS</w:t>
            </w:r>
          </w:p>
        </w:tc>
      </w:tr>
      <w:tr>
        <w:trPr>
          <w:trHeight w:val="224"/>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DC-MD-VA</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08"/>
        </w:trPr>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02"/>
        </w:trPr>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02"/>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734,612</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4,777,000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8"/>
        </w:trPr>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Washington</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94"/>
        </w:trPr>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274" w:right="239" w:bottom="0" w:gutter="0" w:footer="0" w:header="0"/>
        </w:sectPr>
      </w:pPr>
    </w:p>
    <w:bookmarkStart w:id="22" w:name="page23"/>
    <w:bookmarkEnd w:id="22"/>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Metropolitan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Area</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New York / New Jersey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Allwood</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Bergen-</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3,485 25,000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Stop &amp;</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Mandee Shop</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Passaic, NJ</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Shop</w:t>
            </w:r>
          </w:p>
        </w:tc>
        <w:tc>
          <w:tcPr>
            <w:tcW w:w="1560" w:type="dxa"/>
            <w:vAlign w:val="bottom"/>
            <w:shd w:val="clear" w:color="auto" w:fill="CCEEFF"/>
          </w:tcPr>
          <w:p>
            <w:pPr>
              <w:spacing w:after="0"/>
              <w:rPr>
                <w:sz w:val="19"/>
                <w:szCs w:val="19"/>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Blue Star</w:t>
            </w:r>
          </w:p>
        </w:tc>
        <w:tc>
          <w:tcPr>
            <w:tcW w:w="1260" w:type="dxa"/>
            <w:vAlign w:val="bottom"/>
          </w:tcPr>
          <w:p>
            <w:pPr>
              <w:ind w:left="160"/>
              <w:spacing w:after="0"/>
              <w:rPr>
                <w:sz w:val="20"/>
                <w:szCs w:val="20"/>
                <w:color w:val="auto"/>
              </w:rPr>
            </w:pPr>
            <w:r>
              <w:rPr>
                <w:rFonts w:ascii="Arial" w:cs="Arial" w:eastAsia="Arial" w:hAnsi="Arial"/>
                <w:sz w:val="18"/>
                <w:szCs w:val="18"/>
                <w:color w:val="auto"/>
              </w:rPr>
              <w:t>Middlesex-</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tcPr>
          <w:p>
            <w:pPr>
              <w:jc w:val="right"/>
              <w:spacing w:after="0"/>
              <w:rPr>
                <w:sz w:val="20"/>
                <w:szCs w:val="20"/>
                <w:color w:val="auto"/>
              </w:rPr>
            </w:pPr>
            <w:r>
              <w:rPr>
                <w:rFonts w:ascii="Arial" w:cs="Arial" w:eastAsia="Arial" w:hAnsi="Arial"/>
                <w:sz w:val="18"/>
                <w:szCs w:val="18"/>
                <w:color w:val="auto"/>
              </w:rPr>
              <w:t>39,856</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407,000</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26,600 43,000</w:t>
            </w:r>
          </w:p>
        </w:tc>
        <w:tc>
          <w:tcPr>
            <w:tcW w:w="1080" w:type="dxa"/>
            <w:vAlign w:val="bottom"/>
          </w:tcPr>
          <w:p>
            <w:pPr>
              <w:ind w:left="40"/>
              <w:spacing w:after="0"/>
              <w:rPr>
                <w:sz w:val="20"/>
                <w:szCs w:val="20"/>
                <w:color w:val="auto"/>
              </w:rPr>
            </w:pPr>
            <w:r>
              <w:rPr>
                <w:rFonts w:ascii="Arial" w:cs="Arial" w:eastAsia="Arial" w:hAnsi="Arial"/>
                <w:sz w:val="18"/>
                <w:szCs w:val="18"/>
                <w:color w:val="auto"/>
              </w:rPr>
              <w:t>Shop</w:t>
            </w:r>
          </w:p>
        </w:tc>
        <w:tc>
          <w:tcPr>
            <w:tcW w:w="1560" w:type="dxa"/>
            <w:vAlign w:val="bottom"/>
          </w:tcPr>
          <w:p>
            <w:pPr>
              <w:ind w:left="160"/>
              <w:spacing w:after="0"/>
              <w:rPr>
                <w:sz w:val="20"/>
                <w:szCs w:val="20"/>
                <w:color w:val="auto"/>
              </w:rPr>
            </w:pPr>
            <w:r>
              <w:rPr>
                <w:rFonts w:ascii="Arial" w:cs="Arial" w:eastAsia="Arial" w:hAnsi="Arial"/>
                <w:sz w:val="18"/>
                <w:szCs w:val="18"/>
                <w:color w:val="auto"/>
                <w:w w:val="95"/>
              </w:rPr>
              <w:t>Kohl’s / Michaels /</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Somerset-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Rite</w:t>
            </w:r>
          </w:p>
        </w:tc>
        <w:tc>
          <w:tcPr>
            <w:tcW w:w="1560" w:type="dxa"/>
            <w:vAlign w:val="bottom"/>
          </w:tcPr>
          <w:p>
            <w:pPr>
              <w:ind w:left="160"/>
              <w:spacing w:after="0"/>
              <w:rPr>
                <w:sz w:val="20"/>
                <w:szCs w:val="20"/>
                <w:color w:val="auto"/>
              </w:rPr>
            </w:pPr>
            <w:r>
              <w:rPr>
                <w:rFonts w:ascii="Arial" w:cs="Arial" w:eastAsia="Arial" w:hAnsi="Arial"/>
                <w:sz w:val="18"/>
                <w:szCs w:val="18"/>
                <w:color w:val="auto"/>
              </w:rPr>
              <w:t>Toys R Us /</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Hunterdon,</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Marshalls</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NJ</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Brick Plaza</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Monmouth-</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55,301</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32,427 66,000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A&amp;P</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Loews Theatre /</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Ocean, NJ</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Barnes &amp; Noble /</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Sports Authority</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Brunswick</w:t>
            </w:r>
          </w:p>
        </w:tc>
        <w:tc>
          <w:tcPr>
            <w:tcW w:w="1260" w:type="dxa"/>
            <w:vAlign w:val="bottom"/>
          </w:tcPr>
          <w:p>
            <w:pPr>
              <w:ind w:left="160"/>
              <w:spacing w:after="0"/>
              <w:rPr>
                <w:sz w:val="20"/>
                <w:szCs w:val="20"/>
                <w:color w:val="auto"/>
              </w:rPr>
            </w:pPr>
            <w:r>
              <w:rPr>
                <w:rFonts w:ascii="Arial" w:cs="Arial" w:eastAsia="Arial" w:hAnsi="Arial"/>
                <w:sz w:val="18"/>
                <w:szCs w:val="18"/>
                <w:color w:val="auto"/>
              </w:rPr>
              <w:t>Middlesex-</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tcPr>
          <w:p>
            <w:pPr>
              <w:jc w:val="right"/>
              <w:spacing w:after="0"/>
              <w:rPr>
                <w:sz w:val="20"/>
                <w:szCs w:val="20"/>
                <w:color w:val="auto"/>
              </w:rPr>
            </w:pPr>
            <w:r>
              <w:rPr>
                <w:rFonts w:ascii="Arial" w:cs="Arial" w:eastAsia="Arial" w:hAnsi="Arial"/>
                <w:sz w:val="18"/>
                <w:szCs w:val="18"/>
                <w:color w:val="auto"/>
              </w:rPr>
              <w:t>23,656</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303,000</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95%</w:t>
            </w:r>
          </w:p>
        </w:tc>
        <w:tc>
          <w:tcPr>
            <w:tcW w:w="1300" w:type="dxa"/>
            <w:vAlign w:val="bottom"/>
          </w:tcPr>
          <w:p>
            <w:pPr>
              <w:jc w:val="right"/>
              <w:spacing w:after="0"/>
              <w:rPr>
                <w:sz w:val="20"/>
                <w:szCs w:val="20"/>
                <w:color w:val="auto"/>
              </w:rPr>
            </w:pPr>
            <w:r>
              <w:rPr>
                <w:rFonts w:ascii="Arial" w:cs="Arial" w:eastAsia="Arial" w:hAnsi="Arial"/>
                <w:sz w:val="18"/>
                <w:szCs w:val="18"/>
                <w:color w:val="auto"/>
              </w:rPr>
              <w:t>11,073 55,000</w:t>
            </w:r>
          </w:p>
        </w:tc>
        <w:tc>
          <w:tcPr>
            <w:tcW w:w="1080" w:type="dxa"/>
            <w:vAlign w:val="bottom"/>
          </w:tcPr>
          <w:p>
            <w:pPr>
              <w:ind w:left="40"/>
              <w:spacing w:after="0"/>
              <w:rPr>
                <w:sz w:val="20"/>
                <w:szCs w:val="20"/>
                <w:color w:val="auto"/>
              </w:rPr>
            </w:pPr>
            <w:r>
              <w:rPr>
                <w:rFonts w:ascii="Arial" w:cs="Arial" w:eastAsia="Arial" w:hAnsi="Arial"/>
                <w:sz w:val="18"/>
                <w:szCs w:val="18"/>
                <w:color w:val="auto"/>
              </w:rPr>
              <w:t>A&amp;P</w:t>
            </w:r>
          </w:p>
        </w:tc>
        <w:tc>
          <w:tcPr>
            <w:tcW w:w="1560" w:type="dxa"/>
            <w:vAlign w:val="bottom"/>
          </w:tcPr>
          <w:p>
            <w:pPr>
              <w:ind w:left="160"/>
              <w:spacing w:after="0"/>
              <w:rPr>
                <w:sz w:val="20"/>
                <w:szCs w:val="20"/>
                <w:color w:val="auto"/>
              </w:rPr>
            </w:pPr>
            <w:r>
              <w:rPr>
                <w:rFonts w:ascii="Arial" w:cs="Arial" w:eastAsia="Arial" w:hAnsi="Arial"/>
                <w:sz w:val="18"/>
                <w:szCs w:val="18"/>
                <w:color w:val="auto"/>
              </w:rPr>
              <w:t>A.J. Wright / L.A.</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Somerset-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Fitness</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Hunterdon,</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NJ</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Clifton</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Bergen-</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3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3,241</w:t>
            </w: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Fair / Dollar</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Passaic, NJ</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Express</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Forest Hills</w:t>
            </w:r>
          </w:p>
        </w:tc>
        <w:tc>
          <w:tcPr>
            <w:tcW w:w="1260" w:type="dxa"/>
            <w:vAlign w:val="bottom"/>
          </w:tcPr>
          <w:p>
            <w:pPr>
              <w:ind w:left="160"/>
              <w:spacing w:after="0"/>
              <w:rPr>
                <w:sz w:val="20"/>
                <w:szCs w:val="20"/>
                <w:color w:val="auto"/>
              </w:rPr>
            </w:pPr>
            <w:r>
              <w:rPr>
                <w:rFonts w:ascii="Arial" w:cs="Arial" w:eastAsia="Arial" w:hAnsi="Arial"/>
                <w:sz w:val="18"/>
                <w:szCs w:val="18"/>
                <w:color w:val="auto"/>
              </w:rPr>
              <w:t>New York,</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820" w:type="dxa"/>
            <w:vAlign w:val="bottom"/>
          </w:tcPr>
          <w:p>
            <w:pPr>
              <w:jc w:val="right"/>
              <w:spacing w:after="0"/>
              <w:rPr>
                <w:sz w:val="20"/>
                <w:szCs w:val="20"/>
                <w:color w:val="auto"/>
              </w:rPr>
            </w:pPr>
            <w:r>
              <w:rPr>
                <w:rFonts w:ascii="Arial" w:cs="Arial" w:eastAsia="Arial" w:hAnsi="Arial"/>
                <w:sz w:val="18"/>
                <w:szCs w:val="18"/>
                <w:color w:val="auto"/>
              </w:rPr>
              <w:t>23,985</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86,000</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9"/>
              </w:rPr>
              <w:t>Midway Theatre /</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NY</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86"/>
              </w:rPr>
              <w:t>Duane Reade / Gap</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Fresh Meadows</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65,265</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Filene’s Basement /</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NY</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Kohl’s / Cineplex</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Odeon</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Greenlawn Plaza</w:t>
            </w:r>
          </w:p>
        </w:tc>
        <w:tc>
          <w:tcPr>
            <w:tcW w:w="1260" w:type="dxa"/>
            <w:vAlign w:val="bottom"/>
          </w:tcPr>
          <w:p>
            <w:pPr>
              <w:ind w:left="160"/>
              <w:spacing w:after="0"/>
              <w:rPr>
                <w:sz w:val="20"/>
                <w:szCs w:val="20"/>
                <w:color w:val="auto"/>
              </w:rPr>
            </w:pPr>
            <w:r>
              <w:rPr>
                <w:rFonts w:ascii="Arial" w:cs="Arial" w:eastAsia="Arial" w:hAnsi="Arial"/>
                <w:sz w:val="18"/>
                <w:szCs w:val="18"/>
                <w:color w:val="auto"/>
              </w:rPr>
              <w:t>Nassau-</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820" w:type="dxa"/>
            <w:vAlign w:val="bottom"/>
          </w:tcPr>
          <w:p>
            <w:pPr>
              <w:jc w:val="right"/>
              <w:spacing w:after="0"/>
              <w:rPr>
                <w:sz w:val="20"/>
                <w:szCs w:val="20"/>
                <w:color w:val="auto"/>
              </w:rPr>
            </w:pPr>
            <w:r>
              <w:rPr>
                <w:rFonts w:ascii="Arial" w:cs="Arial" w:eastAsia="Arial" w:hAnsi="Arial"/>
                <w:sz w:val="18"/>
                <w:szCs w:val="18"/>
                <w:color w:val="auto"/>
              </w:rPr>
              <w:t>11,962</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102,000</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46,000</w:t>
            </w:r>
          </w:p>
        </w:tc>
        <w:tc>
          <w:tcPr>
            <w:tcW w:w="1080" w:type="dxa"/>
            <w:vAlign w:val="bottom"/>
          </w:tcPr>
          <w:p>
            <w:pPr>
              <w:ind w:left="40"/>
              <w:spacing w:after="0"/>
              <w:rPr>
                <w:sz w:val="20"/>
                <w:szCs w:val="20"/>
                <w:color w:val="auto"/>
              </w:rPr>
            </w:pPr>
            <w:r>
              <w:rPr>
                <w:rFonts w:ascii="Arial" w:cs="Arial" w:eastAsia="Arial" w:hAnsi="Arial"/>
                <w:sz w:val="18"/>
                <w:szCs w:val="18"/>
                <w:color w:val="auto"/>
              </w:rPr>
              <w:t>Waldbaum’s</w:t>
            </w:r>
          </w:p>
        </w:tc>
        <w:tc>
          <w:tcPr>
            <w:tcW w:w="15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Suffolk, NY</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Hamilton</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Trenton, 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4,804 53,000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Shop</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 Moore /</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Rite</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Stevens Furniture</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Hauppauge</w:t>
            </w:r>
          </w:p>
        </w:tc>
        <w:tc>
          <w:tcPr>
            <w:tcW w:w="1260" w:type="dxa"/>
            <w:vAlign w:val="bottom"/>
          </w:tcPr>
          <w:p>
            <w:pPr>
              <w:ind w:left="160"/>
              <w:spacing w:after="0"/>
              <w:rPr>
                <w:sz w:val="20"/>
                <w:szCs w:val="20"/>
                <w:color w:val="auto"/>
              </w:rPr>
            </w:pPr>
            <w:r>
              <w:rPr>
                <w:rFonts w:ascii="Arial" w:cs="Arial" w:eastAsia="Arial" w:hAnsi="Arial"/>
                <w:sz w:val="18"/>
                <w:szCs w:val="18"/>
                <w:color w:val="auto"/>
              </w:rPr>
              <w:t>Nassau-</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1998</w:t>
            </w:r>
          </w:p>
        </w:tc>
        <w:tc>
          <w:tcPr>
            <w:tcW w:w="820" w:type="dxa"/>
            <w:vAlign w:val="bottom"/>
          </w:tcPr>
          <w:p>
            <w:pPr>
              <w:jc w:val="right"/>
              <w:spacing w:after="0"/>
              <w:rPr>
                <w:sz w:val="20"/>
                <w:szCs w:val="20"/>
                <w:color w:val="auto"/>
              </w:rPr>
            </w:pPr>
            <w:r>
              <w:rPr>
                <w:rFonts w:ascii="Arial" w:cs="Arial" w:eastAsia="Arial" w:hAnsi="Arial"/>
                <w:sz w:val="18"/>
                <w:szCs w:val="18"/>
                <w:color w:val="auto"/>
              </w:rPr>
              <w:t>26,497</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131,000</w:t>
            </w: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16,435 61,000</w:t>
            </w:r>
          </w:p>
        </w:tc>
        <w:tc>
          <w:tcPr>
            <w:tcW w:w="1080" w:type="dxa"/>
            <w:vAlign w:val="bottom"/>
          </w:tcPr>
          <w:p>
            <w:pPr>
              <w:ind w:left="40"/>
              <w:spacing w:after="0"/>
              <w:rPr>
                <w:sz w:val="20"/>
                <w:szCs w:val="20"/>
                <w:color w:val="auto"/>
              </w:rPr>
            </w:pPr>
            <w:r>
              <w:rPr>
                <w:rFonts w:ascii="Arial" w:cs="Arial" w:eastAsia="Arial" w:hAnsi="Arial"/>
                <w:sz w:val="18"/>
                <w:szCs w:val="18"/>
                <w:color w:val="auto"/>
              </w:rPr>
              <w:t>Shop</w:t>
            </w:r>
          </w:p>
        </w:tc>
        <w:tc>
          <w:tcPr>
            <w:tcW w:w="1560" w:type="dxa"/>
            <w:vAlign w:val="bottom"/>
          </w:tcPr>
          <w:p>
            <w:pPr>
              <w:ind w:left="160"/>
              <w:spacing w:after="0"/>
              <w:rPr>
                <w:sz w:val="20"/>
                <w:szCs w:val="20"/>
                <w:color w:val="auto"/>
              </w:rPr>
            </w:pPr>
            <w:r>
              <w:rPr>
                <w:rFonts w:ascii="Arial" w:cs="Arial" w:eastAsia="Arial" w:hAnsi="Arial"/>
                <w:sz w:val="18"/>
                <w:szCs w:val="18"/>
                <w:color w:val="auto"/>
              </w:rPr>
              <w:t>AC Moore</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Suffolk, NY</w:t>
            </w: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Rite</w:t>
            </w:r>
          </w:p>
        </w:tc>
        <w:tc>
          <w:tcPr>
            <w:tcW w:w="1560" w:type="dxa"/>
            <w:vAlign w:val="bottom"/>
          </w:tcPr>
          <w:p>
            <w:pPr>
              <w:spacing w:after="0"/>
              <w:rPr>
                <w:sz w:val="19"/>
                <w:szCs w:val="19"/>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Huntington</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Nassau-</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3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14,230</w:t>
            </w: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Buy Buy Baby /</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Suffolk, NY</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Toys R Us / Bed,</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Bath &amp; Beyond /</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Barnes &amp; Noble</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Mercer Mall</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Bed, Bath &amp;</w:t>
            </w:r>
          </w:p>
        </w:tc>
      </w:tr>
      <w:tr>
        <w:trPr>
          <w:trHeight w:val="216"/>
        </w:trPr>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0"/>
              </w:rPr>
              <w:t>Beyond / DSW / TJ</w:t>
            </w:r>
          </w:p>
        </w:tc>
      </w:tr>
      <w:tr>
        <w:trPr>
          <w:trHeight w:val="216"/>
        </w:trPr>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Shop</w:t>
            </w: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Maxx / Raymour &amp;</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Trenton, 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2003</w:t>
            </w:r>
          </w:p>
        </w:tc>
        <w:tc>
          <w:tcPr>
            <w:tcW w:w="820" w:type="dxa"/>
            <w:vAlign w:val="bottom"/>
          </w:tcPr>
          <w:p>
            <w:pPr>
              <w:jc w:val="right"/>
              <w:spacing w:after="0"/>
              <w:rPr>
                <w:sz w:val="20"/>
                <w:szCs w:val="20"/>
                <w:color w:val="auto"/>
              </w:rPr>
            </w:pPr>
            <w:r>
              <w:rPr>
                <w:rFonts w:ascii="Arial" w:cs="Arial" w:eastAsia="Arial" w:hAnsi="Arial"/>
                <w:sz w:val="18"/>
                <w:szCs w:val="18"/>
                <w:color w:val="auto"/>
              </w:rPr>
              <w:t>87,320</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493,000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96%</w:t>
            </w:r>
          </w:p>
        </w:tc>
        <w:tc>
          <w:tcPr>
            <w:tcW w:w="1300" w:type="dxa"/>
            <w:vAlign w:val="bottom"/>
          </w:tcPr>
          <w:p>
            <w:pPr>
              <w:jc w:val="right"/>
              <w:spacing w:after="0"/>
              <w:rPr>
                <w:sz w:val="20"/>
                <w:szCs w:val="20"/>
                <w:color w:val="auto"/>
              </w:rPr>
            </w:pPr>
            <w:r>
              <w:rPr>
                <w:rFonts w:ascii="Arial" w:cs="Arial" w:eastAsia="Arial" w:hAnsi="Arial"/>
                <w:sz w:val="18"/>
                <w:szCs w:val="18"/>
                <w:color w:val="auto"/>
              </w:rPr>
              <w:t>59,586 75,000</w:t>
            </w:r>
          </w:p>
        </w:tc>
        <w:tc>
          <w:tcPr>
            <w:tcW w:w="1080" w:type="dxa"/>
            <w:vAlign w:val="bottom"/>
          </w:tcPr>
          <w:p>
            <w:pPr>
              <w:ind w:left="40"/>
              <w:spacing w:after="0"/>
              <w:rPr>
                <w:sz w:val="20"/>
                <w:szCs w:val="20"/>
                <w:color w:val="auto"/>
              </w:rPr>
            </w:pPr>
            <w:r>
              <w:rPr>
                <w:rFonts w:ascii="Arial" w:cs="Arial" w:eastAsia="Arial" w:hAnsi="Arial"/>
                <w:sz w:val="18"/>
                <w:szCs w:val="18"/>
                <w:color w:val="auto"/>
              </w:rPr>
              <w:t>Rite</w:t>
            </w:r>
          </w:p>
        </w:tc>
        <w:tc>
          <w:tcPr>
            <w:tcW w:w="1560" w:type="dxa"/>
            <w:vAlign w:val="bottom"/>
          </w:tcPr>
          <w:p>
            <w:pPr>
              <w:ind w:left="160"/>
              <w:spacing w:after="0"/>
              <w:rPr>
                <w:sz w:val="20"/>
                <w:szCs w:val="20"/>
                <w:color w:val="auto"/>
              </w:rPr>
            </w:pPr>
            <w:r>
              <w:rPr>
                <w:rFonts w:ascii="Arial" w:cs="Arial" w:eastAsia="Arial" w:hAnsi="Arial"/>
                <w:sz w:val="18"/>
                <w:szCs w:val="18"/>
                <w:color w:val="auto"/>
              </w:rPr>
              <w:t>Flanigan</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Rutgers</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Middlesex-</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Somerset-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Hunterdon,</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Stop &amp;</w:t>
            </w:r>
          </w:p>
        </w:tc>
        <w:tc>
          <w:tcPr>
            <w:tcW w:w="1560" w:type="dxa"/>
            <w:vAlign w:val="bottom"/>
            <w:shd w:val="clear" w:color="auto" w:fill="CCEEFF"/>
          </w:tcPr>
          <w:p>
            <w:pPr>
              <w:spacing w:after="0"/>
              <w:rPr>
                <w:sz w:val="18"/>
                <w:szCs w:val="18"/>
                <w:color w:val="auto"/>
              </w:rPr>
            </w:pP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12,827 44,000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Shop</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Kmart</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Troy</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5"/>
              </w:rPr>
              <w:t>AC Moore / Comp</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Newark, 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820" w:type="dxa"/>
            <w:vAlign w:val="bottom"/>
          </w:tcPr>
          <w:p>
            <w:pPr>
              <w:jc w:val="right"/>
              <w:spacing w:after="0"/>
              <w:rPr>
                <w:sz w:val="20"/>
                <w:szCs w:val="20"/>
                <w:color w:val="auto"/>
              </w:rPr>
            </w:pPr>
            <w:r>
              <w:rPr>
                <w:rFonts w:ascii="Arial" w:cs="Arial" w:eastAsia="Arial" w:hAnsi="Arial"/>
                <w:sz w:val="18"/>
                <w:szCs w:val="18"/>
                <w:color w:val="auto"/>
              </w:rPr>
              <w:t>20,611</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202,000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1300" w:type="dxa"/>
            <w:vAlign w:val="bottom"/>
          </w:tcPr>
          <w:p>
            <w:pPr>
              <w:jc w:val="right"/>
              <w:spacing w:after="0"/>
              <w:rPr>
                <w:sz w:val="20"/>
                <w:szCs w:val="20"/>
                <w:color w:val="auto"/>
              </w:rPr>
            </w:pPr>
            <w:r>
              <w:rPr>
                <w:rFonts w:ascii="Arial" w:cs="Arial" w:eastAsia="Arial" w:hAnsi="Arial"/>
                <w:sz w:val="18"/>
                <w:szCs w:val="18"/>
                <w:color w:val="auto"/>
              </w:rPr>
              <w:t>64,000</w:t>
            </w:r>
          </w:p>
        </w:tc>
        <w:tc>
          <w:tcPr>
            <w:tcW w:w="1080" w:type="dxa"/>
            <w:vAlign w:val="bottom"/>
          </w:tcPr>
          <w:p>
            <w:pPr>
              <w:ind w:left="40"/>
              <w:spacing w:after="0"/>
              <w:rPr>
                <w:sz w:val="20"/>
                <w:szCs w:val="20"/>
                <w:color w:val="auto"/>
              </w:rPr>
            </w:pPr>
            <w:r>
              <w:rPr>
                <w:rFonts w:ascii="Arial" w:cs="Arial" w:eastAsia="Arial" w:hAnsi="Arial"/>
                <w:sz w:val="18"/>
                <w:szCs w:val="18"/>
                <w:color w:val="auto"/>
              </w:rPr>
              <w:t>Pathmark</w:t>
            </w:r>
          </w:p>
        </w:tc>
        <w:tc>
          <w:tcPr>
            <w:tcW w:w="1560" w:type="dxa"/>
            <w:vAlign w:val="bottom"/>
          </w:tcPr>
          <w:p>
            <w:pPr>
              <w:ind w:left="160"/>
              <w:spacing w:after="0"/>
              <w:rPr>
                <w:sz w:val="20"/>
                <w:szCs w:val="20"/>
                <w:color w:val="auto"/>
              </w:rPr>
            </w:pPr>
            <w:r>
              <w:rPr>
                <w:rFonts w:ascii="Arial" w:cs="Arial" w:eastAsia="Arial" w:hAnsi="Arial"/>
                <w:sz w:val="18"/>
                <w:szCs w:val="18"/>
                <w:color w:val="auto"/>
              </w:rPr>
              <w:t>USA / Toys R Us</w:t>
            </w:r>
          </w:p>
        </w:tc>
      </w:tr>
      <w:tr>
        <w:trPr>
          <w:trHeight w:val="110"/>
        </w:trPr>
        <w:tc>
          <w:tcPr>
            <w:tcW w:w="1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2"/>
        </w:trPr>
        <w:tc>
          <w:tcPr>
            <w:tcW w:w="1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02"/>
        </w:trPr>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Total New</w:t>
            </w: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York / New</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1460" w:type="dxa"/>
            <w:vAlign w:val="bottom"/>
            <w:shd w:val="clear" w:color="auto" w:fill="CCEEFF"/>
          </w:tcPr>
          <w:p>
            <w:pPr>
              <w:spacing w:after="0"/>
              <w:rPr>
                <w:sz w:val="20"/>
                <w:szCs w:val="20"/>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Jersey</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410,843</w:t>
            </w:r>
          </w:p>
        </w:tc>
        <w:tc>
          <w:tcPr>
            <w:tcW w:w="16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3,404,000</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310"/>
        </w:trPr>
        <w:tc>
          <w:tcPr>
            <w:tcW w:w="2720" w:type="dxa"/>
            <w:vAlign w:val="bottom"/>
            <w:gridSpan w:val="2"/>
          </w:tcPr>
          <w:p>
            <w:pPr>
              <w:ind w:left="440"/>
              <w:spacing w:after="0"/>
              <w:rPr>
                <w:sz w:val="20"/>
                <w:szCs w:val="20"/>
                <w:color w:val="auto"/>
              </w:rPr>
            </w:pPr>
            <w:r>
              <w:rPr>
                <w:rFonts w:ascii="Arial" w:cs="Arial" w:eastAsia="Arial" w:hAnsi="Arial"/>
                <w:sz w:val="18"/>
                <w:szCs w:val="18"/>
                <w:b w:val="1"/>
                <w:bCs w:val="1"/>
                <w:color w:val="auto"/>
              </w:rPr>
              <w:t>Philadelphia Metropolitan</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8"/>
        </w:trPr>
        <w:tc>
          <w:tcPr>
            <w:tcW w:w="1460" w:type="dxa"/>
            <w:vAlign w:val="bottom"/>
          </w:tcPr>
          <w:p>
            <w:pPr>
              <w:ind w:left="660"/>
              <w:spacing w:after="0"/>
              <w:rPr>
                <w:sz w:val="20"/>
                <w:szCs w:val="20"/>
                <w:color w:val="auto"/>
              </w:rPr>
            </w:pPr>
            <w:r>
              <w:rPr>
                <w:rFonts w:ascii="Arial" w:cs="Arial" w:eastAsia="Arial" w:hAnsi="Arial"/>
                <w:sz w:val="18"/>
                <w:szCs w:val="18"/>
                <w:b w:val="1"/>
                <w:bCs w:val="1"/>
                <w:color w:val="auto"/>
              </w:rPr>
              <w:t>Area</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Andorra</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Acme</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Kohl’s / Staples /</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Markets</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 Fitness</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Bala Cynwyd</w:t>
            </w:r>
          </w:p>
        </w:tc>
        <w:tc>
          <w:tcPr>
            <w:tcW w:w="1260" w:type="dxa"/>
            <w:vAlign w:val="bottom"/>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Acme</w:t>
            </w:r>
          </w:p>
        </w:tc>
        <w:tc>
          <w:tcPr>
            <w:tcW w:w="1560" w:type="dxa"/>
            <w:vAlign w:val="bottom"/>
          </w:tcPr>
          <w:p>
            <w:pPr>
              <w:ind w:left="160"/>
              <w:spacing w:after="0"/>
              <w:rPr>
                <w:sz w:val="20"/>
                <w:szCs w:val="20"/>
                <w:color w:val="auto"/>
              </w:rPr>
            </w:pPr>
            <w:r>
              <w:rPr>
                <w:rFonts w:ascii="Arial" w:cs="Arial" w:eastAsia="Arial" w:hAnsi="Arial"/>
                <w:sz w:val="18"/>
                <w:szCs w:val="18"/>
                <w:color w:val="auto"/>
              </w:rPr>
              <w:t>Lord &amp; Taylor /</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PA-NJ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1993</w:t>
            </w:r>
          </w:p>
        </w:tc>
        <w:tc>
          <w:tcPr>
            <w:tcW w:w="820" w:type="dxa"/>
            <w:vAlign w:val="bottom"/>
          </w:tcPr>
          <w:p>
            <w:pPr>
              <w:jc w:val="right"/>
              <w:spacing w:after="0"/>
              <w:rPr>
                <w:sz w:val="20"/>
                <w:szCs w:val="20"/>
                <w:color w:val="auto"/>
              </w:rPr>
            </w:pPr>
            <w:r>
              <w:rPr>
                <w:rFonts w:ascii="Arial" w:cs="Arial" w:eastAsia="Arial" w:hAnsi="Arial"/>
                <w:sz w:val="18"/>
                <w:szCs w:val="18"/>
                <w:color w:val="auto"/>
              </w:rPr>
              <w:t>25,754</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281,000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1080" w:type="dxa"/>
            <w:vAlign w:val="bottom"/>
          </w:tcPr>
          <w:p>
            <w:pPr>
              <w:ind w:left="40"/>
              <w:spacing w:after="0"/>
              <w:rPr>
                <w:sz w:val="20"/>
                <w:szCs w:val="20"/>
                <w:color w:val="auto"/>
              </w:rPr>
            </w:pPr>
            <w:r>
              <w:rPr>
                <w:rFonts w:ascii="Arial" w:cs="Arial" w:eastAsia="Arial" w:hAnsi="Arial"/>
                <w:sz w:val="18"/>
                <w:szCs w:val="18"/>
                <w:color w:val="auto"/>
              </w:rPr>
              <w:t>Markets</w:t>
            </w:r>
          </w:p>
        </w:tc>
        <w:tc>
          <w:tcPr>
            <w:tcW w:w="1560" w:type="dxa"/>
            <w:vAlign w:val="bottom"/>
          </w:tcPr>
          <w:p>
            <w:pPr>
              <w:ind w:left="160"/>
              <w:spacing w:after="0"/>
              <w:rPr>
                <w:sz w:val="20"/>
                <w:szCs w:val="20"/>
                <w:color w:val="auto"/>
              </w:rPr>
            </w:pPr>
            <w:r>
              <w:rPr>
                <w:rFonts w:ascii="Arial" w:cs="Arial" w:eastAsia="Arial" w:hAnsi="Arial"/>
                <w:sz w:val="18"/>
                <w:szCs w:val="18"/>
                <w:color w:val="auto"/>
              </w:rPr>
              <w:t>L.A. Fitness</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Ellisburg Circle</w:t>
            </w: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Bed, Bath &amp;</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Beyond / Stein</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Genuardi’s</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Mart</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Feasterville</w:t>
            </w:r>
          </w:p>
        </w:tc>
        <w:tc>
          <w:tcPr>
            <w:tcW w:w="1260" w:type="dxa"/>
            <w:vAlign w:val="bottom"/>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PA-NJ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820" w:type="dxa"/>
            <w:vAlign w:val="bottom"/>
          </w:tcPr>
          <w:p>
            <w:pPr>
              <w:jc w:val="right"/>
              <w:spacing w:after="0"/>
              <w:rPr>
                <w:sz w:val="20"/>
                <w:szCs w:val="20"/>
                <w:color w:val="auto"/>
              </w:rPr>
            </w:pPr>
            <w:r>
              <w:rPr>
                <w:rFonts w:ascii="Arial" w:cs="Arial" w:eastAsia="Arial" w:hAnsi="Arial"/>
                <w:sz w:val="18"/>
                <w:szCs w:val="18"/>
                <w:color w:val="auto"/>
              </w:rPr>
              <w:t>11,680</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111,000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spacing w:after="0"/>
              <w:rPr>
                <w:sz w:val="20"/>
                <w:szCs w:val="20"/>
                <w:color w:val="auto"/>
              </w:rPr>
            </w:pPr>
            <w:r>
              <w:rPr>
                <w:rFonts w:ascii="Arial" w:cs="Arial" w:eastAsia="Arial" w:hAnsi="Arial"/>
                <w:sz w:val="18"/>
                <w:szCs w:val="18"/>
                <w:color w:val="auto"/>
              </w:rPr>
              <w:t>53,000</w:t>
            </w:r>
          </w:p>
        </w:tc>
        <w:tc>
          <w:tcPr>
            <w:tcW w:w="1080" w:type="dxa"/>
            <w:vAlign w:val="bottom"/>
          </w:tcPr>
          <w:p>
            <w:pPr>
              <w:ind w:left="40"/>
              <w:spacing w:after="0"/>
              <w:rPr>
                <w:sz w:val="20"/>
                <w:szCs w:val="20"/>
                <w:color w:val="auto"/>
              </w:rPr>
            </w:pPr>
            <w:r>
              <w:rPr>
                <w:rFonts w:ascii="Arial" w:cs="Arial" w:eastAsia="Arial" w:hAnsi="Arial"/>
                <w:sz w:val="18"/>
                <w:szCs w:val="18"/>
                <w:color w:val="auto"/>
              </w:rPr>
              <w:t>Genuardi’s</w:t>
            </w:r>
          </w:p>
        </w:tc>
        <w:tc>
          <w:tcPr>
            <w:tcW w:w="1560" w:type="dxa"/>
            <w:vAlign w:val="bottom"/>
          </w:tcPr>
          <w:p>
            <w:pPr>
              <w:ind w:left="160"/>
              <w:spacing w:after="0"/>
              <w:rPr>
                <w:sz w:val="20"/>
                <w:szCs w:val="20"/>
                <w:color w:val="auto"/>
              </w:rPr>
            </w:pPr>
            <w:r>
              <w:rPr>
                <w:rFonts w:ascii="Arial" w:cs="Arial" w:eastAsia="Arial" w:hAnsi="Arial"/>
                <w:sz w:val="18"/>
                <w:szCs w:val="18"/>
                <w:color w:val="auto"/>
              </w:rPr>
              <w:t>OfficeMax</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Flourtown</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Genuardi’s</w:t>
            </w:r>
          </w:p>
        </w:tc>
        <w:tc>
          <w:tcPr>
            <w:tcW w:w="1560" w:type="dxa"/>
            <w:vAlign w:val="bottom"/>
            <w:shd w:val="clear" w:color="auto" w:fill="CCEEFF"/>
          </w:tcPr>
          <w:p>
            <w:pPr>
              <w:spacing w:after="0"/>
              <w:rPr>
                <w:sz w:val="19"/>
                <w:szCs w:val="19"/>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w w:val="96"/>
              </w:rPr>
              <w:t>Langhorne Square</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Redner’s</w:t>
            </w:r>
          </w:p>
        </w:tc>
        <w:tc>
          <w:tcPr>
            <w:tcW w:w="15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Warehouse</w:t>
            </w:r>
          </w:p>
        </w:tc>
        <w:tc>
          <w:tcPr>
            <w:tcW w:w="156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PA-NJ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1985</w:t>
            </w:r>
          </w:p>
        </w:tc>
        <w:tc>
          <w:tcPr>
            <w:tcW w:w="820" w:type="dxa"/>
            <w:vAlign w:val="bottom"/>
          </w:tcPr>
          <w:p>
            <w:pPr>
              <w:jc w:val="right"/>
              <w:spacing w:after="0"/>
              <w:rPr>
                <w:sz w:val="20"/>
                <w:szCs w:val="20"/>
                <w:color w:val="auto"/>
              </w:rPr>
            </w:pPr>
            <w:r>
              <w:rPr>
                <w:rFonts w:ascii="Arial" w:cs="Arial" w:eastAsia="Arial" w:hAnsi="Arial"/>
                <w:sz w:val="18"/>
                <w:szCs w:val="18"/>
                <w:color w:val="auto"/>
              </w:rPr>
              <w:t>17,854</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216,000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91%</w:t>
            </w:r>
          </w:p>
        </w:tc>
        <w:tc>
          <w:tcPr>
            <w:tcW w:w="1300" w:type="dxa"/>
            <w:vAlign w:val="bottom"/>
          </w:tcPr>
          <w:p>
            <w:pPr>
              <w:jc w:val="right"/>
              <w:spacing w:after="0"/>
              <w:rPr>
                <w:sz w:val="20"/>
                <w:szCs w:val="20"/>
                <w:color w:val="auto"/>
              </w:rPr>
            </w:pPr>
            <w:r>
              <w:rPr>
                <w:rFonts w:ascii="Arial" w:cs="Arial" w:eastAsia="Arial" w:hAnsi="Arial"/>
                <w:sz w:val="18"/>
                <w:szCs w:val="18"/>
                <w:color w:val="auto"/>
              </w:rPr>
              <w:t>55,000</w:t>
            </w:r>
          </w:p>
        </w:tc>
        <w:tc>
          <w:tcPr>
            <w:tcW w:w="1080" w:type="dxa"/>
            <w:vAlign w:val="bottom"/>
          </w:tcPr>
          <w:p>
            <w:pPr>
              <w:ind w:left="40"/>
              <w:spacing w:after="0"/>
              <w:rPr>
                <w:sz w:val="20"/>
                <w:szCs w:val="20"/>
                <w:color w:val="auto"/>
              </w:rPr>
            </w:pPr>
            <w:r>
              <w:rPr>
                <w:rFonts w:ascii="Arial" w:cs="Arial" w:eastAsia="Arial" w:hAnsi="Arial"/>
                <w:sz w:val="18"/>
                <w:szCs w:val="18"/>
                <w:color w:val="auto"/>
              </w:rPr>
              <w:t>Mkts.</w:t>
            </w:r>
          </w:p>
        </w:tc>
        <w:tc>
          <w:tcPr>
            <w:tcW w:w="1560" w:type="dxa"/>
            <w:vAlign w:val="bottom"/>
          </w:tcPr>
          <w:p>
            <w:pPr>
              <w:ind w:left="160"/>
              <w:spacing w:after="0"/>
              <w:rPr>
                <w:sz w:val="20"/>
                <w:szCs w:val="20"/>
                <w:color w:val="auto"/>
              </w:rPr>
            </w:pPr>
            <w:r>
              <w:rPr>
                <w:rFonts w:ascii="Arial" w:cs="Arial" w:eastAsia="Arial" w:hAnsi="Arial"/>
                <w:sz w:val="18"/>
                <w:szCs w:val="18"/>
                <w:color w:val="auto"/>
              </w:rPr>
              <w:t>Marshalls</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Lawrence Park</w:t>
            </w: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Acme</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 / TJ Maxx /</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30,902 53,000</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Markets</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CVS</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Northeast</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Burlington Coat /</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7"/>
              </w:rPr>
              <w:t>Marshalls / Tower</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PA-NJ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1983</w:t>
            </w:r>
          </w:p>
        </w:tc>
        <w:tc>
          <w:tcPr>
            <w:tcW w:w="820" w:type="dxa"/>
            <w:vAlign w:val="bottom"/>
          </w:tcPr>
          <w:p>
            <w:pPr>
              <w:jc w:val="right"/>
              <w:spacing w:after="0"/>
              <w:rPr>
                <w:sz w:val="20"/>
                <w:szCs w:val="20"/>
                <w:color w:val="auto"/>
              </w:rPr>
            </w:pPr>
            <w:r>
              <w:rPr>
                <w:rFonts w:ascii="Arial" w:cs="Arial" w:eastAsia="Arial" w:hAnsi="Arial"/>
                <w:sz w:val="18"/>
                <w:szCs w:val="18"/>
                <w:color w:val="auto"/>
              </w:rPr>
              <w:t>21,953</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292,000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Records</w:t>
            </w:r>
          </w:p>
        </w:tc>
      </w:tr>
      <w:tr>
        <w:trPr>
          <w:trHeight w:val="21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Willow Grove</w:t>
            </w: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Barnes &amp; Noble /</w:t>
            </w:r>
          </w:p>
        </w:tc>
      </w:tr>
      <w:tr>
        <w:trPr>
          <w:trHeight w:val="216"/>
        </w:trPr>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Marshalls / Toys R</w:t>
            </w:r>
          </w:p>
        </w:tc>
      </w:tr>
      <w:tr>
        <w:trPr>
          <w:trHeight w:val="224"/>
        </w:trPr>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PA-NJ</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w:t>
            </w:r>
          </w:p>
        </w:tc>
      </w:tr>
      <w:tr>
        <w:trPr>
          <w:trHeight w:val="208"/>
        </w:trPr>
        <w:tc>
          <w:tcPr>
            <w:tcW w:w="1460" w:type="dxa"/>
            <w:vAlign w:val="bottom"/>
          </w:tcPr>
          <w:p>
            <w:pPr>
              <w:spacing w:after="0"/>
              <w:rPr>
                <w:sz w:val="20"/>
                <w:szCs w:val="20"/>
                <w:color w:val="auto"/>
              </w:rPr>
            </w:pPr>
            <w:r>
              <w:rPr>
                <w:rFonts w:ascii="Arial" w:cs="Arial" w:eastAsia="Arial" w:hAnsi="Arial"/>
                <w:sz w:val="18"/>
                <w:szCs w:val="18"/>
                <w:color w:val="auto"/>
              </w:rPr>
              <w:t>Wynnewood</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Bed, Bath &amp;</w:t>
            </w:r>
          </w:p>
        </w:tc>
      </w:tr>
      <w:tr>
        <w:trPr>
          <w:trHeight w:val="216"/>
        </w:trPr>
        <w:tc>
          <w:tcPr>
            <w:tcW w:w="146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Philadelphia,</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2"/>
              </w:rPr>
              <w:t>Beyond / Borders /</w:t>
            </w:r>
          </w:p>
        </w:tc>
      </w:tr>
      <w:tr>
        <w:trPr>
          <w:trHeight w:val="222"/>
        </w:trPr>
        <w:tc>
          <w:tcPr>
            <w:tcW w:w="14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PA-NJ</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820" w:type="dxa"/>
            <w:vAlign w:val="bottom"/>
          </w:tcPr>
          <w:p>
            <w:pPr>
              <w:jc w:val="right"/>
              <w:spacing w:after="0"/>
              <w:rPr>
                <w:sz w:val="20"/>
                <w:szCs w:val="20"/>
                <w:color w:val="auto"/>
              </w:rPr>
            </w:pPr>
            <w:r>
              <w:rPr>
                <w:rFonts w:ascii="Arial" w:cs="Arial" w:eastAsia="Arial" w:hAnsi="Arial"/>
                <w:sz w:val="18"/>
                <w:szCs w:val="18"/>
                <w:color w:val="auto"/>
              </w:rPr>
              <w:t>35,341</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255,000</w:t>
            </w: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1300" w:type="dxa"/>
            <w:vAlign w:val="bottom"/>
          </w:tcPr>
          <w:p>
            <w:pPr>
              <w:jc w:val="right"/>
              <w:spacing w:after="0"/>
              <w:rPr>
                <w:sz w:val="20"/>
                <w:szCs w:val="20"/>
                <w:color w:val="auto"/>
              </w:rPr>
            </w:pPr>
            <w:r>
              <w:rPr>
                <w:rFonts w:ascii="Arial" w:cs="Arial" w:eastAsia="Arial" w:hAnsi="Arial"/>
                <w:sz w:val="18"/>
                <w:szCs w:val="18"/>
                <w:color w:val="auto"/>
              </w:rPr>
              <w:t>31,493 98,000</w:t>
            </w:r>
          </w:p>
        </w:tc>
        <w:tc>
          <w:tcPr>
            <w:tcW w:w="1080" w:type="dxa"/>
            <w:vAlign w:val="bottom"/>
          </w:tcPr>
          <w:p>
            <w:pPr>
              <w:ind w:left="40"/>
              <w:spacing w:after="0"/>
              <w:rPr>
                <w:sz w:val="20"/>
                <w:szCs w:val="20"/>
                <w:color w:val="auto"/>
              </w:rPr>
            </w:pPr>
            <w:r>
              <w:rPr>
                <w:rFonts w:ascii="Arial" w:cs="Arial" w:eastAsia="Arial" w:hAnsi="Arial"/>
                <w:sz w:val="18"/>
                <w:szCs w:val="18"/>
                <w:color w:val="auto"/>
              </w:rPr>
              <w:t>Genuardi’s</w:t>
            </w:r>
          </w:p>
        </w:tc>
        <w:tc>
          <w:tcPr>
            <w:tcW w:w="1560" w:type="dxa"/>
            <w:vAlign w:val="bottom"/>
          </w:tcPr>
          <w:p>
            <w:pPr>
              <w:ind w:left="160"/>
              <w:spacing w:after="0"/>
              <w:rPr>
                <w:sz w:val="20"/>
                <w:szCs w:val="20"/>
                <w:color w:val="auto"/>
              </w:rPr>
            </w:pPr>
            <w:r>
              <w:rPr>
                <w:rFonts w:ascii="Arial" w:cs="Arial" w:eastAsia="Arial" w:hAnsi="Arial"/>
                <w:sz w:val="18"/>
                <w:szCs w:val="18"/>
                <w:color w:val="auto"/>
              </w:rPr>
              <w:t>Old Navy</w:t>
            </w:r>
          </w:p>
        </w:tc>
      </w:tr>
      <w:tr>
        <w:trPr>
          <w:trHeight w:val="110"/>
        </w:trPr>
        <w:tc>
          <w:tcPr>
            <w:tcW w:w="1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2"/>
        </w:trPr>
        <w:tc>
          <w:tcPr>
            <w:tcW w:w="1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111"/>
        </w:trPr>
        <w:tc>
          <w:tcPr>
            <w:tcW w:w="14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226,109</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2,445,000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2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Metropolitan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1540" w:type="dxa"/>
            <w:vAlign w:val="bottom"/>
            <w:shd w:val="clear" w:color="auto" w:fill="CCEEFF"/>
          </w:tcPr>
          <w:p>
            <w:pPr>
              <w:spacing w:after="0"/>
              <w:rPr>
                <w:sz w:val="20"/>
                <w:szCs w:val="20"/>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Area</w:t>
            </w: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322"/>
        </w:trPr>
        <w:tc>
          <w:tcPr>
            <w:tcW w:w="1540" w:type="dxa"/>
            <w:vAlign w:val="bottom"/>
          </w:tcPr>
          <w:p>
            <w:pPr>
              <w:ind w:left="440"/>
              <w:spacing w:after="0"/>
              <w:rPr>
                <w:sz w:val="20"/>
                <w:szCs w:val="20"/>
                <w:color w:val="auto"/>
              </w:rPr>
            </w:pPr>
            <w:r>
              <w:rPr>
                <w:rFonts w:ascii="Arial" w:cs="Arial" w:eastAsia="Arial" w:hAnsi="Arial"/>
                <w:sz w:val="18"/>
                <w:szCs w:val="18"/>
                <w:b w:val="1"/>
                <w:bCs w:val="1"/>
                <w:color w:val="auto"/>
              </w:rPr>
              <w:t>Boston</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Assembly</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Boston-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Square/Sturtevant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Worcester-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Street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Lawrence-</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Lowell-</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Brockton,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4"/>
        </w:trPr>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2005</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69,746</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10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Kmart</w:t>
            </w: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auto"/>
              </w:rPr>
              <w:t>Dedham Plaza</w:t>
            </w:r>
          </w:p>
        </w:tc>
        <w:tc>
          <w:tcPr>
            <w:tcW w:w="1220" w:type="dxa"/>
            <w:vAlign w:val="bottom"/>
          </w:tcPr>
          <w:p>
            <w:pPr>
              <w:ind w:left="80"/>
              <w:spacing w:after="0"/>
              <w:rPr>
                <w:sz w:val="20"/>
                <w:szCs w:val="20"/>
                <w:color w:val="auto"/>
              </w:rPr>
            </w:pPr>
            <w:r>
              <w:rPr>
                <w:rFonts w:ascii="Arial" w:cs="Arial" w:eastAsia="Arial" w:hAnsi="Arial"/>
                <w:sz w:val="18"/>
                <w:szCs w:val="18"/>
                <w:color w:val="auto"/>
              </w:rPr>
              <w:t>Boston-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Brockton,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ind w:left="1060"/>
              <w:spacing w:after="0"/>
              <w:rPr>
                <w:sz w:val="20"/>
                <w:szCs w:val="20"/>
                <w:color w:val="auto"/>
              </w:rPr>
            </w:pPr>
            <w:r>
              <w:rPr>
                <w:rFonts w:ascii="Arial" w:cs="Arial" w:eastAsia="Arial" w:hAnsi="Arial"/>
                <w:sz w:val="18"/>
                <w:szCs w:val="18"/>
                <w:color w:val="auto"/>
              </w:rPr>
              <w:t>Star</w:t>
            </w:r>
          </w:p>
        </w:tc>
        <w:tc>
          <w:tcPr>
            <w:tcW w:w="156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MA</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1993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29,734</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243,000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98%</w:t>
            </w:r>
          </w:p>
        </w:tc>
        <w:tc>
          <w:tcPr>
            <w:tcW w:w="2100" w:type="dxa"/>
            <w:vAlign w:val="bottom"/>
          </w:tcPr>
          <w:p>
            <w:pPr>
              <w:ind w:left="480"/>
              <w:spacing w:after="0"/>
              <w:rPr>
                <w:sz w:val="20"/>
                <w:szCs w:val="20"/>
                <w:color w:val="auto"/>
              </w:rPr>
            </w:pPr>
            <w:r>
              <w:rPr>
                <w:rFonts w:ascii="Arial" w:cs="Arial" w:eastAsia="Arial" w:hAnsi="Arial"/>
                <w:sz w:val="18"/>
                <w:szCs w:val="18"/>
                <w:color w:val="auto"/>
              </w:rPr>
              <w:t>80,000 Market</w:t>
            </w:r>
          </w:p>
        </w:tc>
        <w:tc>
          <w:tcPr>
            <w:tcW w:w="1560" w:type="dxa"/>
            <w:vAlign w:val="bottom"/>
          </w:tcPr>
          <w:p>
            <w:pPr>
              <w:ind w:left="160"/>
              <w:spacing w:after="0"/>
              <w:rPr>
                <w:sz w:val="20"/>
                <w:szCs w:val="20"/>
                <w:color w:val="auto"/>
              </w:rPr>
            </w:pPr>
            <w:r>
              <w:rPr>
                <w:rFonts w:ascii="Arial" w:cs="Arial" w:eastAsia="Arial" w:hAnsi="Arial"/>
                <w:sz w:val="18"/>
                <w:szCs w:val="18"/>
                <w:color w:val="auto"/>
              </w:rPr>
              <w:t>Pier One</w:t>
            </w: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Queen Anne Plaza</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Boston-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Worcester-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Lawrence-</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Lowell-</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Brockton,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Victory</w:t>
            </w:r>
          </w:p>
        </w:tc>
        <w:tc>
          <w:tcPr>
            <w:tcW w:w="1560" w:type="dxa"/>
            <w:vAlign w:val="bottom"/>
            <w:shd w:val="clear" w:color="auto" w:fill="CCEEFF"/>
          </w:tcPr>
          <w:p>
            <w:pPr>
              <w:spacing w:after="0"/>
              <w:rPr>
                <w:sz w:val="18"/>
                <w:szCs w:val="18"/>
                <w:color w:val="auto"/>
              </w:rPr>
            </w:pPr>
          </w:p>
        </w:tc>
      </w:tr>
      <w:tr>
        <w:trPr>
          <w:trHeight w:val="224"/>
        </w:trPr>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1994</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14,807</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50,000 Supermarket</w:t>
            </w: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TJ Maxx</w:t>
            </w: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auto"/>
              </w:rPr>
              <w:t>Saugus Plaza</w:t>
            </w:r>
          </w:p>
        </w:tc>
        <w:tc>
          <w:tcPr>
            <w:tcW w:w="1220" w:type="dxa"/>
            <w:vAlign w:val="bottom"/>
          </w:tcPr>
          <w:p>
            <w:pPr>
              <w:ind w:left="80"/>
              <w:spacing w:after="0"/>
              <w:rPr>
                <w:sz w:val="20"/>
                <w:szCs w:val="20"/>
                <w:color w:val="auto"/>
              </w:rPr>
            </w:pPr>
            <w:r>
              <w:rPr>
                <w:rFonts w:ascii="Arial" w:cs="Arial" w:eastAsia="Arial" w:hAnsi="Arial"/>
                <w:sz w:val="18"/>
                <w:szCs w:val="18"/>
                <w:color w:val="auto"/>
              </w:rPr>
              <w:t>Boston-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Worcester-</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Lawrence-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Lowell-</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ind w:left="1060"/>
              <w:spacing w:after="0"/>
              <w:rPr>
                <w:sz w:val="20"/>
                <w:szCs w:val="20"/>
                <w:color w:val="auto"/>
              </w:rPr>
            </w:pPr>
            <w:r>
              <w:rPr>
                <w:rFonts w:ascii="Arial" w:cs="Arial" w:eastAsia="Arial" w:hAnsi="Arial"/>
                <w:sz w:val="18"/>
                <w:szCs w:val="18"/>
                <w:color w:val="auto"/>
              </w:rPr>
              <w:t>Super Stop</w:t>
            </w: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Brockton,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ind w:left="1060"/>
              <w:spacing w:after="0"/>
              <w:rPr>
                <w:sz w:val="20"/>
                <w:szCs w:val="20"/>
                <w:color w:val="auto"/>
              </w:rPr>
            </w:pPr>
            <w:r>
              <w:rPr>
                <w:rFonts w:ascii="Arial" w:cs="Arial" w:eastAsia="Arial" w:hAnsi="Arial"/>
                <w:sz w:val="18"/>
                <w:szCs w:val="18"/>
                <w:color w:val="auto"/>
              </w:rPr>
              <w:t>&amp;</w:t>
            </w:r>
          </w:p>
        </w:tc>
        <w:tc>
          <w:tcPr>
            <w:tcW w:w="1560" w:type="dxa"/>
            <w:vAlign w:val="bottom"/>
          </w:tcPr>
          <w:p>
            <w:pPr>
              <w:spacing w:after="0"/>
              <w:rPr>
                <w:sz w:val="18"/>
                <w:szCs w:val="18"/>
                <w:color w:val="auto"/>
              </w:rPr>
            </w:pPr>
          </w:p>
        </w:tc>
      </w:tr>
      <w:tr>
        <w:trPr>
          <w:trHeight w:val="222"/>
        </w:trPr>
        <w:tc>
          <w:tcPr>
            <w:tcW w:w="154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MA</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1996</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13,430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171,000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100" w:type="dxa"/>
            <w:vAlign w:val="bottom"/>
          </w:tcPr>
          <w:p>
            <w:pPr>
              <w:ind w:left="480"/>
              <w:spacing w:after="0"/>
              <w:rPr>
                <w:sz w:val="20"/>
                <w:szCs w:val="20"/>
                <w:color w:val="auto"/>
              </w:rPr>
            </w:pPr>
            <w:r>
              <w:rPr>
                <w:rFonts w:ascii="Arial" w:cs="Arial" w:eastAsia="Arial" w:hAnsi="Arial"/>
                <w:sz w:val="18"/>
                <w:szCs w:val="18"/>
                <w:color w:val="auto"/>
              </w:rPr>
              <w:t>55,000 Shop</w:t>
            </w:r>
          </w:p>
        </w:tc>
        <w:tc>
          <w:tcPr>
            <w:tcW w:w="1560" w:type="dxa"/>
            <w:vAlign w:val="bottom"/>
          </w:tcPr>
          <w:p>
            <w:pPr>
              <w:ind w:left="160"/>
              <w:spacing w:after="0"/>
              <w:rPr>
                <w:sz w:val="20"/>
                <w:szCs w:val="20"/>
                <w:color w:val="auto"/>
              </w:rPr>
            </w:pPr>
            <w:r>
              <w:rPr>
                <w:rFonts w:ascii="Arial" w:cs="Arial" w:eastAsia="Arial" w:hAnsi="Arial"/>
                <w:sz w:val="18"/>
                <w:szCs w:val="18"/>
                <w:color w:val="auto"/>
              </w:rPr>
              <w:t>Kmart</w:t>
            </w: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Shaw’s Plaza</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Boston-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Worcester-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Lawrence-</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Lowell-</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Brockton,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Shaw’s</w:t>
            </w:r>
          </w:p>
        </w:tc>
        <w:tc>
          <w:tcPr>
            <w:tcW w:w="1560" w:type="dxa"/>
            <w:vAlign w:val="bottom"/>
            <w:shd w:val="clear" w:color="auto" w:fill="CCEEFF"/>
          </w:tcPr>
          <w:p>
            <w:pPr>
              <w:spacing w:after="0"/>
              <w:rPr>
                <w:sz w:val="18"/>
                <w:szCs w:val="18"/>
                <w:color w:val="auto"/>
              </w:rPr>
            </w:pPr>
          </w:p>
        </w:tc>
      </w:tr>
      <w:tr>
        <w:trPr>
          <w:trHeight w:val="224"/>
        </w:trPr>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2004</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4,023</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2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43,000 Supermarket</w:t>
            </w:r>
          </w:p>
        </w:tc>
        <w:tc>
          <w:tcPr>
            <w:tcW w:w="1560" w:type="dxa"/>
            <w:vAlign w:val="bottom"/>
            <w:shd w:val="clear" w:color="auto" w:fill="CCEEFF"/>
          </w:tcPr>
          <w:p>
            <w:pPr>
              <w:spacing w:after="0"/>
              <w:rPr>
                <w:sz w:val="19"/>
                <w:szCs w:val="19"/>
                <w:color w:val="auto"/>
              </w:rPr>
            </w:pPr>
          </w:p>
        </w:tc>
      </w:tr>
      <w:tr>
        <w:trPr>
          <w:trHeight w:val="108"/>
        </w:trPr>
        <w:tc>
          <w:tcPr>
            <w:tcW w:w="1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2"/>
        </w:trPr>
        <w:tc>
          <w:tcPr>
            <w:tcW w:w="1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Boston</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131,740</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2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363"/>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592"/>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34" w:right="239" w:bottom="1440" w:gutter="0" w:footer="0" w:header="0"/>
        </w:sectPr>
      </w:pPr>
    </w:p>
    <w:bookmarkStart w:id="24" w:name="page25"/>
    <w:bookmarkEnd w:id="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 or</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5"/>
              </w:rPr>
              <w:t>Grocery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Ownership</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9"/>
              </w:rPr>
              <w:t>Anchor</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w w:val="91"/>
              </w:rPr>
              <w:t>MSA Description</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Acquired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Investment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GLA (1)</w:t>
            </w: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 Leased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Obligation</w:t>
            </w: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GLA (2)</w:t>
            </w:r>
          </w:p>
        </w:tc>
        <w:tc>
          <w:tcPr>
            <w:tcW w:w="1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w w:val="87"/>
              </w:rPr>
              <w:t>Grocery Anchor (2)</w:t>
            </w:r>
          </w:p>
        </w:tc>
        <w:tc>
          <w:tcPr>
            <w:tcW w:w="14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w w:val="89"/>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Chicago</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Crossroads</w:t>
            </w:r>
          </w:p>
        </w:tc>
        <w:tc>
          <w:tcPr>
            <w:tcW w:w="1080" w:type="dxa"/>
            <w:vAlign w:val="bottom"/>
          </w:tcPr>
          <w:p>
            <w:pPr>
              <w:spacing w:after="0"/>
              <w:rPr>
                <w:sz w:val="20"/>
                <w:szCs w:val="20"/>
                <w:color w:val="auto"/>
              </w:rPr>
            </w:pPr>
            <w:r>
              <w:rPr>
                <w:rFonts w:ascii="Arial" w:cs="Arial" w:eastAsia="Arial" w:hAnsi="Arial"/>
                <w:sz w:val="18"/>
                <w:szCs w:val="18"/>
                <w:color w:val="auto"/>
              </w:rPr>
              <w:t>Chicago, IL</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22,490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173,000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Comp USA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Golfsmith / Guitar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Finley Square</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Chicago, IL</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0"/>
              </w:rPr>
              <w:t>Bed, Bath &amp; Beyond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 Sports 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Garden Market</w:t>
            </w:r>
          </w:p>
        </w:tc>
        <w:tc>
          <w:tcPr>
            <w:tcW w:w="1080" w:type="dxa"/>
            <w:vAlign w:val="bottom"/>
          </w:tcPr>
          <w:p>
            <w:pPr>
              <w:spacing w:after="0"/>
              <w:rPr>
                <w:sz w:val="20"/>
                <w:szCs w:val="20"/>
                <w:color w:val="auto"/>
              </w:rPr>
            </w:pPr>
            <w:r>
              <w:rPr>
                <w:rFonts w:ascii="Arial" w:cs="Arial" w:eastAsia="Arial" w:hAnsi="Arial"/>
                <w:sz w:val="18"/>
                <w:szCs w:val="18"/>
                <w:color w:val="auto"/>
              </w:rPr>
              <w:t>Chicago, IL</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140,000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63,000</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Dominick’s</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Walgreens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Lake</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Chicago, IL</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77,000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Dominick’s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Total Chicago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75,184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620" w:type="dxa"/>
            <w:vAlign w:val="bottom"/>
            <w:gridSpan w:val="3"/>
          </w:tcPr>
          <w:p>
            <w:pPr>
              <w:ind w:left="420"/>
              <w:spacing w:after="0"/>
              <w:rPr>
                <w:sz w:val="20"/>
                <w:szCs w:val="20"/>
                <w:color w:val="auto"/>
              </w:rPr>
            </w:pPr>
            <w:r>
              <w:rPr>
                <w:rFonts w:ascii="Arial" w:cs="Arial" w:eastAsia="Arial" w:hAnsi="Arial"/>
                <w:sz w:val="18"/>
                <w:szCs w:val="18"/>
                <w:b w:val="1"/>
                <w:bCs w:val="1"/>
                <w:color w:val="auto"/>
              </w:rPr>
              <w:t>East Region - Other</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89"/>
              </w:rPr>
              <w:t>Charlottesville,</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40,655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43,598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91,000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Harris Teeter /</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0"/>
              </w:rPr>
              <w:t>Bed, Bath &amp; Beyond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Kroger</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9"/>
              </w:rPr>
              <w:t>/ Barnes &amp; Noble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Old Navy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Bristol Plaza</w:t>
            </w:r>
          </w:p>
        </w:tc>
        <w:tc>
          <w:tcPr>
            <w:tcW w:w="1080" w:type="dxa"/>
            <w:vAlign w:val="bottom"/>
          </w:tcPr>
          <w:p>
            <w:pPr>
              <w:spacing w:after="0"/>
              <w:rPr>
                <w:sz w:val="20"/>
                <w:szCs w:val="20"/>
                <w:color w:val="auto"/>
              </w:rPr>
            </w:pPr>
            <w:r>
              <w:rPr>
                <w:rFonts w:ascii="Arial" w:cs="Arial" w:eastAsia="Arial" w:hAnsi="Arial"/>
                <w:sz w:val="18"/>
                <w:szCs w:val="18"/>
                <w:color w:val="auto"/>
              </w:rPr>
              <w:t>Hartford, CT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22,237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277,000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74,000</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Stop &amp; Shop</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Eastgate</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Raleigh-</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23,000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Earth Fare</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Durham-</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Chapel Hill,</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NC</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080" w:type="dxa"/>
            <w:vAlign w:val="bottom"/>
          </w:tcPr>
          <w:p>
            <w:pPr>
              <w:spacing w:after="0"/>
              <w:rPr>
                <w:sz w:val="20"/>
                <w:szCs w:val="20"/>
                <w:color w:val="auto"/>
              </w:rPr>
            </w:pPr>
            <w:r>
              <w:rPr>
                <w:rFonts w:ascii="Arial" w:cs="Arial" w:eastAsia="Arial" w:hAnsi="Arial"/>
                <w:sz w:val="18"/>
                <w:szCs w:val="18"/>
                <w:color w:val="auto"/>
                <w:w w:val="92"/>
              </w:rPr>
              <w:t>Baltimore, MD</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1985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18,584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800" w:type="dxa"/>
            <w:vAlign w:val="bottom"/>
          </w:tcPr>
          <w:p>
            <w:pPr>
              <w:jc w:val="right"/>
              <w:spacing w:after="0"/>
              <w:rPr>
                <w:sz w:val="20"/>
                <w:szCs w:val="20"/>
                <w:color w:val="auto"/>
              </w:rPr>
            </w:pPr>
            <w:r>
              <w:rPr>
                <w:rFonts w:ascii="Arial" w:cs="Arial" w:eastAsia="Arial" w:hAnsi="Arial"/>
                <w:sz w:val="18"/>
                <w:szCs w:val="18"/>
                <w:color w:val="auto"/>
              </w:rPr>
              <w:t>269,000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Bally’s / Comp USA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 Office Depot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Gratiot Plaza</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Detroit, MI</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69,000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Farmer Jacks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0"/>
              </w:rPr>
              <w:t>Bed, Bath &amp; Beyond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 Best Buy / DSW</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99"/>
              </w:rPr>
              <w:t>Greenwich Avenue</w:t>
            </w:r>
          </w:p>
        </w:tc>
        <w:tc>
          <w:tcPr>
            <w:tcW w:w="1080" w:type="dxa"/>
            <w:vAlign w:val="bottom"/>
          </w:tcPr>
          <w:p>
            <w:pPr>
              <w:spacing w:after="0"/>
              <w:rPr>
                <w:sz w:val="20"/>
                <w:szCs w:val="20"/>
                <w:color w:val="auto"/>
              </w:rPr>
            </w:pPr>
            <w:r>
              <w:rPr>
                <w:rFonts w:ascii="Arial" w:cs="Arial" w:eastAsia="Arial" w:hAnsi="Arial"/>
                <w:sz w:val="18"/>
                <w:szCs w:val="18"/>
                <w:color w:val="auto"/>
              </w:rPr>
              <w:t>New Haven-</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15,996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42,000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9"/>
              </w:rPr>
              <w:t>Saks Fifth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Bridgeport-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Stamford-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Waterbury</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Lancaster</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3"/>
              </w:rPr>
              <w:t>Lancaster, PA</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39,000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Giant Food</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080" w:type="dxa"/>
            <w:vAlign w:val="bottom"/>
          </w:tcPr>
          <w:p>
            <w:pPr>
              <w:spacing w:after="0"/>
              <w:rPr>
                <w:sz w:val="20"/>
                <w:szCs w:val="20"/>
                <w:color w:val="auto"/>
              </w:rPr>
            </w:pPr>
            <w:r>
              <w:rPr>
                <w:rFonts w:ascii="Arial" w:cs="Arial" w:eastAsia="Arial" w:hAnsi="Arial"/>
                <w:sz w:val="18"/>
                <w:szCs w:val="18"/>
                <w:color w:val="auto"/>
                <w:w w:val="92"/>
              </w:rPr>
              <w:t>Baltimore, MD</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1985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26,159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800" w:type="dxa"/>
            <w:vAlign w:val="bottom"/>
          </w:tcPr>
          <w:p>
            <w:pPr>
              <w:jc w:val="right"/>
              <w:spacing w:after="0"/>
              <w:rPr>
                <w:sz w:val="20"/>
                <w:szCs w:val="20"/>
                <w:color w:val="auto"/>
              </w:rPr>
            </w:pPr>
            <w:r>
              <w:rPr>
                <w:rFonts w:ascii="Arial" w:cs="Arial" w:eastAsia="Arial" w:hAnsi="Arial"/>
                <w:sz w:val="18"/>
                <w:szCs w:val="18"/>
                <w:color w:val="auto"/>
              </w:rPr>
              <w:t>401,000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58,000</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w w:val="90"/>
              </w:rPr>
              <w:t>Shoppers Food</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Home Depot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Warehouse</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Factory / Jo-Ann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Shops at Willow</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Richmond-</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61,292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60,000</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Kroger</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Old Navy / Tower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Lawn</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Petersburg,</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Records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VA</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Winter Park</w:t>
            </w:r>
          </w:p>
        </w:tc>
        <w:tc>
          <w:tcPr>
            <w:tcW w:w="1080" w:type="dxa"/>
            <w:vAlign w:val="bottom"/>
          </w:tcPr>
          <w:p>
            <w:pPr>
              <w:spacing w:after="0"/>
              <w:rPr>
                <w:sz w:val="20"/>
                <w:szCs w:val="20"/>
                <w:color w:val="auto"/>
              </w:rPr>
            </w:pPr>
            <w:r>
              <w:rPr>
                <w:rFonts w:ascii="Arial" w:cs="Arial" w:eastAsia="Arial" w:hAnsi="Arial"/>
                <w:sz w:val="18"/>
                <w:szCs w:val="18"/>
                <w:color w:val="auto"/>
              </w:rPr>
              <w:t>Orlando, FL</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28,000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East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237,744</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2,471,000</w:t>
            </w:r>
          </w:p>
        </w:tc>
        <w:tc>
          <w:tcPr>
            <w:tcW w:w="98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89%</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b w:val="1"/>
                <w:bCs w:val="1"/>
                <w:color w:val="auto"/>
              </w:rPr>
              <w:t>Total East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w w:val="99"/>
              </w:rPr>
              <w:t>1,816,232</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86"/>
              </w:rPr>
              <w:t>15,049,000</w:t>
            </w:r>
          </w:p>
        </w:tc>
        <w:tc>
          <w:tcPr>
            <w:tcW w:w="9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95%</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 Region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California</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 Blvd</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Pottery Barn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Long Beach,</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CA</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Escondido</w:t>
            </w:r>
          </w:p>
        </w:tc>
        <w:tc>
          <w:tcPr>
            <w:tcW w:w="1080" w:type="dxa"/>
            <w:vAlign w:val="bottom"/>
          </w:tcPr>
          <w:p>
            <w:pPr>
              <w:spacing w:after="0"/>
              <w:rPr>
                <w:sz w:val="20"/>
                <w:szCs w:val="20"/>
                <w:color w:val="auto"/>
              </w:rPr>
            </w:pPr>
            <w:r>
              <w:rPr>
                <w:rFonts w:ascii="Arial" w:cs="Arial" w:eastAsia="Arial" w:hAnsi="Arial"/>
                <w:sz w:val="18"/>
                <w:szCs w:val="18"/>
                <w:color w:val="auto"/>
                <w:w w:val="88"/>
              </w:rPr>
              <w:t>San Diego, CA</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24,927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800" w:type="dxa"/>
            <w:vAlign w:val="bottom"/>
          </w:tcPr>
          <w:p>
            <w:pPr>
              <w:jc w:val="right"/>
              <w:spacing w:after="0"/>
              <w:rPr>
                <w:sz w:val="20"/>
                <w:szCs w:val="20"/>
                <w:color w:val="auto"/>
              </w:rPr>
            </w:pPr>
            <w:r>
              <w:rPr>
                <w:rFonts w:ascii="Arial" w:cs="Arial" w:eastAsia="Arial" w:hAnsi="Arial"/>
                <w:sz w:val="18"/>
                <w:szCs w:val="18"/>
                <w:color w:val="auto"/>
              </w:rPr>
              <w:t>222,000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1"/>
              </w:rPr>
              <w:t>Cost Plus / TJ Maxx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 Toys 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Ave</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88"/>
              </w:rPr>
              <w:t>San Diego, CA</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Urban Outfitters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1997</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Hermosa Ave</w:t>
            </w:r>
          </w:p>
        </w:tc>
        <w:tc>
          <w:tcPr>
            <w:tcW w:w="1080" w:type="dxa"/>
            <w:vAlign w:val="bottom"/>
          </w:tcPr>
          <w:p>
            <w:pPr>
              <w:spacing w:after="0"/>
              <w:rPr>
                <w:sz w:val="20"/>
                <w:szCs w:val="20"/>
                <w:color w:val="auto"/>
              </w:rPr>
            </w:pPr>
            <w:r>
              <w:rPr>
                <w:rFonts w:ascii="Arial" w:cs="Arial" w:eastAsia="Arial" w:hAnsi="Arial"/>
                <w:sz w:val="18"/>
                <w:szCs w:val="18"/>
                <w:color w:val="auto"/>
              </w:rPr>
              <w:t>Los Angeles-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4,721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800" w:type="dxa"/>
            <w:vAlign w:val="bottom"/>
          </w:tcPr>
          <w:p>
            <w:pPr>
              <w:jc w:val="right"/>
              <w:spacing w:after="0"/>
              <w:rPr>
                <w:sz w:val="20"/>
                <w:szCs w:val="20"/>
                <w:color w:val="auto"/>
              </w:rPr>
            </w:pPr>
            <w:r>
              <w:rPr>
                <w:rFonts w:ascii="Arial" w:cs="Arial" w:eastAsia="Arial" w:hAnsi="Arial"/>
                <w:sz w:val="18"/>
                <w:szCs w:val="18"/>
                <w:color w:val="auto"/>
              </w:rPr>
              <w:t>23,000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Long Beach,</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CA</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Hollywood Blvd</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Hollywood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Long Beach,</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CA</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Museum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Kings Court</w:t>
            </w:r>
          </w:p>
        </w:tc>
        <w:tc>
          <w:tcPr>
            <w:tcW w:w="1080" w:type="dxa"/>
            <w:vAlign w:val="bottom"/>
          </w:tcPr>
          <w:p>
            <w:pPr>
              <w:spacing w:after="0"/>
              <w:rPr>
                <w:sz w:val="20"/>
                <w:szCs w:val="20"/>
                <w:color w:val="auto"/>
              </w:rPr>
            </w:pPr>
            <w:r>
              <w:rPr>
                <w:rFonts w:ascii="Arial" w:cs="Arial" w:eastAsia="Arial" w:hAnsi="Arial"/>
                <w:sz w:val="18"/>
                <w:szCs w:val="18"/>
                <w:color w:val="auto"/>
                <w:w w:val="96"/>
              </w:rPr>
              <w:t>San Jose, CA</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11,468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79,000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25,000</w:t>
            </w: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w w:val="88"/>
              </w:rPr>
              <w:t>Lunardi’s Super</w:t>
            </w: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Longs Drug Store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Market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San Jose, CA</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0"/>
              </w:rPr>
              <w:t>Borders / Gap Kids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Santana Row</w:t>
            </w:r>
          </w:p>
        </w:tc>
        <w:tc>
          <w:tcPr>
            <w:tcW w:w="1080" w:type="dxa"/>
            <w:vAlign w:val="bottom"/>
          </w:tcPr>
          <w:p>
            <w:pPr>
              <w:spacing w:after="0"/>
              <w:rPr>
                <w:sz w:val="20"/>
                <w:szCs w:val="20"/>
                <w:color w:val="auto"/>
              </w:rPr>
            </w:pPr>
            <w:r>
              <w:rPr>
                <w:rFonts w:ascii="Arial" w:cs="Arial" w:eastAsia="Arial" w:hAnsi="Arial"/>
                <w:sz w:val="18"/>
                <w:szCs w:val="18"/>
                <w:color w:val="auto"/>
                <w:w w:val="96"/>
              </w:rPr>
              <w:t>San Jose, CA</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1997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509,507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558,000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Crate &amp; Barrel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(Phase I, II &amp;</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III)</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1"/>
              </w:rPr>
              <w:t>Best Buy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CineArts Theatre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Third St Promenade</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75,201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 Crew / Banana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 Beach,</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Republic / Old Navy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Abercrombie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Fitch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Westgate</w:t>
            </w:r>
          </w:p>
        </w:tc>
        <w:tc>
          <w:tcPr>
            <w:tcW w:w="1300" w:type="dxa"/>
            <w:vAlign w:val="bottom"/>
          </w:tcPr>
          <w:p>
            <w:pPr>
              <w:ind w:left="80"/>
              <w:spacing w:after="0"/>
              <w:rPr>
                <w:sz w:val="20"/>
                <w:szCs w:val="20"/>
                <w:color w:val="auto"/>
              </w:rPr>
            </w:pPr>
            <w:r>
              <w:rPr>
                <w:rFonts w:ascii="Arial" w:cs="Arial" w:eastAsia="Arial" w:hAnsi="Arial"/>
                <w:sz w:val="18"/>
                <w:szCs w:val="18"/>
                <w:color w:val="auto"/>
              </w:rPr>
              <w:t>San Jose, CA</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2004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113,867</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640,000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8"/>
                <w:szCs w:val="18"/>
                <w:color w:val="auto"/>
              </w:rPr>
            </w:pPr>
          </w:p>
        </w:tc>
        <w:tc>
          <w:tcPr>
            <w:tcW w:w="1700" w:type="dxa"/>
            <w:vAlign w:val="bottom"/>
          </w:tcPr>
          <w:p>
            <w:pPr>
              <w:jc w:val="right"/>
              <w:ind w:right="252"/>
              <w:spacing w:after="0"/>
              <w:rPr>
                <w:sz w:val="20"/>
                <w:szCs w:val="20"/>
                <w:color w:val="auto"/>
              </w:rPr>
            </w:pPr>
            <w:r>
              <w:rPr>
                <w:rFonts w:ascii="Arial" w:cs="Arial" w:eastAsia="Arial" w:hAnsi="Arial"/>
                <w:sz w:val="18"/>
                <w:szCs w:val="18"/>
                <w:color w:val="auto"/>
                <w:w w:val="99"/>
              </w:rPr>
              <w:t>38,000  Safeway</w:t>
            </w:r>
          </w:p>
        </w:tc>
        <w:tc>
          <w:tcPr>
            <w:tcW w:w="1820" w:type="dxa"/>
            <w:vAlign w:val="bottom"/>
          </w:tcPr>
          <w:p>
            <w:pPr>
              <w:ind w:left="340"/>
              <w:spacing w:after="0"/>
              <w:rPr>
                <w:sz w:val="20"/>
                <w:szCs w:val="20"/>
                <w:color w:val="auto"/>
              </w:rPr>
            </w:pPr>
            <w:r>
              <w:rPr>
                <w:rFonts w:ascii="Arial" w:cs="Arial" w:eastAsia="Arial" w:hAnsi="Arial"/>
                <w:sz w:val="18"/>
                <w:szCs w:val="18"/>
                <w:color w:val="auto"/>
                <w:w w:val="98"/>
              </w:rPr>
              <w:t>Target / Burlington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Coat Factory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150 Post Street</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San Francisco,</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1997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33,255</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Brooks Brothers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w:t>
            </w: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860,776</w:t>
            </w: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2,198,000</w:t>
            </w:r>
          </w:p>
        </w:tc>
        <w:tc>
          <w:tcPr>
            <w:tcW w:w="98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California</w:t>
            </w:r>
          </w:p>
        </w:tc>
        <w:tc>
          <w:tcPr>
            <w:tcW w:w="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tcPr>
          <w:p>
            <w:pPr>
              <w:jc w:val="center"/>
              <w:ind w:left="232"/>
              <w:spacing w:after="0" w:line="201" w:lineRule="exact"/>
              <w:rPr>
                <w:sz w:val="20"/>
                <w:szCs w:val="20"/>
                <w:color w:val="auto"/>
              </w:rPr>
            </w:pPr>
            <w:r>
              <w:rPr>
                <w:rFonts w:ascii="Arial" w:cs="Arial" w:eastAsia="Arial" w:hAnsi="Arial"/>
                <w:sz w:val="18"/>
                <w:szCs w:val="18"/>
                <w:b w:val="1"/>
                <w:bCs w:val="1"/>
                <w:color w:val="auto"/>
                <w:w w:val="86"/>
              </w:rPr>
              <w:t>West Region</w:t>
            </w: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jc w:val="center"/>
              <w:ind w:left="272"/>
              <w:spacing w:after="0"/>
              <w:rPr>
                <w:sz w:val="20"/>
                <w:szCs w:val="20"/>
                <w:color w:val="auto"/>
              </w:rPr>
            </w:pPr>
            <w:r>
              <w:rPr>
                <w:rFonts w:ascii="Arial" w:cs="Arial" w:eastAsia="Arial" w:hAnsi="Arial"/>
                <w:sz w:val="18"/>
                <w:szCs w:val="18"/>
                <w:b w:val="1"/>
                <w:bCs w:val="1"/>
                <w:color w:val="auto"/>
                <w:w w:val="91"/>
              </w:rPr>
              <w:t>- Other</w:t>
            </w: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Houston St</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Antonio,</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1998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63,600</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52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179</w:t>
            </w: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Hotel Valencia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TX</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Total West</w:t>
            </w:r>
          </w:p>
        </w:tc>
        <w:tc>
          <w:tcPr>
            <w:tcW w:w="6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924,376</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2,369,000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Region</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2,740,608</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17,418,000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520" w:type="dxa"/>
            <w:vAlign w:val="bottom"/>
            <w:gridSpan w:val="2"/>
            <w:shd w:val="clear" w:color="auto" w:fill="CCEEFF"/>
          </w:tcPr>
          <w:p>
            <w:pPr>
              <w:jc w:val="right"/>
              <w:ind w:right="1612"/>
              <w:spacing w:after="0"/>
              <w:rPr>
                <w:sz w:val="20"/>
                <w:szCs w:val="20"/>
                <w:color w:val="auto"/>
              </w:rPr>
            </w:pPr>
            <w:r>
              <w:rPr>
                <w:rFonts w:ascii="Arial" w:cs="Arial" w:eastAsia="Arial" w:hAnsi="Arial"/>
                <w:sz w:val="18"/>
                <w:szCs w:val="18"/>
                <w:color w:val="auto"/>
              </w:rPr>
              <w:t>409,839</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7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Santana Row residential, future phases of Santana Row, Rollingwood and The Crest at Congressional Apartments.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nine properties, eight at 100% and one at 90%.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40" w:type="dxa"/>
            <w:vAlign w:val="bottom"/>
            <w:gridSpan w:val="86"/>
          </w:tcPr>
          <w:p>
            <w:pPr>
              <w:spacing w:after="0"/>
              <w:rPr>
                <w:sz w:val="20"/>
                <w:szCs w:val="20"/>
                <w:color w:val="auto"/>
              </w:rPr>
            </w:pPr>
            <w:r>
              <w:rPr>
                <w:rFonts w:ascii="Arial" w:cs="Arial" w:eastAsia="Arial" w:hAnsi="Arial"/>
                <w:sz w:val="14"/>
                <w:szCs w:val="14"/>
                <w:b w:val="1"/>
                <w:bCs w:val="1"/>
                <w:color w:val="auto"/>
              </w:rPr>
              <w:t>Straight-</w:t>
            </w:r>
          </w:p>
        </w:tc>
        <w:tc>
          <w:tcPr>
            <w:tcW w:w="0" w:type="dxa"/>
            <w:vAlign w:val="bottom"/>
          </w:tcPr>
          <w:p>
            <w:pPr>
              <w:spacing w:after="0"/>
              <w:rPr>
                <w:sz w:val="1"/>
                <w:szCs w:val="1"/>
                <w:color w:val="auto"/>
              </w:rPr>
            </w:pPr>
          </w:p>
        </w:tc>
      </w:tr>
      <w:tr>
        <w:trPr>
          <w:trHeight w:val="149"/>
        </w:trPr>
        <w:tc>
          <w:tcPr>
            <w:tcW w:w="11440" w:type="dxa"/>
            <w:vAlign w:val="bottom"/>
            <w:gridSpan w:val="86"/>
          </w:tcPr>
          <w:p>
            <w:pPr>
              <w:spacing w:after="0"/>
              <w:rPr>
                <w:sz w:val="20"/>
                <w:szCs w:val="20"/>
                <w:color w:val="auto"/>
              </w:rPr>
            </w:pPr>
            <w:r>
              <w:rPr>
                <w:rFonts w:ascii="Arial" w:cs="Arial" w:eastAsia="Arial" w:hAnsi="Arial"/>
                <w:sz w:val="14"/>
                <w:szCs w:val="14"/>
                <w:b w:val="1"/>
                <w:bCs w:val="1"/>
                <w:color w:val="auto"/>
              </w:rPr>
              <w:t>lined</w:t>
            </w:r>
          </w:p>
        </w:tc>
        <w:tc>
          <w:tcPr>
            <w:tcW w:w="0" w:type="dxa"/>
            <w:vAlign w:val="bottom"/>
          </w:tcPr>
          <w:p>
            <w:pPr>
              <w:spacing w:after="0"/>
              <w:rPr>
                <w:sz w:val="1"/>
                <w:szCs w:val="1"/>
                <w:color w:val="auto"/>
              </w:rPr>
            </w:pPr>
          </w:p>
        </w:tc>
      </w:tr>
      <w:tr>
        <w:trPr>
          <w:trHeight w:val="149"/>
        </w:trPr>
        <w:tc>
          <w:tcPr>
            <w:tcW w:w="11440" w:type="dxa"/>
            <w:vAlign w:val="bottom"/>
            <w:gridSpan w:val="86"/>
          </w:tcPr>
          <w:p>
            <w:pPr>
              <w:spacing w:after="0"/>
              <w:rPr>
                <w:sz w:val="20"/>
                <w:szCs w:val="20"/>
                <w:color w:val="auto"/>
              </w:rPr>
            </w:pPr>
            <w:r>
              <w:rPr>
                <w:rFonts w:ascii="Arial" w:cs="Arial" w:eastAsia="Arial" w:hAnsi="Arial"/>
                <w:sz w:val="14"/>
                <w:szCs w:val="14"/>
                <w:b w:val="1"/>
                <w:bCs w:val="1"/>
                <w:color w:val="auto"/>
              </w:rPr>
              <w:t>Basis %</w:t>
            </w:r>
          </w:p>
        </w:tc>
        <w:tc>
          <w:tcPr>
            <w:tcW w:w="0" w:type="dxa"/>
            <w:vAlign w:val="bottom"/>
          </w:tcPr>
          <w:p>
            <w:pPr>
              <w:spacing w:after="0"/>
              <w:rPr>
                <w:sz w:val="1"/>
                <w:szCs w:val="1"/>
                <w:color w:val="auto"/>
              </w:rPr>
            </w:pPr>
          </w:p>
        </w:tc>
      </w:tr>
      <w:tr>
        <w:trPr>
          <w:trHeight w:val="149"/>
        </w:trPr>
        <w:tc>
          <w:tcPr>
            <w:tcW w:w="10680" w:type="dxa"/>
            <w:vAlign w:val="bottom"/>
            <w:gridSpan w:val="84"/>
          </w:tcPr>
          <w:p>
            <w:pPr>
              <w:spacing w:after="0"/>
              <w:rPr>
                <w:sz w:val="20"/>
                <w:szCs w:val="20"/>
                <w:color w:val="auto"/>
              </w:rPr>
            </w:pPr>
            <w:r>
              <w:rPr>
                <w:rFonts w:ascii="Arial" w:cs="Arial" w:eastAsia="Arial" w:hAnsi="Arial"/>
                <w:sz w:val="14"/>
                <w:szCs w:val="14"/>
                <w:b w:val="1"/>
                <w:bCs w:val="1"/>
                <w:color w:val="auto"/>
              </w:rPr>
              <w:t>Increase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 of Total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8"/>
          </w:tcPr>
          <w:p>
            <w:pP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10"/>
          </w:tcPr>
          <w:p>
            <w:pPr>
              <w:spacing w:after="0" w:line="149" w:lineRule="exact"/>
              <w:rPr>
                <w:sz w:val="20"/>
                <w:szCs w:val="20"/>
                <w:color w:val="auto"/>
              </w:rPr>
            </w:pPr>
            <w:r>
              <w:rPr>
                <w:rFonts w:ascii="Arial" w:cs="Arial" w:eastAsia="Arial" w:hAnsi="Arial"/>
                <w:sz w:val="14"/>
                <w:szCs w:val="14"/>
                <w:b w:val="1"/>
                <w:bCs w:val="1"/>
                <w:color w:val="auto"/>
              </w:rPr>
              <w:t>Cash Basis %</w:t>
            </w:r>
          </w:p>
        </w:tc>
        <w:tc>
          <w:tcPr>
            <w:tcW w:w="680" w:type="dxa"/>
            <w:vAlign w:val="bottom"/>
            <w:gridSpan w:val="6"/>
          </w:tcPr>
          <w:p>
            <w:pPr>
              <w:jc w:val="center"/>
              <w:ind w:right="232"/>
              <w:spacing w:after="0" w:line="149" w:lineRule="exact"/>
              <w:rPr>
                <w:sz w:val="20"/>
                <w:szCs w:val="20"/>
                <w:color w:val="auto"/>
              </w:rPr>
            </w:pPr>
            <w:r>
              <w:rPr>
                <w:rFonts w:ascii="Arial" w:cs="Arial" w:eastAsia="Arial" w:hAnsi="Arial"/>
                <w:sz w:val="14"/>
                <w:szCs w:val="14"/>
                <w:b w:val="1"/>
                <w:bCs w:val="1"/>
                <w:color w:val="auto"/>
                <w:w w:val="93"/>
              </w:rPr>
              <w:t>Over</w:t>
            </w:r>
          </w:p>
        </w:tc>
        <w:tc>
          <w:tcPr>
            <w:tcW w:w="60" w:type="dxa"/>
            <w:vAlign w:val="bottom"/>
          </w:tcPr>
          <w:p>
            <w:pPr>
              <w:spacing w:after="0"/>
              <w:rPr>
                <w:sz w:val="12"/>
                <w:szCs w:val="12"/>
                <w:color w:val="auto"/>
              </w:rPr>
            </w:pPr>
          </w:p>
        </w:tc>
        <w:tc>
          <w:tcPr>
            <w:tcW w:w="8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7"/>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Leases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5"/>
          </w:tcPr>
          <w:p>
            <w:pPr>
              <w:jc w:val="center"/>
              <w:ind w:left="32"/>
              <w:spacing w:after="0" w:line="149" w:lineRule="exact"/>
              <w:rPr>
                <w:sz w:val="20"/>
                <w:szCs w:val="20"/>
                <w:color w:val="auto"/>
              </w:rPr>
            </w:pPr>
            <w:r>
              <w:rPr>
                <w:rFonts w:ascii="Arial" w:cs="Arial" w:eastAsia="Arial" w:hAnsi="Arial"/>
                <w:sz w:val="14"/>
                <w:szCs w:val="14"/>
                <w:b w:val="1"/>
                <w:bCs w:val="1"/>
                <w:color w:val="auto"/>
                <w:w w:val="92"/>
              </w:rPr>
              <w:t>Rent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9"/>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Prior Rent (4)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Annual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Increase Over</w:t>
            </w:r>
          </w:p>
        </w:tc>
        <w:tc>
          <w:tcPr>
            <w:tcW w:w="680" w:type="dxa"/>
            <w:vAlign w:val="bottom"/>
            <w:gridSpan w:val="6"/>
          </w:tcPr>
          <w:p>
            <w:pPr>
              <w:jc w:val="center"/>
              <w:ind w:right="232"/>
              <w:spacing w:after="0" w:line="149" w:lineRule="exact"/>
              <w:rPr>
                <w:sz w:val="20"/>
                <w:szCs w:val="20"/>
                <w:color w:val="auto"/>
              </w:rPr>
            </w:pPr>
            <w:r>
              <w:rPr>
                <w:rFonts w:ascii="Arial" w:cs="Arial" w:eastAsia="Arial" w:hAnsi="Arial"/>
                <w:sz w:val="14"/>
                <w:szCs w:val="14"/>
                <w:b w:val="1"/>
                <w:bCs w:val="1"/>
                <w:color w:val="auto"/>
                <w:w w:val="91"/>
              </w:rPr>
              <w:t>Prior</w:t>
            </w:r>
          </w:p>
        </w:tc>
        <w:tc>
          <w:tcPr>
            <w:tcW w:w="60" w:type="dxa"/>
            <w:vAlign w:val="bottom"/>
          </w:tcPr>
          <w:p>
            <w:pPr>
              <w:spacing w:after="0"/>
              <w:rPr>
                <w:sz w:val="12"/>
                <w:szCs w:val="12"/>
                <w:color w:val="auto"/>
              </w:rPr>
            </w:pPr>
          </w:p>
        </w:tc>
        <w:tc>
          <w:tcPr>
            <w:tcW w:w="8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w w:val="81"/>
              </w:rPr>
              <w:t>Leases Signed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89"/>
              </w:rPr>
              <w:t>Signed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9"/>
              </w:rPr>
              <w:t>Per Sq. Ft.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6"/>
              </w:rPr>
              <w:t>Per Sq. Ft.</w:t>
            </w:r>
          </w:p>
        </w:tc>
        <w:tc>
          <w:tcPr>
            <w:tcW w:w="40" w:type="dxa"/>
            <w:vAlign w:val="bottom"/>
          </w:tcPr>
          <w:p>
            <w:pPr>
              <w:spacing w:after="0"/>
              <w:rPr>
                <w:sz w:val="15"/>
                <w:szCs w:val="15"/>
                <w:color w:val="auto"/>
              </w:rPr>
            </w:pPr>
          </w:p>
        </w:tc>
        <w:tc>
          <w:tcPr>
            <w:tcW w:w="1060" w:type="dxa"/>
            <w:vAlign w:val="bottom"/>
            <w:gridSpan w:val="10"/>
          </w:tcPr>
          <w:p>
            <w:pPr>
              <w:spacing w:after="0"/>
              <w:rPr>
                <w:sz w:val="20"/>
                <w:szCs w:val="20"/>
                <w:color w:val="auto"/>
              </w:rPr>
            </w:pPr>
            <w:r>
              <w:rPr>
                <w:rFonts w:ascii="Arial" w:cs="Arial" w:eastAsia="Arial" w:hAnsi="Arial"/>
                <w:sz w:val="14"/>
                <w:szCs w:val="14"/>
                <w:b w:val="1"/>
                <w:bCs w:val="1"/>
                <w:color w:val="auto"/>
                <w:w w:val="96"/>
              </w:rPr>
              <w:t>Increase in Rent</w:t>
            </w:r>
          </w:p>
        </w:tc>
        <w:tc>
          <w:tcPr>
            <w:tcW w:w="60" w:type="dxa"/>
            <w:vAlign w:val="bottom"/>
          </w:tcPr>
          <w:p>
            <w:pPr>
              <w:spacing w:after="0"/>
              <w:rPr>
                <w:sz w:val="15"/>
                <w:szCs w:val="15"/>
                <w:color w:val="auto"/>
              </w:rPr>
            </w:pPr>
          </w:p>
        </w:tc>
        <w:tc>
          <w:tcPr>
            <w:tcW w:w="1060" w:type="dxa"/>
            <w:vAlign w:val="bottom"/>
            <w:gridSpan w:val="9"/>
          </w:tcPr>
          <w:p>
            <w:pPr>
              <w:jc w:val="right"/>
              <w:ind w:right="352"/>
              <w:spacing w:after="0"/>
              <w:rPr>
                <w:sz w:val="20"/>
                <w:szCs w:val="20"/>
                <w:color w:val="auto"/>
              </w:rPr>
            </w:pPr>
            <w:r>
              <w:rPr>
                <w:rFonts w:ascii="Arial" w:cs="Arial" w:eastAsia="Arial" w:hAnsi="Arial"/>
                <w:sz w:val="14"/>
                <w:szCs w:val="14"/>
                <w:b w:val="1"/>
                <w:bCs w:val="1"/>
                <w:color w:val="auto"/>
                <w:w w:val="91"/>
              </w:rPr>
              <w:t>Prior Rent</w:t>
            </w:r>
          </w:p>
        </w:tc>
        <w:tc>
          <w:tcPr>
            <w:tcW w:w="40" w:type="dxa"/>
            <w:vAlign w:val="bottom"/>
          </w:tcPr>
          <w:p>
            <w:pPr>
              <w:spacing w:after="0"/>
              <w:rPr>
                <w:sz w:val="15"/>
                <w:szCs w:val="15"/>
                <w:color w:val="auto"/>
              </w:rPr>
            </w:pPr>
          </w:p>
        </w:tc>
        <w:tc>
          <w:tcPr>
            <w:tcW w:w="640" w:type="dxa"/>
            <w:vAlign w:val="bottom"/>
            <w:gridSpan w:val="5"/>
          </w:tcPr>
          <w:p>
            <w:pPr>
              <w:jc w:val="center"/>
              <w:ind w:right="292"/>
              <w:spacing w:after="0"/>
              <w:rPr>
                <w:sz w:val="20"/>
                <w:szCs w:val="20"/>
                <w:color w:val="auto"/>
              </w:rPr>
            </w:pPr>
            <w:r>
              <w:rPr>
                <w:rFonts w:ascii="Arial" w:cs="Arial" w:eastAsia="Arial" w:hAnsi="Arial"/>
                <w:sz w:val="14"/>
                <w:szCs w:val="14"/>
                <w:b w:val="1"/>
                <w:bCs w:val="1"/>
                <w:color w:val="auto"/>
                <w:w w:val="89"/>
              </w:rPr>
              <w:t>Rent</w:t>
            </w:r>
          </w:p>
        </w:tc>
        <w:tc>
          <w:tcPr>
            <w:tcW w:w="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5"/>
                <w:szCs w:val="15"/>
                <w:color w:val="auto"/>
              </w:rPr>
            </w:pPr>
          </w:p>
        </w:tc>
        <w:tc>
          <w:tcPr>
            <w:tcW w:w="10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&amp; Incentives (6)</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gridSpan w:val="2"/>
          </w:tcPr>
          <w:p>
            <w:pPr>
              <w:spacing w:after="0"/>
              <w:rPr>
                <w:sz w:val="8"/>
                <w:szCs w:val="8"/>
                <w:color w:val="auto"/>
              </w:rPr>
            </w:pPr>
          </w:p>
        </w:tc>
        <w:tc>
          <w:tcPr>
            <w:tcW w:w="820" w:type="dxa"/>
            <w:vAlign w:val="bottom"/>
            <w:tcBorders>
              <w:bottom w:val="single" w:sz="8" w:color="auto"/>
            </w:tcBorders>
            <w:gridSpan w:val="4"/>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gridSpan w:val="5"/>
          </w:tcPr>
          <w:p>
            <w:pPr>
              <w:spacing w:after="0"/>
              <w:rPr>
                <w:sz w:val="8"/>
                <w:szCs w:val="8"/>
                <w:color w:val="auto"/>
              </w:rPr>
            </w:pPr>
          </w:p>
        </w:tc>
        <w:tc>
          <w:tcPr>
            <w:tcW w:w="240" w:type="dxa"/>
            <w:vAlign w:val="bottom"/>
            <w:gridSpan w:val="4"/>
          </w:tcPr>
          <w:p>
            <w:pPr>
              <w:spacing w:after="0"/>
              <w:rPr>
                <w:sz w:val="8"/>
                <w:szCs w:val="8"/>
                <w:color w:val="auto"/>
              </w:rPr>
            </w:pPr>
          </w:p>
        </w:tc>
        <w:tc>
          <w:tcPr>
            <w:tcW w:w="580" w:type="dxa"/>
            <w:vAlign w:val="bottom"/>
            <w:tcBorders>
              <w:bottom w:val="single" w:sz="8" w:color="auto"/>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700" w:type="dxa"/>
            <w:vAlign w:val="bottom"/>
            <w:tcBorders>
              <w:bottom w:val="single" w:sz="8" w:color="auto"/>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800" w:type="dxa"/>
            <w:vAlign w:val="bottom"/>
            <w:tcBorders>
              <w:bottom w:val="single" w:sz="8" w:color="auto"/>
            </w:tcBorders>
            <w:gridSpan w:val="8"/>
          </w:tcPr>
          <w:p>
            <w:pPr>
              <w:spacing w:after="0"/>
              <w:rPr>
                <w:sz w:val="8"/>
                <w:szCs w:val="8"/>
                <w:color w:val="auto"/>
              </w:rPr>
            </w:pPr>
          </w:p>
        </w:tc>
        <w:tc>
          <w:tcPr>
            <w:tcW w:w="120" w:type="dxa"/>
            <w:vAlign w:val="bottom"/>
            <w:gridSpan w:val="2"/>
          </w:tcPr>
          <w:p>
            <w:pPr>
              <w:spacing w:after="0"/>
              <w:rPr>
                <w:sz w:val="8"/>
                <w:szCs w:val="8"/>
                <w:color w:val="auto"/>
              </w:rPr>
            </w:pPr>
          </w:p>
        </w:tc>
        <w:tc>
          <w:tcPr>
            <w:tcW w:w="940" w:type="dxa"/>
            <w:vAlign w:val="bottom"/>
            <w:tcBorders>
              <w:bottom w:val="single" w:sz="8" w:color="auto"/>
            </w:tcBorders>
            <w:gridSpan w:val="8"/>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gridSpan w:val="7"/>
          </w:tcPr>
          <w:p>
            <w:pPr>
              <w:spacing w:after="0"/>
              <w:rPr>
                <w:sz w:val="8"/>
                <w:szCs w:val="8"/>
                <w:color w:val="auto"/>
              </w:rPr>
            </w:pPr>
          </w:p>
        </w:tc>
        <w:tc>
          <w:tcPr>
            <w:tcW w:w="220" w:type="dxa"/>
            <w:vAlign w:val="bottom"/>
            <w:gridSpan w:val="2"/>
          </w:tcPr>
          <w:p>
            <w:pPr>
              <w:spacing w:after="0"/>
              <w:rPr>
                <w:sz w:val="8"/>
                <w:szCs w:val="8"/>
                <w:color w:val="auto"/>
              </w:rPr>
            </w:pPr>
          </w:p>
        </w:tc>
        <w:tc>
          <w:tcPr>
            <w:tcW w:w="520" w:type="dxa"/>
            <w:vAlign w:val="bottom"/>
            <w:tcBorders>
              <w:bottom w:val="single" w:sz="8" w:color="auto"/>
            </w:tcBorders>
            <w:gridSpan w:val="5"/>
          </w:tcPr>
          <w:p>
            <w:pPr>
              <w:spacing w:after="0"/>
              <w:rPr>
                <w:sz w:val="8"/>
                <w:szCs w:val="8"/>
                <w:color w:val="auto"/>
              </w:rPr>
            </w:pPr>
          </w:p>
        </w:tc>
        <w:tc>
          <w:tcPr>
            <w:tcW w:w="240" w:type="dxa"/>
            <w:vAlign w:val="bottom"/>
            <w:gridSpan w:val="3"/>
          </w:tcPr>
          <w:p>
            <w:pPr>
              <w:spacing w:after="0"/>
              <w:rPr>
                <w:sz w:val="8"/>
                <w:szCs w:val="8"/>
                <w:color w:val="auto"/>
              </w:rPr>
            </w:pPr>
          </w:p>
        </w:tc>
        <w:tc>
          <w:tcPr>
            <w:tcW w:w="860" w:type="dxa"/>
            <w:vAlign w:val="bottom"/>
            <w:tcBorders>
              <w:bottom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940" w:type="dxa"/>
            <w:vAlign w:val="bottom"/>
            <w:tcBorders>
              <w:bottom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84"/>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2005</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14"/>
            <w:shd w:val="clear" w:color="auto" w:fill="CCEEFF"/>
          </w:tcPr>
          <w:p>
            <w:pPr>
              <w:jc w:val="right"/>
              <w:spacing w:after="0"/>
              <w:rPr>
                <w:sz w:val="20"/>
                <w:szCs w:val="20"/>
                <w:color w:val="auto"/>
              </w:rPr>
            </w:pPr>
            <w:r>
              <w:rPr>
                <w:rFonts w:ascii="Arial" w:cs="Arial" w:eastAsia="Arial" w:hAnsi="Arial"/>
                <w:sz w:val="18"/>
                <w:szCs w:val="18"/>
                <w:color w:val="auto"/>
              </w:rPr>
              <w:t>64% 162,672</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4"/>
              </w:rPr>
              <w:t>25.43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418,304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2004</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7"/>
          </w:tcPr>
          <w:p>
            <w:pPr>
              <w:jc w:val="right"/>
              <w:ind w:right="20"/>
              <w:spacing w:after="0"/>
              <w:rPr>
                <w:sz w:val="20"/>
                <w:szCs w:val="20"/>
                <w:color w:val="auto"/>
              </w:rPr>
            </w:pPr>
            <w:r>
              <w:rPr>
                <w:rFonts w:ascii="Arial" w:cs="Arial" w:eastAsia="Arial" w:hAnsi="Arial"/>
                <w:sz w:val="18"/>
                <w:szCs w:val="18"/>
                <w:color w:val="auto"/>
              </w:rPr>
              <w:t>67%</w:t>
            </w:r>
          </w:p>
        </w:tc>
        <w:tc>
          <w:tcPr>
            <w:tcW w:w="640" w:type="dxa"/>
            <w:vAlign w:val="bottom"/>
            <w:gridSpan w:val="7"/>
          </w:tcPr>
          <w:p>
            <w:pPr>
              <w:jc w:val="right"/>
              <w:spacing w:after="0"/>
              <w:rPr>
                <w:sz w:val="20"/>
                <w:szCs w:val="20"/>
                <w:color w:val="auto"/>
              </w:rPr>
            </w:pPr>
            <w:r>
              <w:rPr>
                <w:rFonts w:ascii="Arial" w:cs="Arial" w:eastAsia="Arial" w:hAnsi="Arial"/>
                <w:sz w:val="18"/>
                <w:szCs w:val="18"/>
                <w:color w:val="auto"/>
                <w:w w:val="95"/>
              </w:rPr>
              <w:t>212,409</w:t>
            </w:r>
          </w:p>
        </w:tc>
        <w:tc>
          <w:tcPr>
            <w:tcW w:w="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8"/>
                <w:szCs w:val="18"/>
                <w:color w:val="auto"/>
                <w:w w:val="84"/>
              </w:rPr>
              <w:t>25.16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22.65</w:t>
            </w:r>
          </w:p>
        </w:tc>
        <w:tc>
          <w:tcPr>
            <w:tcW w:w="80" w:type="dxa"/>
            <w:vAlign w:val="bottom"/>
          </w:tcPr>
          <w:p>
            <w:pPr>
              <w:spacing w:after="0"/>
              <w:rPr>
                <w:sz w:val="18"/>
                <w:szCs w:val="18"/>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533,083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center"/>
              <w:spacing w:after="0"/>
              <w:rPr>
                <w:sz w:val="20"/>
                <w:szCs w:val="20"/>
                <w:color w:val="auto"/>
              </w:rPr>
            </w:pPr>
            <w:r>
              <w:rPr>
                <w:rFonts w:ascii="Arial" w:cs="Arial" w:eastAsia="Arial" w:hAnsi="Arial"/>
                <w:sz w:val="18"/>
                <w:szCs w:val="18"/>
                <w:color w:val="auto"/>
                <w:w w:val="88"/>
              </w:rPr>
              <w:t>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5"/>
          </w:tcPr>
          <w:p>
            <w:pPr>
              <w:jc w:val="right"/>
              <w:ind w:right="12"/>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392,568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2004</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5"/>
              </w:rPr>
              <w:t>183,428</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4"/>
              </w:rPr>
              <w:t>24.44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893,800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7"/>
              </w:rPr>
              <w:t>2nd Quarter 2004</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7"/>
          </w:tcPr>
          <w:p>
            <w:pPr>
              <w:jc w:val="right"/>
              <w:ind w:right="20"/>
              <w:spacing w:after="0"/>
              <w:rPr>
                <w:sz w:val="20"/>
                <w:szCs w:val="20"/>
                <w:color w:val="auto"/>
              </w:rPr>
            </w:pPr>
            <w:r>
              <w:rPr>
                <w:rFonts w:ascii="Arial" w:cs="Arial" w:eastAsia="Arial" w:hAnsi="Arial"/>
                <w:sz w:val="18"/>
                <w:szCs w:val="18"/>
                <w:color w:val="auto"/>
              </w:rPr>
              <w:t>63%</w:t>
            </w:r>
          </w:p>
        </w:tc>
        <w:tc>
          <w:tcPr>
            <w:tcW w:w="640" w:type="dxa"/>
            <w:vAlign w:val="bottom"/>
            <w:gridSpan w:val="7"/>
          </w:tcPr>
          <w:p>
            <w:pPr>
              <w:jc w:val="right"/>
              <w:spacing w:after="0"/>
              <w:rPr>
                <w:sz w:val="20"/>
                <w:szCs w:val="20"/>
                <w:color w:val="auto"/>
              </w:rPr>
            </w:pPr>
            <w:r>
              <w:rPr>
                <w:rFonts w:ascii="Arial" w:cs="Arial" w:eastAsia="Arial" w:hAnsi="Arial"/>
                <w:sz w:val="18"/>
                <w:szCs w:val="18"/>
                <w:color w:val="auto"/>
                <w:w w:val="95"/>
              </w:rPr>
              <w:t>219,919</w:t>
            </w:r>
          </w:p>
        </w:tc>
        <w:tc>
          <w:tcPr>
            <w:tcW w:w="4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5"/>
          </w:tcPr>
          <w:p>
            <w:pPr>
              <w:jc w:val="right"/>
              <w:ind w:right="20"/>
              <w:spacing w:after="0"/>
              <w:rPr>
                <w:sz w:val="20"/>
                <w:szCs w:val="20"/>
                <w:color w:val="auto"/>
              </w:rPr>
            </w:pPr>
            <w:r>
              <w:rPr>
                <w:rFonts w:ascii="Arial" w:cs="Arial" w:eastAsia="Arial" w:hAnsi="Arial"/>
                <w:sz w:val="18"/>
                <w:szCs w:val="18"/>
                <w:color w:val="auto"/>
                <w:w w:val="84"/>
              </w:rPr>
              <w:t>20.83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9"/>
                <w:szCs w:val="19"/>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544,693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4"/>
          </w:tcPr>
          <w:p>
            <w:pPr>
              <w:jc w:val="center"/>
              <w:spacing w:after="0"/>
              <w:rPr>
                <w:sz w:val="20"/>
                <w:szCs w:val="20"/>
                <w:color w:val="auto"/>
              </w:rPr>
            </w:pPr>
            <w:r>
              <w:rPr>
                <w:rFonts w:ascii="Arial" w:cs="Arial" w:eastAsia="Arial" w:hAnsi="Arial"/>
                <w:sz w:val="18"/>
                <w:szCs w:val="18"/>
                <w:color w:val="auto"/>
                <w:w w:val="88"/>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5"/>
          </w:tcPr>
          <w:p>
            <w:pPr>
              <w:jc w:val="right"/>
              <w:ind w:right="1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529,924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500" w:type="dxa"/>
            <w:vAlign w:val="bottom"/>
            <w:gridSpan w:val="4"/>
          </w:tcPr>
          <w:p>
            <w:pPr>
              <w:spacing w:after="0"/>
              <w:rPr>
                <w:sz w:val="8"/>
                <w:szCs w:val="8"/>
                <w:color w:val="auto"/>
              </w:rPr>
            </w:pPr>
          </w:p>
        </w:tc>
        <w:tc>
          <w:tcPr>
            <w:tcW w:w="820" w:type="dxa"/>
            <w:vAlign w:val="bottom"/>
            <w:tcBorders>
              <w:bottom w:val="single" w:sz="8" w:color="auto"/>
            </w:tcBorders>
            <w:gridSpan w:val="4"/>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gridSpan w:val="5"/>
          </w:tcPr>
          <w:p>
            <w:pPr>
              <w:spacing w:after="0"/>
              <w:rPr>
                <w:sz w:val="8"/>
                <w:szCs w:val="8"/>
                <w:color w:val="auto"/>
              </w:rPr>
            </w:pPr>
          </w:p>
        </w:tc>
        <w:tc>
          <w:tcPr>
            <w:tcW w:w="240" w:type="dxa"/>
            <w:vAlign w:val="bottom"/>
            <w:gridSpan w:val="4"/>
          </w:tcPr>
          <w:p>
            <w:pPr>
              <w:spacing w:after="0"/>
              <w:rPr>
                <w:sz w:val="8"/>
                <w:szCs w:val="8"/>
                <w:color w:val="auto"/>
              </w:rPr>
            </w:pPr>
          </w:p>
        </w:tc>
        <w:tc>
          <w:tcPr>
            <w:tcW w:w="580" w:type="dxa"/>
            <w:vAlign w:val="bottom"/>
            <w:tcBorders>
              <w:bottom w:val="single" w:sz="8" w:color="auto"/>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700" w:type="dxa"/>
            <w:vAlign w:val="bottom"/>
            <w:tcBorders>
              <w:bottom w:val="single" w:sz="8" w:color="auto"/>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800" w:type="dxa"/>
            <w:vAlign w:val="bottom"/>
            <w:tcBorders>
              <w:bottom w:val="single" w:sz="8" w:color="auto"/>
            </w:tcBorders>
            <w:gridSpan w:val="8"/>
          </w:tcPr>
          <w:p>
            <w:pPr>
              <w:spacing w:after="0"/>
              <w:rPr>
                <w:sz w:val="8"/>
                <w:szCs w:val="8"/>
                <w:color w:val="auto"/>
              </w:rPr>
            </w:pPr>
          </w:p>
        </w:tc>
        <w:tc>
          <w:tcPr>
            <w:tcW w:w="120" w:type="dxa"/>
            <w:vAlign w:val="bottom"/>
            <w:gridSpan w:val="2"/>
          </w:tcPr>
          <w:p>
            <w:pPr>
              <w:spacing w:after="0"/>
              <w:rPr>
                <w:sz w:val="8"/>
                <w:szCs w:val="8"/>
                <w:color w:val="auto"/>
              </w:rPr>
            </w:pPr>
          </w:p>
        </w:tc>
        <w:tc>
          <w:tcPr>
            <w:tcW w:w="940" w:type="dxa"/>
            <w:vAlign w:val="bottom"/>
            <w:tcBorders>
              <w:bottom w:val="single" w:sz="8" w:color="auto"/>
            </w:tcBorders>
            <w:gridSpan w:val="8"/>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gridSpan w:val="7"/>
          </w:tcPr>
          <w:p>
            <w:pPr>
              <w:spacing w:after="0"/>
              <w:rPr>
                <w:sz w:val="8"/>
                <w:szCs w:val="8"/>
                <w:color w:val="auto"/>
              </w:rPr>
            </w:pPr>
          </w:p>
        </w:tc>
        <w:tc>
          <w:tcPr>
            <w:tcW w:w="220" w:type="dxa"/>
            <w:vAlign w:val="bottom"/>
            <w:gridSpan w:val="2"/>
          </w:tcPr>
          <w:p>
            <w:pPr>
              <w:spacing w:after="0"/>
              <w:rPr>
                <w:sz w:val="8"/>
                <w:szCs w:val="8"/>
                <w:color w:val="auto"/>
              </w:rPr>
            </w:pPr>
          </w:p>
        </w:tc>
        <w:tc>
          <w:tcPr>
            <w:tcW w:w="520" w:type="dxa"/>
            <w:vAlign w:val="bottom"/>
            <w:tcBorders>
              <w:bottom w:val="single" w:sz="8" w:color="auto"/>
            </w:tcBorders>
            <w:gridSpan w:val="5"/>
          </w:tcPr>
          <w:p>
            <w:pPr>
              <w:spacing w:after="0"/>
              <w:rPr>
                <w:sz w:val="8"/>
                <w:szCs w:val="8"/>
                <w:color w:val="auto"/>
              </w:rPr>
            </w:pPr>
          </w:p>
        </w:tc>
        <w:tc>
          <w:tcPr>
            <w:tcW w:w="240" w:type="dxa"/>
            <w:vAlign w:val="bottom"/>
            <w:gridSpan w:val="3"/>
          </w:tcPr>
          <w:p>
            <w:pPr>
              <w:spacing w:after="0"/>
              <w:rPr>
                <w:sz w:val="8"/>
                <w:szCs w:val="8"/>
                <w:color w:val="auto"/>
              </w:rPr>
            </w:pPr>
          </w:p>
        </w:tc>
        <w:tc>
          <w:tcPr>
            <w:tcW w:w="860" w:type="dxa"/>
            <w:vAlign w:val="bottom"/>
            <w:tcBorders>
              <w:bottom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940" w:type="dxa"/>
            <w:vAlign w:val="bottom"/>
            <w:tcBorders>
              <w:bottom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84"/>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5"/>
              </w:rPr>
              <w:t>778,428</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4"/>
              </w:rPr>
              <w:t>23.82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4"/>
              </w:rPr>
              <w:t>2,389,880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1,112,627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00" w:type="dxa"/>
            <w:vAlign w:val="bottom"/>
            <w:gridSpan w:val="4"/>
          </w:tcPr>
          <w:p>
            <w:pPr>
              <w:spacing w:after="0"/>
              <w:rPr>
                <w:sz w:val="9"/>
                <w:szCs w:val="9"/>
                <w:color w:val="auto"/>
              </w:rPr>
            </w:pPr>
          </w:p>
        </w:tc>
        <w:tc>
          <w:tcPr>
            <w:tcW w:w="820" w:type="dxa"/>
            <w:vAlign w:val="bottom"/>
            <w:tcBorders>
              <w:bottom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auto"/>
            </w:tcBorders>
            <w:gridSpan w:val="5"/>
          </w:tcPr>
          <w:p>
            <w:pPr>
              <w:spacing w:after="0"/>
              <w:rPr>
                <w:sz w:val="9"/>
                <w:szCs w:val="9"/>
                <w:color w:val="auto"/>
              </w:rPr>
            </w:pPr>
          </w:p>
        </w:tc>
        <w:tc>
          <w:tcPr>
            <w:tcW w:w="240" w:type="dxa"/>
            <w:vAlign w:val="bottom"/>
            <w:gridSpan w:val="4"/>
          </w:tcPr>
          <w:p>
            <w:pPr>
              <w:spacing w:after="0"/>
              <w:rPr>
                <w:sz w:val="9"/>
                <w:szCs w:val="9"/>
                <w:color w:val="auto"/>
              </w:rPr>
            </w:pPr>
          </w:p>
        </w:tc>
        <w:tc>
          <w:tcPr>
            <w:tcW w:w="580" w:type="dxa"/>
            <w:vAlign w:val="bottom"/>
            <w:tcBorders>
              <w:bottom w:val="single" w:sz="8" w:color="auto"/>
            </w:tcBorders>
            <w:gridSpan w:val="6"/>
          </w:tcPr>
          <w:p>
            <w:pPr>
              <w:spacing w:after="0"/>
              <w:rPr>
                <w:sz w:val="9"/>
                <w:szCs w:val="9"/>
                <w:color w:val="auto"/>
              </w:rPr>
            </w:pPr>
          </w:p>
        </w:tc>
        <w:tc>
          <w:tcPr>
            <w:tcW w:w="100" w:type="dxa"/>
            <w:vAlign w:val="bottom"/>
            <w:gridSpan w:val="2"/>
          </w:tcPr>
          <w:p>
            <w:pPr>
              <w:spacing w:after="0"/>
              <w:rPr>
                <w:sz w:val="9"/>
                <w:szCs w:val="9"/>
                <w:color w:val="auto"/>
              </w:rPr>
            </w:pPr>
          </w:p>
        </w:tc>
        <w:tc>
          <w:tcPr>
            <w:tcW w:w="700" w:type="dxa"/>
            <w:vAlign w:val="bottom"/>
            <w:tcBorders>
              <w:bottom w:val="single" w:sz="8" w:color="auto"/>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800" w:type="dxa"/>
            <w:vAlign w:val="bottom"/>
            <w:tcBorders>
              <w:bottom w:val="single" w:sz="8" w:color="auto"/>
            </w:tcBorders>
            <w:gridSpan w:val="8"/>
          </w:tcPr>
          <w:p>
            <w:pPr>
              <w:spacing w:after="0"/>
              <w:rPr>
                <w:sz w:val="9"/>
                <w:szCs w:val="9"/>
                <w:color w:val="auto"/>
              </w:rPr>
            </w:pPr>
          </w:p>
        </w:tc>
        <w:tc>
          <w:tcPr>
            <w:tcW w:w="120" w:type="dxa"/>
            <w:vAlign w:val="bottom"/>
            <w:gridSpan w:val="2"/>
          </w:tcPr>
          <w:p>
            <w:pPr>
              <w:spacing w:after="0"/>
              <w:rPr>
                <w:sz w:val="9"/>
                <w:szCs w:val="9"/>
                <w:color w:val="auto"/>
              </w:rPr>
            </w:pPr>
          </w:p>
        </w:tc>
        <w:tc>
          <w:tcPr>
            <w:tcW w:w="940" w:type="dxa"/>
            <w:vAlign w:val="bottom"/>
            <w:tcBorders>
              <w:bottom w:val="single" w:sz="8" w:color="auto"/>
            </w:tcBorders>
            <w:gridSpan w:val="8"/>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gridSpan w:val="7"/>
          </w:tcPr>
          <w:p>
            <w:pPr>
              <w:spacing w:after="0"/>
              <w:rPr>
                <w:sz w:val="9"/>
                <w:szCs w:val="9"/>
                <w:color w:val="auto"/>
              </w:rPr>
            </w:pPr>
          </w:p>
        </w:tc>
        <w:tc>
          <w:tcPr>
            <w:tcW w:w="220" w:type="dxa"/>
            <w:vAlign w:val="bottom"/>
            <w:gridSpan w:val="2"/>
          </w:tcPr>
          <w:p>
            <w:pPr>
              <w:spacing w:after="0"/>
              <w:rPr>
                <w:sz w:val="9"/>
                <w:szCs w:val="9"/>
                <w:color w:val="auto"/>
              </w:rPr>
            </w:pPr>
          </w:p>
        </w:tc>
        <w:tc>
          <w:tcPr>
            <w:tcW w:w="520" w:type="dxa"/>
            <w:vAlign w:val="bottom"/>
            <w:tcBorders>
              <w:bottom w:val="single" w:sz="8" w:color="auto"/>
            </w:tcBorders>
            <w:gridSpan w:val="5"/>
          </w:tcPr>
          <w:p>
            <w:pPr>
              <w:spacing w:after="0"/>
              <w:rPr>
                <w:sz w:val="9"/>
                <w:szCs w:val="9"/>
                <w:color w:val="auto"/>
              </w:rPr>
            </w:pPr>
          </w:p>
        </w:tc>
        <w:tc>
          <w:tcPr>
            <w:tcW w:w="240" w:type="dxa"/>
            <w:vAlign w:val="bottom"/>
            <w:gridSpan w:val="3"/>
          </w:tcPr>
          <w:p>
            <w:pPr>
              <w:spacing w:after="0"/>
              <w:rPr>
                <w:sz w:val="9"/>
                <w:szCs w:val="9"/>
                <w:color w:val="auto"/>
              </w:rPr>
            </w:pPr>
          </w:p>
        </w:tc>
        <w:tc>
          <w:tcPr>
            <w:tcW w:w="860" w:type="dxa"/>
            <w:vAlign w:val="bottom"/>
            <w:tcBorders>
              <w:bottom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940" w:type="dxa"/>
            <w:vAlign w:val="bottom"/>
            <w:tcBorders>
              <w:bottom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1440" w:type="dxa"/>
            <w:vAlign w:val="bottom"/>
            <w:gridSpan w:val="86"/>
          </w:tcPr>
          <w:p>
            <w:pPr>
              <w:spacing w:after="0"/>
              <w:rPr>
                <w:sz w:val="20"/>
                <w:szCs w:val="20"/>
                <w:color w:val="auto"/>
              </w:rPr>
            </w:pPr>
            <w:r>
              <w:rPr>
                <w:rFonts w:ascii="Arial" w:cs="Arial" w:eastAsia="Arial" w:hAnsi="Arial"/>
                <w:sz w:val="18"/>
                <w:szCs w:val="18"/>
                <w:b w:val="1"/>
                <w:bCs w:val="1"/>
                <w:color w:val="auto"/>
                <w:w w:val="97"/>
              </w:rPr>
              <w:t>New Lease Summary - Comparable (2)</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900" w:type="dxa"/>
            <w:vAlign w:val="bottom"/>
            <w:tcBorders>
              <w:top w:val="single" w:sz="8" w:color="auto"/>
            </w:tcBorders>
            <w:gridSpan w:val="11"/>
          </w:tcPr>
          <w:p>
            <w:pPr>
              <w:spacing w:after="0"/>
              <w:rPr>
                <w:sz w:val="24"/>
                <w:szCs w:val="24"/>
                <w:color w:val="auto"/>
              </w:rPr>
            </w:pPr>
          </w:p>
        </w:tc>
        <w:tc>
          <w:tcPr>
            <w:tcW w:w="7760" w:type="dxa"/>
            <w:vAlign w:val="bottom"/>
            <w:gridSpan w:val="72"/>
          </w:tcPr>
          <w:p>
            <w:pPr>
              <w:spacing w:after="0"/>
              <w:rPr>
                <w:sz w:val="20"/>
                <w:szCs w:val="20"/>
                <w:color w:val="auto"/>
              </w:rPr>
            </w:pPr>
            <w:r>
              <w:rPr>
                <w:rFonts w:ascii="Arial" w:cs="Arial" w:eastAsia="Arial" w:hAnsi="Arial"/>
                <w:sz w:val="14"/>
                <w:szCs w:val="14"/>
                <w:b w:val="1"/>
                <w:bCs w:val="1"/>
                <w:color w:val="auto"/>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10"/>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 of Total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w w:val="87"/>
              </w:rPr>
              <w:t>Cash Basis %</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9"/>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Basis %</w:t>
            </w:r>
          </w:p>
        </w:tc>
        <w:tc>
          <w:tcPr>
            <w:tcW w:w="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ind w:right="112"/>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9"/>
          </w:tcPr>
          <w:p>
            <w:pPr>
              <w:ind w:left="100"/>
              <w:spacing w:after="0" w:line="149" w:lineRule="exact"/>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2"/>
                <w:szCs w:val="12"/>
                <w:color w:val="auto"/>
              </w:rPr>
            </w:pPr>
          </w:p>
        </w:tc>
        <w:tc>
          <w:tcPr>
            <w:tcW w:w="5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Rent (3)</w:t>
            </w:r>
          </w:p>
        </w:tc>
        <w:tc>
          <w:tcPr>
            <w:tcW w:w="820" w:type="dxa"/>
            <w:vAlign w:val="bottom"/>
            <w:gridSpan w:val="10"/>
          </w:tcPr>
          <w:p>
            <w:pPr>
              <w:jc w:val="center"/>
              <w:spacing w:after="0" w:line="149" w:lineRule="exact"/>
              <w:rPr>
                <w:sz w:val="20"/>
                <w:szCs w:val="20"/>
                <w:color w:val="auto"/>
              </w:rPr>
            </w:pPr>
            <w:r>
              <w:rPr>
                <w:rFonts w:ascii="Arial" w:cs="Arial" w:eastAsia="Arial" w:hAnsi="Arial"/>
                <w:sz w:val="14"/>
                <w:szCs w:val="14"/>
                <w:b w:val="1"/>
                <w:bCs w:val="1"/>
                <w:color w:val="auto"/>
                <w:w w:val="92"/>
              </w:rPr>
              <w:t>Prior Rent (4)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Annual</w:t>
            </w:r>
          </w:p>
        </w:tc>
        <w:tc>
          <w:tcPr>
            <w:tcW w:w="82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240" w:type="dxa"/>
            <w:vAlign w:val="bottom"/>
          </w:tcPr>
          <w:p>
            <w:pPr>
              <w:spacing w:after="0"/>
              <w:rPr>
                <w:sz w:val="12"/>
                <w:szCs w:val="12"/>
                <w:color w:val="auto"/>
              </w:rPr>
            </w:pPr>
          </w:p>
        </w:tc>
        <w:tc>
          <w:tcPr>
            <w:tcW w:w="1000" w:type="dxa"/>
            <w:vAlign w:val="bottom"/>
            <w:gridSpan w:val="11"/>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Increase Over</w:t>
            </w:r>
          </w:p>
        </w:tc>
        <w:tc>
          <w:tcPr>
            <w:tcW w:w="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81"/>
              </w:rPr>
              <w:t>Leases Signed</w:t>
            </w:r>
          </w:p>
        </w:tc>
        <w:tc>
          <w:tcPr>
            <w:tcW w:w="900" w:type="dxa"/>
            <w:vAlign w:val="bottom"/>
            <w:gridSpan w:val="9"/>
          </w:tcPr>
          <w:p>
            <w:pPr>
              <w:ind w:left="100"/>
              <w:spacing w:after="0"/>
              <w:rPr>
                <w:sz w:val="20"/>
                <w:szCs w:val="20"/>
                <w:color w:val="auto"/>
              </w:rPr>
            </w:pPr>
            <w:r>
              <w:rPr>
                <w:rFonts w:ascii="Arial" w:cs="Arial" w:eastAsia="Arial" w:hAnsi="Arial"/>
                <w:sz w:val="14"/>
                <w:szCs w:val="14"/>
                <w:b w:val="1"/>
                <w:bCs w:val="1"/>
                <w:color w:val="auto"/>
              </w:rPr>
              <w:t>Signed</w:t>
            </w:r>
          </w:p>
        </w:tc>
        <w:tc>
          <w:tcPr>
            <w:tcW w:w="5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1"/>
              </w:rPr>
              <w:t>Signed</w:t>
            </w:r>
          </w:p>
        </w:tc>
        <w:tc>
          <w:tcPr>
            <w:tcW w:w="20" w:type="dxa"/>
            <w:vAlign w:val="bottom"/>
          </w:tcPr>
          <w:p>
            <w:pPr>
              <w:spacing w:after="0"/>
              <w:rPr>
                <w:sz w:val="15"/>
                <w:szCs w:val="15"/>
                <w:color w:val="auto"/>
              </w:rPr>
            </w:pPr>
          </w:p>
        </w:tc>
        <w:tc>
          <w:tcPr>
            <w:tcW w:w="7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9"/>
              </w:rPr>
              <w:t>Per Sq. Ft.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7"/>
          </w:tcPr>
          <w:p>
            <w:pPr>
              <w:jc w:val="center"/>
              <w:ind w:right="32"/>
              <w:spacing w:after="0"/>
              <w:rPr>
                <w:sz w:val="20"/>
                <w:szCs w:val="20"/>
                <w:color w:val="auto"/>
              </w:rPr>
            </w:pPr>
            <w:r>
              <w:rPr>
                <w:rFonts w:ascii="Arial" w:cs="Arial" w:eastAsia="Arial" w:hAnsi="Arial"/>
                <w:sz w:val="14"/>
                <w:szCs w:val="14"/>
                <w:b w:val="1"/>
                <w:bCs w:val="1"/>
                <w:color w:val="auto"/>
                <w:w w:val="89"/>
              </w:rPr>
              <w:t>Per Sq. Ft.</w:t>
            </w:r>
          </w:p>
        </w:tc>
        <w:tc>
          <w:tcPr>
            <w:tcW w:w="80" w:type="dxa"/>
            <w:vAlign w:val="bottom"/>
          </w:tcPr>
          <w:p>
            <w:pPr>
              <w:spacing w:after="0"/>
              <w:rPr>
                <w:sz w:val="15"/>
                <w:szCs w:val="15"/>
                <w:color w:val="auto"/>
              </w:rPr>
            </w:pPr>
          </w:p>
        </w:tc>
        <w:tc>
          <w:tcPr>
            <w:tcW w:w="102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86"/>
              </w:rPr>
              <w:t>Increase in Rent</w:t>
            </w:r>
          </w:p>
        </w:tc>
        <w:tc>
          <w:tcPr>
            <w:tcW w:w="820" w:type="dxa"/>
            <w:vAlign w:val="bottom"/>
            <w:gridSpan w:val="7"/>
          </w:tcPr>
          <w:p>
            <w:pPr>
              <w:jc w:val="right"/>
              <w:ind w:right="32"/>
              <w:spacing w:after="0"/>
              <w:rPr>
                <w:sz w:val="20"/>
                <w:szCs w:val="20"/>
                <w:color w:val="auto"/>
              </w:rPr>
            </w:pPr>
            <w:r>
              <w:rPr>
                <w:rFonts w:ascii="Arial" w:cs="Arial" w:eastAsia="Arial" w:hAnsi="Arial"/>
                <w:sz w:val="14"/>
                <w:szCs w:val="14"/>
                <w:b w:val="1"/>
                <w:bCs w:val="1"/>
                <w:color w:val="auto"/>
              </w:rPr>
              <w:t>Prior Rent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9"/>
          </w:tcPr>
          <w:p>
            <w:pPr>
              <w:jc w:val="center"/>
              <w:ind w:right="212"/>
              <w:spacing w:after="0"/>
              <w:rPr>
                <w:sz w:val="20"/>
                <w:szCs w:val="20"/>
                <w:color w:val="auto"/>
              </w:rPr>
            </w:pPr>
            <w:r>
              <w:rPr>
                <w:rFonts w:ascii="Arial" w:cs="Arial" w:eastAsia="Arial" w:hAnsi="Arial"/>
                <w:sz w:val="14"/>
                <w:szCs w:val="14"/>
                <w:b w:val="1"/>
                <w:bCs w:val="1"/>
                <w:color w:val="auto"/>
                <w:w w:val="91"/>
              </w:rPr>
              <w:t>Prior Rent</w:t>
            </w:r>
          </w:p>
        </w:tc>
        <w:tc>
          <w:tcPr>
            <w:tcW w:w="60" w:type="dxa"/>
            <w:vAlign w:val="bottom"/>
          </w:tcPr>
          <w:p>
            <w:pPr>
              <w:spacing w:after="0"/>
              <w:rPr>
                <w:sz w:val="15"/>
                <w:szCs w:val="15"/>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w w:val="94"/>
              </w:rPr>
              <w:t>&amp; Incentives (6)</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11440" w:type="dxa"/>
            <w:vAlign w:val="bottom"/>
            <w:gridSpan w:val="86"/>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Borders>
              <w:top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gridSpan w:val="5"/>
          </w:tcPr>
          <w:p>
            <w:pPr>
              <w:spacing w:after="0"/>
              <w:rPr>
                <w:sz w:val="8"/>
                <w:szCs w:val="8"/>
                <w:color w:val="auto"/>
              </w:rPr>
            </w:pPr>
          </w:p>
        </w:tc>
        <w:tc>
          <w:tcPr>
            <w:tcW w:w="220" w:type="dxa"/>
            <w:vAlign w:val="bottom"/>
            <w:gridSpan w:val="3"/>
          </w:tcPr>
          <w:p>
            <w:pPr>
              <w:spacing w:after="0"/>
              <w:rPr>
                <w:sz w:val="8"/>
                <w:szCs w:val="8"/>
                <w:color w:val="auto"/>
              </w:rPr>
            </w:pPr>
          </w:p>
        </w:tc>
        <w:tc>
          <w:tcPr>
            <w:tcW w:w="580" w:type="dxa"/>
            <w:vAlign w:val="bottom"/>
            <w:tcBorders>
              <w:top w:val="single" w:sz="8" w:color="auto"/>
            </w:tcBorders>
            <w:gridSpan w:val="6"/>
          </w:tcPr>
          <w:p>
            <w:pPr>
              <w:spacing w:after="0"/>
              <w:rPr>
                <w:sz w:val="8"/>
                <w:szCs w:val="8"/>
                <w:color w:val="auto"/>
              </w:rPr>
            </w:pPr>
          </w:p>
        </w:tc>
        <w:tc>
          <w:tcPr>
            <w:tcW w:w="80" w:type="dxa"/>
            <w:vAlign w:val="bottom"/>
            <w:gridSpan w:val="2"/>
          </w:tcPr>
          <w:p>
            <w:pPr>
              <w:spacing w:after="0"/>
              <w:rPr>
                <w:sz w:val="8"/>
                <w:szCs w:val="8"/>
                <w:color w:val="auto"/>
              </w:rPr>
            </w:pPr>
          </w:p>
        </w:tc>
        <w:tc>
          <w:tcPr>
            <w:tcW w:w="700" w:type="dxa"/>
            <w:vAlign w:val="bottom"/>
            <w:tcBorders>
              <w:top w:val="single" w:sz="8" w:color="auto"/>
            </w:tcBorders>
            <w:gridSpan w:val="7"/>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10"/>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top w:val="single" w:sz="8" w:color="auto"/>
            </w:tcBorders>
            <w:gridSpan w:val="9"/>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7"/>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top w:val="single" w:sz="8" w:color="auto"/>
            </w:tcBorders>
            <w:gridSpan w:val="9"/>
          </w:tcPr>
          <w:p>
            <w:pPr>
              <w:spacing w:after="0"/>
              <w:rPr>
                <w:sz w:val="8"/>
                <w:szCs w:val="8"/>
                <w:color w:val="auto"/>
              </w:rPr>
            </w:pPr>
          </w:p>
        </w:tc>
        <w:tc>
          <w:tcPr>
            <w:tcW w:w="240" w:type="dxa"/>
            <w:vAlign w:val="bottom"/>
            <w:gridSpan w:val="3"/>
          </w:tcPr>
          <w:p>
            <w:pPr>
              <w:spacing w:after="0"/>
              <w:rPr>
                <w:sz w:val="8"/>
                <w:szCs w:val="8"/>
                <w:color w:val="auto"/>
              </w:rPr>
            </w:pPr>
          </w:p>
        </w:tc>
        <w:tc>
          <w:tcPr>
            <w:tcW w:w="860" w:type="dxa"/>
            <w:vAlign w:val="bottom"/>
            <w:tcBorders>
              <w:top w:val="single" w:sz="8" w:color="auto"/>
            </w:tcBorders>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9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top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62,410</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27.05</w:t>
            </w:r>
          </w:p>
        </w:tc>
        <w:tc>
          <w:tcPr>
            <w:tcW w:w="8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34"/>
              <w:spacing w:after="0"/>
              <w:rPr>
                <w:sz w:val="20"/>
                <w:szCs w:val="20"/>
                <w:color w:val="auto"/>
              </w:rPr>
            </w:pPr>
            <w:r>
              <w:rPr>
                <w:rFonts w:ascii="Arial" w:cs="Arial" w:eastAsia="Arial" w:hAnsi="Arial"/>
                <w:sz w:val="18"/>
                <w:szCs w:val="18"/>
                <w:color w:val="auto"/>
                <w:w w:val="88"/>
              </w:rPr>
              <w:t>21.97</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316,818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w w:val="94"/>
              </w:rPr>
              <w:t>36%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1,785,819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12"/>
          </w:tcPr>
          <w:p>
            <w:pPr>
              <w:jc w:val="right"/>
              <w:ind w:right="60"/>
              <w:spacing w:after="0"/>
              <w:rPr>
                <w:sz w:val="20"/>
                <w:szCs w:val="20"/>
                <w:color w:val="auto"/>
              </w:rPr>
            </w:pPr>
            <w:r>
              <w:rPr>
                <w:rFonts w:ascii="Arial" w:cs="Arial" w:eastAsia="Arial" w:hAnsi="Arial"/>
                <w:sz w:val="18"/>
                <w:szCs w:val="18"/>
                <w:color w:val="auto"/>
              </w:rPr>
              <w:t>33% 185,703</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84"/>
              </w:rPr>
              <w:t>18.77</w:t>
            </w:r>
          </w:p>
        </w:tc>
        <w:tc>
          <w:tcPr>
            <w:tcW w:w="80" w:type="dxa"/>
            <w:vAlign w:val="bottom"/>
          </w:tcPr>
          <w:p>
            <w:pPr>
              <w:spacing w:after="0"/>
              <w:rPr>
                <w:sz w:val="18"/>
                <w:szCs w:val="18"/>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center"/>
              <w:ind w:left="34"/>
              <w:spacing w:after="0"/>
              <w:rPr>
                <w:sz w:val="20"/>
                <w:szCs w:val="20"/>
                <w:color w:val="auto"/>
              </w:rPr>
            </w:pPr>
            <w:r>
              <w:rPr>
                <w:rFonts w:ascii="Arial" w:cs="Arial" w:eastAsia="Arial" w:hAnsi="Arial"/>
                <w:sz w:val="18"/>
                <w:szCs w:val="18"/>
                <w:color w:val="auto"/>
                <w:w w:val="88"/>
              </w:rPr>
              <w:t>14.30</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830,620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5"/>
          </w:tcPr>
          <w:p>
            <w:pPr>
              <w:ind w:left="280"/>
              <w:spacing w:after="0"/>
              <w:rPr>
                <w:sz w:val="20"/>
                <w:szCs w:val="20"/>
                <w:color w:val="auto"/>
              </w:rPr>
            </w:pPr>
            <w:r>
              <w:rPr>
                <w:rFonts w:ascii="Arial" w:cs="Arial" w:eastAsia="Arial" w:hAnsi="Arial"/>
                <w:sz w:val="18"/>
                <w:szCs w:val="18"/>
                <w:color w:val="auto"/>
                <w:w w:val="94"/>
              </w:rPr>
              <w:t>41%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3,616,757</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12"/>
            <w:shd w:val="clear" w:color="auto" w:fill="CCEEFF"/>
          </w:tcPr>
          <w:p>
            <w:pPr>
              <w:jc w:val="right"/>
              <w:ind w:right="60"/>
              <w:spacing w:after="0"/>
              <w:rPr>
                <w:sz w:val="20"/>
                <w:szCs w:val="20"/>
                <w:color w:val="auto"/>
              </w:rPr>
            </w:pPr>
            <w:r>
              <w:rPr>
                <w:rFonts w:ascii="Arial" w:cs="Arial" w:eastAsia="Arial" w:hAnsi="Arial"/>
                <w:sz w:val="18"/>
                <w:szCs w:val="18"/>
                <w:color w:val="auto"/>
              </w:rPr>
              <w:t>45% 225,497</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21.50</w:t>
            </w:r>
          </w:p>
        </w:tc>
        <w:tc>
          <w:tcPr>
            <w:tcW w:w="8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34"/>
              <w:spacing w:after="0"/>
              <w:rPr>
                <w:sz w:val="20"/>
                <w:szCs w:val="20"/>
                <w:color w:val="auto"/>
              </w:rPr>
            </w:pPr>
            <w:r>
              <w:rPr>
                <w:rFonts w:ascii="Arial" w:cs="Arial" w:eastAsia="Arial" w:hAnsi="Arial"/>
                <w:sz w:val="18"/>
                <w:szCs w:val="18"/>
                <w:color w:val="auto"/>
                <w:w w:val="88"/>
              </w:rPr>
              <w:t>17.99</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791,958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w w:val="94"/>
              </w:rPr>
              <w:t>28%</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5,302,465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7"/>
              </w:rPr>
              <w:t>2nd Quarter 2004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12"/>
          </w:tcPr>
          <w:p>
            <w:pPr>
              <w:jc w:val="right"/>
              <w:ind w:right="60"/>
              <w:spacing w:after="0"/>
              <w:rPr>
                <w:sz w:val="20"/>
                <w:szCs w:val="20"/>
                <w:color w:val="auto"/>
              </w:rPr>
            </w:pPr>
            <w:r>
              <w:rPr>
                <w:rFonts w:ascii="Arial" w:cs="Arial" w:eastAsia="Arial" w:hAnsi="Arial"/>
                <w:sz w:val="18"/>
                <w:szCs w:val="18"/>
                <w:color w:val="auto"/>
              </w:rPr>
              <w:t>37% 261,186</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84"/>
              </w:rPr>
              <w:t>19.10</w:t>
            </w:r>
          </w:p>
        </w:tc>
        <w:tc>
          <w:tcPr>
            <w:tcW w:w="80" w:type="dxa"/>
            <w:vAlign w:val="bottom"/>
          </w:tcPr>
          <w:p>
            <w:pPr>
              <w:spacing w:after="0"/>
              <w:rPr>
                <w:sz w:val="19"/>
                <w:szCs w:val="19"/>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4"/>
          </w:tcPr>
          <w:p>
            <w:pPr>
              <w:jc w:val="center"/>
              <w:ind w:left="34"/>
              <w:spacing w:after="0"/>
              <w:rPr>
                <w:sz w:val="20"/>
                <w:szCs w:val="20"/>
                <w:color w:val="auto"/>
              </w:rPr>
            </w:pPr>
            <w:r>
              <w:rPr>
                <w:rFonts w:ascii="Arial" w:cs="Arial" w:eastAsia="Arial" w:hAnsi="Arial"/>
                <w:sz w:val="18"/>
                <w:szCs w:val="18"/>
                <w:color w:val="auto"/>
                <w:w w:val="88"/>
              </w:rPr>
              <w:t>16.74</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617,736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5"/>
          </w:tcPr>
          <w:p>
            <w:pPr>
              <w:ind w:left="280"/>
              <w:spacing w:after="0"/>
              <w:rPr>
                <w:sz w:val="20"/>
                <w:szCs w:val="20"/>
                <w:color w:val="auto"/>
              </w:rPr>
            </w:pPr>
            <w:r>
              <w:rPr>
                <w:rFonts w:ascii="Arial" w:cs="Arial" w:eastAsia="Arial" w:hAnsi="Arial"/>
                <w:sz w:val="18"/>
                <w:szCs w:val="18"/>
                <w:color w:val="auto"/>
                <w:w w:val="94"/>
              </w:rPr>
              <w:t>21%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3,694,856</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40" w:type="dxa"/>
            <w:vAlign w:val="bottom"/>
            <w:gridSpan w:val="86"/>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gridSpan w:val="2"/>
          </w:tcPr>
          <w:p>
            <w:pPr>
              <w:spacing w:after="0"/>
              <w:rPr>
                <w:sz w:val="8"/>
                <w:szCs w:val="8"/>
                <w:color w:val="auto"/>
              </w:rPr>
            </w:pPr>
          </w:p>
        </w:tc>
        <w:tc>
          <w:tcPr>
            <w:tcW w:w="820" w:type="dxa"/>
            <w:vAlign w:val="bottom"/>
            <w:tcBorders>
              <w:top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gridSpan w:val="5"/>
          </w:tcPr>
          <w:p>
            <w:pPr>
              <w:spacing w:after="0"/>
              <w:rPr>
                <w:sz w:val="8"/>
                <w:szCs w:val="8"/>
                <w:color w:val="auto"/>
              </w:rPr>
            </w:pPr>
          </w:p>
        </w:tc>
        <w:tc>
          <w:tcPr>
            <w:tcW w:w="220" w:type="dxa"/>
            <w:vAlign w:val="bottom"/>
            <w:gridSpan w:val="3"/>
          </w:tcPr>
          <w:p>
            <w:pPr>
              <w:spacing w:after="0"/>
              <w:rPr>
                <w:sz w:val="8"/>
                <w:szCs w:val="8"/>
                <w:color w:val="auto"/>
              </w:rPr>
            </w:pPr>
          </w:p>
        </w:tc>
        <w:tc>
          <w:tcPr>
            <w:tcW w:w="580" w:type="dxa"/>
            <w:vAlign w:val="bottom"/>
            <w:tcBorders>
              <w:top w:val="single" w:sz="8" w:color="auto"/>
            </w:tcBorders>
            <w:gridSpan w:val="6"/>
          </w:tcPr>
          <w:p>
            <w:pPr>
              <w:spacing w:after="0"/>
              <w:rPr>
                <w:sz w:val="8"/>
                <w:szCs w:val="8"/>
                <w:color w:val="auto"/>
              </w:rPr>
            </w:pPr>
          </w:p>
        </w:tc>
        <w:tc>
          <w:tcPr>
            <w:tcW w:w="80" w:type="dxa"/>
            <w:vAlign w:val="bottom"/>
            <w:gridSpan w:val="2"/>
          </w:tcPr>
          <w:p>
            <w:pPr>
              <w:spacing w:after="0"/>
              <w:rPr>
                <w:sz w:val="8"/>
                <w:szCs w:val="8"/>
                <w:color w:val="auto"/>
              </w:rPr>
            </w:pPr>
          </w:p>
        </w:tc>
        <w:tc>
          <w:tcPr>
            <w:tcW w:w="700" w:type="dxa"/>
            <w:vAlign w:val="bottom"/>
            <w:tcBorders>
              <w:top w:val="single" w:sz="8" w:color="auto"/>
            </w:tcBorders>
            <w:gridSpan w:val="7"/>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10"/>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top w:val="single" w:sz="8" w:color="auto"/>
            </w:tcBorders>
            <w:gridSpan w:val="9"/>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7"/>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top w:val="single" w:sz="8" w:color="auto"/>
            </w:tcBorders>
            <w:gridSpan w:val="9"/>
          </w:tcPr>
          <w:p>
            <w:pPr>
              <w:spacing w:after="0"/>
              <w:rPr>
                <w:sz w:val="8"/>
                <w:szCs w:val="8"/>
                <w:color w:val="auto"/>
              </w:rPr>
            </w:pPr>
          </w:p>
        </w:tc>
        <w:tc>
          <w:tcPr>
            <w:tcW w:w="240" w:type="dxa"/>
            <w:vAlign w:val="bottom"/>
            <w:gridSpan w:val="3"/>
          </w:tcPr>
          <w:p>
            <w:pPr>
              <w:spacing w:after="0"/>
              <w:rPr>
                <w:sz w:val="8"/>
                <w:szCs w:val="8"/>
                <w:color w:val="auto"/>
              </w:rPr>
            </w:pPr>
          </w:p>
        </w:tc>
        <w:tc>
          <w:tcPr>
            <w:tcW w:w="860" w:type="dxa"/>
            <w:vAlign w:val="bottom"/>
            <w:tcBorders>
              <w:top w:val="single" w:sz="8" w:color="auto"/>
            </w:tcBorders>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9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top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12"/>
            <w:shd w:val="clear" w:color="auto" w:fill="CCEEFF"/>
          </w:tcPr>
          <w:p>
            <w:pPr>
              <w:jc w:val="right"/>
              <w:ind w:right="60"/>
              <w:spacing w:after="0"/>
              <w:rPr>
                <w:sz w:val="20"/>
                <w:szCs w:val="20"/>
                <w:color w:val="auto"/>
              </w:rPr>
            </w:pPr>
            <w:r>
              <w:rPr>
                <w:rFonts w:ascii="Arial" w:cs="Arial" w:eastAsia="Arial" w:hAnsi="Arial"/>
                <w:sz w:val="18"/>
                <w:szCs w:val="18"/>
                <w:color w:val="auto"/>
              </w:rPr>
              <w:t>46% 734,796</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20.43</w:t>
            </w:r>
          </w:p>
        </w:tc>
        <w:tc>
          <w:tcPr>
            <w:tcW w:w="8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34"/>
              <w:spacing w:after="0"/>
              <w:rPr>
                <w:sz w:val="20"/>
                <w:szCs w:val="20"/>
                <w:color w:val="auto"/>
              </w:rPr>
            </w:pPr>
            <w:r>
              <w:rPr>
                <w:rFonts w:ascii="Arial" w:cs="Arial" w:eastAsia="Arial" w:hAnsi="Arial"/>
                <w:sz w:val="18"/>
                <w:szCs w:val="18"/>
                <w:color w:val="auto"/>
                <w:w w:val="88"/>
              </w:rPr>
              <w:t>16.95</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2"/>
              </w:rPr>
              <w:t>2,557,132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w w:val="94"/>
              </w:rPr>
              <w:t>29%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3"/>
              </w:rPr>
              <w:t>$ 14,399,897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gridSpan w:val="3"/>
          </w:tcPr>
          <w:p>
            <w:pPr>
              <w:spacing w:after="0"/>
              <w:rPr>
                <w:sz w:val="9"/>
                <w:szCs w:val="9"/>
                <w:color w:val="auto"/>
              </w:rPr>
            </w:pPr>
          </w:p>
        </w:tc>
        <w:tc>
          <w:tcPr>
            <w:tcW w:w="82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gridSpan w:val="5"/>
          </w:tcPr>
          <w:p>
            <w:pPr>
              <w:spacing w:after="0"/>
              <w:rPr>
                <w:sz w:val="9"/>
                <w:szCs w:val="9"/>
                <w:color w:val="auto"/>
              </w:rPr>
            </w:pPr>
          </w:p>
        </w:tc>
        <w:tc>
          <w:tcPr>
            <w:tcW w:w="220" w:type="dxa"/>
            <w:vAlign w:val="bottom"/>
            <w:gridSpan w:val="3"/>
          </w:tcPr>
          <w:p>
            <w:pPr>
              <w:spacing w:after="0"/>
              <w:rPr>
                <w:sz w:val="9"/>
                <w:szCs w:val="9"/>
                <w:color w:val="auto"/>
              </w:rPr>
            </w:pPr>
          </w:p>
        </w:tc>
        <w:tc>
          <w:tcPr>
            <w:tcW w:w="580" w:type="dxa"/>
            <w:vAlign w:val="bottom"/>
            <w:tcBorders>
              <w:bottom w:val="single" w:sz="8" w:color="auto"/>
            </w:tcBorders>
            <w:gridSpan w:val="6"/>
          </w:tcPr>
          <w:p>
            <w:pPr>
              <w:spacing w:after="0"/>
              <w:rPr>
                <w:sz w:val="9"/>
                <w:szCs w:val="9"/>
                <w:color w:val="auto"/>
              </w:rPr>
            </w:pPr>
          </w:p>
        </w:tc>
        <w:tc>
          <w:tcPr>
            <w:tcW w:w="80" w:type="dxa"/>
            <w:vAlign w:val="bottom"/>
            <w:gridSpan w:val="2"/>
          </w:tcPr>
          <w:p>
            <w:pPr>
              <w:spacing w:after="0"/>
              <w:rPr>
                <w:sz w:val="9"/>
                <w:szCs w:val="9"/>
                <w:color w:val="auto"/>
              </w:rPr>
            </w:pPr>
          </w:p>
        </w:tc>
        <w:tc>
          <w:tcPr>
            <w:tcW w:w="700" w:type="dxa"/>
            <w:vAlign w:val="bottom"/>
            <w:tcBorders>
              <w:bottom w:val="single" w:sz="8" w:color="auto"/>
            </w:tcBorders>
            <w:gridSpan w:val="7"/>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gridSpan w:val="10"/>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gridSpan w:val="9"/>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gridSpan w:val="7"/>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auto"/>
            </w:tcBorders>
            <w:gridSpan w:val="9"/>
          </w:tcPr>
          <w:p>
            <w:pPr>
              <w:spacing w:after="0"/>
              <w:rPr>
                <w:sz w:val="9"/>
                <w:szCs w:val="9"/>
                <w:color w:val="auto"/>
              </w:rPr>
            </w:pPr>
          </w:p>
        </w:tc>
        <w:tc>
          <w:tcPr>
            <w:tcW w:w="240" w:type="dxa"/>
            <w:vAlign w:val="bottom"/>
            <w:gridSpan w:val="3"/>
          </w:tcPr>
          <w:p>
            <w:pPr>
              <w:spacing w:after="0"/>
              <w:rPr>
                <w:sz w:val="9"/>
                <w:szCs w:val="9"/>
                <w:color w:val="auto"/>
              </w:rPr>
            </w:pPr>
          </w:p>
        </w:tc>
        <w:tc>
          <w:tcPr>
            <w:tcW w:w="860" w:type="dxa"/>
            <w:vAlign w:val="bottom"/>
            <w:tcBorders>
              <w:bottom w:val="single" w:sz="8" w:color="auto"/>
            </w:tcBorders>
            <w:gridSpan w:val="4"/>
          </w:tcPr>
          <w:p>
            <w:pPr>
              <w:spacing w:after="0"/>
              <w:rPr>
                <w:sz w:val="9"/>
                <w:szCs w:val="9"/>
                <w:color w:val="auto"/>
              </w:rPr>
            </w:pPr>
          </w:p>
        </w:tc>
        <w:tc>
          <w:tcPr>
            <w:tcW w:w="80" w:type="dxa"/>
            <w:vAlign w:val="bottom"/>
            <w:gridSpan w:val="2"/>
          </w:tcPr>
          <w:p>
            <w:pPr>
              <w:spacing w:after="0"/>
              <w:rPr>
                <w:sz w:val="9"/>
                <w:szCs w:val="9"/>
                <w:color w:val="auto"/>
              </w:rPr>
            </w:pPr>
          </w:p>
        </w:tc>
        <w:tc>
          <w:tcPr>
            <w:tcW w:w="9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860" w:type="dxa"/>
            <w:vAlign w:val="bottom"/>
            <w:gridSpan w:val="64"/>
          </w:tcPr>
          <w:p>
            <w:pPr>
              <w:spacing w:after="0"/>
              <w:rPr>
                <w:sz w:val="20"/>
                <w:szCs w:val="20"/>
                <w:color w:val="auto"/>
              </w:rPr>
            </w:pPr>
            <w:r>
              <w:rPr>
                <w:rFonts w:ascii="Arial" w:cs="Arial" w:eastAsia="Arial" w:hAnsi="Arial"/>
                <w:sz w:val="18"/>
                <w:szCs w:val="18"/>
                <w:b w:val="1"/>
                <w:bCs w:val="1"/>
                <w:color w:val="auto"/>
                <w:w w:val="96"/>
              </w:rPr>
              <w:t>Total Lease Summary - Comparable (2)</w:t>
            </w:r>
          </w:p>
        </w:tc>
        <w:tc>
          <w:tcPr>
            <w:tcW w:w="700" w:type="dxa"/>
            <w:vAlign w:val="bottom"/>
            <w:gridSpan w:val="7"/>
            <w:vMerge w:val="restart"/>
          </w:tcPr>
          <w:p>
            <w:pPr>
              <w:jc w:val="center"/>
              <w:ind w:right="72"/>
              <w:spacing w:after="0"/>
              <w:rPr>
                <w:sz w:val="20"/>
                <w:szCs w:val="20"/>
                <w:color w:val="auto"/>
              </w:rPr>
            </w:pPr>
            <w:r>
              <w:rPr>
                <w:rFonts w:ascii="Arial" w:cs="Arial" w:eastAsia="Arial" w:hAnsi="Arial"/>
                <w:sz w:val="14"/>
                <w:szCs w:val="14"/>
                <w:b w:val="1"/>
                <w:bCs w:val="1"/>
                <w:color w:val="auto"/>
                <w:w w:val="90"/>
              </w:rPr>
              <w:t>Straight-</w:t>
            </w:r>
          </w:p>
        </w:tc>
        <w:tc>
          <w:tcPr>
            <w:tcW w:w="28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gridSpan w:val="12"/>
          </w:tcPr>
          <w:p>
            <w:pPr>
              <w:spacing w:after="0"/>
              <w:rPr>
                <w:sz w:val="13"/>
                <w:szCs w:val="13"/>
                <w:color w:val="auto"/>
              </w:rPr>
            </w:pPr>
          </w:p>
        </w:tc>
        <w:tc>
          <w:tcPr>
            <w:tcW w:w="4880" w:type="dxa"/>
            <w:vAlign w:val="bottom"/>
            <w:gridSpan w:val="51"/>
          </w:tcPr>
          <w:p>
            <w:pPr>
              <w:spacing w:after="0"/>
              <w:rPr>
                <w:sz w:val="13"/>
                <w:szCs w:val="13"/>
                <w:color w:val="auto"/>
              </w:rPr>
            </w:pPr>
          </w:p>
        </w:tc>
        <w:tc>
          <w:tcPr>
            <w:tcW w:w="700" w:type="dxa"/>
            <w:vAlign w:val="bottom"/>
            <w:gridSpan w:val="7"/>
            <w:vMerge w:val="continue"/>
          </w:tcPr>
          <w:p>
            <w:pPr>
              <w:spacing w:after="0"/>
              <w:rPr>
                <w:sz w:val="13"/>
                <w:szCs w:val="13"/>
                <w:color w:val="auto"/>
              </w:rPr>
            </w:pPr>
          </w:p>
        </w:tc>
        <w:tc>
          <w:tcPr>
            <w:tcW w:w="28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40" w:type="dxa"/>
            <w:vAlign w:val="bottom"/>
            <w:gridSpan w:val="86"/>
          </w:tcPr>
          <w:p>
            <w:pPr>
              <w:spacing w:after="0"/>
              <w:rPr>
                <w:sz w:val="20"/>
                <w:szCs w:val="20"/>
                <w:color w:val="auto"/>
              </w:rPr>
            </w:pPr>
            <w:r>
              <w:rPr>
                <w:rFonts w:ascii="Arial" w:cs="Arial" w:eastAsia="Arial" w:hAnsi="Arial"/>
                <w:sz w:val="14"/>
                <w:szCs w:val="14"/>
                <w:b w:val="1"/>
                <w:bCs w:val="1"/>
                <w:color w:val="auto"/>
              </w:rPr>
              <w:t>lined</w:t>
            </w:r>
          </w:p>
        </w:tc>
        <w:tc>
          <w:tcPr>
            <w:tcW w:w="0" w:type="dxa"/>
            <w:vAlign w:val="bottom"/>
          </w:tcPr>
          <w:p>
            <w:pPr>
              <w:spacing w:after="0"/>
              <w:rPr>
                <w:sz w:val="1"/>
                <w:szCs w:val="1"/>
                <w:color w:val="auto"/>
              </w:rPr>
            </w:pPr>
          </w:p>
        </w:tc>
      </w:tr>
      <w:tr>
        <w:trPr>
          <w:trHeight w:val="149"/>
        </w:trPr>
        <w:tc>
          <w:tcPr>
            <w:tcW w:w="11440" w:type="dxa"/>
            <w:vAlign w:val="bottom"/>
            <w:gridSpan w:val="86"/>
          </w:tcPr>
          <w:p>
            <w:pPr>
              <w:spacing w:after="0"/>
              <w:rPr>
                <w:sz w:val="20"/>
                <w:szCs w:val="20"/>
                <w:color w:val="auto"/>
              </w:rPr>
            </w:pPr>
            <w:r>
              <w:rPr>
                <w:rFonts w:ascii="Arial" w:cs="Arial" w:eastAsia="Arial" w:hAnsi="Arial"/>
                <w:sz w:val="14"/>
                <w:szCs w:val="14"/>
                <w:b w:val="1"/>
                <w:bCs w:val="1"/>
                <w:color w:val="auto"/>
              </w:rPr>
              <w:t>Basis %</w:t>
            </w:r>
          </w:p>
        </w:tc>
        <w:tc>
          <w:tcPr>
            <w:tcW w:w="0" w:type="dxa"/>
            <w:vAlign w:val="bottom"/>
          </w:tcPr>
          <w:p>
            <w:pPr>
              <w:spacing w:after="0"/>
              <w:rPr>
                <w:sz w:val="1"/>
                <w:szCs w:val="1"/>
                <w:color w:val="auto"/>
              </w:rPr>
            </w:pPr>
          </w:p>
        </w:tc>
      </w:tr>
      <w:tr>
        <w:trPr>
          <w:trHeight w:val="149"/>
        </w:trPr>
        <w:tc>
          <w:tcPr>
            <w:tcW w:w="10680" w:type="dxa"/>
            <w:vAlign w:val="bottom"/>
            <w:gridSpan w:val="84"/>
          </w:tcPr>
          <w:p>
            <w:pPr>
              <w:spacing w:after="0"/>
              <w:rPr>
                <w:sz w:val="20"/>
                <w:szCs w:val="20"/>
                <w:color w:val="auto"/>
              </w:rPr>
            </w:pPr>
            <w:r>
              <w:rPr>
                <w:rFonts w:ascii="Arial" w:cs="Arial" w:eastAsia="Arial" w:hAnsi="Arial"/>
                <w:sz w:val="14"/>
                <w:szCs w:val="14"/>
                <w:b w:val="1"/>
                <w:bCs w:val="1"/>
                <w:color w:val="auto"/>
              </w:rPr>
              <w:t>Increase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6"/>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 of Total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9"/>
          </w:tcPr>
          <w:p>
            <w:pPr>
              <w:ind w:left="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9"/>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Cash Basis %</w:t>
            </w:r>
          </w:p>
        </w:tc>
        <w:tc>
          <w:tcPr>
            <w:tcW w:w="40" w:type="dxa"/>
            <w:vAlign w:val="bottom"/>
          </w:tcPr>
          <w:p>
            <w:pPr>
              <w:spacing w:after="0"/>
              <w:rPr>
                <w:sz w:val="12"/>
                <w:szCs w:val="12"/>
                <w:color w:val="auto"/>
              </w:rPr>
            </w:pPr>
          </w:p>
        </w:tc>
        <w:tc>
          <w:tcPr>
            <w:tcW w:w="640" w:type="dxa"/>
            <w:vAlign w:val="bottom"/>
            <w:gridSpan w:val="5"/>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Over</w:t>
            </w:r>
          </w:p>
        </w:tc>
        <w:tc>
          <w:tcPr>
            <w:tcW w:w="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5"/>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66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GLA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8"/>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Rent (3)</w:t>
            </w:r>
          </w:p>
        </w:tc>
        <w:tc>
          <w:tcPr>
            <w:tcW w:w="60" w:type="dxa"/>
            <w:vAlign w:val="bottom"/>
          </w:tcPr>
          <w:p>
            <w:pPr>
              <w:spacing w:after="0"/>
              <w:rPr>
                <w:sz w:val="12"/>
                <w:szCs w:val="12"/>
                <w:color w:val="auto"/>
              </w:rPr>
            </w:pPr>
          </w:p>
        </w:tc>
        <w:tc>
          <w:tcPr>
            <w:tcW w:w="860" w:type="dxa"/>
            <w:vAlign w:val="bottom"/>
            <w:gridSpan w:val="9"/>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Prior Rent (4)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84"/>
              </w:rPr>
              <w:t>Annual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9"/>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40" w:type="dxa"/>
            <w:vAlign w:val="bottom"/>
          </w:tcPr>
          <w:p>
            <w:pPr>
              <w:spacing w:after="0"/>
              <w:rPr>
                <w:sz w:val="12"/>
                <w:szCs w:val="12"/>
                <w:color w:val="auto"/>
              </w:rPr>
            </w:pPr>
          </w:p>
        </w:tc>
        <w:tc>
          <w:tcPr>
            <w:tcW w:w="640" w:type="dxa"/>
            <w:vAlign w:val="bottom"/>
            <w:gridSpan w:val="5"/>
          </w:tcPr>
          <w:p>
            <w:pPr>
              <w:jc w:val="center"/>
              <w:ind w:right="152"/>
              <w:spacing w:after="0" w:line="149" w:lineRule="exact"/>
              <w:rPr>
                <w:sz w:val="20"/>
                <w:szCs w:val="20"/>
                <w:color w:val="auto"/>
              </w:rPr>
            </w:pPr>
            <w:r>
              <w:rPr>
                <w:rFonts w:ascii="Arial" w:cs="Arial" w:eastAsia="Arial" w:hAnsi="Arial"/>
                <w:sz w:val="14"/>
                <w:szCs w:val="14"/>
                <w:b w:val="1"/>
                <w:bCs w:val="1"/>
                <w:color w:val="auto"/>
                <w:w w:val="91"/>
              </w:rPr>
              <w:t>Prior</w:t>
            </w:r>
          </w:p>
        </w:tc>
        <w:tc>
          <w:tcPr>
            <w:tcW w:w="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w w:val="81"/>
              </w:rPr>
              <w:t>Leases Signed</w:t>
            </w:r>
          </w:p>
        </w:tc>
        <w:tc>
          <w:tcPr>
            <w:tcW w:w="60" w:type="dxa"/>
            <w:vAlign w:val="bottom"/>
          </w:tcPr>
          <w:p>
            <w:pPr>
              <w:spacing w:after="0"/>
              <w:rPr>
                <w:sz w:val="15"/>
                <w:szCs w:val="15"/>
                <w:color w:val="auto"/>
              </w:rPr>
            </w:pPr>
          </w:p>
        </w:tc>
        <w:tc>
          <w:tcPr>
            <w:tcW w:w="6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Signed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7"/>
          </w:tcPr>
          <w:p>
            <w:pPr>
              <w:jc w:val="right"/>
              <w:ind w:right="92"/>
              <w:spacing w:after="0"/>
              <w:rPr>
                <w:sz w:val="20"/>
                <w:szCs w:val="20"/>
                <w:color w:val="auto"/>
              </w:rPr>
            </w:pPr>
            <w:r>
              <w:rPr>
                <w:rFonts w:ascii="Arial" w:cs="Arial" w:eastAsia="Arial" w:hAnsi="Arial"/>
                <w:sz w:val="14"/>
                <w:szCs w:val="14"/>
                <w:b w:val="1"/>
                <w:bCs w:val="1"/>
                <w:color w:val="auto"/>
              </w:rPr>
              <w:t>Signed</w:t>
            </w:r>
          </w:p>
        </w:tc>
        <w:tc>
          <w:tcPr>
            <w:tcW w:w="60" w:type="dxa"/>
            <w:vAlign w:val="bottom"/>
          </w:tcPr>
          <w:p>
            <w:pPr>
              <w:spacing w:after="0"/>
              <w:rPr>
                <w:sz w:val="15"/>
                <w:szCs w:val="15"/>
                <w:color w:val="auto"/>
              </w:rPr>
            </w:pPr>
          </w:p>
        </w:tc>
        <w:tc>
          <w:tcPr>
            <w:tcW w:w="7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92"/>
              </w:rPr>
              <w:t>Per Sq. Ft.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7"/>
          </w:tcPr>
          <w:p>
            <w:pPr>
              <w:spacing w:after="0"/>
              <w:rPr>
                <w:sz w:val="20"/>
                <w:szCs w:val="20"/>
                <w:color w:val="auto"/>
              </w:rPr>
            </w:pPr>
            <w:r>
              <w:rPr>
                <w:rFonts w:ascii="Arial" w:cs="Arial" w:eastAsia="Arial" w:hAnsi="Arial"/>
                <w:sz w:val="14"/>
                <w:szCs w:val="14"/>
                <w:b w:val="1"/>
                <w:bCs w:val="1"/>
                <w:color w:val="auto"/>
                <w:w w:val="85"/>
              </w:rPr>
              <w:t>Increase in Rent</w:t>
            </w:r>
          </w:p>
        </w:tc>
        <w:tc>
          <w:tcPr>
            <w:tcW w:w="60" w:type="dxa"/>
            <w:vAlign w:val="bottom"/>
          </w:tcPr>
          <w:p>
            <w:pPr>
              <w:spacing w:after="0"/>
              <w:rPr>
                <w:sz w:val="15"/>
                <w:szCs w:val="15"/>
                <w:color w:val="auto"/>
              </w:rPr>
            </w:pPr>
          </w:p>
        </w:tc>
        <w:tc>
          <w:tcPr>
            <w:tcW w:w="1060" w:type="dxa"/>
            <w:vAlign w:val="bottom"/>
            <w:gridSpan w:val="9"/>
          </w:tcPr>
          <w:p>
            <w:pPr>
              <w:jc w:val="center"/>
              <w:ind w:right="152"/>
              <w:spacing w:after="0"/>
              <w:rPr>
                <w:sz w:val="20"/>
                <w:szCs w:val="20"/>
                <w:color w:val="auto"/>
              </w:rPr>
            </w:pPr>
            <w:r>
              <w:rPr>
                <w:rFonts w:ascii="Arial" w:cs="Arial" w:eastAsia="Arial" w:hAnsi="Arial"/>
                <w:sz w:val="14"/>
                <w:szCs w:val="14"/>
                <w:b w:val="1"/>
                <w:bCs w:val="1"/>
                <w:color w:val="auto"/>
                <w:w w:val="88"/>
              </w:rPr>
              <w:t>Prior Rent</w:t>
            </w:r>
          </w:p>
        </w:tc>
        <w:tc>
          <w:tcPr>
            <w:tcW w:w="40" w:type="dxa"/>
            <w:vAlign w:val="bottom"/>
          </w:tcPr>
          <w:p>
            <w:pPr>
              <w:spacing w:after="0"/>
              <w:rPr>
                <w:sz w:val="15"/>
                <w:szCs w:val="15"/>
                <w:color w:val="auto"/>
              </w:rPr>
            </w:pPr>
          </w:p>
        </w:tc>
        <w:tc>
          <w:tcPr>
            <w:tcW w:w="640" w:type="dxa"/>
            <w:vAlign w:val="bottom"/>
            <w:gridSpan w:val="5"/>
          </w:tcPr>
          <w:p>
            <w:pPr>
              <w:jc w:val="center"/>
              <w:ind w:right="132"/>
              <w:spacing w:after="0"/>
              <w:rPr>
                <w:sz w:val="20"/>
                <w:szCs w:val="20"/>
                <w:color w:val="auto"/>
              </w:rPr>
            </w:pPr>
            <w:r>
              <w:rPr>
                <w:rFonts w:ascii="Arial" w:cs="Arial" w:eastAsia="Arial" w:hAnsi="Arial"/>
                <w:sz w:val="14"/>
                <w:szCs w:val="14"/>
                <w:b w:val="1"/>
                <w:bCs w:val="1"/>
                <w:color w:val="auto"/>
                <w:w w:val="89"/>
              </w:rPr>
              <w:t>Rent</w:t>
            </w:r>
          </w:p>
        </w:tc>
        <w:tc>
          <w:tcPr>
            <w:tcW w:w="60" w:type="dxa"/>
            <w:vAlign w:val="bottom"/>
          </w:tcPr>
          <w:p>
            <w:pPr>
              <w:spacing w:after="0"/>
              <w:rPr>
                <w:sz w:val="15"/>
                <w:szCs w:val="15"/>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Lease Term (5)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w w:val="94"/>
              </w:rPr>
              <w:t>&amp; Incentives (6)</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6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7"/>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26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6"/>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5"/>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20" w:type="dxa"/>
            <w:vAlign w:val="bottom"/>
            <w:gridSpan w:val="3"/>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140" w:type="dxa"/>
            <w:vAlign w:val="bottom"/>
            <w:gridSpan w:val="3"/>
          </w:tcPr>
          <w:p>
            <w:pPr>
              <w:spacing w:after="0"/>
              <w:rPr>
                <w:sz w:val="8"/>
                <w:szCs w:val="8"/>
                <w:color w:val="auto"/>
              </w:rPr>
            </w:pPr>
          </w:p>
        </w:tc>
        <w:tc>
          <w:tcPr>
            <w:tcW w:w="820" w:type="dxa"/>
            <w:vAlign w:val="bottom"/>
            <w:tcBorders>
              <w:top w:val="single" w:sz="8" w:color="auto"/>
            </w:tcBorders>
            <w:gridSpan w:val="5"/>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gridSpan w:val="5"/>
          </w:tcPr>
          <w:p>
            <w:pPr>
              <w:spacing w:after="0"/>
              <w:rPr>
                <w:sz w:val="8"/>
                <w:szCs w:val="8"/>
                <w:color w:val="auto"/>
              </w:rPr>
            </w:pPr>
          </w:p>
        </w:tc>
        <w:tc>
          <w:tcPr>
            <w:tcW w:w="220" w:type="dxa"/>
            <w:vAlign w:val="bottom"/>
            <w:gridSpan w:val="4"/>
          </w:tcPr>
          <w:p>
            <w:pPr>
              <w:spacing w:after="0"/>
              <w:rPr>
                <w:sz w:val="8"/>
                <w:szCs w:val="8"/>
                <w:color w:val="auto"/>
              </w:rPr>
            </w:pPr>
          </w:p>
        </w:tc>
        <w:tc>
          <w:tcPr>
            <w:tcW w:w="700" w:type="dxa"/>
            <w:vAlign w:val="bottom"/>
            <w:tcBorders>
              <w:top w:val="single" w:sz="8" w:color="auto"/>
            </w:tcBorders>
            <w:gridSpan w:val="7"/>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gridSpan w:val="8"/>
          </w:tcPr>
          <w:p>
            <w:pPr>
              <w:spacing w:after="0"/>
              <w:rPr>
                <w:sz w:val="8"/>
                <w:szCs w:val="8"/>
                <w:color w:val="auto"/>
              </w:rPr>
            </w:pPr>
          </w:p>
        </w:tc>
        <w:tc>
          <w:tcPr>
            <w:tcW w:w="80" w:type="dxa"/>
            <w:vAlign w:val="bottom"/>
            <w:gridSpan w:val="2"/>
          </w:tcPr>
          <w:p>
            <w:pPr>
              <w:spacing w:after="0"/>
              <w:rPr>
                <w:sz w:val="8"/>
                <w:szCs w:val="8"/>
                <w:color w:val="auto"/>
              </w:rPr>
            </w:pPr>
          </w:p>
        </w:tc>
        <w:tc>
          <w:tcPr>
            <w:tcW w:w="800" w:type="dxa"/>
            <w:vAlign w:val="bottom"/>
            <w:tcBorders>
              <w:top w:val="single" w:sz="8" w:color="auto"/>
            </w:tcBorders>
            <w:gridSpan w:val="8"/>
          </w:tcPr>
          <w:p>
            <w:pPr>
              <w:spacing w:after="0"/>
              <w:rPr>
                <w:sz w:val="8"/>
                <w:szCs w:val="8"/>
                <w:color w:val="auto"/>
              </w:rPr>
            </w:pPr>
          </w:p>
        </w:tc>
        <w:tc>
          <w:tcPr>
            <w:tcW w:w="80" w:type="dxa"/>
            <w:vAlign w:val="bottom"/>
            <w:gridSpan w:val="2"/>
          </w:tcPr>
          <w:p>
            <w:pPr>
              <w:spacing w:after="0"/>
              <w:rPr>
                <w:sz w:val="8"/>
                <w:szCs w:val="8"/>
                <w:color w:val="auto"/>
              </w:rPr>
            </w:pPr>
          </w:p>
        </w:tc>
        <w:tc>
          <w:tcPr>
            <w:tcW w:w="940" w:type="dxa"/>
            <w:vAlign w:val="bottom"/>
            <w:tcBorders>
              <w:top w:val="single" w:sz="8" w:color="auto"/>
            </w:tcBorders>
            <w:gridSpan w:val="7"/>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tcBorders>
            <w:gridSpan w:val="6"/>
          </w:tcPr>
          <w:p>
            <w:pPr>
              <w:spacing w:after="0"/>
              <w:rPr>
                <w:sz w:val="8"/>
                <w:szCs w:val="8"/>
                <w:color w:val="auto"/>
              </w:rPr>
            </w:pPr>
          </w:p>
        </w:tc>
        <w:tc>
          <w:tcPr>
            <w:tcW w:w="200" w:type="dxa"/>
            <w:vAlign w:val="bottom"/>
            <w:gridSpan w:val="2"/>
          </w:tcPr>
          <w:p>
            <w:pPr>
              <w:spacing w:after="0"/>
              <w:rPr>
                <w:sz w:val="8"/>
                <w:szCs w:val="8"/>
                <w:color w:val="auto"/>
              </w:rPr>
            </w:pPr>
          </w:p>
        </w:tc>
        <w:tc>
          <w:tcPr>
            <w:tcW w:w="540" w:type="dxa"/>
            <w:vAlign w:val="bottom"/>
            <w:tcBorders>
              <w:top w:val="single" w:sz="8" w:color="auto"/>
            </w:tcBorders>
            <w:gridSpan w:val="6"/>
          </w:tcPr>
          <w:p>
            <w:pPr>
              <w:spacing w:after="0"/>
              <w:rPr>
                <w:sz w:val="8"/>
                <w:szCs w:val="8"/>
                <w:color w:val="auto"/>
              </w:rPr>
            </w:pPr>
          </w:p>
        </w:tc>
        <w:tc>
          <w:tcPr>
            <w:tcW w:w="220" w:type="dxa"/>
            <w:vAlign w:val="bottom"/>
            <w:gridSpan w:val="2"/>
          </w:tcPr>
          <w:p>
            <w:pPr>
              <w:spacing w:after="0"/>
              <w:rPr>
                <w:sz w:val="8"/>
                <w:szCs w:val="8"/>
                <w:color w:val="auto"/>
              </w:rPr>
            </w:pPr>
          </w:p>
        </w:tc>
        <w:tc>
          <w:tcPr>
            <w:tcW w:w="860" w:type="dxa"/>
            <w:vAlign w:val="bottom"/>
            <w:tcBorders>
              <w:top w:val="single" w:sz="8" w:color="auto"/>
            </w:tcBorders>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9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top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53</w:t>
            </w:r>
          </w:p>
        </w:tc>
        <w:tc>
          <w:tcPr>
            <w:tcW w:w="84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225,082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8"/>
            <w:shd w:val="clear" w:color="auto" w:fill="CCEEFF"/>
          </w:tcPr>
          <w:p>
            <w:pPr>
              <w:jc w:val="center"/>
              <w:ind w:left="174"/>
              <w:spacing w:after="0"/>
              <w:rPr>
                <w:sz w:val="20"/>
                <w:szCs w:val="20"/>
                <w:color w:val="auto"/>
              </w:rPr>
            </w:pPr>
            <w:r>
              <w:rPr>
                <w:rFonts w:ascii="Arial" w:cs="Arial" w:eastAsia="Arial" w:hAnsi="Arial"/>
                <w:sz w:val="18"/>
                <w:szCs w:val="18"/>
                <w:color w:val="auto"/>
                <w:w w:val="84"/>
              </w:rPr>
              <w:t>22.61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735,122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88"/>
              </w:rPr>
              <w:t>25%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1,785,819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4th Quarter 2004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87</w:t>
            </w:r>
          </w:p>
        </w:tc>
        <w:tc>
          <w:tcPr>
            <w:tcW w:w="840" w:type="dxa"/>
            <w:vAlign w:val="bottom"/>
            <w:gridSpan w:val="9"/>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398,112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22.18</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8"/>
          </w:tcPr>
          <w:p>
            <w:pPr>
              <w:jc w:val="center"/>
              <w:ind w:left="174"/>
              <w:spacing w:after="0"/>
              <w:rPr>
                <w:sz w:val="20"/>
                <w:szCs w:val="20"/>
                <w:color w:val="auto"/>
              </w:rPr>
            </w:pPr>
            <w:r>
              <w:rPr>
                <w:rFonts w:ascii="Arial" w:cs="Arial" w:eastAsia="Arial" w:hAnsi="Arial"/>
                <w:sz w:val="18"/>
                <w:szCs w:val="18"/>
                <w:color w:val="auto"/>
                <w:w w:val="84"/>
              </w:rPr>
              <w:t>18.75</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w w:val="99"/>
              </w:rPr>
              <w:t>1,363,703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5"/>
          </w:tcPr>
          <w:p>
            <w:pPr>
              <w:ind w:left="300"/>
              <w:spacing w:after="0"/>
              <w:rPr>
                <w:sz w:val="20"/>
                <w:szCs w:val="20"/>
                <w:color w:val="auto"/>
              </w:rPr>
            </w:pPr>
            <w:r>
              <w:rPr>
                <w:rFonts w:ascii="Arial" w:cs="Arial" w:eastAsia="Arial" w:hAnsi="Arial"/>
                <w:sz w:val="18"/>
                <w:szCs w:val="18"/>
                <w:color w:val="auto"/>
                <w:w w:val="88"/>
              </w:rPr>
              <w:t>30%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4,009,325</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77</w:t>
            </w:r>
          </w:p>
        </w:tc>
        <w:tc>
          <w:tcPr>
            <w:tcW w:w="84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408,925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8"/>
            <w:shd w:val="clear" w:color="auto" w:fill="CCEEFF"/>
          </w:tcPr>
          <w:p>
            <w:pPr>
              <w:jc w:val="center"/>
              <w:ind w:left="174"/>
              <w:spacing w:after="0"/>
              <w:rPr>
                <w:sz w:val="20"/>
                <w:szCs w:val="20"/>
                <w:color w:val="auto"/>
              </w:rPr>
            </w:pPr>
            <w:r>
              <w:rPr>
                <w:rFonts w:ascii="Arial" w:cs="Arial" w:eastAsia="Arial" w:hAnsi="Arial"/>
                <w:sz w:val="18"/>
                <w:szCs w:val="18"/>
                <w:color w:val="auto"/>
                <w:w w:val="84"/>
              </w:rPr>
              <w:t>18.69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9"/>
              </w:rPr>
              <w:t>1,685,758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88"/>
              </w:rPr>
              <w:t>33%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5,492,600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7"/>
              </w:rPr>
              <w:t>2nd Quarter 2004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82</w:t>
            </w:r>
          </w:p>
        </w:tc>
        <w:tc>
          <w:tcPr>
            <w:tcW w:w="840" w:type="dxa"/>
            <w:vAlign w:val="bottom"/>
            <w:gridSpan w:val="9"/>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481,105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19.89</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8"/>
          </w:tcPr>
          <w:p>
            <w:pPr>
              <w:jc w:val="center"/>
              <w:ind w:left="174"/>
              <w:spacing w:after="0"/>
              <w:rPr>
                <w:sz w:val="20"/>
                <w:szCs w:val="20"/>
                <w:color w:val="auto"/>
              </w:rPr>
            </w:pPr>
            <w:r>
              <w:rPr>
                <w:rFonts w:ascii="Arial" w:cs="Arial" w:eastAsia="Arial" w:hAnsi="Arial"/>
                <w:sz w:val="18"/>
                <w:szCs w:val="18"/>
                <w:color w:val="auto"/>
                <w:w w:val="84"/>
              </w:rPr>
              <w:t>17.47</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w w:val="99"/>
              </w:rPr>
              <w:t>1,162,429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5"/>
          </w:tcPr>
          <w:p>
            <w:pPr>
              <w:ind w:left="300"/>
              <w:spacing w:after="0"/>
              <w:rPr>
                <w:sz w:val="20"/>
                <w:szCs w:val="20"/>
                <w:color w:val="auto"/>
              </w:rPr>
            </w:pPr>
            <w:r>
              <w:rPr>
                <w:rFonts w:ascii="Arial" w:cs="Arial" w:eastAsia="Arial" w:hAnsi="Arial"/>
                <w:sz w:val="18"/>
                <w:szCs w:val="18"/>
                <w:color w:val="auto"/>
                <w:w w:val="88"/>
              </w:rPr>
              <w:t>21%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4,224,780</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820" w:type="dxa"/>
            <w:vAlign w:val="bottom"/>
            <w:gridSpan w:val="5"/>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220" w:type="dxa"/>
            <w:vAlign w:val="bottom"/>
            <w:gridSpan w:val="4"/>
          </w:tcPr>
          <w:p>
            <w:pPr>
              <w:spacing w:after="0"/>
              <w:rPr>
                <w:sz w:val="8"/>
                <w:szCs w:val="8"/>
                <w:color w:val="auto"/>
              </w:rPr>
            </w:pPr>
          </w:p>
        </w:tc>
        <w:tc>
          <w:tcPr>
            <w:tcW w:w="700" w:type="dxa"/>
            <w:vAlign w:val="bottom"/>
            <w:gridSpan w:val="7"/>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26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6"/>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5"/>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800" w:type="dxa"/>
            <w:vAlign w:val="bottom"/>
            <w:gridSpan w:val="4"/>
          </w:tcPr>
          <w:p>
            <w:pPr>
              <w:spacing w:after="0"/>
              <w:rPr>
                <w:sz w:val="8"/>
                <w:szCs w:val="8"/>
                <w:color w:val="auto"/>
              </w:rPr>
            </w:pPr>
          </w:p>
        </w:tc>
        <w:tc>
          <w:tcPr>
            <w:tcW w:w="2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gridSpan w:val="4"/>
          </w:tcPr>
          <w:p>
            <w:pPr>
              <w:spacing w:after="0"/>
              <w:rPr>
                <w:sz w:val="8"/>
                <w:szCs w:val="8"/>
                <w:color w:val="auto"/>
              </w:rPr>
            </w:pPr>
          </w:p>
        </w:tc>
        <w:tc>
          <w:tcPr>
            <w:tcW w:w="820" w:type="dxa"/>
            <w:vAlign w:val="bottom"/>
            <w:tcBorders>
              <w:top w:val="single" w:sz="8" w:color="auto"/>
            </w:tcBorders>
            <w:gridSpan w:val="5"/>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gridSpan w:val="5"/>
          </w:tcPr>
          <w:p>
            <w:pPr>
              <w:spacing w:after="0"/>
              <w:rPr>
                <w:sz w:val="8"/>
                <w:szCs w:val="8"/>
                <w:color w:val="auto"/>
              </w:rPr>
            </w:pPr>
          </w:p>
        </w:tc>
        <w:tc>
          <w:tcPr>
            <w:tcW w:w="220" w:type="dxa"/>
            <w:vAlign w:val="bottom"/>
            <w:gridSpan w:val="4"/>
          </w:tcPr>
          <w:p>
            <w:pPr>
              <w:spacing w:after="0"/>
              <w:rPr>
                <w:sz w:val="8"/>
                <w:szCs w:val="8"/>
                <w:color w:val="auto"/>
              </w:rPr>
            </w:pPr>
          </w:p>
        </w:tc>
        <w:tc>
          <w:tcPr>
            <w:tcW w:w="700" w:type="dxa"/>
            <w:vAlign w:val="bottom"/>
            <w:tcBorders>
              <w:top w:val="single" w:sz="8" w:color="auto"/>
            </w:tcBorders>
            <w:gridSpan w:val="7"/>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gridSpan w:val="8"/>
          </w:tcPr>
          <w:p>
            <w:pPr>
              <w:spacing w:after="0"/>
              <w:rPr>
                <w:sz w:val="8"/>
                <w:szCs w:val="8"/>
                <w:color w:val="auto"/>
              </w:rPr>
            </w:pPr>
          </w:p>
        </w:tc>
        <w:tc>
          <w:tcPr>
            <w:tcW w:w="80" w:type="dxa"/>
            <w:vAlign w:val="bottom"/>
            <w:gridSpan w:val="2"/>
          </w:tcPr>
          <w:p>
            <w:pPr>
              <w:spacing w:after="0"/>
              <w:rPr>
                <w:sz w:val="8"/>
                <w:szCs w:val="8"/>
                <w:color w:val="auto"/>
              </w:rPr>
            </w:pPr>
          </w:p>
        </w:tc>
        <w:tc>
          <w:tcPr>
            <w:tcW w:w="800" w:type="dxa"/>
            <w:vAlign w:val="bottom"/>
            <w:tcBorders>
              <w:top w:val="single" w:sz="8" w:color="auto"/>
            </w:tcBorders>
            <w:gridSpan w:val="8"/>
          </w:tcPr>
          <w:p>
            <w:pPr>
              <w:spacing w:after="0"/>
              <w:rPr>
                <w:sz w:val="8"/>
                <w:szCs w:val="8"/>
                <w:color w:val="auto"/>
              </w:rPr>
            </w:pPr>
          </w:p>
        </w:tc>
        <w:tc>
          <w:tcPr>
            <w:tcW w:w="80" w:type="dxa"/>
            <w:vAlign w:val="bottom"/>
            <w:gridSpan w:val="2"/>
          </w:tcPr>
          <w:p>
            <w:pPr>
              <w:spacing w:after="0"/>
              <w:rPr>
                <w:sz w:val="8"/>
                <w:szCs w:val="8"/>
                <w:color w:val="auto"/>
              </w:rPr>
            </w:pPr>
          </w:p>
        </w:tc>
        <w:tc>
          <w:tcPr>
            <w:tcW w:w="940" w:type="dxa"/>
            <w:vAlign w:val="bottom"/>
            <w:tcBorders>
              <w:top w:val="single" w:sz="8" w:color="auto"/>
            </w:tcBorders>
            <w:gridSpan w:val="7"/>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tcBorders>
            <w:gridSpan w:val="6"/>
          </w:tcPr>
          <w:p>
            <w:pPr>
              <w:spacing w:after="0"/>
              <w:rPr>
                <w:sz w:val="8"/>
                <w:szCs w:val="8"/>
                <w:color w:val="auto"/>
              </w:rPr>
            </w:pPr>
          </w:p>
        </w:tc>
        <w:tc>
          <w:tcPr>
            <w:tcW w:w="200" w:type="dxa"/>
            <w:vAlign w:val="bottom"/>
            <w:gridSpan w:val="2"/>
          </w:tcPr>
          <w:p>
            <w:pPr>
              <w:spacing w:after="0"/>
              <w:rPr>
                <w:sz w:val="8"/>
                <w:szCs w:val="8"/>
                <w:color w:val="auto"/>
              </w:rPr>
            </w:pPr>
          </w:p>
        </w:tc>
        <w:tc>
          <w:tcPr>
            <w:tcW w:w="540" w:type="dxa"/>
            <w:vAlign w:val="bottom"/>
            <w:tcBorders>
              <w:top w:val="single" w:sz="8" w:color="auto"/>
            </w:tcBorders>
            <w:gridSpan w:val="6"/>
          </w:tcPr>
          <w:p>
            <w:pPr>
              <w:spacing w:after="0"/>
              <w:rPr>
                <w:sz w:val="8"/>
                <w:szCs w:val="8"/>
                <w:color w:val="auto"/>
              </w:rPr>
            </w:pPr>
          </w:p>
        </w:tc>
        <w:tc>
          <w:tcPr>
            <w:tcW w:w="220" w:type="dxa"/>
            <w:vAlign w:val="bottom"/>
            <w:gridSpan w:val="2"/>
          </w:tcPr>
          <w:p>
            <w:pPr>
              <w:spacing w:after="0"/>
              <w:rPr>
                <w:sz w:val="8"/>
                <w:szCs w:val="8"/>
                <w:color w:val="auto"/>
              </w:rPr>
            </w:pPr>
          </w:p>
        </w:tc>
        <w:tc>
          <w:tcPr>
            <w:tcW w:w="860" w:type="dxa"/>
            <w:vAlign w:val="bottom"/>
            <w:tcBorders>
              <w:top w:val="single" w:sz="8" w:color="auto"/>
            </w:tcBorders>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9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top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10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0" w:type="dxa"/>
            <w:vAlign w:val="bottom"/>
            <w:gridSpan w:val="17"/>
            <w:shd w:val="clear" w:color="auto" w:fill="CCEEFF"/>
          </w:tcPr>
          <w:p>
            <w:pPr>
              <w:jc w:val="right"/>
              <w:spacing w:after="0"/>
              <w:rPr>
                <w:sz w:val="20"/>
                <w:szCs w:val="20"/>
                <w:color w:val="auto"/>
              </w:rPr>
            </w:pPr>
            <w:r>
              <w:rPr>
                <w:rFonts w:ascii="Arial" w:cs="Arial" w:eastAsia="Arial" w:hAnsi="Arial"/>
                <w:sz w:val="18"/>
                <w:szCs w:val="18"/>
                <w:color w:val="auto"/>
              </w:rPr>
              <w:t>100% 1,513,224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8"/>
            <w:shd w:val="clear" w:color="auto" w:fill="CCEEFF"/>
          </w:tcPr>
          <w:p>
            <w:pPr>
              <w:jc w:val="center"/>
              <w:ind w:left="174"/>
              <w:spacing w:after="0"/>
              <w:rPr>
                <w:sz w:val="20"/>
                <w:szCs w:val="20"/>
                <w:color w:val="auto"/>
              </w:rPr>
            </w:pPr>
            <w:r>
              <w:rPr>
                <w:rFonts w:ascii="Arial" w:cs="Arial" w:eastAsia="Arial" w:hAnsi="Arial"/>
                <w:sz w:val="18"/>
                <w:szCs w:val="18"/>
                <w:color w:val="auto"/>
                <w:w w:val="84"/>
              </w:rPr>
              <w:t>18.90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9"/>
              </w:rPr>
              <w:t>4,947,012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88"/>
              </w:rPr>
              <w:t>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3"/>
              </w:rPr>
              <w:t>$ 15,512,524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gridSpan w:val="5"/>
          </w:tcPr>
          <w:p>
            <w:pPr>
              <w:spacing w:after="0"/>
              <w:rPr>
                <w:sz w:val="9"/>
                <w:szCs w:val="9"/>
                <w:color w:val="auto"/>
              </w:rPr>
            </w:pPr>
          </w:p>
        </w:tc>
        <w:tc>
          <w:tcPr>
            <w:tcW w:w="820" w:type="dxa"/>
            <w:vAlign w:val="bottom"/>
            <w:tcBorders>
              <w:bottom w:val="single" w:sz="8" w:color="auto"/>
            </w:tcBorders>
            <w:gridSpan w:val="5"/>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gridSpan w:val="5"/>
          </w:tcPr>
          <w:p>
            <w:pPr>
              <w:spacing w:after="0"/>
              <w:rPr>
                <w:sz w:val="9"/>
                <w:szCs w:val="9"/>
                <w:color w:val="auto"/>
              </w:rPr>
            </w:pPr>
          </w:p>
        </w:tc>
        <w:tc>
          <w:tcPr>
            <w:tcW w:w="220" w:type="dxa"/>
            <w:vAlign w:val="bottom"/>
            <w:gridSpan w:val="4"/>
          </w:tcPr>
          <w:p>
            <w:pPr>
              <w:spacing w:after="0"/>
              <w:rPr>
                <w:sz w:val="9"/>
                <w:szCs w:val="9"/>
                <w:color w:val="auto"/>
              </w:rPr>
            </w:pPr>
          </w:p>
        </w:tc>
        <w:tc>
          <w:tcPr>
            <w:tcW w:w="700" w:type="dxa"/>
            <w:vAlign w:val="bottom"/>
            <w:tcBorders>
              <w:bottom w:val="single" w:sz="8" w:color="auto"/>
            </w:tcBorders>
            <w:gridSpan w:val="7"/>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gridSpan w:val="8"/>
          </w:tcPr>
          <w:p>
            <w:pPr>
              <w:spacing w:after="0"/>
              <w:rPr>
                <w:sz w:val="9"/>
                <w:szCs w:val="9"/>
                <w:color w:val="auto"/>
              </w:rPr>
            </w:pPr>
          </w:p>
        </w:tc>
        <w:tc>
          <w:tcPr>
            <w:tcW w:w="80" w:type="dxa"/>
            <w:vAlign w:val="bottom"/>
            <w:gridSpan w:val="2"/>
          </w:tcPr>
          <w:p>
            <w:pPr>
              <w:spacing w:after="0"/>
              <w:rPr>
                <w:sz w:val="9"/>
                <w:szCs w:val="9"/>
                <w:color w:val="auto"/>
              </w:rPr>
            </w:pPr>
          </w:p>
        </w:tc>
        <w:tc>
          <w:tcPr>
            <w:tcW w:w="800" w:type="dxa"/>
            <w:vAlign w:val="bottom"/>
            <w:tcBorders>
              <w:bottom w:val="single" w:sz="8" w:color="auto"/>
            </w:tcBorders>
            <w:gridSpan w:val="8"/>
          </w:tcPr>
          <w:p>
            <w:pPr>
              <w:spacing w:after="0"/>
              <w:rPr>
                <w:sz w:val="9"/>
                <w:szCs w:val="9"/>
                <w:color w:val="auto"/>
              </w:rPr>
            </w:pPr>
          </w:p>
        </w:tc>
        <w:tc>
          <w:tcPr>
            <w:tcW w:w="80" w:type="dxa"/>
            <w:vAlign w:val="bottom"/>
            <w:gridSpan w:val="2"/>
          </w:tcPr>
          <w:p>
            <w:pPr>
              <w:spacing w:after="0"/>
              <w:rPr>
                <w:sz w:val="9"/>
                <w:szCs w:val="9"/>
                <w:color w:val="auto"/>
              </w:rPr>
            </w:pPr>
          </w:p>
        </w:tc>
        <w:tc>
          <w:tcPr>
            <w:tcW w:w="940" w:type="dxa"/>
            <w:vAlign w:val="bottom"/>
            <w:tcBorders>
              <w:bottom w:val="single" w:sz="8" w:color="auto"/>
            </w:tcBorders>
            <w:gridSpan w:val="7"/>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bottom w:val="single" w:sz="8" w:color="auto"/>
            </w:tcBorders>
            <w:gridSpan w:val="6"/>
          </w:tcPr>
          <w:p>
            <w:pPr>
              <w:spacing w:after="0"/>
              <w:rPr>
                <w:sz w:val="9"/>
                <w:szCs w:val="9"/>
                <w:color w:val="auto"/>
              </w:rPr>
            </w:pPr>
          </w:p>
        </w:tc>
        <w:tc>
          <w:tcPr>
            <w:tcW w:w="200" w:type="dxa"/>
            <w:vAlign w:val="bottom"/>
            <w:gridSpan w:val="2"/>
          </w:tcPr>
          <w:p>
            <w:pPr>
              <w:spacing w:after="0"/>
              <w:rPr>
                <w:sz w:val="9"/>
                <w:szCs w:val="9"/>
                <w:color w:val="auto"/>
              </w:rPr>
            </w:pPr>
          </w:p>
        </w:tc>
        <w:tc>
          <w:tcPr>
            <w:tcW w:w="540" w:type="dxa"/>
            <w:vAlign w:val="bottom"/>
            <w:tcBorders>
              <w:bottom w:val="single" w:sz="8" w:color="auto"/>
            </w:tcBorders>
            <w:gridSpan w:val="6"/>
          </w:tcPr>
          <w:p>
            <w:pPr>
              <w:spacing w:after="0"/>
              <w:rPr>
                <w:sz w:val="9"/>
                <w:szCs w:val="9"/>
                <w:color w:val="auto"/>
              </w:rPr>
            </w:pPr>
          </w:p>
        </w:tc>
        <w:tc>
          <w:tcPr>
            <w:tcW w:w="220" w:type="dxa"/>
            <w:vAlign w:val="bottom"/>
            <w:gridSpan w:val="2"/>
          </w:tcPr>
          <w:p>
            <w:pPr>
              <w:spacing w:after="0"/>
              <w:rPr>
                <w:sz w:val="9"/>
                <w:szCs w:val="9"/>
                <w:color w:val="auto"/>
              </w:rPr>
            </w:pPr>
          </w:p>
        </w:tc>
        <w:tc>
          <w:tcPr>
            <w:tcW w:w="860" w:type="dxa"/>
            <w:vAlign w:val="bottom"/>
            <w:tcBorders>
              <w:bottom w:val="single" w:sz="8" w:color="auto"/>
            </w:tcBorders>
            <w:gridSpan w:val="4"/>
          </w:tcPr>
          <w:p>
            <w:pPr>
              <w:spacing w:after="0"/>
              <w:rPr>
                <w:sz w:val="9"/>
                <w:szCs w:val="9"/>
                <w:color w:val="auto"/>
              </w:rPr>
            </w:pPr>
          </w:p>
        </w:tc>
        <w:tc>
          <w:tcPr>
            <w:tcW w:w="80" w:type="dxa"/>
            <w:vAlign w:val="bottom"/>
            <w:gridSpan w:val="2"/>
          </w:tcPr>
          <w:p>
            <w:pPr>
              <w:spacing w:after="0"/>
              <w:rPr>
                <w:sz w:val="9"/>
                <w:szCs w:val="9"/>
                <w:color w:val="auto"/>
              </w:rPr>
            </w:pPr>
          </w:p>
        </w:tc>
        <w:tc>
          <w:tcPr>
            <w:tcW w:w="92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4680" w:type="dxa"/>
            <w:vAlign w:val="bottom"/>
            <w:gridSpan w:val="34"/>
          </w:tcPr>
          <w:p>
            <w:pPr>
              <w:spacing w:after="0"/>
              <w:rPr>
                <w:sz w:val="20"/>
                <w:szCs w:val="20"/>
                <w:color w:val="auto"/>
              </w:rPr>
            </w:pPr>
            <w:r>
              <w:rPr>
                <w:rFonts w:ascii="Arial" w:cs="Arial" w:eastAsia="Arial" w:hAnsi="Arial"/>
                <w:sz w:val="18"/>
                <w:szCs w:val="18"/>
                <w:b w:val="1"/>
                <w:bCs w:val="1"/>
                <w:color w:val="auto"/>
                <w:w w:val="90"/>
              </w:rPr>
              <w:t>Total Lease Summary - Comparable and Non-comparable (2)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80" w:type="dxa"/>
            <w:vAlign w:val="bottom"/>
            <w:tcBorders>
              <w:top w:val="single" w:sz="8" w:color="auto"/>
            </w:tcBorders>
            <w:gridSpan w:val="31"/>
          </w:tcPr>
          <w:p>
            <w:pPr>
              <w:spacing w:after="0"/>
              <w:rPr>
                <w:sz w:val="24"/>
                <w:szCs w:val="24"/>
                <w:color w:val="auto"/>
              </w:rPr>
            </w:pPr>
          </w:p>
        </w:tc>
        <w:tc>
          <w:tcPr>
            <w:tcW w:w="6840" w:type="dxa"/>
            <w:vAlign w:val="bottom"/>
            <w:gridSpan w:val="54"/>
          </w:tcPr>
          <w:p>
            <w:pPr>
              <w:spacing w:after="0"/>
              <w:rPr>
                <w:sz w:val="20"/>
                <w:szCs w:val="20"/>
                <w:color w:val="auto"/>
              </w:rPr>
            </w:pPr>
            <w:r>
              <w:rPr>
                <w:rFonts w:ascii="Arial" w:cs="Arial" w:eastAsia="Arial" w:hAnsi="Arial"/>
                <w:sz w:val="14"/>
                <w:szCs w:val="14"/>
                <w:b w:val="1"/>
                <w:bCs w:val="1"/>
                <w:color w:val="auto"/>
              </w:rPr>
              <w:t>Tenant</w:t>
            </w:r>
          </w:p>
        </w:tc>
        <w:tc>
          <w:tcPr>
            <w:tcW w:w="0" w:type="dxa"/>
            <w:vAlign w:val="bottom"/>
          </w:tcPr>
          <w:p>
            <w:pPr>
              <w:spacing w:after="0"/>
              <w:rPr>
                <w:sz w:val="1"/>
                <w:szCs w:val="1"/>
                <w:color w:val="auto"/>
              </w:rPr>
            </w:pPr>
          </w:p>
        </w:tc>
      </w:tr>
      <w:tr>
        <w:trPr>
          <w:trHeight w:val="149"/>
        </w:trPr>
        <w:tc>
          <w:tcPr>
            <w:tcW w:w="8320" w:type="dxa"/>
            <w:vAlign w:val="bottom"/>
            <w:gridSpan w:val="68"/>
          </w:tcPr>
          <w:p>
            <w:pPr>
              <w:spacing w:after="0"/>
              <w:rPr>
                <w:sz w:val="20"/>
                <w:szCs w:val="20"/>
                <w:color w:val="auto"/>
              </w:rPr>
            </w:pPr>
            <w:r>
              <w:rPr>
                <w:rFonts w:ascii="Arial" w:cs="Arial" w:eastAsia="Arial" w:hAnsi="Arial"/>
                <w:sz w:val="14"/>
                <w:szCs w:val="14"/>
                <w:b w:val="1"/>
                <w:bCs w:val="1"/>
                <w:color w:val="auto"/>
              </w:rPr>
              <w:t>Contractual</w:t>
            </w:r>
          </w:p>
        </w:tc>
        <w:tc>
          <w:tcPr>
            <w:tcW w:w="1240" w:type="dxa"/>
            <w:vAlign w:val="bottom"/>
            <w:gridSpan w:val="10"/>
          </w:tcPr>
          <w:p>
            <w:pPr>
              <w:jc w:val="right"/>
              <w:ind w:right="572"/>
              <w:spacing w:after="0" w:line="149"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7320" w:type="dxa"/>
            <w:vAlign w:val="bottom"/>
            <w:gridSpan w:val="59"/>
          </w:tcPr>
          <w:p>
            <w:pPr>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11"/>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Rent (3)</w:t>
            </w:r>
          </w:p>
        </w:tc>
        <w:tc>
          <w:tcPr>
            <w:tcW w:w="960" w:type="dxa"/>
            <w:vAlign w:val="bottom"/>
            <w:gridSpan w:val="4"/>
          </w:tcPr>
          <w:p>
            <w:pPr>
              <w:jc w:val="right"/>
              <w:ind w:right="392"/>
              <w:spacing w:after="0" w:line="149" w:lineRule="exact"/>
              <w:rPr>
                <w:sz w:val="20"/>
                <w:szCs w:val="20"/>
                <w:color w:val="auto"/>
              </w:rPr>
            </w:pPr>
            <w:r>
              <w:rPr>
                <w:rFonts w:ascii="Arial" w:cs="Arial" w:eastAsia="Arial" w:hAnsi="Arial"/>
                <w:sz w:val="14"/>
                <w:szCs w:val="14"/>
                <w:b w:val="1"/>
                <w:bCs w:val="1"/>
                <w:color w:val="auto"/>
                <w:w w:val="83"/>
              </w:rPr>
              <w:t>Average</w:t>
            </w:r>
          </w:p>
        </w:tc>
        <w:tc>
          <w:tcPr>
            <w:tcW w:w="1200" w:type="dxa"/>
            <w:vAlign w:val="bottom"/>
            <w:gridSpan w:val="9"/>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9"/>
          </w:tcPr>
          <w:p>
            <w:pPr>
              <w:jc w:val="center"/>
              <w:spacing w:after="0"/>
              <w:rPr>
                <w:sz w:val="20"/>
                <w:szCs w:val="20"/>
                <w:color w:val="auto"/>
              </w:rPr>
            </w:pPr>
            <w:r>
              <w:rPr>
                <w:rFonts w:ascii="Arial" w:cs="Arial" w:eastAsia="Arial" w:hAnsi="Arial"/>
                <w:sz w:val="14"/>
                <w:szCs w:val="14"/>
                <w:b w:val="1"/>
                <w:bCs w:val="1"/>
                <w:color w:val="auto"/>
                <w:w w:val="83"/>
              </w:rPr>
              <w:t>Leases Signed</w:t>
            </w:r>
          </w:p>
        </w:tc>
        <w:tc>
          <w:tcPr>
            <w:tcW w:w="280" w:type="dxa"/>
            <w:vAlign w:val="bottom"/>
          </w:tcPr>
          <w:p>
            <w:pPr>
              <w:spacing w:after="0"/>
              <w:rPr>
                <w:sz w:val="15"/>
                <w:szCs w:val="15"/>
                <w:color w:val="auto"/>
              </w:rPr>
            </w:pPr>
          </w:p>
        </w:tc>
        <w:tc>
          <w:tcPr>
            <w:tcW w:w="720" w:type="dxa"/>
            <w:vAlign w:val="bottom"/>
            <w:gridSpan w:val="7"/>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280" w:type="dxa"/>
            <w:vAlign w:val="bottom"/>
          </w:tcPr>
          <w:p>
            <w:pPr>
              <w:spacing w:after="0"/>
              <w:rPr>
                <w:sz w:val="15"/>
                <w:szCs w:val="15"/>
                <w:color w:val="auto"/>
              </w:rPr>
            </w:pPr>
          </w:p>
        </w:tc>
        <w:tc>
          <w:tcPr>
            <w:tcW w:w="6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w w:val="86"/>
              </w:rPr>
              <w:t>Lease Term (5)</w:t>
            </w:r>
          </w:p>
        </w:tc>
        <w:tc>
          <w:tcPr>
            <w:tcW w:w="280" w:type="dxa"/>
            <w:vAlign w:val="bottom"/>
          </w:tcPr>
          <w:p>
            <w:pPr>
              <w:spacing w:after="0"/>
              <w:rPr>
                <w:sz w:val="15"/>
                <w:szCs w:val="15"/>
                <w:color w:val="auto"/>
              </w:rPr>
            </w:pPr>
          </w:p>
        </w:tc>
        <w:tc>
          <w:tcPr>
            <w:tcW w:w="120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8"/>
              </w:rPr>
              <w:t>&amp; Incentives (6)</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11440" w:type="dxa"/>
            <w:vAlign w:val="bottom"/>
            <w:gridSpan w:val="86"/>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580" w:type="dxa"/>
            <w:vAlign w:val="bottom"/>
            <w:gridSpan w:val="38"/>
          </w:tcPr>
          <w:p>
            <w:pPr>
              <w:spacing w:after="0"/>
              <w:rPr>
                <w:sz w:val="8"/>
                <w:szCs w:val="8"/>
                <w:color w:val="auto"/>
              </w:rPr>
            </w:pPr>
          </w:p>
        </w:tc>
        <w:tc>
          <w:tcPr>
            <w:tcW w:w="820" w:type="dxa"/>
            <w:vAlign w:val="bottom"/>
            <w:tcBorders>
              <w:top w:val="single" w:sz="8" w:color="auto"/>
            </w:tcBorders>
            <w:gridSpan w:val="9"/>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top w:val="single" w:sz="8" w:color="auto"/>
            </w:tcBorders>
            <w:gridSpan w:val="7"/>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top w:val="single" w:sz="8" w:color="auto"/>
            </w:tcBorders>
            <w:gridSpan w:val="8"/>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top w:val="single" w:sz="8" w:color="auto"/>
            </w:tcBorders>
            <w:gridSpan w:val="6"/>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top w:val="single" w:sz="8" w:color="auto"/>
            </w:tcBorders>
            <w:gridSpan w:val="6"/>
          </w:tcPr>
          <w:p>
            <w:pPr>
              <w:spacing w:after="0"/>
              <w:rPr>
                <w:sz w:val="8"/>
                <w:szCs w:val="8"/>
                <w:color w:val="auto"/>
              </w:rPr>
            </w:pPr>
          </w:p>
        </w:tc>
        <w:tc>
          <w:tcPr>
            <w:tcW w:w="280" w:type="dxa"/>
            <w:vAlign w:val="bottom"/>
            <w:gridSpan w:val="3"/>
          </w:tcPr>
          <w:p>
            <w:pPr>
              <w:spacing w:after="0"/>
              <w:rPr>
                <w:sz w:val="8"/>
                <w:szCs w:val="8"/>
                <w:color w:val="auto"/>
              </w:rPr>
            </w:pPr>
          </w:p>
        </w:tc>
        <w:tc>
          <w:tcPr>
            <w:tcW w:w="860" w:type="dxa"/>
            <w:vAlign w:val="bottom"/>
            <w:tcBorders>
              <w:top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43"/>
            <w:shd w:val="clear" w:color="auto" w:fill="CCEEFF"/>
          </w:tcPr>
          <w:p>
            <w:pPr>
              <w:spacing w:after="0"/>
              <w:rPr>
                <w:sz w:val="20"/>
                <w:szCs w:val="20"/>
                <w:color w:val="auto"/>
              </w:rPr>
            </w:pPr>
            <w:r>
              <w:rPr>
                <w:rFonts w:ascii="Arial" w:cs="Arial" w:eastAsia="Arial" w:hAnsi="Arial"/>
                <w:sz w:val="18"/>
                <w:szCs w:val="18"/>
                <w:color w:val="auto"/>
              </w:rPr>
              <w:t>1st Quarter 2005</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256,897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12"/>
            <w:shd w:val="clear" w:color="auto" w:fill="CCEEFF"/>
          </w:tcPr>
          <w:p>
            <w:pPr>
              <w:jc w:val="right"/>
              <w:ind w:right="572"/>
              <w:spacing w:after="0"/>
              <w:rPr>
                <w:sz w:val="20"/>
                <w:szCs w:val="20"/>
                <w:color w:val="auto"/>
              </w:rPr>
            </w:pPr>
            <w:r>
              <w:rPr>
                <w:rFonts w:ascii="Arial" w:cs="Arial" w:eastAsia="Arial" w:hAnsi="Arial"/>
                <w:sz w:val="18"/>
                <w:szCs w:val="18"/>
                <w:color w:val="auto"/>
              </w:rPr>
              <w:t>25.39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7"/>
            <w:shd w:val="clear" w:color="auto" w:fill="CCEEFF"/>
          </w:tcPr>
          <w:p>
            <w:pPr>
              <w:jc w:val="right"/>
              <w:ind w:right="280"/>
              <w:spacing w:after="0"/>
              <w:rPr>
                <w:sz w:val="20"/>
                <w:szCs w:val="20"/>
                <w:color w:val="auto"/>
              </w:rPr>
            </w:pPr>
            <w:r>
              <w:rPr>
                <w:rFonts w:ascii="Arial" w:cs="Arial" w:eastAsia="Arial" w:hAnsi="Arial"/>
                <w:sz w:val="18"/>
                <w:szCs w:val="18"/>
                <w:color w:val="auto"/>
                <w:w w:val="97"/>
              </w:rPr>
              <w:t>2,696,110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44"/>
          </w:tcPr>
          <w:p>
            <w:pPr>
              <w:spacing w:after="0"/>
              <w:rPr>
                <w:sz w:val="20"/>
                <w:szCs w:val="20"/>
                <w:color w:val="auto"/>
              </w:rPr>
            </w:pPr>
            <w:r>
              <w:rPr>
                <w:rFonts w:ascii="Arial" w:cs="Arial" w:eastAsia="Arial" w:hAnsi="Arial"/>
                <w:sz w:val="18"/>
                <w:szCs w:val="18"/>
                <w:color w:val="auto"/>
              </w:rPr>
              <w:t>4th Quarter 2004</w:t>
            </w:r>
          </w:p>
        </w:tc>
        <w:tc>
          <w:tcPr>
            <w:tcW w:w="280" w:type="dxa"/>
            <w:vAlign w:val="bottom"/>
            <w:gridSpan w:val="5"/>
          </w:tcPr>
          <w:p>
            <w:pPr>
              <w:jc w:val="right"/>
              <w:spacing w:after="0"/>
              <w:rPr>
                <w:sz w:val="20"/>
                <w:szCs w:val="20"/>
                <w:color w:val="auto"/>
              </w:rPr>
            </w:pPr>
            <w:r>
              <w:rPr>
                <w:rFonts w:ascii="Arial" w:cs="Arial" w:eastAsia="Arial" w:hAnsi="Arial"/>
                <w:sz w:val="18"/>
                <w:szCs w:val="18"/>
                <w:color w:val="auto"/>
              </w:rPr>
              <w:t>96</w:t>
            </w:r>
          </w:p>
        </w:tc>
        <w:tc>
          <w:tcPr>
            <w:tcW w:w="1000" w:type="dxa"/>
            <w:vAlign w:val="bottom"/>
            <w:gridSpan w:val="8"/>
          </w:tcPr>
          <w:p>
            <w:pPr>
              <w:jc w:val="right"/>
              <w:spacing w:after="0"/>
              <w:rPr>
                <w:sz w:val="20"/>
                <w:szCs w:val="20"/>
                <w:color w:val="auto"/>
              </w:rPr>
            </w:pPr>
            <w:r>
              <w:rPr>
                <w:rFonts w:ascii="Arial" w:cs="Arial" w:eastAsia="Arial" w:hAnsi="Arial"/>
                <w:sz w:val="18"/>
                <w:szCs w:val="18"/>
                <w:color w:val="auto"/>
              </w:rPr>
              <w:t>454,190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12"/>
          </w:tcPr>
          <w:p>
            <w:pPr>
              <w:jc w:val="right"/>
              <w:ind w:right="572"/>
              <w:spacing w:after="0"/>
              <w:rPr>
                <w:sz w:val="20"/>
                <w:szCs w:val="20"/>
                <w:color w:val="auto"/>
              </w:rPr>
            </w:pPr>
            <w:r>
              <w:rPr>
                <w:rFonts w:ascii="Arial" w:cs="Arial" w:eastAsia="Arial" w:hAnsi="Arial"/>
                <w:sz w:val="18"/>
                <w:szCs w:val="18"/>
                <w:color w:val="auto"/>
              </w:rPr>
              <w:t>22.78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7"/>
          </w:tcPr>
          <w:p>
            <w:pPr>
              <w:jc w:val="right"/>
              <w:ind w:right="280"/>
              <w:spacing w:after="0"/>
              <w:rPr>
                <w:sz w:val="20"/>
                <w:szCs w:val="20"/>
                <w:color w:val="auto"/>
              </w:rPr>
            </w:pPr>
            <w:r>
              <w:rPr>
                <w:rFonts w:ascii="Arial" w:cs="Arial" w:eastAsia="Arial" w:hAnsi="Arial"/>
                <w:sz w:val="18"/>
                <w:szCs w:val="18"/>
                <w:color w:val="auto"/>
                <w:w w:val="97"/>
              </w:rPr>
              <w:t>5,187,840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5660" w:type="dxa"/>
            <w:vAlign w:val="bottom"/>
            <w:gridSpan w:val="44"/>
          </w:tcPr>
          <w:p>
            <w:pPr>
              <w:spacing w:after="0"/>
              <w:rPr>
                <w:sz w:val="20"/>
                <w:szCs w:val="20"/>
                <w:color w:val="auto"/>
              </w:rPr>
            </w:pPr>
            <w:r>
              <w:rPr>
                <w:rFonts w:ascii="Arial" w:cs="Arial" w:eastAsia="Arial" w:hAnsi="Arial"/>
                <w:sz w:val="18"/>
                <w:szCs w:val="18"/>
                <w:color w:val="auto"/>
              </w:rPr>
              <w:t>3rd Quarter 2004</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417,534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12"/>
            <w:shd w:val="clear" w:color="auto" w:fill="CCEEFF"/>
          </w:tcPr>
          <w:p>
            <w:pPr>
              <w:jc w:val="right"/>
              <w:ind w:right="572"/>
              <w:spacing w:after="0"/>
              <w:rPr>
                <w:sz w:val="20"/>
                <w:szCs w:val="20"/>
                <w:color w:val="auto"/>
              </w:rPr>
            </w:pPr>
            <w:r>
              <w:rPr>
                <w:rFonts w:ascii="Arial" w:cs="Arial" w:eastAsia="Arial" w:hAnsi="Arial"/>
                <w:sz w:val="18"/>
                <w:szCs w:val="18"/>
                <w:color w:val="auto"/>
              </w:rPr>
              <w:t>23.55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7"/>
            <w:shd w:val="clear" w:color="auto" w:fill="CCEEFF"/>
          </w:tcPr>
          <w:p>
            <w:pPr>
              <w:jc w:val="right"/>
              <w:ind w:right="280"/>
              <w:spacing w:after="0"/>
              <w:rPr>
                <w:sz w:val="20"/>
                <w:szCs w:val="20"/>
                <w:color w:val="auto"/>
              </w:rPr>
            </w:pPr>
            <w:r>
              <w:rPr>
                <w:rFonts w:ascii="Arial" w:cs="Arial" w:eastAsia="Arial" w:hAnsi="Arial"/>
                <w:sz w:val="18"/>
                <w:szCs w:val="18"/>
                <w:color w:val="auto"/>
                <w:w w:val="97"/>
              </w:rPr>
              <w:t>5,492,600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2"/>
        </w:trPr>
        <w:tc>
          <w:tcPr>
            <w:tcW w:w="5660" w:type="dxa"/>
            <w:vAlign w:val="bottom"/>
            <w:gridSpan w:val="44"/>
          </w:tcPr>
          <w:p>
            <w:pPr>
              <w:spacing w:after="0"/>
              <w:rPr>
                <w:sz w:val="20"/>
                <w:szCs w:val="20"/>
                <w:color w:val="auto"/>
              </w:rPr>
            </w:pPr>
            <w:r>
              <w:rPr>
                <w:rFonts w:ascii="Arial" w:cs="Arial" w:eastAsia="Arial" w:hAnsi="Arial"/>
                <w:sz w:val="18"/>
                <w:szCs w:val="18"/>
                <w:color w:val="auto"/>
              </w:rPr>
              <w:t>2nd Quarter 2004</w:t>
            </w:r>
          </w:p>
        </w:tc>
        <w:tc>
          <w:tcPr>
            <w:tcW w:w="280" w:type="dxa"/>
            <w:vAlign w:val="bottom"/>
            <w:gridSpan w:val="5"/>
          </w:tcPr>
          <w:p>
            <w:pPr>
              <w:jc w:val="right"/>
              <w:spacing w:after="0"/>
              <w:rPr>
                <w:sz w:val="20"/>
                <w:szCs w:val="20"/>
                <w:color w:val="auto"/>
              </w:rPr>
            </w:pPr>
            <w:r>
              <w:rPr>
                <w:rFonts w:ascii="Arial" w:cs="Arial" w:eastAsia="Arial" w:hAnsi="Arial"/>
                <w:sz w:val="18"/>
                <w:szCs w:val="18"/>
                <w:color w:val="auto"/>
              </w:rPr>
              <w:t>87</w:t>
            </w:r>
          </w:p>
        </w:tc>
        <w:tc>
          <w:tcPr>
            <w:tcW w:w="1000" w:type="dxa"/>
            <w:vAlign w:val="bottom"/>
            <w:gridSpan w:val="8"/>
          </w:tcPr>
          <w:p>
            <w:pPr>
              <w:jc w:val="right"/>
              <w:spacing w:after="0"/>
              <w:rPr>
                <w:sz w:val="20"/>
                <w:szCs w:val="20"/>
                <w:color w:val="auto"/>
              </w:rPr>
            </w:pPr>
            <w:r>
              <w:rPr>
                <w:rFonts w:ascii="Arial" w:cs="Arial" w:eastAsia="Arial" w:hAnsi="Arial"/>
                <w:sz w:val="18"/>
                <w:szCs w:val="18"/>
                <w:color w:val="auto"/>
              </w:rPr>
              <w:t>495,921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12"/>
          </w:tcPr>
          <w:p>
            <w:pPr>
              <w:jc w:val="right"/>
              <w:ind w:right="572"/>
              <w:spacing w:after="0"/>
              <w:rPr>
                <w:sz w:val="20"/>
                <w:szCs w:val="20"/>
                <w:color w:val="auto"/>
              </w:rPr>
            </w:pPr>
            <w:r>
              <w:rPr>
                <w:rFonts w:ascii="Arial" w:cs="Arial" w:eastAsia="Arial" w:hAnsi="Arial"/>
                <w:sz w:val="18"/>
                <w:szCs w:val="18"/>
                <w:color w:val="auto"/>
              </w:rPr>
              <w:t>20.17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7"/>
          </w:tcPr>
          <w:p>
            <w:pPr>
              <w:jc w:val="right"/>
              <w:ind w:right="280"/>
              <w:spacing w:after="0"/>
              <w:rPr>
                <w:sz w:val="20"/>
                <w:szCs w:val="20"/>
                <w:color w:val="auto"/>
              </w:rPr>
            </w:pPr>
            <w:r>
              <w:rPr>
                <w:rFonts w:ascii="Arial" w:cs="Arial" w:eastAsia="Arial" w:hAnsi="Arial"/>
                <w:sz w:val="18"/>
                <w:szCs w:val="18"/>
                <w:color w:val="auto"/>
                <w:w w:val="97"/>
              </w:rPr>
              <w:t>4,420,832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02"/>
        </w:trPr>
        <w:tc>
          <w:tcPr>
            <w:tcW w:w="5120" w:type="dxa"/>
            <w:vAlign w:val="bottom"/>
            <w:gridSpan w:val="40"/>
          </w:tcPr>
          <w:p>
            <w:pPr>
              <w:spacing w:after="0"/>
              <w:rPr>
                <w:sz w:val="8"/>
                <w:szCs w:val="8"/>
                <w:color w:val="auto"/>
              </w:rPr>
            </w:pPr>
          </w:p>
        </w:tc>
        <w:tc>
          <w:tcPr>
            <w:tcW w:w="820" w:type="dxa"/>
            <w:vAlign w:val="bottom"/>
            <w:tcBorders>
              <w:bottom w:val="single" w:sz="8" w:color="auto"/>
            </w:tcBorders>
            <w:gridSpan w:val="9"/>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gridSpan w:val="7"/>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gridSpan w:val="8"/>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gridSpan w:val="6"/>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auto"/>
            </w:tcBorders>
            <w:gridSpan w:val="6"/>
          </w:tcPr>
          <w:p>
            <w:pPr>
              <w:spacing w:after="0"/>
              <w:rPr>
                <w:sz w:val="8"/>
                <w:szCs w:val="8"/>
                <w:color w:val="auto"/>
              </w:rPr>
            </w:pPr>
          </w:p>
        </w:tc>
        <w:tc>
          <w:tcPr>
            <w:tcW w:w="280" w:type="dxa"/>
            <w:vAlign w:val="bottom"/>
            <w:gridSpan w:val="3"/>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84"/>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43"/>
            <w:shd w:val="clear" w:color="auto" w:fill="CCEEFF"/>
          </w:tcPr>
          <w:p>
            <w:pPr>
              <w:spacing w:after="0"/>
              <w:rPr>
                <w:sz w:val="20"/>
                <w:szCs w:val="20"/>
                <w:color w:val="auto"/>
              </w:rPr>
            </w:pPr>
            <w:r>
              <w:rPr>
                <w:rFonts w:ascii="Arial" w:cs="Arial" w:eastAsia="Arial" w:hAnsi="Arial"/>
                <w:sz w:val="18"/>
                <w:szCs w:val="18"/>
                <w:color w:val="auto"/>
                <w:w w:val="98"/>
              </w:rPr>
              <w:t>Total - 12 months</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322</w:t>
            </w:r>
          </w:p>
        </w:tc>
        <w:tc>
          <w:tcPr>
            <w:tcW w:w="10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1,624,542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12"/>
            <w:shd w:val="clear" w:color="auto" w:fill="CCEEFF"/>
          </w:tcPr>
          <w:p>
            <w:pPr>
              <w:jc w:val="right"/>
              <w:ind w:right="572"/>
              <w:spacing w:after="0"/>
              <w:rPr>
                <w:sz w:val="20"/>
                <w:szCs w:val="20"/>
                <w:color w:val="auto"/>
              </w:rPr>
            </w:pPr>
            <w:r>
              <w:rPr>
                <w:rFonts w:ascii="Arial" w:cs="Arial" w:eastAsia="Arial" w:hAnsi="Arial"/>
                <w:sz w:val="18"/>
                <w:szCs w:val="18"/>
                <w:color w:val="auto"/>
              </w:rPr>
              <w:t>22.59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80" w:type="dxa"/>
            <w:vAlign w:val="bottom"/>
            <w:gridSpan w:val="10"/>
            <w:shd w:val="clear" w:color="auto" w:fill="CCEEFF"/>
          </w:tcPr>
          <w:p>
            <w:pPr>
              <w:jc w:val="right"/>
              <w:ind w:right="280"/>
              <w:spacing w:after="0"/>
              <w:rPr>
                <w:sz w:val="20"/>
                <w:szCs w:val="20"/>
                <w:color w:val="auto"/>
              </w:rPr>
            </w:pPr>
            <w:r>
              <w:rPr>
                <w:rFonts w:ascii="Arial" w:cs="Arial" w:eastAsia="Arial" w:hAnsi="Arial"/>
                <w:sz w:val="18"/>
                <w:szCs w:val="18"/>
                <w:color w:val="auto"/>
              </w:rPr>
              <w:t>$ 17,797,382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gridSpan w:val="40"/>
          </w:tcPr>
          <w:p>
            <w:pPr>
              <w:spacing w:after="0"/>
              <w:rPr>
                <w:sz w:val="9"/>
                <w:szCs w:val="9"/>
                <w:color w:val="auto"/>
              </w:rPr>
            </w:pPr>
          </w:p>
        </w:tc>
        <w:tc>
          <w:tcPr>
            <w:tcW w:w="820" w:type="dxa"/>
            <w:vAlign w:val="bottom"/>
            <w:tcBorders>
              <w:bottom w:val="single" w:sz="8" w:color="auto"/>
            </w:tcBorders>
            <w:gridSpan w:val="9"/>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auto"/>
            </w:tcBorders>
            <w:gridSpan w:val="7"/>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gridSpan w:val="8"/>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auto"/>
            </w:tcBorders>
            <w:gridSpan w:val="6"/>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Borders>
              <w:bottom w:val="single" w:sz="8" w:color="auto"/>
            </w:tcBorders>
            <w:gridSpan w:val="6"/>
          </w:tcPr>
          <w:p>
            <w:pPr>
              <w:spacing w:after="0"/>
              <w:rPr>
                <w:sz w:val="9"/>
                <w:szCs w:val="9"/>
                <w:color w:val="auto"/>
              </w:rPr>
            </w:pPr>
          </w:p>
        </w:tc>
        <w:tc>
          <w:tcPr>
            <w:tcW w:w="280" w:type="dxa"/>
            <w:vAlign w:val="bottom"/>
            <w:gridSpan w:val="3"/>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76" w:lineRule="exact"/>
        <w:rPr>
          <w:rFonts w:ascii="Arial" w:cs="Arial" w:eastAsia="Arial" w:hAnsi="Arial"/>
          <w:sz w:val="18"/>
          <w:szCs w:val="18"/>
          <w:color w:val="auto"/>
        </w:rPr>
      </w:pPr>
    </w:p>
    <w:p>
      <w:pPr>
        <w:ind w:left="460" w:right="28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ectPr>
          <w:pgSz w:w="11900" w:h="16838" w:orient="portrait"/>
          <w:cols w:equalWidth="0" w:num="1">
            <w:col w:w="11420"/>
          </w:cols>
          <w:pgMar w:left="240" w:top="274" w:right="239" w:bottom="34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74" w:right="239" w:bottom="346"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5"/>
          </w:tcPr>
          <w:p>
            <w:pPr>
              <w:ind w:left="14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 of Small</w:t>
            </w: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Anchor SF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2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5"/>
                <w:szCs w:val="15"/>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Expiring SF</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Total SF</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531,000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10.02</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773,000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1,219,000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1,011,000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1,953,000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893,000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1,759,000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934,000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2,100,000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680,000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1,262,000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12.68</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405,000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945,000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279,000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3,426,000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9,311,000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6,763,000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16,075,000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00" w:type="dxa"/>
            <w:vAlign w:val="bottom"/>
            <w:gridSpan w:val="3"/>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120" w:type="dxa"/>
            <w:vAlign w:val="bottom"/>
            <w:gridSpan w:val="5"/>
          </w:tcPr>
          <w:p>
            <w:pPr>
              <w:spacing w:after="0"/>
              <w:rPr>
                <w:sz w:val="20"/>
                <w:szCs w:val="20"/>
                <w:color w:val="auto"/>
              </w:rPr>
            </w:pPr>
            <w:r>
              <w:rPr>
                <w:rFonts w:ascii="Arial" w:cs="Arial" w:eastAsia="Arial" w:hAnsi="Arial"/>
                <w:sz w:val="18"/>
                <w:szCs w:val="18"/>
                <w:b w:val="1"/>
                <w:bCs w:val="1"/>
                <w:color w:val="auto"/>
                <w:w w:val="96"/>
              </w:rPr>
              <w:t>Assumes lease options are exercised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ind w:left="14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gridSpan w:val="3"/>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Minimum Rent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 of Small</w:t>
            </w: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Anchor SF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PSF (2)</w:t>
            </w:r>
          </w:p>
        </w:tc>
        <w:tc>
          <w:tcPr>
            <w:tcW w:w="2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5"/>
                <w:szCs w:val="15"/>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2"/>
              </w:rPr>
              <w:t>Expiring SF</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Total SF</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gridSpan w:val="3"/>
          </w:tcPr>
          <w:p>
            <w:pPr>
              <w:spacing w:after="0"/>
              <w:rPr>
                <w:sz w:val="8"/>
                <w:szCs w:val="8"/>
                <w:color w:val="auto"/>
              </w:rPr>
            </w:pPr>
          </w:p>
        </w:tc>
        <w:tc>
          <w:tcPr>
            <w:tcW w:w="1260" w:type="dxa"/>
            <w:vAlign w:val="bottom"/>
            <w:gridSpan w:val="4"/>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gridSpan w:val="5"/>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378,000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442,000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578,000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573,000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420,000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523,000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435,000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304,000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398,000</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702,000</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7,620,000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2,137,000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9,756,000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gridSpan w:val="3"/>
          </w:tcPr>
          <w:p>
            <w:pPr>
              <w:spacing w:after="0"/>
              <w:rPr>
                <w:sz w:val="9"/>
                <w:szCs w:val="9"/>
                <w:color w:val="auto"/>
              </w:rPr>
            </w:pPr>
          </w:p>
        </w:tc>
        <w:tc>
          <w:tcPr>
            <w:tcW w:w="16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1260" w:type="dxa"/>
            <w:vAlign w:val="bottom"/>
            <w:gridSpan w:val="4"/>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gridSpan w:val="5"/>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9,311,000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6,763,000</w:t>
            </w:r>
          </w:p>
        </w:tc>
        <w:tc>
          <w:tcPr>
            <w:tcW w:w="12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16,075,000</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-2884805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-2884805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-2884805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-2884805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-2884805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-2884805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-2884805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-2884805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-2884805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-2884805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-2884805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-2884805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-2884805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-2884805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-2884805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-2884805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-2884805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-2884805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-2884805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-2884805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-2884805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March 31,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occupied square footage as of March 31, 2005. Individual items may not add up to total as a result of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w w:val="96"/>
              </w:rPr>
              <w:t>At March 31, 2005</w:t>
            </w: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w w:val="96"/>
              </w:rPr>
              <w:t>At March 31, 2004</w:t>
            </w:r>
          </w:p>
        </w:tc>
        <w:tc>
          <w:tcPr>
            <w:tcW w:w="68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Size</w:t>
            </w:r>
          </w:p>
        </w:tc>
        <w:tc>
          <w:tcPr>
            <w:tcW w:w="1300" w:type="dxa"/>
            <w:vAlign w:val="bottom"/>
          </w:tcPr>
          <w:p>
            <w:pPr>
              <w:ind w:left="580"/>
              <w:spacing w:after="0"/>
              <w:rPr>
                <w:sz w:val="20"/>
                <w:szCs w:val="20"/>
                <w:color w:val="auto"/>
              </w:rPr>
            </w:pPr>
            <w:r>
              <w:rPr>
                <w:rFonts w:ascii="Arial" w:cs="Arial" w:eastAsia="Arial" w:hAnsi="Arial"/>
                <w:sz w:val="14"/>
                <w:szCs w:val="14"/>
                <w:b w:val="1"/>
                <w:bCs w:val="1"/>
                <w:color w:val="auto"/>
              </w:rPr>
              <w:t>Leased</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22"/>
                <w:szCs w:val="22"/>
                <w:color w:val="auto"/>
              </w:rPr>
            </w:pP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Size</w:t>
            </w:r>
          </w:p>
        </w:tc>
        <w:tc>
          <w:tcPr>
            <w:tcW w:w="1300" w:type="dxa"/>
            <w:vAlign w:val="bottom"/>
          </w:tcPr>
          <w:p>
            <w:pPr>
              <w:ind w:left="580"/>
              <w:spacing w:after="0"/>
              <w:rPr>
                <w:sz w:val="20"/>
                <w:szCs w:val="20"/>
                <w:color w:val="auto"/>
              </w:rPr>
            </w:pPr>
            <w:r>
              <w:rPr>
                <w:rFonts w:ascii="Arial" w:cs="Arial" w:eastAsia="Arial" w:hAnsi="Arial"/>
                <w:sz w:val="14"/>
                <w:szCs w:val="14"/>
                <w:b w:val="1"/>
                <w:bCs w:val="1"/>
                <w:color w:val="auto"/>
              </w:rPr>
              <w:t>Leased</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w w:val="86"/>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60325</wp:posOffset>
            </wp:positionV>
            <wp:extent cx="35331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17,418,000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16,558,000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16,781,000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15,658,000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641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93.9%</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318"/>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204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March 31, 2005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March 31, 2004</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11,913,000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12,262,000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11,781,000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406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76"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Rollingwood, Santana Row residential and The Crest at Congressional Apartments for overall portfolio. Does not include Santana Row residential for Same Center.</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Total</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Annualized</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Total</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74"/>
        </w:trPr>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Rank</w:t>
            </w:r>
          </w:p>
        </w:tc>
        <w:tc>
          <w:tcPr>
            <w:tcW w:w="4500" w:type="dxa"/>
            <w:vAlign w:val="bottom"/>
            <w:gridSpan w:val="3"/>
          </w:tcPr>
          <w:p>
            <w:pPr>
              <w:ind w:left="100"/>
              <w:spacing w:after="0"/>
              <w:rPr>
                <w:sz w:val="20"/>
                <w:szCs w:val="20"/>
                <w:color w:val="auto"/>
              </w:rPr>
            </w:pPr>
            <w:r>
              <w:rPr>
                <w:rFonts w:ascii="Arial" w:cs="Arial" w:eastAsia="Arial" w:hAnsi="Arial"/>
                <w:sz w:val="14"/>
                <w:szCs w:val="14"/>
                <w:b w:val="1"/>
                <w:bCs w:val="1"/>
                <w:color w:val="auto"/>
              </w:rPr>
              <w:t>Tenant Name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Base Rent</w:t>
            </w: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Base Rent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Tenant GLA</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GLA</w:t>
            </w: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Safeway,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6,510,000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Gap,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6,460,000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2.20%</w:t>
            </w:r>
          </w:p>
        </w:tc>
        <w:tc>
          <w:tcPr>
            <w:tcW w:w="800" w:type="dxa"/>
            <w:vAlign w:val="bottom"/>
          </w:tcPr>
          <w:p>
            <w:pPr>
              <w:jc w:val="right"/>
              <w:spacing w:after="0"/>
              <w:rPr>
                <w:sz w:val="20"/>
                <w:szCs w:val="20"/>
                <w:color w:val="auto"/>
              </w:rPr>
            </w:pPr>
            <w:r>
              <w:rPr>
                <w:rFonts w:ascii="Arial" w:cs="Arial" w:eastAsia="Arial" w:hAnsi="Arial"/>
                <w:sz w:val="18"/>
                <w:szCs w:val="18"/>
                <w:color w:val="auto"/>
              </w:rPr>
              <w:t>224,000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Ahold USA,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6,159,000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Bed, Bath &amp; Beyond,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5,619,000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1.91%</w:t>
            </w:r>
          </w:p>
        </w:tc>
        <w:tc>
          <w:tcPr>
            <w:tcW w:w="800" w:type="dxa"/>
            <w:vAlign w:val="bottom"/>
          </w:tcPr>
          <w:p>
            <w:pPr>
              <w:jc w:val="right"/>
              <w:spacing w:after="0"/>
              <w:rPr>
                <w:sz w:val="20"/>
                <w:szCs w:val="20"/>
                <w:color w:val="auto"/>
              </w:rPr>
            </w:pPr>
            <w:r>
              <w:rPr>
                <w:rFonts w:ascii="Arial" w:cs="Arial" w:eastAsia="Arial" w:hAnsi="Arial"/>
                <w:sz w:val="18"/>
                <w:szCs w:val="18"/>
                <w:color w:val="auto"/>
              </w:rPr>
              <w:t>396,000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TJX Companies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4,234,000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Barnes &amp; Noble,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3,697,000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1.26%</w:t>
            </w:r>
          </w:p>
        </w:tc>
        <w:tc>
          <w:tcPr>
            <w:tcW w:w="800" w:type="dxa"/>
            <w:vAlign w:val="bottom"/>
          </w:tcPr>
          <w:p>
            <w:pPr>
              <w:jc w:val="right"/>
              <w:spacing w:after="0"/>
              <w:rPr>
                <w:sz w:val="20"/>
                <w:szCs w:val="20"/>
                <w:color w:val="auto"/>
              </w:rPr>
            </w:pPr>
            <w:r>
              <w:rPr>
                <w:rFonts w:ascii="Arial" w:cs="Arial" w:eastAsia="Arial" w:hAnsi="Arial"/>
                <w:sz w:val="18"/>
                <w:szCs w:val="18"/>
                <w:color w:val="auto"/>
              </w:rPr>
              <w:t>174,000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CVS Corporation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3,623,000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Best Buy Stores, L.P.</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3,530,000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1.20%</w:t>
            </w:r>
          </w:p>
        </w:tc>
        <w:tc>
          <w:tcPr>
            <w:tcW w:w="800" w:type="dxa"/>
            <w:vAlign w:val="bottom"/>
          </w:tcPr>
          <w:p>
            <w:pPr>
              <w:jc w:val="right"/>
              <w:spacing w:after="0"/>
              <w:rPr>
                <w:sz w:val="20"/>
                <w:szCs w:val="20"/>
                <w:color w:val="auto"/>
              </w:rPr>
            </w:pPr>
            <w:r>
              <w:rPr>
                <w:rFonts w:ascii="Arial" w:cs="Arial" w:eastAsia="Arial" w:hAnsi="Arial"/>
                <w:sz w:val="18"/>
                <w:szCs w:val="18"/>
                <w:color w:val="auto"/>
              </w:rPr>
              <w:t>101,000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Wakefern Food Corporation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3,077,000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Retail Ventures (DSW/Filene’s Basement)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2,994,000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800" w:type="dxa"/>
            <w:vAlign w:val="bottom"/>
          </w:tcPr>
          <w:p>
            <w:pPr>
              <w:jc w:val="right"/>
              <w:spacing w:after="0"/>
              <w:rPr>
                <w:sz w:val="20"/>
                <w:szCs w:val="20"/>
                <w:color w:val="auto"/>
              </w:rPr>
            </w:pPr>
            <w:r>
              <w:rPr>
                <w:rFonts w:ascii="Arial" w:cs="Arial" w:eastAsia="Arial" w:hAnsi="Arial"/>
                <w:sz w:val="18"/>
                <w:szCs w:val="18"/>
                <w:color w:val="auto"/>
              </w:rPr>
              <w:t>153,000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Borders Group,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OPNET Technologies,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2,552,000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0.87%</w:t>
            </w: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Michaels Stores,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2,512,000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MTS, Inc. (Tower Records)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2,441,000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0.83%</w:t>
            </w:r>
          </w:p>
        </w:tc>
        <w:tc>
          <w:tcPr>
            <w:tcW w:w="800" w:type="dxa"/>
            <w:vAlign w:val="bottom"/>
          </w:tcPr>
          <w:p>
            <w:pPr>
              <w:jc w:val="right"/>
              <w:spacing w:after="0"/>
              <w:rPr>
                <w:sz w:val="20"/>
                <w:szCs w:val="20"/>
                <w:color w:val="auto"/>
              </w:rPr>
            </w:pPr>
            <w:r>
              <w:rPr>
                <w:rFonts w:ascii="Arial" w:cs="Arial" w:eastAsia="Arial" w:hAnsi="Arial"/>
                <w:sz w:val="18"/>
                <w:szCs w:val="18"/>
                <w:color w:val="auto"/>
              </w:rPr>
              <w:t>91,000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Great Atlantic &amp; Pacific Tea Co</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2,380,000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CompUSA,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2,371,000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0.81%</w:t>
            </w:r>
          </w:p>
        </w:tc>
        <w:tc>
          <w:tcPr>
            <w:tcW w:w="800" w:type="dxa"/>
            <w:vAlign w:val="bottom"/>
          </w:tcPr>
          <w:p>
            <w:pPr>
              <w:jc w:val="right"/>
              <w:spacing w:after="0"/>
              <w:rPr>
                <w:sz w:val="20"/>
                <w:szCs w:val="20"/>
                <w:color w:val="auto"/>
              </w:rPr>
            </w:pPr>
            <w:r>
              <w:rPr>
                <w:rFonts w:ascii="Arial" w:cs="Arial" w:eastAsia="Arial" w:hAnsi="Arial"/>
                <w:sz w:val="18"/>
                <w:szCs w:val="18"/>
                <w:color w:val="auto"/>
              </w:rPr>
              <w:t>134,000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0.77%</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The Container Store,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2,280,000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Dress Barn,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2,246,000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0.77%</w:t>
            </w:r>
          </w:p>
        </w:tc>
        <w:tc>
          <w:tcPr>
            <w:tcW w:w="800" w:type="dxa"/>
            <w:vAlign w:val="bottom"/>
          </w:tcPr>
          <w:p>
            <w:pPr>
              <w:jc w:val="right"/>
              <w:spacing w:after="0"/>
              <w:rPr>
                <w:sz w:val="20"/>
                <w:szCs w:val="20"/>
                <w:color w:val="auto"/>
              </w:rPr>
            </w:pPr>
            <w:r>
              <w:rPr>
                <w:rFonts w:ascii="Arial" w:cs="Arial" w:eastAsia="Arial" w:hAnsi="Arial"/>
                <w:sz w:val="18"/>
                <w:szCs w:val="18"/>
                <w:color w:val="auto"/>
              </w:rPr>
              <w:t>109,000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Home Depot,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Albertsons,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2,147,000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0.73%</w:t>
            </w:r>
          </w:p>
        </w:tc>
        <w:tc>
          <w:tcPr>
            <w:tcW w:w="800" w:type="dxa"/>
            <w:vAlign w:val="bottom"/>
          </w:tcPr>
          <w:p>
            <w:pPr>
              <w:jc w:val="right"/>
              <w:spacing w:after="0"/>
              <w:rPr>
                <w:sz w:val="20"/>
                <w:szCs w:val="20"/>
                <w:color w:val="auto"/>
              </w:rPr>
            </w:pPr>
            <w:r>
              <w:rPr>
                <w:rFonts w:ascii="Arial" w:cs="Arial" w:eastAsia="Arial" w:hAnsi="Arial"/>
                <w:sz w:val="18"/>
                <w:szCs w:val="18"/>
                <w:color w:val="auto"/>
              </w:rPr>
              <w:t>245,000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Dollar Tree Stores,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2,112,000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Office Depot,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2,108,000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0.72%</w:t>
            </w:r>
          </w:p>
        </w:tc>
        <w:tc>
          <w:tcPr>
            <w:tcW w:w="800" w:type="dxa"/>
            <w:vAlign w:val="bottom"/>
          </w:tcPr>
          <w:p>
            <w:pPr>
              <w:jc w:val="right"/>
              <w:spacing w:after="0"/>
              <w:rPr>
                <w:sz w:val="20"/>
                <w:szCs w:val="20"/>
                <w:color w:val="auto"/>
              </w:rPr>
            </w:pPr>
            <w:r>
              <w:rPr>
                <w:rFonts w:ascii="Arial" w:cs="Arial" w:eastAsia="Arial" w:hAnsi="Arial"/>
                <w:sz w:val="18"/>
                <w:szCs w:val="18"/>
                <w:color w:val="auto"/>
              </w:rPr>
              <w:t>142,000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0.82%</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Bally’s Health &amp; Tennis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2,095,000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Toys R Us, Inc.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2,079,000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0.71%</w:t>
            </w:r>
          </w:p>
        </w:tc>
        <w:tc>
          <w:tcPr>
            <w:tcW w:w="800" w:type="dxa"/>
            <w:vAlign w:val="bottom"/>
          </w:tcPr>
          <w:p>
            <w:pPr>
              <w:jc w:val="right"/>
              <w:spacing w:after="0"/>
              <w:rPr>
                <w:sz w:val="20"/>
                <w:szCs w:val="20"/>
                <w:color w:val="auto"/>
              </w:rPr>
            </w:pPr>
            <w:r>
              <w:rPr>
                <w:rFonts w:ascii="Arial" w:cs="Arial" w:eastAsia="Arial" w:hAnsi="Arial"/>
                <w:sz w:val="18"/>
                <w:szCs w:val="18"/>
                <w:color w:val="auto"/>
              </w:rPr>
              <w:t>259,000</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Staples, Inc.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2,004,000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Totals - Top 25 Tenants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80,217,000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5,122,000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293,429,000(1)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17,418,000(2)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-233045</wp:posOffset>
            </wp:positionV>
            <wp:extent cx="88773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-233045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-233045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-233045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-233045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-233045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-233045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-233045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annual in-place contractual rent as of March 31,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2005 Net Income to 2005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millions except per share amounts)(1)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2"/>
              </w:rPr>
              <w:t>Forecast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to</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Depreciation and amortization of real estate &amp; joint venture assets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172</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162</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to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53.3</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3.03</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-593090</wp:posOffset>
            </wp:positionV>
            <wp:extent cx="28702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-593090</wp:posOffset>
            </wp:positionV>
            <wp:extent cx="28702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items may not add up to total as a result of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Clarion Lion Properties Fund</w:t>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7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800" w:type="dxa"/>
            <w:vAlign w:val="bottom"/>
            <w:gridSpan w:val="2"/>
          </w:tcPr>
          <w:p>
            <w:pPr>
              <w:jc w:val="center"/>
              <w:ind w:right="3252"/>
              <w:spacing w:after="0"/>
              <w:rPr>
                <w:sz w:val="20"/>
                <w:szCs w:val="20"/>
                <w:color w:val="auto"/>
              </w:rPr>
            </w:pPr>
            <w:r>
              <w:rPr>
                <w:rFonts w:ascii="Arial" w:cs="Arial" w:eastAsia="Arial" w:hAnsi="Arial"/>
                <w:sz w:val="18"/>
                <w:szCs w:val="18"/>
                <w:b w:val="1"/>
                <w:bCs w:val="1"/>
                <w:color w:val="auto"/>
                <w:w w:val="88"/>
              </w:rPr>
              <w:t>Financial Highlights</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800" w:type="dxa"/>
            <w:vAlign w:val="bottom"/>
            <w:gridSpan w:val="2"/>
          </w:tcPr>
          <w:p>
            <w:pPr>
              <w:jc w:val="center"/>
              <w:ind w:right="3252"/>
              <w:spacing w:after="0"/>
              <w:rPr>
                <w:sz w:val="20"/>
                <w:szCs w:val="20"/>
                <w:color w:val="auto"/>
              </w:rPr>
            </w:pPr>
            <w:r>
              <w:rPr>
                <w:rFonts w:ascii="Arial" w:cs="Arial" w:eastAsia="Arial" w:hAnsi="Arial"/>
                <w:sz w:val="18"/>
                <w:szCs w:val="18"/>
                <w:color w:val="auto"/>
                <w:w w:val="87"/>
              </w:rPr>
              <w:t>(in thousands)</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RESULTS</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580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 property income</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Real estate, at cost</w:t>
            </w:r>
          </w:p>
        </w:tc>
        <w:tc>
          <w:tcPr>
            <w:tcW w:w="5800" w:type="dxa"/>
            <w:vAlign w:val="bottom"/>
            <w:gridSpan w:val="2"/>
          </w:tcPr>
          <w:p>
            <w:pPr>
              <w:ind w:left="56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assets</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80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Liabilities</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w:t>
            </w:r>
          </w:p>
        </w:tc>
        <w:tc>
          <w:tcPr>
            <w:tcW w:w="580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Partners’ Capital</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580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80" w:type="dxa"/>
            <w:vAlign w:val="bottom"/>
            <w:vMerge w:val="restart"/>
          </w:tcPr>
          <w:p>
            <w:pPr>
              <w:jc w:val="center"/>
              <w:ind w:right="3132"/>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-3876675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-3876675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-3876675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-1741170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-1741170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-1741170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-325755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 w:type="dxa"/>
            <w:vAlign w:val="bottom"/>
          </w:tcPr>
          <w:p>
            <w:pPr>
              <w:spacing w:after="0"/>
              <w:rPr>
                <w:sz w:val="14"/>
                <w:szCs w:val="14"/>
                <w:color w:val="auto"/>
              </w:rPr>
            </w:pPr>
          </w:p>
        </w:tc>
        <w:tc>
          <w:tcPr>
            <w:tcW w:w="495" w:type="dxa"/>
            <w:vAlign w:val="bottom"/>
          </w:tcPr>
          <w:p>
            <w:pPr>
              <w:spacing w:after="0"/>
              <w:rPr>
                <w:sz w:val="14"/>
                <w:szCs w:val="14"/>
                <w:color w:val="auto"/>
              </w:rPr>
            </w:pPr>
          </w:p>
        </w:tc>
        <w:tc>
          <w:tcPr>
            <w:tcW w:w="1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5"/>
              </w:rPr>
              <w:t>Interest Rate as of</w:t>
            </w: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85" w:type="dxa"/>
            <w:vAlign w:val="bottom"/>
          </w:tcPr>
          <w:p>
            <w:pPr>
              <w:spacing w:after="0"/>
              <w:rPr>
                <w:sz w:val="15"/>
                <w:szCs w:val="15"/>
                <w:color w:val="auto"/>
              </w:rPr>
            </w:pPr>
          </w:p>
        </w:tc>
        <w:tc>
          <w:tcPr>
            <w:tcW w:w="495" w:type="dxa"/>
            <w:vAlign w:val="bottom"/>
          </w:tcPr>
          <w:p>
            <w:pPr>
              <w:spacing w:after="0"/>
              <w:rPr>
                <w:sz w:val="15"/>
                <w:szCs w:val="15"/>
                <w:color w:val="auto"/>
              </w:rPr>
            </w:pPr>
          </w:p>
        </w:tc>
        <w:tc>
          <w:tcPr>
            <w:tcW w:w="17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6"/>
              </w:rPr>
              <w:t>March 31, 2005</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gridSpan w:val="3"/>
          </w:tcPr>
          <w:p>
            <w:pPr>
              <w:ind w:left="7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5" w:type="dxa"/>
            <w:vAlign w:val="bottom"/>
          </w:tcPr>
          <w:p>
            <w:pPr>
              <w:spacing w:after="0"/>
              <w:rPr>
                <w:sz w:val="8"/>
                <w:szCs w:val="8"/>
                <w:color w:val="auto"/>
              </w:rPr>
            </w:pPr>
          </w:p>
        </w:tc>
        <w:tc>
          <w:tcPr>
            <w:tcW w:w="495"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 w:type="dxa"/>
            <w:vAlign w:val="bottom"/>
          </w:tcPr>
          <w:p>
            <w:pPr>
              <w:spacing w:after="0"/>
              <w:rPr>
                <w:sz w:val="21"/>
                <w:szCs w:val="21"/>
                <w:color w:val="auto"/>
              </w:rPr>
            </w:pPr>
          </w:p>
        </w:tc>
        <w:tc>
          <w:tcPr>
            <w:tcW w:w="495"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5" w:type="dxa"/>
            <w:vAlign w:val="bottom"/>
            <w:shd w:val="clear" w:color="auto" w:fill="CCEEFF"/>
          </w:tcPr>
          <w:p>
            <w:pPr>
              <w:spacing w:after="0"/>
              <w:rPr>
                <w:sz w:val="18"/>
                <w:szCs w:val="18"/>
                <w:color w:val="auto"/>
              </w:rPr>
            </w:pPr>
          </w:p>
        </w:tc>
        <w:tc>
          <w:tcPr>
            <w:tcW w:w="495"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Secured Fixed Rate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 w:type="dxa"/>
            <w:vAlign w:val="bottom"/>
          </w:tcPr>
          <w:p>
            <w:pPr>
              <w:spacing w:after="0"/>
              <w:rPr>
                <w:sz w:val="18"/>
                <w:szCs w:val="18"/>
                <w:color w:val="auto"/>
              </w:rPr>
            </w:pPr>
          </w:p>
        </w:tc>
        <w:tc>
          <w:tcPr>
            <w:tcW w:w="495"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Campus Plaza</w:t>
            </w:r>
          </w:p>
        </w:tc>
        <w:tc>
          <w:tcPr>
            <w:tcW w:w="780" w:type="dxa"/>
            <w:vAlign w:val="bottom"/>
            <w:shd w:val="clear" w:color="auto" w:fill="CCEEFF"/>
          </w:tcPr>
          <w:p>
            <w:pPr>
              <w:spacing w:after="0"/>
              <w:rPr>
                <w:sz w:val="18"/>
                <w:szCs w:val="18"/>
                <w:color w:val="auto"/>
              </w:rPr>
            </w:pPr>
          </w:p>
        </w:tc>
        <w:tc>
          <w:tcPr>
            <w:tcW w:w="1465" w:type="dxa"/>
            <w:vAlign w:val="bottom"/>
            <w:gridSpan w:val="6"/>
            <w:shd w:val="clear" w:color="auto" w:fill="CCEEFF"/>
          </w:tcPr>
          <w:p>
            <w:pPr>
              <w:jc w:val="center"/>
              <w:ind w:left="587"/>
              <w:spacing w:after="0"/>
              <w:rPr>
                <w:sz w:val="20"/>
                <w:szCs w:val="20"/>
                <w:color w:val="auto"/>
              </w:rPr>
            </w:pPr>
            <w:r>
              <w:rPr>
                <w:rFonts w:ascii="Arial" w:cs="Arial" w:eastAsia="Arial" w:hAnsi="Arial"/>
                <w:sz w:val="18"/>
                <w:szCs w:val="18"/>
                <w:color w:val="auto"/>
                <w:w w:val="88"/>
              </w:rPr>
              <w:t>12/01/09</w:t>
            </w:r>
          </w:p>
        </w:tc>
        <w:tc>
          <w:tcPr>
            <w:tcW w:w="495"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4.530%(a)</w:t>
            </w: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Pleasant Shops</w:t>
            </w:r>
          </w:p>
        </w:tc>
        <w:tc>
          <w:tcPr>
            <w:tcW w:w="780" w:type="dxa"/>
            <w:vAlign w:val="bottom"/>
          </w:tcPr>
          <w:p>
            <w:pPr>
              <w:spacing w:after="0"/>
              <w:rPr>
                <w:sz w:val="18"/>
                <w:szCs w:val="18"/>
                <w:color w:val="auto"/>
              </w:rPr>
            </w:pPr>
          </w:p>
        </w:tc>
        <w:tc>
          <w:tcPr>
            <w:tcW w:w="1465" w:type="dxa"/>
            <w:vAlign w:val="bottom"/>
            <w:gridSpan w:val="6"/>
          </w:tcPr>
          <w:p>
            <w:pPr>
              <w:jc w:val="center"/>
              <w:ind w:left="587"/>
              <w:spacing w:after="0"/>
              <w:rPr>
                <w:sz w:val="20"/>
                <w:szCs w:val="20"/>
                <w:color w:val="auto"/>
              </w:rPr>
            </w:pPr>
            <w:r>
              <w:rPr>
                <w:rFonts w:ascii="Arial" w:cs="Arial" w:eastAsia="Arial" w:hAnsi="Arial"/>
                <w:sz w:val="18"/>
                <w:szCs w:val="18"/>
                <w:color w:val="auto"/>
                <w:w w:val="88"/>
              </w:rPr>
              <w:t>12/01/09</w:t>
            </w:r>
          </w:p>
        </w:tc>
        <w:tc>
          <w:tcPr>
            <w:tcW w:w="495"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rPr>
              <w:t>4.530%(a)</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Plaza del Mercado</w:t>
            </w:r>
          </w:p>
        </w:tc>
        <w:tc>
          <w:tcPr>
            <w:tcW w:w="780" w:type="dxa"/>
            <w:vAlign w:val="bottom"/>
            <w:shd w:val="clear" w:color="auto" w:fill="CCEEFF"/>
          </w:tcPr>
          <w:p>
            <w:pPr>
              <w:spacing w:after="0"/>
              <w:rPr>
                <w:sz w:val="18"/>
                <w:szCs w:val="18"/>
                <w:color w:val="auto"/>
              </w:rPr>
            </w:pPr>
          </w:p>
        </w:tc>
        <w:tc>
          <w:tcPr>
            <w:tcW w:w="1465" w:type="dxa"/>
            <w:vAlign w:val="bottom"/>
            <w:gridSpan w:val="6"/>
            <w:shd w:val="clear" w:color="auto" w:fill="CCEEFF"/>
          </w:tcPr>
          <w:p>
            <w:pPr>
              <w:jc w:val="center"/>
              <w:ind w:left="587"/>
              <w:spacing w:after="0"/>
              <w:rPr>
                <w:sz w:val="20"/>
                <w:szCs w:val="20"/>
                <w:color w:val="auto"/>
              </w:rPr>
            </w:pPr>
            <w:r>
              <w:rPr>
                <w:rFonts w:ascii="Arial" w:cs="Arial" w:eastAsia="Arial" w:hAnsi="Arial"/>
                <w:sz w:val="18"/>
                <w:szCs w:val="18"/>
                <w:color w:val="auto"/>
                <w:w w:val="88"/>
              </w:rPr>
              <w:t>07/05/14</w:t>
            </w:r>
          </w:p>
        </w:tc>
        <w:tc>
          <w:tcPr>
            <w:tcW w:w="495"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5.770%(b)</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Atlantic Plaza</w:t>
            </w:r>
          </w:p>
        </w:tc>
        <w:tc>
          <w:tcPr>
            <w:tcW w:w="780" w:type="dxa"/>
            <w:vAlign w:val="bottom"/>
          </w:tcPr>
          <w:p>
            <w:pPr>
              <w:spacing w:after="0"/>
              <w:rPr>
                <w:sz w:val="19"/>
                <w:szCs w:val="19"/>
                <w:color w:val="auto"/>
              </w:rPr>
            </w:pPr>
          </w:p>
        </w:tc>
        <w:tc>
          <w:tcPr>
            <w:tcW w:w="1465" w:type="dxa"/>
            <w:vAlign w:val="bottom"/>
            <w:gridSpan w:val="6"/>
          </w:tcPr>
          <w:p>
            <w:pPr>
              <w:jc w:val="center"/>
              <w:ind w:left="587"/>
              <w:spacing w:after="0"/>
              <w:rPr>
                <w:sz w:val="20"/>
                <w:szCs w:val="20"/>
                <w:color w:val="auto"/>
              </w:rPr>
            </w:pPr>
            <w:r>
              <w:rPr>
                <w:rFonts w:ascii="Arial" w:cs="Arial" w:eastAsia="Arial" w:hAnsi="Arial"/>
                <w:sz w:val="18"/>
                <w:szCs w:val="18"/>
                <w:color w:val="auto"/>
                <w:w w:val="88"/>
              </w:rPr>
              <w:t>12/01/14</w:t>
            </w:r>
          </w:p>
        </w:tc>
        <w:tc>
          <w:tcPr>
            <w:tcW w:w="495"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8"/>
                <w:szCs w:val="18"/>
                <w:color w:val="auto"/>
              </w:rPr>
              <w:t>5.120%(a)</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5" w:type="dxa"/>
            <w:vAlign w:val="bottom"/>
          </w:tcPr>
          <w:p>
            <w:pPr>
              <w:spacing w:after="0"/>
              <w:rPr>
                <w:sz w:val="8"/>
                <w:szCs w:val="8"/>
                <w:color w:val="auto"/>
              </w:rPr>
            </w:pPr>
          </w:p>
        </w:tc>
        <w:tc>
          <w:tcPr>
            <w:tcW w:w="495"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5" w:type="dxa"/>
            <w:vAlign w:val="bottom"/>
          </w:tcPr>
          <w:p>
            <w:pPr>
              <w:spacing w:after="0"/>
              <w:rPr>
                <w:sz w:val="8"/>
                <w:szCs w:val="8"/>
                <w:color w:val="auto"/>
              </w:rPr>
            </w:pPr>
          </w:p>
        </w:tc>
        <w:tc>
          <w:tcPr>
            <w:tcW w:w="495"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5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Fixed Rate Debt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5" w:type="dxa"/>
            <w:vAlign w:val="bottom"/>
            <w:shd w:val="clear" w:color="auto" w:fill="CCEEFF"/>
          </w:tcPr>
          <w:p>
            <w:pPr>
              <w:spacing w:after="0"/>
              <w:rPr>
                <w:sz w:val="18"/>
                <w:szCs w:val="18"/>
                <w:color w:val="auto"/>
              </w:rPr>
            </w:pPr>
          </w:p>
        </w:tc>
        <w:tc>
          <w:tcPr>
            <w:tcW w:w="495"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MATURITIES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5" w:type="dxa"/>
            <w:vAlign w:val="bottom"/>
          </w:tcPr>
          <w:p>
            <w:pPr>
              <w:spacing w:after="0"/>
              <w:rPr>
                <w:sz w:val="11"/>
                <w:szCs w:val="11"/>
                <w:color w:val="auto"/>
              </w:rPr>
            </w:pPr>
          </w:p>
        </w:tc>
        <w:tc>
          <w:tcPr>
            <w:tcW w:w="495"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8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 w:type="dxa"/>
            <w:vAlign w:val="bottom"/>
          </w:tcPr>
          <w:p>
            <w:pPr>
              <w:spacing w:after="0"/>
              <w:rPr>
                <w:sz w:val="24"/>
                <w:szCs w:val="24"/>
                <w:color w:val="auto"/>
              </w:rPr>
            </w:pPr>
          </w:p>
        </w:tc>
        <w:tc>
          <w:tcPr>
            <w:tcW w:w="495"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 w:type="dxa"/>
            <w:vAlign w:val="bottom"/>
          </w:tcPr>
          <w:p>
            <w:pPr>
              <w:spacing w:after="0"/>
              <w:rPr>
                <w:sz w:val="24"/>
                <w:szCs w:val="24"/>
                <w:color w:val="auto"/>
              </w:rPr>
            </w:pPr>
          </w:p>
        </w:tc>
        <w:tc>
          <w:tcPr>
            <w:tcW w:w="495"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 w:type="dxa"/>
            <w:vAlign w:val="bottom"/>
          </w:tcPr>
          <w:p>
            <w:pPr>
              <w:spacing w:after="0"/>
              <w:rPr>
                <w:sz w:val="24"/>
                <w:szCs w:val="24"/>
                <w:color w:val="auto"/>
              </w:rPr>
            </w:pPr>
          </w:p>
        </w:tc>
        <w:tc>
          <w:tcPr>
            <w:tcW w:w="495"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5"/>
              </w:rPr>
              <w:t>Scheduled</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 w:type="dxa"/>
            <w:vAlign w:val="bottom"/>
          </w:tcPr>
          <w:p>
            <w:pPr>
              <w:spacing w:after="0"/>
              <w:rPr>
                <w:sz w:val="12"/>
                <w:szCs w:val="12"/>
                <w:color w:val="auto"/>
              </w:rPr>
            </w:pPr>
          </w:p>
        </w:tc>
        <w:tc>
          <w:tcPr>
            <w:tcW w:w="495"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rPr>
              <w:t>Percent of</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38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Maturities</w:t>
            </w:r>
          </w:p>
        </w:tc>
        <w:tc>
          <w:tcPr>
            <w:tcW w:w="85" w:type="dxa"/>
            <w:vAlign w:val="bottom"/>
          </w:tcPr>
          <w:p>
            <w:pPr>
              <w:spacing w:after="0"/>
              <w:rPr>
                <w:sz w:val="15"/>
                <w:szCs w:val="15"/>
                <w:color w:val="auto"/>
              </w:rPr>
            </w:pPr>
          </w:p>
        </w:tc>
        <w:tc>
          <w:tcPr>
            <w:tcW w:w="495"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5"/>
                <w:szCs w:val="15"/>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Debt Maturing</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5" w:type="dxa"/>
            <w:vAlign w:val="bottom"/>
            <w:tcBorders>
              <w:bottom w:val="single" w:sz="8" w:color="auto"/>
            </w:tcBorders>
          </w:tcPr>
          <w:p>
            <w:pPr>
              <w:spacing w:after="0"/>
              <w:rPr>
                <w:sz w:val="8"/>
                <w:szCs w:val="8"/>
                <w:color w:val="auto"/>
              </w:rPr>
            </w:pPr>
          </w:p>
        </w:tc>
        <w:tc>
          <w:tcPr>
            <w:tcW w:w="495"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5" w:type="dxa"/>
            <w:vAlign w:val="bottom"/>
          </w:tcPr>
          <w:p>
            <w:pPr>
              <w:spacing w:after="0"/>
              <w:rPr>
                <w:sz w:val="8"/>
                <w:szCs w:val="8"/>
                <w:color w:val="auto"/>
              </w:rPr>
            </w:pPr>
          </w:p>
        </w:tc>
        <w:tc>
          <w:tcPr>
            <w:tcW w:w="495"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5" w:type="dxa"/>
            <w:vAlign w:val="bottom"/>
            <w:shd w:val="clear" w:color="auto" w:fill="CCEEFF"/>
          </w:tcPr>
          <w:p>
            <w:pPr>
              <w:spacing w:after="0"/>
              <w:rPr>
                <w:sz w:val="18"/>
                <w:szCs w:val="18"/>
                <w:color w:val="auto"/>
              </w:rPr>
            </w:pPr>
          </w:p>
        </w:tc>
        <w:tc>
          <w:tcPr>
            <w:tcW w:w="495"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2006</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85" w:type="dxa"/>
            <w:vAlign w:val="bottom"/>
          </w:tcPr>
          <w:p>
            <w:pPr>
              <w:spacing w:after="0"/>
              <w:rPr>
                <w:sz w:val="18"/>
                <w:szCs w:val="18"/>
                <w:color w:val="auto"/>
              </w:rPr>
            </w:pPr>
          </w:p>
        </w:tc>
        <w:tc>
          <w:tcPr>
            <w:tcW w:w="495"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7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2008</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18"/>
                <w:szCs w:val="18"/>
                <w:color w:val="auto"/>
              </w:rPr>
            </w:pPr>
          </w:p>
        </w:tc>
        <w:tc>
          <w:tcPr>
            <w:tcW w:w="100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780" w:type="dxa"/>
            <w:vAlign w:val="bottom"/>
            <w:gridSpan w:val="5"/>
          </w:tcPr>
          <w:p>
            <w:pPr>
              <w:jc w:val="right"/>
              <w:ind w:right="3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17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2010</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8"/>
                <w:szCs w:val="18"/>
                <w:color w:val="auto"/>
              </w:rPr>
            </w:pPr>
          </w:p>
        </w:tc>
        <w:tc>
          <w:tcPr>
            <w:tcW w:w="100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780" w:type="dxa"/>
            <w:vAlign w:val="bottom"/>
            <w:gridSpan w:val="5"/>
          </w:tcPr>
          <w:p>
            <w:pPr>
              <w:jc w:val="right"/>
              <w:ind w:right="3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7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2012</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00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780" w:type="dxa"/>
            <w:vAlign w:val="bottom"/>
            <w:gridSpan w:val="5"/>
          </w:tcPr>
          <w:p>
            <w:pPr>
              <w:jc w:val="right"/>
              <w:ind w:right="3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7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2014</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22,396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22,538</w:t>
            </w:r>
          </w:p>
        </w:tc>
        <w:tc>
          <w:tcPr>
            <w:tcW w:w="1780" w:type="dxa"/>
            <w:vAlign w:val="bottom"/>
            <w:gridSpan w:val="5"/>
          </w:tcPr>
          <w:p>
            <w:pPr>
              <w:jc w:val="right"/>
              <w:ind w:right="38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5" w:type="dxa"/>
            <w:vAlign w:val="bottom"/>
            <w:tcBorders>
              <w:bottom w:val="single" w:sz="8" w:color="auto"/>
            </w:tcBorders>
          </w:tcPr>
          <w:p>
            <w:pPr>
              <w:spacing w:after="0"/>
              <w:rPr>
                <w:sz w:val="8"/>
                <w:szCs w:val="8"/>
                <w:color w:val="auto"/>
              </w:rPr>
            </w:pPr>
          </w:p>
        </w:tc>
        <w:tc>
          <w:tcPr>
            <w:tcW w:w="495"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5" w:type="dxa"/>
            <w:vAlign w:val="bottom"/>
          </w:tcPr>
          <w:p>
            <w:pPr>
              <w:spacing w:after="0"/>
              <w:rPr>
                <w:sz w:val="8"/>
                <w:szCs w:val="8"/>
                <w:color w:val="auto"/>
              </w:rPr>
            </w:pPr>
          </w:p>
        </w:tc>
        <w:tc>
          <w:tcPr>
            <w:tcW w:w="495"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$ 45,796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$47,225</w:t>
            </w:r>
          </w:p>
        </w:tc>
        <w:tc>
          <w:tcPr>
            <w:tcW w:w="17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5" w:type="dxa"/>
            <w:vAlign w:val="bottom"/>
            <w:tcBorders>
              <w:bottom w:val="single" w:sz="8" w:color="auto"/>
            </w:tcBorders>
          </w:tcPr>
          <w:p>
            <w:pPr>
              <w:spacing w:after="0"/>
              <w:rPr>
                <w:sz w:val="11"/>
                <w:szCs w:val="11"/>
                <w:color w:val="auto"/>
              </w:rPr>
            </w:pPr>
          </w:p>
        </w:tc>
        <w:tc>
          <w:tcPr>
            <w:tcW w:w="495"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-2781935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-2781935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-2781935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Loan is interest only until July 5, 2007, after which principal and interest payments are due based on a 30-year amortization schedule.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Mortgage or</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w w:val="98"/>
              </w:rPr>
              <w:t>MSA Description</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20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GLA</w:t>
            </w:r>
          </w:p>
        </w:tc>
        <w:tc>
          <w:tcPr>
            <w:tcW w:w="2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 Leased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Obligation</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GLA (1)</w:t>
            </w:r>
          </w:p>
        </w:tc>
        <w:tc>
          <w:tcPr>
            <w:tcW w:w="12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w w:val="90"/>
              </w:rPr>
              <w:t>Grocery Anchor (1)</w:t>
            </w:r>
          </w:p>
        </w:tc>
        <w:tc>
          <w:tcPr>
            <w:tcW w:w="22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87"/>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(in thousands)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East Region</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80" w:type="dxa"/>
            <w:vAlign w:val="bottom"/>
            <w:gridSpan w:val="4"/>
          </w:tcPr>
          <w:p>
            <w:pPr>
              <w:spacing w:after="0"/>
              <w:rPr>
                <w:sz w:val="20"/>
                <w:szCs w:val="20"/>
                <w:color w:val="auto"/>
              </w:rPr>
            </w:pPr>
            <w:r>
              <w:rPr>
                <w:rFonts w:ascii="Arial" w:cs="Arial" w:eastAsia="Arial" w:hAnsi="Arial"/>
                <w:sz w:val="18"/>
                <w:szCs w:val="18"/>
                <w:b w:val="1"/>
                <w:bCs w:val="1"/>
                <w:color w:val="auto"/>
              </w:rPr>
              <w:t>Washington Metropolitan Area</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88"/>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25,000</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Giant Food</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3"/>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w w:val="99"/>
              </w:rPr>
              <w:t>Total Washington Metropolitan</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96,000</w:t>
            </w:r>
          </w:p>
        </w:tc>
        <w:tc>
          <w:tcPr>
            <w:tcW w:w="11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Area</w:t>
            </w: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New England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63,000</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Shaw’s</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Worcester-</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Supermarket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Lawrence-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Lowell-</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Brockton, MA</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1240" w:type="dxa"/>
            <w:vAlign w:val="bottom"/>
          </w:tcPr>
          <w:p>
            <w:pPr>
              <w:spacing w:after="0"/>
              <w:rPr>
                <w:sz w:val="20"/>
                <w:szCs w:val="20"/>
                <w:color w:val="auto"/>
              </w:rPr>
            </w:pPr>
            <w:r>
              <w:rPr>
                <w:rFonts w:ascii="Arial" w:cs="Arial" w:eastAsia="Arial" w:hAnsi="Arial"/>
                <w:sz w:val="18"/>
                <w:szCs w:val="18"/>
                <w:color w:val="auto"/>
              </w:rPr>
              <w:t>Boston-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117,000</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11,000</w:t>
            </w:r>
          </w:p>
        </w:tc>
        <w:tc>
          <w:tcPr>
            <w:tcW w:w="580" w:type="dxa"/>
            <w:vAlign w:val="bottom"/>
            <w:gridSpan w:val="2"/>
          </w:tcPr>
          <w:p>
            <w:pPr>
              <w:spacing w:after="0"/>
              <w:rPr>
                <w:sz w:val="20"/>
                <w:szCs w:val="20"/>
                <w:color w:val="auto"/>
              </w:rPr>
            </w:pPr>
            <w:r>
              <w:rPr>
                <w:rFonts w:ascii="Arial" w:cs="Arial" w:eastAsia="Arial" w:hAnsi="Arial"/>
                <w:sz w:val="18"/>
                <w:szCs w:val="18"/>
                <w:color w:val="auto"/>
              </w:rPr>
              <w:t>46,000</w:t>
            </w: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w w:val="97"/>
              </w:rPr>
              <w:t>Roche Brothers</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Worcester-</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Factory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Lawrence-</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Lowell-</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w w:val="92"/>
              </w:rPr>
              <w:t>Brockton, MA</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38,000</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Foodmaster</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Worcester-</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Lawrence-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Lowell-</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Brockton, MA</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New</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60,259</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370,000</w:t>
            </w:r>
          </w:p>
        </w:tc>
        <w:tc>
          <w:tcPr>
            <w:tcW w:w="11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England</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line="201" w:lineRule="exact"/>
              <w:rPr>
                <w:sz w:val="20"/>
                <w:szCs w:val="20"/>
                <w:color w:val="auto"/>
              </w:rPr>
            </w:pPr>
            <w:r>
              <w:rPr>
                <w:rFonts w:ascii="Arial" w:cs="Arial" w:eastAsia="Arial" w:hAnsi="Arial"/>
                <w:sz w:val="18"/>
                <w:szCs w:val="18"/>
                <w:b w:val="1"/>
                <w:bCs w:val="1"/>
                <w:color w:val="auto"/>
              </w:rPr>
              <w:t>Total East</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80,989</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466,000</w:t>
            </w:r>
          </w:p>
        </w:tc>
        <w:tc>
          <w:tcPr>
            <w:tcW w:w="116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98%</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5620" w:right="5260" w:hanging="5612"/>
        <w:spacing w:after="0" w:line="408" w:lineRule="auto"/>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27</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Adjusted EBITDA is a non-GAAP measure that means net income or loss plus interest expense, income taxes,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adjusted for gain or loss on sale of assets, impairment provisions, and gains on sale of real estate.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EBITDA, to net income for the three months ended March 31, 2005 and 2004 is as follows:</w:t>
      </w:r>
    </w:p>
    <w:p>
      <w:pPr>
        <w:spacing w:after="0" w:line="96"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60325</wp:posOffset>
            </wp:positionV>
            <wp:extent cx="11747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interest income</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(4,282)</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-27305</wp:posOffset>
            </wp:positionV>
            <wp:extent cx="120459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4595" cy="29845"/>
                    </a:xfrm>
                    <a:prstGeom prst="rect">
                      <a:avLst/>
                    </a:prstGeom>
                    <a:noFill/>
                  </pic:spPr>
                </pic:pic>
              </a:graphicData>
            </a:graphic>
          </wp:anchor>
        </w:drawing>
      </w:r>
    </w:p>
    <w:p>
      <w:pPr>
        <w:spacing w:after="0" w:line="22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1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Tenant improvements and incentives</w:t>
      </w:r>
      <w:r>
        <w:rPr>
          <w:rFonts w:ascii="Arial" w:cs="Arial" w:eastAsia="Arial" w:hAnsi="Arial"/>
          <w:sz w:val="18"/>
          <w:szCs w:val="18"/>
          <w:color w:val="auto"/>
        </w:rPr>
        <w:t>: Represents not only the total dollars committed for the improvement (fit-out) of a space as it relates to a specific lease but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3"/>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2019-12-11T17:49:42Z</dcterms:created>
  <dcterms:modified xsi:type="dcterms:W3CDTF">2019-12-11T17:49:42Z</dcterms:modified>
</cp:coreProperties>
</file>