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439"/>
        <w:spacing w:after="0"/>
        <w:rPr>
          <w:sz w:val="20"/>
          <w:szCs w:val="20"/>
          <w:color w:val="auto"/>
        </w:rPr>
      </w:pPr>
      <w:r>
        <w:rPr>
          <w:rFonts w:ascii="Arial" w:cs="Arial" w:eastAsia="Arial" w:hAnsi="Arial"/>
          <w:sz w:val="32"/>
          <w:szCs w:val="32"/>
          <w:b w:val="1"/>
          <w:bCs w:val="1"/>
          <w:color w:val="auto"/>
        </w:rPr>
        <w:t>FORM 8-K</w:t>
      </w:r>
    </w:p>
    <w:p>
      <w:pPr>
        <w:spacing w:after="0" w:line="168" w:lineRule="exact"/>
        <w:rPr>
          <w:sz w:val="24"/>
          <w:szCs w:val="24"/>
          <w:color w:val="auto"/>
        </w:rPr>
      </w:pPr>
    </w:p>
    <w:p>
      <w:pPr>
        <w:jc w:val="center"/>
        <w:ind w:right="-439"/>
        <w:spacing w:after="0"/>
        <w:rPr>
          <w:sz w:val="20"/>
          <w:szCs w:val="20"/>
          <w:color w:val="auto"/>
        </w:rPr>
      </w:pPr>
      <w:r>
        <w:rPr>
          <w:rFonts w:ascii="Arial" w:cs="Arial" w:eastAsia="Arial" w:hAnsi="Arial"/>
          <w:sz w:val="23"/>
          <w:szCs w:val="23"/>
          <w:b w:val="1"/>
          <w:bCs w:val="1"/>
          <w:color w:val="auto"/>
        </w:rPr>
        <w:t>CURRENT REPORT</w:t>
      </w:r>
    </w:p>
    <w:p>
      <w:pPr>
        <w:spacing w:after="0" w:line="18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Date of Report (Date of earliest event reported) June 30, 2015</w:t>
      </w:r>
    </w:p>
    <w:p>
      <w:pPr>
        <w:spacing w:after="0" w:line="200" w:lineRule="exact"/>
        <w:rPr>
          <w:sz w:val="24"/>
          <w:szCs w:val="24"/>
          <w:color w:val="auto"/>
        </w:rPr>
      </w:pPr>
    </w:p>
    <w:p>
      <w:pPr>
        <w:spacing w:after="0" w:line="368" w:lineRule="exact"/>
        <w:rPr>
          <w:sz w:val="24"/>
          <w:szCs w:val="24"/>
          <w:color w:val="auto"/>
        </w:rPr>
      </w:pPr>
    </w:p>
    <w:p>
      <w:pPr>
        <w:jc w:val="center"/>
        <w:ind w:right="-4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tbl>
      <w:tblPr>
        <w:tblLayout w:type="fixed"/>
        <w:tblInd w:w="1560" w:type="dxa"/>
        <w:tblCellMar>
          <w:top w:w="0" w:type="dxa"/>
          <w:left w:w="0" w:type="dxa"/>
          <w:bottom w:w="0" w:type="dxa"/>
          <w:right w:w="0" w:type="dxa"/>
        </w:tblCellMar>
      </w:tblPr>
      <w:tr>
        <w:trPr>
          <w:trHeight w:val="234"/>
        </w:trPr>
        <w:tc>
          <w:tcPr>
            <w:tcW w:w="2660" w:type="dxa"/>
            <w:vAlign w:val="bottom"/>
          </w:tcPr>
          <w:p>
            <w:pPr>
              <w:jc w:val="center"/>
              <w:ind w:right="1168"/>
              <w:spacing w:after="0"/>
              <w:rPr>
                <w:sz w:val="20"/>
                <w:szCs w:val="20"/>
                <w:color w:val="auto"/>
              </w:rPr>
            </w:pPr>
            <w:r>
              <w:rPr>
                <w:rFonts w:ascii="Arial" w:cs="Arial" w:eastAsia="Arial" w:hAnsi="Arial"/>
                <w:sz w:val="18"/>
                <w:szCs w:val="18"/>
                <w:b w:val="1"/>
                <w:bCs w:val="1"/>
                <w:color w:val="auto"/>
                <w:w w:val="98"/>
              </w:rPr>
              <w:t>Maryland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1-07533</w:t>
            </w:r>
          </w:p>
        </w:tc>
        <w:tc>
          <w:tcPr>
            <w:tcW w:w="2280" w:type="dxa"/>
            <w:vAlign w:val="bottom"/>
          </w:tcPr>
          <w:p>
            <w:pPr>
              <w:jc w:val="center"/>
              <w:ind w:left="1208"/>
              <w:spacing w:after="0"/>
              <w:rPr>
                <w:sz w:val="20"/>
                <w:szCs w:val="20"/>
                <w:color w:val="auto"/>
              </w:rPr>
            </w:pPr>
            <w:r>
              <w:rPr>
                <w:rFonts w:ascii="Arial" w:cs="Arial" w:eastAsia="Arial" w:hAnsi="Arial"/>
                <w:sz w:val="18"/>
                <w:szCs w:val="18"/>
                <w:b w:val="1"/>
                <w:bCs w:val="1"/>
                <w:color w:val="auto"/>
                <w:w w:val="91"/>
              </w:rPr>
              <w:t>52-0782497</w:t>
            </w:r>
          </w:p>
        </w:tc>
      </w:tr>
      <w:tr>
        <w:trPr>
          <w:trHeight w:val="171"/>
        </w:trPr>
        <w:tc>
          <w:tcPr>
            <w:tcW w:w="2660" w:type="dxa"/>
            <w:vAlign w:val="bottom"/>
          </w:tcPr>
          <w:p>
            <w:pPr>
              <w:jc w:val="center"/>
              <w:ind w:right="1168"/>
              <w:spacing w:after="0"/>
              <w:rPr>
                <w:sz w:val="20"/>
                <w:szCs w:val="20"/>
                <w:color w:val="auto"/>
              </w:rPr>
            </w:pPr>
            <w:r>
              <w:rPr>
                <w:rFonts w:ascii="Arial" w:cs="Arial" w:eastAsia="Arial" w:hAnsi="Arial"/>
                <w:sz w:val="13"/>
                <w:szCs w:val="13"/>
                <w:b w:val="1"/>
                <w:bCs w:val="1"/>
                <w:color w:val="auto"/>
                <w:w w:val="87"/>
              </w:rPr>
              <w:t>(State or other jurisdiction</w:t>
            </w:r>
          </w:p>
        </w:tc>
        <w:tc>
          <w:tcPr>
            <w:tcW w:w="3260" w:type="dxa"/>
            <w:vAlign w:val="bottom"/>
          </w:tcPr>
          <w:p>
            <w:pPr>
              <w:jc w:val="center"/>
              <w:ind w:right="8"/>
              <w:spacing w:after="0"/>
              <w:rPr>
                <w:sz w:val="20"/>
                <w:szCs w:val="20"/>
                <w:color w:val="auto"/>
              </w:rPr>
            </w:pPr>
            <w:r>
              <w:rPr>
                <w:rFonts w:ascii="Arial" w:cs="Arial" w:eastAsia="Arial" w:hAnsi="Arial"/>
                <w:sz w:val="13"/>
                <w:szCs w:val="13"/>
                <w:b w:val="1"/>
                <w:bCs w:val="1"/>
                <w:color w:val="auto"/>
                <w:w w:val="84"/>
              </w:rPr>
              <w:t>(Commission</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89"/>
              </w:rPr>
              <w:t>(IRS Employer</w:t>
            </w:r>
          </w:p>
        </w:tc>
      </w:tr>
      <w:tr>
        <w:trPr>
          <w:trHeight w:val="164"/>
        </w:trPr>
        <w:tc>
          <w:tcPr>
            <w:tcW w:w="2660" w:type="dxa"/>
            <w:vAlign w:val="bottom"/>
          </w:tcPr>
          <w:p>
            <w:pPr>
              <w:jc w:val="center"/>
              <w:ind w:right="1148"/>
              <w:spacing w:after="0"/>
              <w:rPr>
                <w:sz w:val="20"/>
                <w:szCs w:val="20"/>
                <w:color w:val="auto"/>
              </w:rPr>
            </w:pPr>
            <w:r>
              <w:rPr>
                <w:rFonts w:ascii="Arial" w:cs="Arial" w:eastAsia="Arial" w:hAnsi="Arial"/>
                <w:sz w:val="13"/>
                <w:szCs w:val="13"/>
                <w:b w:val="1"/>
                <w:bCs w:val="1"/>
                <w:color w:val="auto"/>
                <w:w w:val="88"/>
              </w:rPr>
              <w:t>of incorporation)</w:t>
            </w:r>
          </w:p>
        </w:tc>
        <w:tc>
          <w:tcPr>
            <w:tcW w:w="3260" w:type="dxa"/>
            <w:vAlign w:val="bottom"/>
          </w:tcPr>
          <w:p>
            <w:pPr>
              <w:jc w:val="center"/>
              <w:spacing w:after="0"/>
              <w:rPr>
                <w:sz w:val="20"/>
                <w:szCs w:val="20"/>
                <w:color w:val="auto"/>
              </w:rPr>
            </w:pPr>
            <w:r>
              <w:rPr>
                <w:rFonts w:ascii="Arial" w:cs="Arial" w:eastAsia="Arial" w:hAnsi="Arial"/>
                <w:sz w:val="13"/>
                <w:szCs w:val="13"/>
                <w:b w:val="1"/>
                <w:bCs w:val="1"/>
                <w:color w:val="auto"/>
                <w:w w:val="90"/>
              </w:rPr>
              <w:t>File Number)</w:t>
            </w:r>
          </w:p>
        </w:tc>
        <w:tc>
          <w:tcPr>
            <w:tcW w:w="2280" w:type="dxa"/>
            <w:vAlign w:val="bottom"/>
          </w:tcPr>
          <w:p>
            <w:pPr>
              <w:jc w:val="center"/>
              <w:ind w:left="1208"/>
              <w:spacing w:after="0"/>
              <w:rPr>
                <w:sz w:val="20"/>
                <w:szCs w:val="20"/>
                <w:color w:val="auto"/>
              </w:rPr>
            </w:pPr>
            <w:r>
              <w:rPr>
                <w:rFonts w:ascii="Arial" w:cs="Arial" w:eastAsia="Arial" w:hAnsi="Arial"/>
                <w:sz w:val="13"/>
                <w:szCs w:val="13"/>
                <w:b w:val="1"/>
                <w:bCs w:val="1"/>
                <w:color w:val="auto"/>
                <w:w w:val="91"/>
              </w:rPr>
              <w:t>Identification No.)</w:t>
            </w:r>
          </w:p>
        </w:tc>
      </w:tr>
    </w:tbl>
    <w:p>
      <w:pPr>
        <w:spacing w:after="0" w:line="200" w:lineRule="exact"/>
        <w:rPr>
          <w:sz w:val="24"/>
          <w:szCs w:val="24"/>
          <w:color w:val="auto"/>
        </w:rPr>
      </w:pPr>
    </w:p>
    <w:p>
      <w:pPr>
        <w:sectPr>
          <w:pgSz w:w="11900" w:h="16838" w:orient="portrait"/>
          <w:cols w:equalWidth="0" w:num="1">
            <w:col w:w="10980"/>
          </w:cols>
          <w:pgMar w:left="240" w:top="679"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20852-4041</w:t>
      </w:r>
    </w:p>
    <w:p>
      <w:pPr>
        <w:spacing w:after="0" w:line="86" w:lineRule="exact"/>
        <w:rPr>
          <w:sz w:val="24"/>
          <w:szCs w:val="24"/>
          <w:color w:val="auto"/>
        </w:rPr>
      </w:pPr>
    </w:p>
    <w:p>
      <w:pPr>
        <w:sectPr>
          <w:pgSz w:w="11900" w:h="16838" w:orient="portrait"/>
          <w:cols w:equalWidth="0" w:num="2">
            <w:col w:w="7280" w:space="720"/>
            <w:col w:w="2980"/>
          </w:cols>
          <w:pgMar w:left="240" w:top="679" w:right="679" w:bottom="1440" w:gutter="0" w:footer="0" w:header="0"/>
          <w:type w:val="continuous"/>
        </w:sectPr>
      </w:pPr>
    </w:p>
    <w:p>
      <w:pPr>
        <w:ind w:left="208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(Zip Code)</w:t>
      </w:r>
    </w:p>
    <w:p>
      <w:pPr>
        <w:spacing w:after="0" w:line="198" w:lineRule="exact"/>
        <w:rPr>
          <w:sz w:val="24"/>
          <w:szCs w:val="24"/>
          <w:color w:val="auto"/>
        </w:rPr>
      </w:pPr>
    </w:p>
    <w:p>
      <w:pPr>
        <w:sectPr>
          <w:pgSz w:w="11900" w:h="16838" w:orient="portrait"/>
          <w:cols w:equalWidth="0" w:num="2">
            <w:col w:w="7420" w:space="720"/>
            <w:col w:w="2840"/>
          </w:cols>
          <w:pgMar w:left="240" w:top="679" w:right="679" w:bottom="1440" w:gutter="0" w:footer="0" w:header="0"/>
          <w:type w:val="continuous"/>
        </w:sect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0" w:lineRule="exact"/>
        <w:rPr>
          <w:sz w:val="24"/>
          <w:szCs w:val="24"/>
          <w:color w:val="auto"/>
        </w:rPr>
      </w:pPr>
    </w:p>
    <w:p>
      <w:pPr>
        <w:spacing w:after="0" w:line="25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940" w:hanging="41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679"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6"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7"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On August 5, 2015, Federal Realty Investment Trust issued supplemental data pertaining to its operations, as well as a press release, to report its financial results for the quarter ended June 30, 2015. The supplemental data and press release are furnished as Exhibit 99.1 hereto.</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19"/>
          <w:szCs w:val="19"/>
          <w:color w:val="auto"/>
        </w:rPr>
        <w:t>Exhibits</w:t>
      </w:r>
    </w:p>
    <w:p>
      <w:pPr>
        <w:spacing w:after="0" w:line="233" w:lineRule="exact"/>
        <w:rPr>
          <w:sz w:val="20"/>
          <w:szCs w:val="20"/>
          <w:color w:val="auto"/>
        </w:rPr>
      </w:pPr>
    </w:p>
    <w:p>
      <w:pPr>
        <w:ind w:left="1960"/>
        <w:spacing w:after="0"/>
        <w:tabs>
          <w:tab w:leader="none" w:pos="250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2015 (including press release dated August 5,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242" w:lineRule="exact"/>
        <w:rPr>
          <w:sz w:val="20"/>
          <w:szCs w:val="20"/>
          <w:color w:val="auto"/>
        </w:rPr>
      </w:pPr>
    </w:p>
    <w:p>
      <w:pPr>
        <w:ind w:right="100" w:firstLine="648"/>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920"/>
        <w:spacing w:after="0"/>
        <w:rPr>
          <w:sz w:val="20"/>
          <w:szCs w:val="20"/>
          <w:color w:val="auto"/>
        </w:rPr>
      </w:pPr>
      <w:r>
        <w:rPr>
          <w:rFonts w:ascii="Arial" w:cs="Arial" w:eastAsia="Arial" w:hAnsi="Arial"/>
          <w:sz w:val="22"/>
          <w:szCs w:val="22"/>
          <w:b w:val="1"/>
          <w:bCs w:val="1"/>
          <w:color w:val="auto"/>
        </w:rPr>
        <w:t>FEDERAL REALTY INVESTMENT TRUST</w:t>
      </w:r>
    </w:p>
    <w:p>
      <w:pPr>
        <w:spacing w:after="0" w:line="374" w:lineRule="exact"/>
        <w:rPr>
          <w:sz w:val="20"/>
          <w:szCs w:val="20"/>
          <w:color w:val="auto"/>
        </w:rPr>
      </w:pPr>
    </w:p>
    <w:p>
      <w:pPr>
        <w:ind w:left="1120"/>
        <w:spacing w:after="0"/>
        <w:tabs>
          <w:tab w:leader="none" w:pos="1780" w:val="left"/>
          <w:tab w:leader="none" w:pos="4960" w:val="left"/>
        </w:tabs>
        <w:rPr>
          <w:sz w:val="20"/>
          <w:szCs w:val="20"/>
          <w:color w:val="auto"/>
        </w:rPr>
      </w:pPr>
      <w:r>
        <w:rPr>
          <w:rFonts w:ascii="Arial" w:cs="Arial" w:eastAsia="Arial" w:hAnsi="Arial"/>
          <w:sz w:val="22"/>
          <w:szCs w:val="22"/>
          <w:color w:val="auto"/>
        </w:rPr>
        <w:t>Date:</w:t>
        <w:tab/>
        <w:t>August 5, 2015</w:t>
      </w:r>
      <w:r>
        <w:rPr>
          <w:sz w:val="20"/>
          <w:szCs w:val="20"/>
          <w:color w:val="auto"/>
        </w:rPr>
        <w:tab/>
      </w:r>
      <w:r>
        <w:rPr>
          <w:rFonts w:ascii="Arial" w:cs="Arial" w:eastAsia="Arial" w:hAnsi="Arial"/>
          <w:sz w:val="19"/>
          <w:szCs w:val="19"/>
          <w:u w:val="single" w:color="auto"/>
          <w:color w:val="auto"/>
        </w:rPr>
        <w:t>/s/ James M. Taylor, Jr.</w:t>
      </w:r>
    </w:p>
    <w:p>
      <w:pPr>
        <w:spacing w:after="0" w:line="36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James M. Taylor, Jr.</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Executive Vice President-</w:t>
      </w:r>
    </w:p>
    <w:p>
      <w:pPr>
        <w:spacing w:after="0" w:line="44"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Chief Financial Officer and Treasurer</w:t>
      </w:r>
    </w:p>
    <w:p>
      <w:pPr>
        <w:sectPr>
          <w:pgSz w:w="11900" w:h="16838" w:orient="portrait"/>
          <w:cols w:equalWidth="0" w:num="1">
            <w:col w:w="11380"/>
          </w:cols>
          <w:pgMar w:left="240" w:top="585" w:right="279" w:bottom="1440" w:gutter="0" w:footer="0" w:header="0"/>
        </w:sectPr>
      </w:pPr>
    </w:p>
    <w:bookmarkStart w:id="2" w:name="page3"/>
    <w:bookmarkEnd w:id="2"/>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36" w:lineRule="exact"/>
        <w:rPr>
          <w:sz w:val="20"/>
          <w:szCs w:val="20"/>
          <w:color w:val="auto"/>
        </w:rPr>
      </w:pPr>
    </w:p>
    <w:p>
      <w:pPr>
        <w:spacing w:after="0"/>
        <w:tabs>
          <w:tab w:leader="none" w:pos="880" w:val="left"/>
        </w:tabs>
        <w:rPr>
          <w:sz w:val="20"/>
          <w:szCs w:val="20"/>
          <w:color w:val="auto"/>
        </w:rPr>
      </w:pPr>
      <w:r>
        <w:rPr>
          <w:rFonts w:ascii="Arial" w:cs="Arial" w:eastAsia="Arial" w:hAnsi="Arial"/>
          <w:sz w:val="22"/>
          <w:szCs w:val="22"/>
          <w:u w:val="single" w:color="auto"/>
          <w:color w:val="auto"/>
        </w:rPr>
        <w:t>Exh No.</w:t>
      </w:r>
      <w:r>
        <w:rPr>
          <w:sz w:val="20"/>
          <w:szCs w:val="20"/>
          <w:color w:val="auto"/>
        </w:rPr>
        <w:tab/>
      </w:r>
      <w:r>
        <w:rPr>
          <w:rFonts w:ascii="Arial" w:cs="Arial" w:eastAsia="Arial" w:hAnsi="Arial"/>
          <w:sz w:val="21"/>
          <w:szCs w:val="21"/>
          <w:u w:val="single" w:color="auto"/>
          <w:color w:val="auto"/>
        </w:rPr>
        <w:t>Exhibit</w:t>
      </w:r>
    </w:p>
    <w:p>
      <w:pPr>
        <w:spacing w:after="0" w:line="22"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99.1</w:t>
      </w:r>
      <w:r>
        <w:rPr>
          <w:sz w:val="20"/>
          <w:szCs w:val="20"/>
          <w:color w:val="auto"/>
        </w:rPr>
        <w:tab/>
      </w:r>
      <w:r>
        <w:rPr>
          <w:rFonts w:ascii="Arial" w:cs="Arial" w:eastAsia="Arial" w:hAnsi="Arial"/>
          <w:sz w:val="19"/>
          <w:szCs w:val="19"/>
          <w:color w:val="auto"/>
        </w:rPr>
        <w:t>Supplemental Information at June 30, 2015</w:t>
      </w:r>
    </w:p>
    <w:p>
      <w:pPr>
        <w:sectPr>
          <w:pgSz w:w="11900" w:h="16838" w:orient="portrait"/>
          <w:cols w:equalWidth="0" w:num="1">
            <w:col w:w="10219"/>
          </w:cols>
          <w:pgMar w:left="240" w:top="59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30, 2015</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1</w:t>
            </w:r>
          </w:p>
        </w:tc>
        <w:tc>
          <w:tcPr>
            <w:tcW w:w="87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Second Quarter 2015 Earnings Press Release</w:t>
            </w:r>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70"/>
        </w:trPr>
        <w:tc>
          <w:tcPr>
            <w:tcW w:w="500" w:type="dxa"/>
            <w:vAlign w:val="bottom"/>
            <w:tcBorders>
              <w:top w:val="single" w:sz="8" w:color="CCEEFF"/>
            </w:tcBorders>
          </w:tcPr>
          <w:p>
            <w:pPr>
              <w:spacing w:after="0"/>
              <w:rPr>
                <w:sz w:val="23"/>
                <w:szCs w:val="23"/>
                <w:color w:val="auto"/>
              </w:rPr>
            </w:pPr>
          </w:p>
        </w:tc>
        <w:tc>
          <w:tcPr>
            <w:tcW w:w="876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2</w:t>
            </w:r>
          </w:p>
        </w:tc>
        <w:tc>
          <w:tcPr>
            <w:tcW w:w="87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Financial Highlights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Summarized Income Statements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7</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Summarized Balance Sheets</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rPr>
            </w:pPr>
            <w:hyperlink w:anchor="page10">
              <w:r>
                <w:rPr>
                  <w:rFonts w:ascii="Arial" w:cs="Arial" w:eastAsia="Arial" w:hAnsi="Arial"/>
                  <w:sz w:val="18"/>
                  <w:szCs w:val="18"/>
                  <w:color w:val="0000EE"/>
                </w:rPr>
                <w:t>8</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Funds From Operations / Summary of Capital Expenditures</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11">
              <w:r>
                <w:rPr>
                  <w:rFonts w:ascii="Arial" w:cs="Arial" w:eastAsia="Arial" w:hAnsi="Arial"/>
                  <w:sz w:val="18"/>
                  <w:szCs w:val="18"/>
                  <w:color w:val="0000EE"/>
                </w:rPr>
                <w:t>9</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500" w:type="dxa"/>
            <w:vAlign w:val="bottom"/>
            <w:shd w:val="clear" w:color="auto" w:fill="CCEEFF"/>
          </w:tcPr>
          <w:p>
            <w:pPr>
              <w:spacing w:after="0"/>
              <w:rPr>
                <w:sz w:val="17"/>
                <w:szCs w:val="17"/>
                <w:color w:val="auto"/>
              </w:rPr>
            </w:pPr>
          </w:p>
        </w:tc>
        <w:tc>
          <w:tcPr>
            <w:tcW w:w="8760" w:type="dxa"/>
            <w:vAlign w:val="bottom"/>
            <w:shd w:val="clear" w:color="auto" w:fill="CCEEFF"/>
          </w:tcPr>
          <w:p>
            <w:pPr>
              <w:ind w:left="1140"/>
              <w:spacing w:after="0" w:line="202" w:lineRule="exact"/>
              <w:rPr>
                <w:sz w:val="20"/>
                <w:szCs w:val="20"/>
                <w:color w:val="auto"/>
              </w:rPr>
            </w:pPr>
            <w:r>
              <w:rPr>
                <w:rFonts w:ascii="Arial" w:cs="Arial" w:eastAsia="Arial" w:hAnsi="Arial"/>
                <w:sz w:val="18"/>
                <w:szCs w:val="18"/>
                <w:color w:val="auto"/>
              </w:rPr>
              <w:t>Market Data</w:t>
            </w: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10</w:t>
              </w:r>
            </w:hyperlink>
          </w:p>
        </w:tc>
      </w:tr>
      <w:tr>
        <w:trPr>
          <w:trHeight w:val="48"/>
        </w:trPr>
        <w:tc>
          <w:tcPr>
            <w:tcW w:w="500" w:type="dxa"/>
            <w:vAlign w:val="bottom"/>
            <w:tcBorders>
              <w:top w:val="single" w:sz="8" w:color="CCEEFF"/>
            </w:tcBorders>
            <w:shd w:val="clear" w:color="auto" w:fill="CCEEFF"/>
          </w:tcPr>
          <w:p>
            <w:pPr>
              <w:spacing w:after="0"/>
              <w:rPr>
                <w:sz w:val="4"/>
                <w:szCs w:val="4"/>
                <w:color w:val="auto"/>
              </w:rPr>
            </w:pPr>
          </w:p>
        </w:tc>
        <w:tc>
          <w:tcPr>
            <w:tcW w:w="87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00" w:type="dxa"/>
            <w:vAlign w:val="bottom"/>
          </w:tcPr>
          <w:p>
            <w:pPr>
              <w:spacing w:after="0"/>
              <w:rPr>
                <w:sz w:val="17"/>
                <w:szCs w:val="17"/>
                <w:color w:val="auto"/>
              </w:rPr>
            </w:pPr>
          </w:p>
        </w:tc>
        <w:tc>
          <w:tcPr>
            <w:tcW w:w="8760" w:type="dxa"/>
            <w:vAlign w:val="bottom"/>
          </w:tcPr>
          <w:p>
            <w:pPr>
              <w:ind w:left="1140"/>
              <w:spacing w:after="0" w:line="202" w:lineRule="exact"/>
              <w:rPr>
                <w:sz w:val="20"/>
                <w:szCs w:val="20"/>
                <w:color w:val="auto"/>
              </w:rPr>
            </w:pPr>
            <w:r>
              <w:rPr>
                <w:rFonts w:ascii="Arial" w:cs="Arial" w:eastAsia="Arial" w:hAnsi="Arial"/>
                <w:sz w:val="18"/>
                <w:szCs w:val="18"/>
                <w:color w:val="auto"/>
              </w:rPr>
              <w:t>Components of Rental Income</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11</w:t>
              </w:r>
            </w:hyperlink>
          </w:p>
        </w:tc>
      </w:tr>
      <w:tr>
        <w:trPr>
          <w:trHeight w:val="48"/>
        </w:trPr>
        <w:tc>
          <w:tcPr>
            <w:tcW w:w="500" w:type="dxa"/>
            <w:vAlign w:val="bottom"/>
          </w:tcPr>
          <w:p>
            <w:pPr>
              <w:spacing w:after="0"/>
              <w:rPr>
                <w:sz w:val="4"/>
                <w:szCs w:val="4"/>
                <w:color w:val="auto"/>
              </w:rPr>
            </w:pPr>
          </w:p>
        </w:tc>
        <w:tc>
          <w:tcPr>
            <w:tcW w:w="87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00" w:type="dxa"/>
            <w:vAlign w:val="bottom"/>
            <w:shd w:val="clear" w:color="auto" w:fill="CCEEFF"/>
          </w:tcPr>
          <w:p>
            <w:pPr>
              <w:spacing w:after="0"/>
              <w:rPr>
                <w:sz w:val="23"/>
                <w:szCs w:val="23"/>
                <w:color w:val="auto"/>
              </w:rPr>
            </w:pPr>
          </w:p>
        </w:tc>
        <w:tc>
          <w:tcPr>
            <w:tcW w:w="8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900" w:hanging="873"/>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Summary of Outstanding Debt and Capital Lease Obligations</w:t>
            </w:r>
          </w:p>
        </w:tc>
        <w:tc>
          <w:tcPr>
            <w:tcW w:w="200" w:type="dxa"/>
            <w:vAlign w:val="bottom"/>
            <w:gridSpan w:val="2"/>
            <w:shd w:val="clear" w:color="auto" w:fill="CCEEFF"/>
          </w:tcPr>
          <w:p>
            <w:pPr>
              <w:jc w:val="right"/>
              <w:ind w:right="2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12</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7">
              <w:r>
                <w:rPr>
                  <w:rFonts w:ascii="Arial" w:cs="Arial" w:eastAsia="Arial" w:hAnsi="Arial"/>
                  <w:sz w:val="18"/>
                  <w:szCs w:val="18"/>
                  <w:color w:val="0000EE"/>
                  <w:w w:val="79"/>
                </w:rPr>
                <w:t>14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4</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5</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Pike &amp; Rose and Assembly Row</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6</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Future Redevelopment Opportunities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0">
              <w:r>
                <w:rPr>
                  <w:rFonts w:ascii="Arial" w:cs="Arial" w:eastAsia="Arial" w:hAnsi="Arial"/>
                  <w:sz w:val="18"/>
                  <w:szCs w:val="18"/>
                  <w:color w:val="0000EE"/>
                  <w:w w:val="79"/>
                </w:rPr>
                <w:t>17</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7</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2015 Significant Acquisitions &amp; Disposition</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1">
              <w:r>
                <w:rPr>
                  <w:rFonts w:ascii="Arial" w:cs="Arial" w:eastAsia="Arial" w:hAnsi="Arial"/>
                  <w:sz w:val="18"/>
                  <w:szCs w:val="18"/>
                  <w:color w:val="0000EE"/>
                  <w:w w:val="79"/>
                </w:rPr>
                <w:t>18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324"/>
        </w:trPr>
        <w:tc>
          <w:tcPr>
            <w:tcW w:w="540" w:type="dxa"/>
            <w:vAlign w:val="bottom"/>
            <w:shd w:val="clear" w:color="auto" w:fill="CCEEFF"/>
          </w:tcPr>
          <w:p>
            <w:pPr>
              <w:spacing w:after="0"/>
              <w:rPr>
                <w:sz w:val="24"/>
                <w:szCs w:val="24"/>
                <w:color w:val="auto"/>
              </w:rPr>
            </w:pPr>
          </w:p>
        </w:tc>
        <w:tc>
          <w:tcPr>
            <w:tcW w:w="8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8</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2">
              <w:r>
                <w:rPr>
                  <w:rFonts w:ascii="Arial" w:cs="Arial" w:eastAsia="Arial" w:hAnsi="Arial"/>
                  <w:sz w:val="18"/>
                  <w:szCs w:val="18"/>
                  <w:color w:val="0000EE"/>
                  <w:w w:val="79"/>
                </w:rPr>
                <w:t>19</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9</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Retail Leasing Summary</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22</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10</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Lease Expirations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23</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11</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Portfolio Leased Statistics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7">
              <w:r>
                <w:rPr>
                  <w:rFonts w:ascii="Arial" w:cs="Arial" w:eastAsia="Arial" w:hAnsi="Arial"/>
                  <w:sz w:val="18"/>
                  <w:szCs w:val="18"/>
                  <w:color w:val="0000EE"/>
                  <w:w w:val="79"/>
                </w:rPr>
                <w:t>24</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12</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Summary of Top 25 Tenants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25</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03"/>
        </w:trPr>
        <w:tc>
          <w:tcPr>
            <w:tcW w:w="540" w:type="dxa"/>
            <w:vAlign w:val="bottom"/>
          </w:tcPr>
          <w:p>
            <w:pPr>
              <w:ind w:left="20"/>
              <w:spacing w:after="0" w:line="202" w:lineRule="exact"/>
              <w:rPr>
                <w:sz w:val="20"/>
                <w:szCs w:val="20"/>
                <w:color w:val="auto"/>
              </w:rPr>
            </w:pPr>
            <w:r>
              <w:rPr>
                <w:rFonts w:ascii="Arial" w:cs="Arial" w:eastAsia="Arial" w:hAnsi="Arial"/>
                <w:sz w:val="18"/>
                <w:szCs w:val="18"/>
                <w:color w:val="auto"/>
              </w:rPr>
              <w:t>13</w:t>
            </w:r>
          </w:p>
        </w:tc>
        <w:tc>
          <w:tcPr>
            <w:tcW w:w="8720" w:type="dxa"/>
            <w:vAlign w:val="bottom"/>
          </w:tcPr>
          <w:p>
            <w:pPr>
              <w:ind w:left="360"/>
              <w:spacing w:after="0" w:line="202" w:lineRule="exact"/>
              <w:rPr>
                <w:sz w:val="20"/>
                <w:szCs w:val="20"/>
                <w:color w:val="auto"/>
              </w:rPr>
            </w:pPr>
            <w:r>
              <w:rPr>
                <w:rFonts w:ascii="Arial" w:cs="Arial" w:eastAsia="Arial" w:hAnsi="Arial"/>
                <w:sz w:val="18"/>
                <w:szCs w:val="18"/>
                <w:color w:val="auto"/>
              </w:rPr>
              <w:t>Reconciliation of Net Income to FFO Guidance</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29">
              <w:r>
                <w:rPr>
                  <w:rFonts w:ascii="Arial" w:cs="Arial" w:eastAsia="Arial" w:hAnsi="Arial"/>
                  <w:sz w:val="18"/>
                  <w:szCs w:val="18"/>
                  <w:color w:val="0000EE"/>
                  <w:w w:val="79"/>
                </w:rPr>
                <w:t>26</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43"/>
        </w:trPr>
        <w:tc>
          <w:tcPr>
            <w:tcW w:w="540" w:type="dxa"/>
            <w:vAlign w:val="bottom"/>
          </w:tcPr>
          <w:p>
            <w:pPr>
              <w:ind w:left="20"/>
              <w:spacing w:after="0"/>
              <w:rPr>
                <w:sz w:val="20"/>
                <w:szCs w:val="20"/>
                <w:color w:val="auto"/>
              </w:rPr>
            </w:pPr>
            <w:r>
              <w:rPr>
                <w:rFonts w:ascii="Arial" w:cs="Arial" w:eastAsia="Arial" w:hAnsi="Arial"/>
                <w:sz w:val="18"/>
                <w:szCs w:val="18"/>
                <w:color w:val="auto"/>
              </w:rPr>
              <w:t>14</w:t>
            </w:r>
          </w:p>
        </w:tc>
        <w:tc>
          <w:tcPr>
            <w:tcW w:w="8720" w:type="dxa"/>
            <w:vAlign w:val="bottom"/>
          </w:tcPr>
          <w:p>
            <w:pPr>
              <w:ind w:left="360"/>
              <w:spacing w:after="0"/>
              <w:rPr>
                <w:sz w:val="20"/>
                <w:szCs w:val="20"/>
                <w:color w:val="auto"/>
              </w:rPr>
            </w:pPr>
            <w:r>
              <w:rPr>
                <w:rFonts w:ascii="Arial" w:cs="Arial" w:eastAsia="Arial" w:hAnsi="Arial"/>
                <w:sz w:val="18"/>
                <w:szCs w:val="18"/>
                <w:color w:val="auto"/>
              </w:rPr>
              <w:t>30% Owned Joint Venture Disclosure</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4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540" w:type="dxa"/>
            <w:vAlign w:val="bottom"/>
            <w:shd w:val="clear" w:color="auto" w:fill="CCEEFF"/>
          </w:tcPr>
          <w:p>
            <w:pPr>
              <w:spacing w:after="0"/>
              <w:rPr>
                <w:sz w:val="17"/>
                <w:szCs w:val="17"/>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Summarized Income Statements and Balance Sheets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27</w:t>
              </w:r>
            </w:hyperlink>
          </w:p>
        </w:tc>
      </w:tr>
      <w:tr>
        <w:trPr>
          <w:trHeight w:val="48"/>
        </w:trPr>
        <w:tc>
          <w:tcPr>
            <w:tcW w:w="540" w:type="dxa"/>
            <w:vAlign w:val="bottom"/>
            <w:tcBorders>
              <w:top w:val="single" w:sz="8" w:color="CCEEFF"/>
            </w:tcBorders>
            <w:shd w:val="clear" w:color="auto" w:fill="CCEEFF"/>
          </w:tcPr>
          <w:p>
            <w:pPr>
              <w:spacing w:after="0"/>
              <w:rPr>
                <w:sz w:val="4"/>
                <w:szCs w:val="4"/>
                <w:color w:val="auto"/>
              </w:rPr>
            </w:pPr>
          </w:p>
        </w:tc>
        <w:tc>
          <w:tcPr>
            <w:tcW w:w="8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540" w:type="dxa"/>
            <w:vAlign w:val="bottom"/>
          </w:tcPr>
          <w:p>
            <w:pPr>
              <w:spacing w:after="0"/>
              <w:rPr>
                <w:sz w:val="17"/>
                <w:szCs w:val="17"/>
                <w:color w:val="auto"/>
              </w:rPr>
            </w:pPr>
          </w:p>
        </w:tc>
        <w:tc>
          <w:tcPr>
            <w:tcW w:w="8720" w:type="dxa"/>
            <w:vAlign w:val="bottom"/>
          </w:tcPr>
          <w:p>
            <w:pPr>
              <w:ind w:left="1100"/>
              <w:spacing w:after="0" w:line="202" w:lineRule="exact"/>
              <w:rPr>
                <w:sz w:val="20"/>
                <w:szCs w:val="20"/>
                <w:color w:val="auto"/>
              </w:rPr>
            </w:pPr>
            <w:r>
              <w:rPr>
                <w:rFonts w:ascii="Arial" w:cs="Arial" w:eastAsia="Arial" w:hAnsi="Arial"/>
                <w:sz w:val="18"/>
                <w:szCs w:val="18"/>
                <w:color w:val="auto"/>
              </w:rPr>
              <w:t>Summary of Outstanding Debt and Debt Maturities</w:t>
            </w:r>
          </w:p>
        </w:tc>
        <w:tc>
          <w:tcPr>
            <w:tcW w:w="200" w:type="dxa"/>
            <w:vAlign w:val="bottom"/>
            <w:gridSpan w:val="2"/>
          </w:tcPr>
          <w:p>
            <w:pPr>
              <w:jc w:val="right"/>
              <w:ind w:right="20"/>
              <w:spacing w:after="0" w:line="202" w:lineRule="exact"/>
              <w:rPr>
                <w:rFonts w:ascii="Arial" w:cs="Arial" w:eastAsia="Arial" w:hAnsi="Arial"/>
                <w:sz w:val="18"/>
                <w:szCs w:val="18"/>
                <w:color w:val="0000EE"/>
                <w:w w:val="79"/>
              </w:rPr>
            </w:pPr>
            <w:hyperlink w:anchor="page31">
              <w:r>
                <w:rPr>
                  <w:rFonts w:ascii="Arial" w:cs="Arial" w:eastAsia="Arial" w:hAnsi="Arial"/>
                  <w:sz w:val="18"/>
                  <w:szCs w:val="18"/>
                  <w:color w:val="0000EE"/>
                  <w:w w:val="79"/>
                </w:rPr>
                <w:t>28</w:t>
              </w:r>
            </w:hyperlink>
          </w:p>
        </w:tc>
      </w:tr>
      <w:tr>
        <w:trPr>
          <w:trHeight w:val="48"/>
        </w:trPr>
        <w:tc>
          <w:tcPr>
            <w:tcW w:w="540" w:type="dxa"/>
            <w:vAlign w:val="bottom"/>
          </w:tcPr>
          <w:p>
            <w:pPr>
              <w:spacing w:after="0"/>
              <w:rPr>
                <w:sz w:val="4"/>
                <w:szCs w:val="4"/>
                <w:color w:val="auto"/>
              </w:rPr>
            </w:pPr>
          </w:p>
        </w:tc>
        <w:tc>
          <w:tcPr>
            <w:tcW w:w="87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540" w:type="dxa"/>
            <w:vAlign w:val="bottom"/>
            <w:shd w:val="clear" w:color="auto" w:fill="CCEEFF"/>
          </w:tcPr>
          <w:p>
            <w:pPr>
              <w:spacing w:after="0"/>
              <w:rPr>
                <w:sz w:val="21"/>
                <w:szCs w:val="21"/>
                <w:color w:val="auto"/>
              </w:rPr>
            </w:pPr>
          </w:p>
        </w:tc>
        <w:tc>
          <w:tcPr>
            <w:tcW w:w="8720" w:type="dxa"/>
            <w:vAlign w:val="bottom"/>
            <w:shd w:val="clear" w:color="auto" w:fill="CCEEFF"/>
          </w:tcPr>
          <w:p>
            <w:pPr>
              <w:ind w:left="1100"/>
              <w:spacing w:after="0" w:line="202" w:lineRule="exact"/>
              <w:rPr>
                <w:sz w:val="20"/>
                <w:szCs w:val="20"/>
                <w:color w:val="auto"/>
              </w:rPr>
            </w:pPr>
            <w:r>
              <w:rPr>
                <w:rFonts w:ascii="Arial" w:cs="Arial" w:eastAsia="Arial" w:hAnsi="Arial"/>
                <w:sz w:val="18"/>
                <w:szCs w:val="18"/>
                <w:color w:val="auto"/>
              </w:rPr>
              <w:t>Real Estate Status Report</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29</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50"/>
        </w:trPr>
        <w:tc>
          <w:tcPr>
            <w:tcW w:w="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15</w:t>
            </w:r>
          </w:p>
        </w:tc>
        <w:tc>
          <w:tcPr>
            <w:tcW w:w="8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Glossary of Terms</w:t>
            </w:r>
          </w:p>
        </w:tc>
        <w:tc>
          <w:tcPr>
            <w:tcW w:w="200" w:type="dxa"/>
            <w:vAlign w:val="bottom"/>
            <w:gridSpan w:val="2"/>
            <w:shd w:val="clear" w:color="auto" w:fill="CCEEFF"/>
          </w:tcPr>
          <w:p>
            <w:pPr>
              <w:jc w:val="right"/>
              <w:ind w:right="20"/>
              <w:spacing w:after="0" w:line="202"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30</w:t>
              </w:r>
            </w:hyperlink>
          </w:p>
        </w:tc>
      </w:tr>
      <w:tr>
        <w:trPr>
          <w:trHeight w:val="270"/>
        </w:trPr>
        <w:tc>
          <w:tcPr>
            <w:tcW w:w="540" w:type="dxa"/>
            <w:vAlign w:val="bottom"/>
            <w:tcBorders>
              <w:top w:val="single" w:sz="8" w:color="CCEEFF"/>
            </w:tcBorders>
          </w:tcPr>
          <w:p>
            <w:pPr>
              <w:spacing w:after="0"/>
              <w:rPr>
                <w:sz w:val="23"/>
                <w:szCs w:val="23"/>
                <w:color w:val="auto"/>
              </w:rPr>
            </w:pPr>
          </w:p>
        </w:tc>
        <w:tc>
          <w:tcPr>
            <w:tcW w:w="87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70"/>
        </w:trPr>
        <w:tc>
          <w:tcPr>
            <w:tcW w:w="540" w:type="dxa"/>
            <w:vAlign w:val="bottom"/>
            <w:shd w:val="clear" w:color="auto" w:fill="CCEEFF"/>
          </w:tcPr>
          <w:p>
            <w:pPr>
              <w:spacing w:after="0"/>
              <w:rPr>
                <w:sz w:val="23"/>
                <w:szCs w:val="23"/>
                <w:color w:val="auto"/>
              </w:rPr>
            </w:pPr>
          </w:p>
        </w:tc>
        <w:tc>
          <w:tcPr>
            <w:tcW w:w="87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6011545"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17145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9460"/>
          </w:cols>
          <w:pgMar w:left="1220" w:top="742" w:right="121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9460"/>
          </w:cols>
          <w:pgMar w:left="1220" w:top="742" w:right="12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2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190" w:lineRule="exact"/>
        <w:rPr>
          <w:sz w:val="20"/>
          <w:szCs w:val="20"/>
          <w:color w:val="auto"/>
        </w:rPr>
      </w:pPr>
    </w:p>
    <w:p>
      <w:pPr>
        <w:ind w:left="980" w:right="140" w:hanging="324"/>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1" w:lineRule="exact"/>
        <w:rPr>
          <w:rFonts w:ascii="Arial" w:cs="Arial" w:eastAsia="Arial" w:hAnsi="Arial"/>
          <w:sz w:val="18"/>
          <w:szCs w:val="18"/>
          <w:color w:val="auto"/>
        </w:rPr>
      </w:pPr>
    </w:p>
    <w:p>
      <w:pPr>
        <w:ind w:left="980" w:right="240" w:hanging="324"/>
        <w:spacing w:after="0" w:line="250" w:lineRule="auto"/>
        <w:tabs>
          <w:tab w:leader="none" w:pos="98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1" w:lineRule="exact"/>
        <w:rPr>
          <w:rFonts w:ascii="Arial" w:cs="Arial" w:eastAsia="Arial" w:hAnsi="Arial"/>
          <w:sz w:val="18"/>
          <w:szCs w:val="18"/>
          <w:i w:val="1"/>
          <w:iCs w:val="1"/>
          <w:color w:val="auto"/>
        </w:rPr>
      </w:pPr>
    </w:p>
    <w:p>
      <w:pPr>
        <w:ind w:left="980" w:right="40" w:hanging="324"/>
        <w:spacing w:after="0" w:line="265"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1" w:lineRule="exact"/>
        <w:rPr>
          <w:rFonts w:ascii="Arial" w:cs="Arial" w:eastAsia="Arial" w:hAnsi="Arial"/>
          <w:sz w:val="17"/>
          <w:szCs w:val="17"/>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associated with general economic conditions, including local economic conditions in our geographic markets;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1" w:lineRule="exact"/>
        <w:rPr>
          <w:rFonts w:ascii="Arial" w:cs="Arial" w:eastAsia="Arial" w:hAnsi="Arial"/>
          <w:sz w:val="18"/>
          <w:szCs w:val="18"/>
          <w:color w:val="auto"/>
        </w:rPr>
      </w:pPr>
    </w:p>
    <w:p>
      <w:pPr>
        <w:jc w:val="both"/>
        <w:ind w:left="980" w:right="580" w:hanging="324"/>
        <w:spacing w:after="0" w:line="255"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1457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5848985" cy="1457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8"/>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i w:val="1"/>
                <w:iCs w:val="1"/>
                <w:color w:val="auto"/>
                <w:w w:val="99"/>
              </w:rPr>
              <w:t>Investor Inquiries</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i w:val="1"/>
                <w:iCs w:val="1"/>
                <w:color w:val="auto"/>
              </w:rPr>
              <w:t>Media Inquiries</w:t>
            </w:r>
          </w:p>
        </w:tc>
      </w:tr>
      <w:tr>
        <w:trPr>
          <w:trHeight w:val="20"/>
        </w:trPr>
        <w:tc>
          <w:tcPr>
            <w:tcW w:w="4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420" w:type="dxa"/>
            <w:vAlign w:val="bottom"/>
          </w:tcPr>
          <w:p>
            <w:pPr>
              <w:spacing w:after="0"/>
              <w:rPr>
                <w:sz w:val="24"/>
                <w:szCs w:val="24"/>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Brittany Schmelz</w:t>
            </w:r>
          </w:p>
        </w:tc>
        <w:tc>
          <w:tcPr>
            <w:tcW w:w="2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Andrea Simpson</w:t>
            </w: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Investor Relations Coordinator</w:t>
            </w:r>
          </w:p>
        </w:tc>
        <w:tc>
          <w:tcPr>
            <w:tcW w:w="4040" w:type="dxa"/>
            <w:vAlign w:val="bottom"/>
            <w:gridSpan w:val="3"/>
          </w:tcPr>
          <w:p>
            <w:pPr>
              <w:ind w:left="1720"/>
              <w:spacing w:after="0"/>
              <w:rPr>
                <w:sz w:val="20"/>
                <w:szCs w:val="20"/>
                <w:color w:val="auto"/>
              </w:rPr>
            </w:pPr>
            <w:r>
              <w:rPr>
                <w:rFonts w:ascii="Arial" w:cs="Arial" w:eastAsia="Arial" w:hAnsi="Arial"/>
                <w:sz w:val="18"/>
                <w:szCs w:val="18"/>
                <w:color w:val="auto"/>
              </w:rPr>
              <w:t>Director, Marketing</w:t>
            </w:r>
          </w:p>
        </w:tc>
      </w:tr>
      <w:tr>
        <w:trPr>
          <w:trHeight w:val="257"/>
        </w:trPr>
        <w:tc>
          <w:tcPr>
            <w:tcW w:w="1800" w:type="dxa"/>
            <w:vAlign w:val="bottom"/>
            <w:gridSpan w:val="2"/>
          </w:tcPr>
          <w:p>
            <w:pPr>
              <w:ind w:left="420"/>
              <w:spacing w:after="0"/>
              <w:rPr>
                <w:sz w:val="20"/>
                <w:szCs w:val="20"/>
                <w:color w:val="auto"/>
              </w:rPr>
            </w:pPr>
            <w:r>
              <w:rPr>
                <w:rFonts w:ascii="Arial" w:cs="Arial" w:eastAsia="Arial" w:hAnsi="Arial"/>
                <w:sz w:val="18"/>
                <w:szCs w:val="18"/>
                <w:color w:val="auto"/>
              </w:rPr>
              <w:t>301/998-8265</w:t>
            </w:r>
          </w:p>
        </w:tc>
        <w:tc>
          <w:tcPr>
            <w:tcW w:w="2780" w:type="dxa"/>
            <w:vAlign w:val="bottom"/>
          </w:tcPr>
          <w:p>
            <w:pPr>
              <w:spacing w:after="0"/>
              <w:rPr>
                <w:sz w:val="22"/>
                <w:szCs w:val="22"/>
                <w:color w:val="auto"/>
              </w:rPr>
            </w:pPr>
          </w:p>
        </w:tc>
        <w:tc>
          <w:tcPr>
            <w:tcW w:w="2940" w:type="dxa"/>
            <w:vAlign w:val="bottom"/>
            <w:gridSpan w:val="2"/>
          </w:tcPr>
          <w:p>
            <w:pPr>
              <w:ind w:left="1720"/>
              <w:spacing w:after="0"/>
              <w:rPr>
                <w:sz w:val="20"/>
                <w:szCs w:val="20"/>
                <w:color w:val="auto"/>
              </w:rPr>
            </w:pPr>
            <w:r>
              <w:rPr>
                <w:rFonts w:ascii="Arial" w:cs="Arial" w:eastAsia="Arial" w:hAnsi="Arial"/>
                <w:sz w:val="18"/>
                <w:szCs w:val="18"/>
                <w:color w:val="auto"/>
              </w:rPr>
              <w:t>617/684-1511</w:t>
            </w:r>
          </w:p>
        </w:tc>
        <w:tc>
          <w:tcPr>
            <w:tcW w:w="1100" w:type="dxa"/>
            <w:vAlign w:val="bottom"/>
          </w:tcPr>
          <w:p>
            <w:pPr>
              <w:spacing w:after="0"/>
              <w:rPr>
                <w:sz w:val="22"/>
                <w:szCs w:val="22"/>
                <w:color w:val="auto"/>
              </w:rPr>
            </w:pPr>
          </w:p>
        </w:tc>
      </w:tr>
      <w:tr>
        <w:trPr>
          <w:trHeight w:val="257"/>
        </w:trPr>
        <w:tc>
          <w:tcPr>
            <w:tcW w:w="420" w:type="dxa"/>
            <w:vAlign w:val="bottom"/>
          </w:tcPr>
          <w:p>
            <w:pPr>
              <w:spacing w:after="0"/>
              <w:rPr>
                <w:sz w:val="22"/>
                <w:szCs w:val="22"/>
                <w:color w:val="auto"/>
              </w:rPr>
            </w:pPr>
          </w:p>
        </w:tc>
        <w:tc>
          <w:tcPr>
            <w:tcW w:w="4160" w:type="dxa"/>
            <w:vAlign w:val="bottom"/>
            <w:gridSpan w:val="2"/>
          </w:tcPr>
          <w:p>
            <w:pPr>
              <w:spacing w:after="0"/>
              <w:rPr>
                <w:sz w:val="20"/>
                <w:szCs w:val="20"/>
                <w:color w:val="auto"/>
              </w:rPr>
            </w:pPr>
            <w:r>
              <w:rPr>
                <w:rFonts w:ascii="Arial" w:cs="Arial" w:eastAsia="Arial" w:hAnsi="Arial"/>
                <w:sz w:val="18"/>
                <w:szCs w:val="18"/>
                <w:i w:val="1"/>
                <w:iCs w:val="1"/>
                <w:color w:val="auto"/>
              </w:rPr>
              <w:t>bschmelz@federalrealty.com</w:t>
            </w:r>
          </w:p>
        </w:tc>
        <w:tc>
          <w:tcPr>
            <w:tcW w:w="4040" w:type="dxa"/>
            <w:vAlign w:val="bottom"/>
            <w:gridSpan w:val="3"/>
          </w:tcPr>
          <w:p>
            <w:pPr>
              <w:ind w:left="1720"/>
              <w:spacing w:after="0"/>
              <w:rPr>
                <w:sz w:val="20"/>
                <w:szCs w:val="20"/>
                <w:color w:val="auto"/>
              </w:rPr>
            </w:pPr>
            <w:r>
              <w:rPr>
                <w:rFonts w:ascii="Arial" w:cs="Arial" w:eastAsia="Arial" w:hAnsi="Arial"/>
                <w:sz w:val="18"/>
                <w:szCs w:val="18"/>
                <w:i w:val="1"/>
                <w:iCs w:val="1"/>
                <w:color w:val="auto"/>
                <w:w w:val="98"/>
              </w:rPr>
              <w:t>asimpson@federalrealty.com</w:t>
            </w:r>
          </w:p>
        </w:tc>
      </w:tr>
    </w:tbl>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ANNOUNCES SECOND QUARTER 2015 OPERATING RESULTS</w:t>
      </w:r>
    </w:p>
    <w:p>
      <w:pPr>
        <w:spacing w:after="0" w:line="279" w:lineRule="exact"/>
        <w:rPr>
          <w:sz w:val="20"/>
          <w:szCs w:val="20"/>
          <w:color w:val="auto"/>
        </w:rPr>
      </w:pPr>
    </w:p>
    <w:p>
      <w:pPr>
        <w:jc w:val="both"/>
        <w:spacing w:after="0" w:line="397" w:lineRule="auto"/>
        <w:rPr>
          <w:sz w:val="20"/>
          <w:szCs w:val="20"/>
          <w:color w:val="auto"/>
        </w:rPr>
      </w:pPr>
      <w:r>
        <w:rPr>
          <w:rFonts w:ascii="Arial" w:cs="Arial" w:eastAsia="Arial" w:hAnsi="Arial"/>
          <w:sz w:val="18"/>
          <w:szCs w:val="18"/>
          <w:b w:val="1"/>
          <w:bCs w:val="1"/>
          <w:color w:val="auto"/>
        </w:rPr>
        <w:t xml:space="preserve">ROCKVILLE, Md. (August 5, 2015) - </w:t>
      </w:r>
      <w:r>
        <w:rPr>
          <w:rFonts w:ascii="Arial" w:cs="Arial" w:eastAsia="Arial" w:hAnsi="Arial"/>
          <w:sz w:val="18"/>
          <w:szCs w:val="18"/>
          <w:color w:val="auto"/>
        </w:rPr>
        <w:t>Federal Realty Investment Trust (NYSE:FRT) today reported operating results for its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ended June 30, 2015.</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In the second quarter 2015, Federal Realty generated funds from operations available for common shareholders (FFO) excluding early extinguishment of debt of $92.9 million, or $1.33 per diluted share. This compares to FFO of $83.6 million, or $1.23 per diluted share, in second quarter 2014. FFO, which includes the $19.1 million early extinguishment of debt charge, was $73.9 million, or $1.06 per diluted share for the second quarter 2015. For the six months ended June 30, 2015, FFO excluding early extinguishment of debt was $180.2 million, or $2.59 per diluted share, compared to $165.4 million, or $2.43 per diluted share for the same six month period in 2014. FFO was $161.2 million, or $2.32 per diluted share, for the six months ended June 30, 2015.</w:t>
      </w:r>
    </w:p>
    <w:p>
      <w:pPr>
        <w:spacing w:after="0" w:line="301"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Net income available for common shareholders was $43.5 million and earnings per diluted share was $0.63 for second quarter 2015, versus $43.4 million and $0.64, respectively, for second quarter 2014. Year-to-date, Federal Realty reported net income available for common shareholders of $89.5 million and earnings per diluted share of $1.30. This compares to net income available for common shareholders of $82.0 million and earnings per diluted share of $1.22 for the six months ended June 30, 2014.</w:t>
      </w:r>
    </w:p>
    <w:p>
      <w:pPr>
        <w:spacing w:after="0" w:line="297" w:lineRule="exact"/>
        <w:rPr>
          <w:sz w:val="20"/>
          <w:szCs w:val="20"/>
          <w:color w:val="auto"/>
        </w:rPr>
      </w:pPr>
    </w:p>
    <w:p>
      <w:pPr>
        <w:jc w:val="both"/>
        <w:ind w:right="20"/>
        <w:spacing w:after="0" w:line="371"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In second quarter 2015, same-center property operating income increased 4.8% over the prior year when including properties that are being redeveloped and 3.0% when excluding those properties.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79"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The overall portfolio was 95.7% leased as of June 30, 2015, compared to 95.4% on March 31, 2015 and 95.3% on June 30, 2014. Federal Realty’s same center portfolio was 96.2% leased on June 30, 2015, compared to 96.0% leased on March 31, 2015 and 95.9% on June 30, 2014.</w:t>
      </w:r>
    </w:p>
    <w:p>
      <w:pPr>
        <w:spacing w:after="0" w:line="298" w:lineRule="exact"/>
        <w:rPr>
          <w:sz w:val="20"/>
          <w:szCs w:val="20"/>
          <w:color w:val="auto"/>
        </w:rPr>
      </w:pPr>
    </w:p>
    <w:p>
      <w:pPr>
        <w:jc w:val="both"/>
        <w:spacing w:after="0" w:line="361" w:lineRule="auto"/>
        <w:rPr>
          <w:sz w:val="20"/>
          <w:szCs w:val="20"/>
          <w:color w:val="auto"/>
        </w:rPr>
      </w:pPr>
      <w:r>
        <w:rPr>
          <w:rFonts w:ascii="Arial" w:cs="Arial" w:eastAsia="Arial" w:hAnsi="Arial"/>
          <w:sz w:val="18"/>
          <w:szCs w:val="18"/>
          <w:color w:val="auto"/>
        </w:rPr>
        <w:t>During second quarter 2015, Federal Realty signed 85 leases for 313,887 square feet of retail space. On a comparable space basis (i.e., spaces for which there was a former tenant), Federal Realty leased 296,946 square feet at an average cash basis contractual rent increase per square foot (i.e., excluding the impact of straight-line rents) of 15%. The average contractual rent on this comparable space for the first year of the new leases is $30.41 per square foot compared to the average contractual rent of $26.36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25% for second quarter 2015. As of June 30, 2015, Federal Realty’s average contractual, cash basis minimum rent for retail and commercial space in its portfolio was $25.74 per square foot.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126" w:lineRule="exact"/>
        <w:rPr>
          <w:sz w:val="20"/>
          <w:szCs w:val="20"/>
          <w:color w:val="auto"/>
        </w:rPr>
      </w:pPr>
    </w:p>
    <w:p>
      <w:pPr>
        <w:jc w:val="both"/>
        <w:spacing w:after="0" w:line="348" w:lineRule="auto"/>
        <w:rPr>
          <w:sz w:val="20"/>
          <w:szCs w:val="20"/>
          <w:color w:val="auto"/>
        </w:rPr>
      </w:pPr>
      <w:r>
        <w:rPr>
          <w:rFonts w:ascii="Arial" w:cs="Arial" w:eastAsia="Arial" w:hAnsi="Arial"/>
          <w:sz w:val="18"/>
          <w:szCs w:val="18"/>
          <w:color w:val="auto"/>
        </w:rPr>
        <w:t>Federal Realty announced today that its Board of Trustees increased the dividend rate on its common shares, declaring a regular quarterly cash dividend of $0.94 per share, resulting in an indicated annual rate of $3.76 per share, an increase of 8.0%. The regular common dividend will be payable on October 15, 2015 to common shareholders of record on September 22, 2015. This increase represents the 48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consecutive year that Federal Realty has increased its common dividend, the longest record of consecutive annual dividend increases in the REIT sector, and among the longest such records for publicly traded companies in the US.</w:t>
      </w:r>
    </w:p>
    <w:p>
      <w:pPr>
        <w:spacing w:after="0" w:line="313" w:lineRule="exact"/>
        <w:rPr>
          <w:sz w:val="20"/>
          <w:szCs w:val="20"/>
          <w:color w:val="auto"/>
        </w:rPr>
      </w:pPr>
    </w:p>
    <w:p>
      <w:pPr>
        <w:jc w:val="both"/>
        <w:spacing w:after="0" w:line="364" w:lineRule="auto"/>
        <w:rPr>
          <w:sz w:val="20"/>
          <w:szCs w:val="20"/>
          <w:color w:val="auto"/>
        </w:rPr>
      </w:pPr>
      <w:r>
        <w:rPr>
          <w:rFonts w:ascii="Arial" w:cs="Arial" w:eastAsia="Arial" w:hAnsi="Arial"/>
          <w:sz w:val="18"/>
          <w:szCs w:val="18"/>
          <w:color w:val="auto"/>
        </w:rPr>
        <w:t>“We are thrilled to report another strong quarter, and importantly, our 48th consecutive annual dividend increase, extending our best in class track record of consistent growth,” commented Donald C. Wood, President and Chief Executive Officer of Federal Realty. “The continued performance of our core portfolio, coupled with the successful deliveries of redevelopment projects and the initial phases of Assembly Row and Pike &amp; Rose, positions us exceptionally well for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126" w:lineRule="exact"/>
        <w:rPr>
          <w:sz w:val="20"/>
          <w:szCs w:val="20"/>
          <w:color w:val="auto"/>
        </w:rPr>
      </w:pPr>
    </w:p>
    <w:p>
      <w:pPr>
        <w:ind w:left="660" w:hanging="328"/>
        <w:spacing w:after="0" w:line="35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April 24, 2015 - Federal Realty closed on the sale of its Houston St. property in San Antonio, Texas, for a sales price of $46.1 million, and realized a gain of $11.5 million.</w:t>
      </w:r>
    </w:p>
    <w:p>
      <w:pPr>
        <w:spacing w:after="0" w:line="14" w:lineRule="exact"/>
        <w:rPr>
          <w:rFonts w:ascii="Arial" w:cs="Arial" w:eastAsia="Arial" w:hAnsi="Arial"/>
          <w:sz w:val="18"/>
          <w:szCs w:val="18"/>
          <w:color w:val="auto"/>
        </w:rPr>
      </w:pPr>
    </w:p>
    <w:p>
      <w:pPr>
        <w:jc w:val="both"/>
        <w:ind w:left="660" w:hanging="328"/>
        <w:spacing w:after="0" w:line="3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May 4, 2015 - Federal Realty acquired an 80% interest in a 198,000 square foot lifestyle center in South Florida, based on a total value of $87.5 million. Situated in the resurgent Coconut Grove District, at the prominent intersection of Main Highway and Grand Avenue, CocoWalk is well located to serve the affluent, year round residents of Miami-Dade. On July 1, 2015 Federal Realty acquired partial interests in seven street retail buildings, also in the Coconut Grove District, for a total investment of $5.8 million.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5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79" w:lineRule="exact"/>
        <w:rPr>
          <w:sz w:val="20"/>
          <w:szCs w:val="20"/>
          <w:color w:val="auto"/>
        </w:rPr>
      </w:pPr>
    </w:p>
    <w:p>
      <w:pPr>
        <w:jc w:val="both"/>
        <w:ind w:left="660" w:hanging="328"/>
        <w:spacing w:after="0" w:line="3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May 21, 2015 - Federal Realty was presented with three prestigious honors by the Alliance for Workplace Excellence (AWE). The Trust received the 2015 Workplace Excellence Seal of Approval Award, 2015 Health &amp; Wellness Seal of Approval Award and 2015 EcoLeadership Award. 2015 marks the eighth consecutive year Federal Realty has won Workplace Excellence and Health &amp; Wellness awards, and the fifth year it has won the EcoLeadership award.</w:t>
      </w:r>
    </w:p>
    <w:p>
      <w:pPr>
        <w:spacing w:after="0" w:line="14" w:lineRule="exact"/>
        <w:rPr>
          <w:rFonts w:ascii="Arial" w:cs="Arial" w:eastAsia="Arial" w:hAnsi="Arial"/>
          <w:sz w:val="18"/>
          <w:szCs w:val="18"/>
          <w:color w:val="auto"/>
        </w:rPr>
      </w:pPr>
    </w:p>
    <w:p>
      <w:pPr>
        <w:ind w:left="660" w:hanging="328"/>
        <w:spacing w:after="0" w:line="37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August 3, 2015 - Federal Realty repaid at par $147 million of mortgage loans due November 2015, with an average interest rate of 7.9%.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26" w:lineRule="exact"/>
        <w:rPr>
          <w:sz w:val="20"/>
          <w:szCs w:val="20"/>
          <w:color w:val="auto"/>
        </w:rPr>
      </w:pPr>
    </w:p>
    <w:p>
      <w:pPr>
        <w:jc w:val="both"/>
        <w:spacing w:after="0" w:line="371" w:lineRule="auto"/>
        <w:rPr>
          <w:sz w:val="20"/>
          <w:szCs w:val="20"/>
          <w:color w:val="auto"/>
        </w:rPr>
      </w:pPr>
      <w:r>
        <w:rPr>
          <w:rFonts w:ascii="Arial" w:cs="Arial" w:eastAsia="Arial" w:hAnsi="Arial"/>
          <w:sz w:val="18"/>
          <w:szCs w:val="18"/>
          <w:color w:val="auto"/>
        </w:rPr>
        <w:t>Federal Realty increased the midpoint of its 2015 guidance for FFO to $5.29 to $5.33 per diluted share excluding early extinguishment of debt, and updated earnings per diluted share to $2.78 to $2.82.</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126" w:lineRule="exact"/>
        <w:rPr>
          <w:sz w:val="20"/>
          <w:szCs w:val="20"/>
          <w:color w:val="auto"/>
        </w:rPr>
      </w:pPr>
    </w:p>
    <w:p>
      <w:pPr>
        <w:jc w:val="both"/>
        <w:spacing w:after="0" w:line="363" w:lineRule="auto"/>
        <w:rPr>
          <w:sz w:val="20"/>
          <w:szCs w:val="20"/>
          <w:color w:val="auto"/>
        </w:rPr>
      </w:pPr>
      <w:r>
        <w:rPr>
          <w:rFonts w:ascii="Arial" w:cs="Arial" w:eastAsia="Arial" w:hAnsi="Arial"/>
          <w:sz w:val="18"/>
          <w:szCs w:val="18"/>
          <w:color w:val="auto"/>
        </w:rPr>
        <w:t xml:space="preserve">Federal Realty’s management team will present an in-depth discussion of the Trust’s operating performance on its second quarter 2015 earnings conference call, which is scheduled for August 6, 2015, at 10 a.m. Eastern Daylight Time. To participate, please call (877) 445-3230 five to ten minutes prior to the call start time and use the passcode 68926054 (required). Federal Realty will also provide an online webcast on the Company’s web site, </w:t>
      </w:r>
      <w:r>
        <w:rPr>
          <w:rFonts w:ascii="Arial" w:cs="Arial" w:eastAsia="Arial" w:hAnsi="Arial"/>
          <w:sz w:val="18"/>
          <w:szCs w:val="18"/>
          <w:u w:val="single" w:color="auto"/>
          <w:color w:val="0000FF"/>
        </w:rPr>
        <w:t>http://www.federalrealty.com</w:t>
      </w:r>
      <w:r>
        <w:rPr>
          <w:rFonts w:ascii="Arial" w:cs="Arial" w:eastAsia="Arial" w:hAnsi="Arial"/>
          <w:sz w:val="18"/>
          <w:szCs w:val="18"/>
          <w:color w:val="auto"/>
        </w:rPr>
        <w:t>, which will remain available for 30 days following the call. A telephone recording of the call will also be available through August 13, 2015, by dialing (855) 859-2056 and using the passcode 68926054.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126" w:lineRule="exact"/>
        <w:rPr>
          <w:sz w:val="20"/>
          <w:szCs w:val="20"/>
          <w:color w:val="auto"/>
        </w:rPr>
      </w:pPr>
    </w:p>
    <w:p>
      <w:pPr>
        <w:jc w:val="both"/>
        <w:spacing w:after="0" w:line="362" w:lineRule="auto"/>
        <w:rPr>
          <w:sz w:val="20"/>
          <w:szCs w:val="20"/>
          <w:color w:val="auto"/>
        </w:rPr>
      </w:pPr>
      <w:r>
        <w:rPr>
          <w:rFonts w:ascii="Arial" w:cs="Arial" w:eastAsia="Arial" w:hAnsi="Arial"/>
          <w:sz w:val="18"/>
          <w:szCs w:val="18"/>
          <w:color w:val="auto"/>
        </w:rPr>
        <w:t>Federal Realty is a recognized leader in the ownership, operation and redevelopment of high-quality retail based properties located primarily in major coastal markets from Washington, D.C. to Boston as well as San Francisco and Los Angeles. Founded in 1962, our mission is to deliver long term, sustainable growth through investing in densely populated, affluent communities where retail demand exceeds supply. Our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90 properties include over 2,600 tenants, in approximately 21 million square feet, and 1500 residential units.</w:t>
      </w:r>
    </w:p>
    <w:p>
      <w:pPr>
        <w:spacing w:after="0" w:line="300" w:lineRule="exact"/>
        <w:rPr>
          <w:sz w:val="20"/>
          <w:szCs w:val="20"/>
          <w:color w:val="auto"/>
        </w:rPr>
      </w:pPr>
    </w:p>
    <w:p>
      <w:pPr>
        <w:jc w:val="both"/>
        <w:spacing w:after="0" w:line="365" w:lineRule="auto"/>
        <w:rPr>
          <w:sz w:val="20"/>
          <w:szCs w:val="20"/>
          <w:color w:val="auto"/>
        </w:rPr>
      </w:pPr>
      <w:r>
        <w:rPr>
          <w:rFonts w:ascii="Arial" w:cs="Arial" w:eastAsia="Arial" w:hAnsi="Arial"/>
          <w:sz w:val="18"/>
          <w:szCs w:val="18"/>
          <w:color w:val="auto"/>
        </w:rPr>
        <w:t xml:space="preserve">Federal Realty has paid quarterly dividends to its shareholders continuously since its founding in 1962, and has increased its dividend rate for 48 consecutive years, the longest record in the REIT industry. Federal Realty shares are traded on the NYSE under the symbol FRT. For additional information about Federal Realty and its properties, visit </w:t>
      </w:r>
      <w:r>
        <w:rPr>
          <w:rFonts w:ascii="Arial" w:cs="Arial" w:eastAsia="Arial" w:hAnsi="Arial"/>
          <w:sz w:val="18"/>
          <w:szCs w:val="18"/>
          <w:u w:val="single" w:color="auto"/>
          <w:color w:val="0000FF"/>
        </w:rPr>
        <w:t>www.FederalRealty.com</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52"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2015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5,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10, 2015, and include the following:</w:t>
      </w:r>
    </w:p>
    <w:p>
      <w:pPr>
        <w:spacing w:after="0" w:line="206" w:lineRule="exact"/>
        <w:rPr>
          <w:sz w:val="20"/>
          <w:szCs w:val="20"/>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tenants will not pay rent, may vacate early or may file for bankruptcy or that we may be unable to renew leases or re-let space at favorable rents as leases expire;</w:t>
      </w:r>
    </w:p>
    <w:p>
      <w:pPr>
        <w:spacing w:after="0" w:line="30"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may not be able to proceed with or obtain necessary approvals for any redevelopment or renovation project, and that completion of anticipated or ongoing property redevelopments or renovation projects that we do pursue may cost more, take more time to complete, or fail to perform as expected;</w:t>
      </w:r>
    </w:p>
    <w:p>
      <w:pPr>
        <w:spacing w:after="0" w:line="30"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30" w:lineRule="exact"/>
        <w:rPr>
          <w:rFonts w:ascii="Arial" w:cs="Arial" w:eastAsia="Arial" w:hAnsi="Arial"/>
          <w:sz w:val="18"/>
          <w:szCs w:val="18"/>
          <w:color w:val="auto"/>
        </w:rPr>
      </w:pPr>
    </w:p>
    <w:p>
      <w:pPr>
        <w:jc w:val="both"/>
        <w:ind w:left="660" w:hanging="328"/>
        <w:spacing w:after="0" w:line="29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that our growth will be limited if we cannot obtain additional capital;</w:t>
      </w:r>
    </w:p>
    <w:p>
      <w:pPr>
        <w:spacing w:after="0" w:line="12"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associated with general economic conditions, including local economic conditions in our geographic markets;</w:t>
      </w:r>
    </w:p>
    <w:p>
      <w:pPr>
        <w:spacing w:after="0" w:line="30" w:lineRule="exact"/>
        <w:rPr>
          <w:rFonts w:ascii="Arial" w:cs="Arial" w:eastAsia="Arial" w:hAnsi="Arial"/>
          <w:sz w:val="18"/>
          <w:szCs w:val="18"/>
          <w:color w:val="auto"/>
        </w:rPr>
      </w:pPr>
    </w:p>
    <w:p>
      <w:pPr>
        <w:jc w:val="both"/>
        <w:ind w:left="660" w:right="20" w:hanging="328"/>
        <w:spacing w:after="0" w:line="28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31" w:lineRule="exact"/>
        <w:rPr>
          <w:rFonts w:ascii="Arial" w:cs="Arial" w:eastAsia="Arial" w:hAnsi="Arial"/>
          <w:sz w:val="18"/>
          <w:szCs w:val="18"/>
          <w:color w:val="auto"/>
        </w:rPr>
      </w:pPr>
    </w:p>
    <w:p>
      <w:pPr>
        <w:jc w:val="both"/>
        <w:ind w:left="660" w:right="20" w:hanging="328"/>
        <w:spacing w:after="0" w:line="298"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4"/>
          <w:szCs w:val="14"/>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with the Securities and Exchange Commission on February 10, 2015.</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52" w:right="2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400" w:type="dxa"/>
            <w:vAlign w:val="bottom"/>
          </w:tcPr>
          <w:p>
            <w:pPr>
              <w:spacing w:after="0"/>
              <w:rPr>
                <w:sz w:val="16"/>
                <w:szCs w:val="16"/>
                <w:color w:val="auto"/>
              </w:rPr>
            </w:pPr>
          </w:p>
        </w:tc>
        <w:tc>
          <w:tcPr>
            <w:tcW w:w="222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9"/>
              </w:rPr>
              <w:t>June 30,</w:t>
            </w:r>
          </w:p>
        </w:tc>
        <w:tc>
          <w:tcPr>
            <w:tcW w:w="400" w:type="dxa"/>
            <w:vAlign w:val="bottom"/>
          </w:tcPr>
          <w:p>
            <w:pPr>
              <w:spacing w:after="0"/>
              <w:rPr>
                <w:sz w:val="24"/>
                <w:szCs w:val="24"/>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44"/>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6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Rental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175,884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162,383</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357,050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328,576</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Mortgage interest income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2,474</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181,461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167,947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366,253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338,775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Rental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68,535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Real estate taxes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20,667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19,164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41,061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37,864</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18,152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15,828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42,671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40,893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84,655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84,743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99,586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217,930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206,970</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76,201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68,361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148,323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131,805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(46,350)</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Early extinguishment of 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from real estate partnerships</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463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82,367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85,961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11,509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93,876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85,961</w:t>
            </w:r>
          </w:p>
        </w:tc>
      </w:tr>
      <w:tr>
        <w:trPr>
          <w:trHeight w:val="243"/>
        </w:trPr>
        <w:tc>
          <w:tcPr>
            <w:tcW w:w="6060" w:type="dxa"/>
            <w:vAlign w:val="bottom"/>
          </w:tcPr>
          <w:p>
            <w:pPr>
              <w:ind w:left="30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(3,663)</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the Trust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43,545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89,818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82,298</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Dividends on preferred shares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for common shareholders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43,497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43,410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89,547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82,027</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57"/>
        </w:trPr>
        <w:tc>
          <w:tcPr>
            <w:tcW w:w="6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BASIC</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1.22</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w:t>
            </w:r>
          </w:p>
        </w:tc>
      </w:tr>
      <w:tr>
        <w:trPr>
          <w:trHeight w:val="67"/>
        </w:trPr>
        <w:tc>
          <w:tcPr>
            <w:tcW w:w="60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70"/>
        </w:trPr>
        <w:tc>
          <w:tcPr>
            <w:tcW w:w="60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304"/>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Weighted average number of common shares, basic</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68,531</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67,110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68,449</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66,858</w:t>
            </w:r>
          </w:p>
        </w:tc>
      </w:tr>
      <w:tr>
        <w:trPr>
          <w:trHeight w:val="257"/>
        </w:trPr>
        <w:tc>
          <w:tcPr>
            <w:tcW w:w="6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PER COMMON SHARE, DILUTED</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Gain on sale of real estate</w:t>
            </w: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number of common shares, diluted</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68,713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67,277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68,638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67,021</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2"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42" w:right="239" w:bottom="1440" w:gutter="0" w:footer="0" w:header="0"/>
          <w:type w:val="continuous"/>
        </w:sectPr>
      </w:pPr>
    </w:p>
    <w:bookmarkStart w:id="10" w:name="page11"/>
    <w:bookmarkEnd w:id="1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Balance Sheets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180" w:type="dxa"/>
            <w:vAlign w:val="bottom"/>
          </w:tcPr>
          <w:p>
            <w:pPr>
              <w:spacing w:after="0"/>
              <w:rPr>
                <w:sz w:val="16"/>
                <w:szCs w:val="16"/>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276"/>
        </w:trPr>
        <w:tc>
          <w:tcPr>
            <w:tcW w:w="8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8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20" w:type="dxa"/>
            <w:vAlign w:val="bottom"/>
            <w:gridSpan w:val="4"/>
          </w:tcPr>
          <w:p>
            <w:pPr>
              <w:jc w:val="right"/>
              <w:ind w:right="8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8580" w:type="dxa"/>
            <w:vAlign w:val="bottom"/>
          </w:tcPr>
          <w:p>
            <w:pPr>
              <w:ind w:left="4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at cost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Operating (including $355,241 and $282,303 of consolidated variable interest 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5,336,688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5,128,757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Construction-in-progress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507,491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480,241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5,844,179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5,608,998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Less accumulated depreciation and amortization (including $30,099 and $26,618 of consolidated variable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entities, 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(1,508,397)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(1,467,050)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real estate</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4,335,782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4,141,948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47,951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Accounts and notes receivable, net</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106,218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93,291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 notes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Investment in real estate partnerships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37,748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37,457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181,238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175,235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4,733,838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71"/>
        </w:trPr>
        <w:tc>
          <w:tcPr>
            <w:tcW w:w="85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6"/>
              </w:rPr>
              <w:t>Mortgages and capital lease obligations (including $179,303 and $187,632 of consolidated variable interest</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entities, respectively)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648,079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635,345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396,911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290,519</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Senior notes and debentures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1,494,515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1,483,813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332,407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325,584</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2,871,912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2,735,261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119,053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Preferred shares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43"/>
        </w:trPr>
        <w:tc>
          <w:tcPr>
            <w:tcW w:w="8580" w:type="dxa"/>
            <w:vAlign w:val="bottom"/>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1,625,575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1,594,404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 of the Trust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1,604,401</w:t>
            </w:r>
          </w:p>
        </w:tc>
        <w:tc>
          <w:tcPr>
            <w:tcW w:w="0" w:type="dxa"/>
            <w:vAlign w:val="bottom"/>
          </w:tcPr>
          <w:p>
            <w:pPr>
              <w:spacing w:after="0"/>
              <w:rPr>
                <w:sz w:val="1"/>
                <w:szCs w:val="1"/>
                <w:color w:val="auto"/>
              </w:rPr>
            </w:pPr>
          </w:p>
        </w:tc>
      </w:tr>
      <w:tr>
        <w:trPr>
          <w:trHeight w:val="243"/>
        </w:trPr>
        <w:tc>
          <w:tcPr>
            <w:tcW w:w="85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105,994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1,741,566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1,692,556</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4,733,838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4,546,870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66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91" w:right="2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Pr>
          <w:p>
            <w:pPr>
              <w:spacing w:after="0"/>
              <w:rPr>
                <w:sz w:val="16"/>
                <w:szCs w:val="16"/>
                <w:color w:val="auto"/>
              </w:rPr>
            </w:pPr>
          </w:p>
        </w:tc>
        <w:tc>
          <w:tcPr>
            <w:tcW w:w="22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60" w:type="dxa"/>
            <w:vAlign w:val="bottom"/>
          </w:tcPr>
          <w:p>
            <w:pPr>
              <w:spacing w:after="0"/>
              <w:rPr>
                <w:sz w:val="24"/>
                <w:szCs w:val="24"/>
                <w:color w:val="auto"/>
              </w:rPr>
            </w:pPr>
          </w:p>
        </w:tc>
        <w:tc>
          <w:tcPr>
            <w:tcW w:w="13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r>
      <w:tr>
        <w:trPr>
          <w:trHeight w:val="250"/>
        </w:trPr>
        <w:tc>
          <w:tcPr>
            <w:tcW w:w="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00" w:type="dxa"/>
            <w:vAlign w:val="bottom"/>
            <w:gridSpan w:val="5"/>
          </w:tcPr>
          <w:p>
            <w:pPr>
              <w:ind w:left="20"/>
              <w:spacing w:after="0"/>
              <w:rPr>
                <w:sz w:val="20"/>
                <w:szCs w:val="20"/>
                <w:color w:val="auto"/>
              </w:rPr>
            </w:pPr>
            <w:r>
              <w:rPr>
                <w:rFonts w:ascii="Arial" w:cs="Arial" w:eastAsia="Arial" w:hAnsi="Arial"/>
                <w:sz w:val="14"/>
                <w:szCs w:val="14"/>
                <w:b w:val="1"/>
                <w:bCs w:val="1"/>
                <w:color w:val="auto"/>
                <w:w w:val="99"/>
              </w:rPr>
              <w:t>(in thousands, except per share data)</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20" w:type="dxa"/>
            <w:vAlign w:val="bottom"/>
            <w:shd w:val="clear" w:color="auto" w:fill="CCEEFF"/>
          </w:tcPr>
          <w:p>
            <w:pPr>
              <w:spacing w:after="0"/>
              <w:rPr>
                <w:sz w:val="22"/>
                <w:szCs w:val="22"/>
                <w:color w:val="auto"/>
              </w:rPr>
            </w:pPr>
          </w:p>
        </w:tc>
        <w:tc>
          <w:tcPr>
            <w:tcW w:w="6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(FFO) (1)</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20" w:type="dxa"/>
            <w:vAlign w:val="bottom"/>
            <w:tcBorders>
              <w:top w:val="single" w:sz="8" w:color="CCEEFF"/>
            </w:tcBorders>
          </w:tcPr>
          <w:p>
            <w:pPr>
              <w:spacing w:after="0"/>
              <w:rPr>
                <w:sz w:val="21"/>
                <w:szCs w:val="21"/>
                <w:color w:val="auto"/>
              </w:rPr>
            </w:pPr>
          </w:p>
        </w:tc>
        <w:tc>
          <w:tcPr>
            <w:tcW w:w="50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Net income</w:t>
            </w:r>
          </w:p>
        </w:tc>
        <w:tc>
          <w:tcPr>
            <w:tcW w:w="1240" w:type="dxa"/>
            <w:vAlign w:val="bottom"/>
            <w:tcBorders>
              <w:top w:val="single" w:sz="8" w:color="CCEEFF"/>
            </w:tcBorders>
          </w:tcPr>
          <w:p>
            <w:pPr>
              <w:spacing w:after="0"/>
              <w:rPr>
                <w:sz w:val="21"/>
                <w:szCs w:val="21"/>
                <w:color w:val="auto"/>
              </w:rPr>
            </w:pPr>
          </w:p>
        </w:tc>
        <w:tc>
          <w:tcPr>
            <w:tcW w:w="280" w:type="dxa"/>
            <w:vAlign w:val="bottom"/>
            <w:tcBorders>
              <w:top w:val="single" w:sz="8" w:color="CCEEFF"/>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45,673</w:t>
            </w:r>
          </w:p>
        </w:tc>
        <w:tc>
          <w:tcPr>
            <w:tcW w:w="10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CCEEFF"/>
            </w:tcBorders>
          </w:tcPr>
          <w:p>
            <w:pPr>
              <w:jc w:val="right"/>
              <w:ind w:right="91"/>
              <w:spacing w:after="0"/>
              <w:rPr>
                <w:sz w:val="20"/>
                <w:szCs w:val="20"/>
                <w:color w:val="auto"/>
              </w:rPr>
            </w:pPr>
            <w:r>
              <w:rPr>
                <w:rFonts w:ascii="Arial" w:cs="Arial" w:eastAsia="Arial" w:hAnsi="Arial"/>
                <w:sz w:val="18"/>
                <w:szCs w:val="18"/>
                <w:color w:val="auto"/>
              </w:rPr>
              <w:t>45,416</w:t>
            </w:r>
          </w:p>
        </w:tc>
        <w:tc>
          <w:tcPr>
            <w:tcW w:w="1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ind w:right="112"/>
              <w:spacing w:after="0"/>
              <w:rPr>
                <w:sz w:val="20"/>
                <w:szCs w:val="20"/>
                <w:color w:val="auto"/>
              </w:rPr>
            </w:pPr>
            <w:r>
              <w:rPr>
                <w:rFonts w:ascii="Arial" w:cs="Arial" w:eastAsia="Arial" w:hAnsi="Arial"/>
                <w:sz w:val="18"/>
                <w:szCs w:val="18"/>
                <w:color w:val="auto"/>
              </w:rPr>
              <w:t>93,876</w:t>
            </w:r>
          </w:p>
        </w:tc>
        <w:tc>
          <w:tcPr>
            <w:tcW w:w="10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ind w:right="111"/>
              <w:spacing w:after="0"/>
              <w:rPr>
                <w:sz w:val="20"/>
                <w:szCs w:val="20"/>
                <w:color w:val="auto"/>
              </w:rPr>
            </w:pPr>
            <w:r>
              <w:rPr>
                <w:rFonts w:ascii="Arial" w:cs="Arial" w:eastAsia="Arial" w:hAnsi="Arial"/>
                <w:sz w:val="18"/>
                <w:szCs w:val="18"/>
                <w:color w:val="auto"/>
              </w:rPr>
              <w:t>85,961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(3,663)</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Gain on sale of real estate</w:t>
            </w:r>
          </w:p>
        </w:tc>
        <w:tc>
          <w:tcPr>
            <w:tcW w:w="280" w:type="dxa"/>
            <w:vAlign w:val="bottom"/>
          </w:tcPr>
          <w:p>
            <w:pPr>
              <w:spacing w:after="0"/>
              <w:rPr>
                <w:sz w:val="21"/>
                <w:szCs w:val="21"/>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40" w:type="dxa"/>
            <w:vAlign w:val="bottom"/>
          </w:tcPr>
          <w:p>
            <w:pPr>
              <w:jc w:val="right"/>
              <w:ind w:right="52"/>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and amortization of real estate assets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37,390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36,499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74,344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76,048</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Amortization of initial direct costs of leases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2,947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7,116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5,778</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Depreciation of joint venture real estate assets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850</w:t>
            </w:r>
          </w:p>
        </w:tc>
      </w:tr>
      <w:tr>
        <w:trPr>
          <w:trHeight w:val="237"/>
        </w:trPr>
        <w:tc>
          <w:tcPr>
            <w:tcW w:w="20" w:type="dxa"/>
            <w:vAlign w:val="bottom"/>
          </w:tcPr>
          <w:p>
            <w:pPr>
              <w:spacing w:after="0"/>
              <w:rPr>
                <w:sz w:val="20"/>
                <w:szCs w:val="20"/>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Funds from operations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73,525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83,432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160,435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164,974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Dividends on preferred shares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(271)</w:t>
            </w: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Income attributable to operating partnership units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1,431</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Income attributable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(752)</w:t>
            </w:r>
          </w:p>
        </w:tc>
      </w:tr>
      <w:tr>
        <w:trPr>
          <w:trHeight w:val="237"/>
        </w:trPr>
        <w:tc>
          <w:tcPr>
            <w:tcW w:w="20" w:type="dxa"/>
            <w:vAlign w:val="bottom"/>
          </w:tcPr>
          <w:p>
            <w:pPr>
              <w:spacing w:after="0"/>
              <w:rPr>
                <w:sz w:val="20"/>
                <w:szCs w:val="20"/>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FFO</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73,942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83,635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161,232</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165,382</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19,006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19,006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97"/>
        </w:trPr>
        <w:tc>
          <w:tcPr>
            <w:tcW w:w="626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FFO excluding early extinguishment of debt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92,948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83,635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180,238</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165,382</w:t>
            </w: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Weighted average number of common shares, diluted</w:t>
            </w: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68,194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69,581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67,939</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FFO excluding early extinguishment of debt, per diluted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1.23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2.43</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auto"/>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w w:val="90"/>
              </w:rPr>
              <w:t>Summary of Capital Expenditures</w:t>
            </w:r>
          </w:p>
        </w:tc>
        <w:tc>
          <w:tcPr>
            <w:tcW w:w="3780" w:type="dxa"/>
            <w:vAlign w:val="bottom"/>
            <w:tcBorders>
              <w:bottom w:val="single" w:sz="8" w:color="CCEEFF"/>
            </w:tcBorders>
            <w:gridSpan w:val="2"/>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Non-maintenance capital expenditures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40" w:type="dxa"/>
            <w:vAlign w:val="bottom"/>
            <w:tcBorders>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Development, redevelopment and expansions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73,023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78,908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128,628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152,288</w:t>
            </w:r>
          </w:p>
        </w:tc>
      </w:tr>
      <w:tr>
        <w:trPr>
          <w:trHeight w:val="243"/>
        </w:trPr>
        <w:tc>
          <w:tcPr>
            <w:tcW w:w="20" w:type="dxa"/>
            <w:vAlign w:val="bottom"/>
          </w:tcPr>
          <w:p>
            <w:pPr>
              <w:spacing w:after="0"/>
              <w:rPr>
                <w:sz w:val="21"/>
                <w:szCs w:val="21"/>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Tenant improvements and incentives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6,475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10,786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14,223</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non-maintenance capital expenditures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79,498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139,414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166,511</w:t>
            </w:r>
          </w:p>
        </w:tc>
      </w:tr>
      <w:tr>
        <w:trPr>
          <w:trHeight w:val="243"/>
        </w:trPr>
        <w:tc>
          <w:tcPr>
            <w:tcW w:w="20" w:type="dxa"/>
            <w:vAlign w:val="bottom"/>
          </w:tcPr>
          <w:p>
            <w:pPr>
              <w:spacing w:after="0"/>
              <w:rPr>
                <w:sz w:val="21"/>
                <w:szCs w:val="21"/>
                <w:color w:val="auto"/>
              </w:rPr>
            </w:pPr>
          </w:p>
        </w:tc>
        <w:tc>
          <w:tcPr>
            <w:tcW w:w="6240" w:type="dxa"/>
            <w:vAlign w:val="bottom"/>
            <w:gridSpan w:val="4"/>
          </w:tcPr>
          <w:p>
            <w:pPr>
              <w:ind w:left="36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21"/>
                <w:szCs w:val="21"/>
                <w:color w:val="auto"/>
              </w:rPr>
            </w:pP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3,334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3,629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5,155</w:t>
            </w:r>
          </w:p>
        </w:tc>
      </w:tr>
      <w:tr>
        <w:trPr>
          <w:trHeight w:val="27"/>
        </w:trPr>
        <w:tc>
          <w:tcPr>
            <w:tcW w:w="20" w:type="dxa"/>
            <w:vAlign w:val="bottom"/>
            <w:tcBorders>
              <w:bottom w:val="single" w:sz="8" w:color="CCEEFF"/>
            </w:tcBorders>
          </w:tcPr>
          <w:p>
            <w:pPr>
              <w:spacing w:after="0"/>
              <w:rPr>
                <w:sz w:val="2"/>
                <w:szCs w:val="2"/>
                <w:color w:val="auto"/>
              </w:rPr>
            </w:pPr>
          </w:p>
        </w:tc>
        <w:tc>
          <w:tcPr>
            <w:tcW w:w="2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26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Total capital expenditures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82,832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91,541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144,503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171,666</w:t>
            </w: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1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9"/>
              </w:rPr>
              <w:t>Dividends and Payout Ratios</w:t>
            </w:r>
          </w:p>
        </w:tc>
        <w:tc>
          <w:tcPr>
            <w:tcW w:w="4140" w:type="dxa"/>
            <w:vAlign w:val="bottom"/>
            <w:tcBorders>
              <w:bottom w:val="single" w:sz="8" w:color="CCEEFF"/>
            </w:tcBorders>
            <w:gridSpan w:val="3"/>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Regular common dividends declared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2"/>
              <w:spacing w:after="0"/>
              <w:rPr>
                <w:sz w:val="20"/>
                <w:szCs w:val="20"/>
                <w:color w:val="auto"/>
              </w:rPr>
            </w:pPr>
            <w:r>
              <w:rPr>
                <w:rFonts w:ascii="Arial" w:cs="Arial" w:eastAsia="Arial" w:hAnsi="Arial"/>
                <w:sz w:val="18"/>
                <w:szCs w:val="18"/>
                <w:color w:val="auto"/>
              </w:rPr>
              <w:t>60,043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52,777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119,795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105,238</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84"/>
        </w:trPr>
        <w:tc>
          <w:tcPr>
            <w:tcW w:w="20" w:type="dxa"/>
            <w:vAlign w:val="bottom"/>
            <w:shd w:val="clear" w:color="auto" w:fill="CCEEFF"/>
          </w:tcPr>
          <w:p>
            <w:pPr>
              <w:spacing w:after="0"/>
              <w:rPr>
                <w:sz w:val="24"/>
                <w:szCs w:val="24"/>
                <w:color w:val="auto"/>
              </w:rPr>
            </w:pPr>
          </w:p>
        </w:tc>
        <w:tc>
          <w:tcPr>
            <w:tcW w:w="2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6260" w:type="dxa"/>
            <w:vAlign w:val="bottom"/>
            <w:gridSpan w:val="5"/>
          </w:tcPr>
          <w:p>
            <w:pPr>
              <w:ind w:left="20"/>
              <w:spacing w:after="0"/>
              <w:rPr>
                <w:sz w:val="20"/>
                <w:szCs w:val="20"/>
                <w:color w:val="auto"/>
              </w:rPr>
            </w:pPr>
            <w:r>
              <w:rPr>
                <w:rFonts w:ascii="Arial" w:cs="Arial" w:eastAsia="Arial" w:hAnsi="Arial"/>
                <w:sz w:val="18"/>
                <w:szCs w:val="18"/>
                <w:color w:val="auto"/>
              </w:rPr>
              <w:t>Dividend payout ratio as a percentage of FFO</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62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7"/>
              </w:rPr>
              <w:t>Dividend payout ratio as a percentage of FFO excluding early extinguishment of</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2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9"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Market Data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1120" w:type="dxa"/>
            <w:vAlign w:val="bottom"/>
            <w:tcBorders>
              <w:bottom w:val="single" w:sz="8" w:color="auto"/>
            </w:tcBorders>
          </w:tcPr>
          <w:p>
            <w:pPr>
              <w:spacing w:after="0"/>
              <w:rPr>
                <w:sz w:val="16"/>
                <w:szCs w:val="16"/>
                <w:color w:val="auto"/>
              </w:rPr>
            </w:pPr>
          </w:p>
        </w:tc>
      </w:tr>
      <w:tr>
        <w:trPr>
          <w:trHeight w:val="264"/>
        </w:trPr>
        <w:tc>
          <w:tcPr>
            <w:tcW w:w="84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2014</w:t>
            </w:r>
          </w:p>
        </w:tc>
      </w:tr>
      <w:tr>
        <w:trPr>
          <w:trHeight w:val="250"/>
        </w:trPr>
        <w:tc>
          <w:tcPr>
            <w:tcW w:w="8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(in thousands, except per share data)</w:t>
            </w:r>
          </w:p>
        </w:tc>
      </w:tr>
      <w:tr>
        <w:trPr>
          <w:trHeight w:val="256"/>
        </w:trPr>
        <w:tc>
          <w:tcPr>
            <w:tcW w:w="8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Data</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Common shares outstanding and operating partnership units (1)</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70,055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68,630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Market price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128.09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120.92</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Common equity market capitalization including operating partnership units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8,973,345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8,298,740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Series 1 preferred shares outstanding (2)</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400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Liquidation price per Series 1 preferred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r>
      <w:tr>
        <w:trPr>
          <w:trHeight w:val="237"/>
        </w:trPr>
        <w:tc>
          <w:tcPr>
            <w:tcW w:w="8420" w:type="dxa"/>
            <w:vAlign w:val="bottom"/>
          </w:tcPr>
          <w:p>
            <w:pPr>
              <w:ind w:left="720"/>
              <w:spacing w:after="0"/>
              <w:rPr>
                <w:sz w:val="20"/>
                <w:szCs w:val="20"/>
                <w:color w:val="auto"/>
              </w:rPr>
            </w:pPr>
            <w:r>
              <w:rPr>
                <w:rFonts w:ascii="Arial" w:cs="Arial" w:eastAsia="Arial" w:hAnsi="Arial"/>
                <w:sz w:val="18"/>
                <w:szCs w:val="18"/>
                <w:color w:val="auto"/>
              </w:rPr>
              <w:t>Series 1 preferred equity market capitalization</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10,000</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77"/>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Equity market capitalization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8,983,345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8,308,740</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(3)</w:t>
            </w:r>
          </w:p>
        </w:tc>
        <w:tc>
          <w:tcPr>
            <w:tcW w:w="26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2,539,505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2,357,751</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r>
      <w:tr>
        <w:trPr>
          <w:trHeight w:val="297"/>
        </w:trPr>
        <w:tc>
          <w:tcPr>
            <w:tcW w:w="84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market capitalization</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11,522,850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10,666,491</w:t>
            </w:r>
          </w:p>
        </w:tc>
      </w:tr>
      <w:tr>
        <w:trPr>
          <w:trHeight w:val="271"/>
        </w:trPr>
        <w:tc>
          <w:tcPr>
            <w:tcW w:w="84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Total debt to market capitalization at the current market price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84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8420" w:type="dxa"/>
            <w:vAlign w:val="bottom"/>
          </w:tcPr>
          <w:p>
            <w:pPr>
              <w:ind w:left="360"/>
              <w:spacing w:after="0"/>
              <w:rPr>
                <w:sz w:val="20"/>
                <w:szCs w:val="20"/>
                <w:color w:val="auto"/>
              </w:rPr>
            </w:pPr>
            <w:r>
              <w:rPr>
                <w:rFonts w:ascii="Arial" w:cs="Arial" w:eastAsia="Arial" w:hAnsi="Arial"/>
                <w:sz w:val="18"/>
                <w:szCs w:val="18"/>
                <w:color w:val="auto"/>
              </w:rPr>
              <w:t>Fixed rate debt ratio:</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Fixed rate debt and capital lease obligations (4)</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8420" w:type="dxa"/>
            <w:vAlign w:val="bottom"/>
          </w:tcPr>
          <w:p>
            <w:pPr>
              <w:ind w:left="720"/>
              <w:spacing w:after="0"/>
              <w:rPr>
                <w:sz w:val="20"/>
                <w:szCs w:val="20"/>
                <w:color w:val="auto"/>
              </w:rPr>
            </w:pPr>
            <w:r>
              <w:rPr>
                <w:rFonts w:ascii="Arial" w:cs="Arial" w:eastAsia="Arial" w:hAnsi="Arial"/>
                <w:sz w:val="18"/>
                <w:szCs w:val="18"/>
                <w:color w:val="auto"/>
              </w:rPr>
              <w:t>Variable rate debt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&lt;1%</w:t>
            </w:r>
          </w:p>
        </w:tc>
      </w:tr>
      <w:tr>
        <w:trPr>
          <w:trHeight w:val="27"/>
        </w:trPr>
        <w:tc>
          <w:tcPr>
            <w:tcW w:w="8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4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u w:val="single" w:color="auto"/>
          <w:color w:val="auto"/>
        </w:rPr>
        <w:t>Notes:</w:t>
      </w:r>
    </w:p>
    <w:p>
      <w:pPr>
        <w:spacing w:after="0" w:line="49"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include 934,405 and 917,255 operating partnership units outstanding at June 30, 2015 and 2014, respectively.</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shares, issued March 8, 2007, are unregistered.</w:t>
      </w:r>
    </w:p>
    <w:p>
      <w:pPr>
        <w:spacing w:after="0" w:line="59" w:lineRule="exact"/>
        <w:rPr>
          <w:rFonts w:ascii="Arial" w:cs="Arial" w:eastAsia="Arial" w:hAnsi="Arial"/>
          <w:sz w:val="16"/>
          <w:szCs w:val="16"/>
          <w:color w:val="auto"/>
        </w:rPr>
      </w:pPr>
    </w:p>
    <w:p>
      <w:pPr>
        <w:ind w:left="660" w:right="220" w:hanging="652"/>
        <w:spacing w:after="0" w:line="30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debt includes capital leases, mortgages payable, notes payable, senior notes and debentures, net of premiums and discounts, from our consolidated balance sheet. It does not include $10.3 million and $13.5 million at June 30, 2015 and 2014, respectively, which is the Trust's 30% share of the total mortgages payable of $34.4 million and $44.9 million at June 30, 2015 and 2014, respectively, of the partnership with a discretionary fund created and advised by ING Clarion Partners.</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Fixed rate debt includes our $275.0 million term loan as the rate is effectively fixed by two interest rate swap agreements.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2"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Components of Rental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6"/>
                <w:szCs w:val="16"/>
                <w:color w:val="auto"/>
              </w:rPr>
            </w:pPr>
          </w:p>
        </w:tc>
        <w:tc>
          <w:tcPr>
            <w:tcW w:w="218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Six Months Ended</w:t>
            </w:r>
          </w:p>
        </w:tc>
      </w:tr>
      <w:tr>
        <w:trPr>
          <w:trHeight w:val="276"/>
        </w:trPr>
        <w:tc>
          <w:tcPr>
            <w:tcW w:w="60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2014</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Minimum rents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Retail and commercial (1)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125,688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116,840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250,001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232,905</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8,532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20,941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16,354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reimbursements</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33,535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32,158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74,422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69,617</w:t>
            </w:r>
          </w:p>
        </w:tc>
      </w:tr>
      <w:tr>
        <w:trPr>
          <w:trHeight w:val="27"/>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Percentage rent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4,168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2,808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6,419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5,532</w:t>
            </w:r>
          </w:p>
        </w:tc>
      </w:tr>
      <w:tr>
        <w:trPr>
          <w:trHeight w:val="27"/>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175,884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162,383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357,050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328,576</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59" w:lineRule="exact"/>
        <w:rPr>
          <w:sz w:val="20"/>
          <w:szCs w:val="20"/>
          <w:color w:val="auto"/>
        </w:rPr>
      </w:pPr>
    </w:p>
    <w:p>
      <w:pPr>
        <w:ind w:left="660" w:right="140" w:hanging="652"/>
        <w:spacing w:after="0" w:line="25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Minimum rents include $1.8 million and $1.1 million for the three months ended June 30, 2015 and 2014, respectively, and $3.1 million and $2.2 million for the six months ended June 30, 2015 and 2014, respectively, to recognize minimum rents on a straight-line basis. In addition, minimum rents include $0.6 million and $0.7 million for the three months ended June 30, 2015 and 2014, respectively, and $1.3 million and $1.2 million for the six months ended June 30, 2015 and 2014, respectively, to recognize income from the amortization of in-place leases.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Summary of Outstanding Debt and Capital Lease Obligations</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gridSpan w:val="5"/>
          </w:tcPr>
          <w:p>
            <w:pPr>
              <w:ind w:left="1340"/>
              <w:spacing w:after="0"/>
              <w:rPr>
                <w:sz w:val="20"/>
                <w:szCs w:val="20"/>
                <w:color w:val="auto"/>
              </w:rPr>
            </w:pPr>
            <w:r>
              <w:rPr>
                <w:rFonts w:ascii="Arial" w:cs="Arial" w:eastAsia="Arial" w:hAnsi="Arial"/>
                <w:sz w:val="14"/>
                <w:szCs w:val="14"/>
                <w:b w:val="1"/>
                <w:bCs w:val="1"/>
                <w:color w:val="auto"/>
              </w:rPr>
              <w:t>As of June 30, 2015</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Stated maturity date</w:t>
            </w:r>
          </w:p>
        </w:tc>
        <w:tc>
          <w:tcPr>
            <w:tcW w:w="100" w:type="dxa"/>
            <w:vAlign w:val="bottom"/>
            <w:vMerge w:val="restart"/>
          </w:tcPr>
          <w:p>
            <w:pPr>
              <w:spacing w:after="0"/>
              <w:rPr>
                <w:sz w:val="13"/>
                <w:szCs w:val="13"/>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Stated interest rate</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3"/>
              </w:rPr>
              <w:t>Balance</w:t>
            </w:r>
          </w:p>
        </w:tc>
        <w:tc>
          <w:tcPr>
            <w:tcW w:w="340" w:type="dxa"/>
            <w:vAlign w:val="bottom"/>
            <w:vMerge w:val="restart"/>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right"/>
              <w:ind w:right="59"/>
              <w:spacing w:after="0" w:line="153"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effective rate (6)</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(in thousands)</w:t>
            </w: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w w:val="90"/>
              </w:rPr>
              <w:t>Mortgages Payable (1)</w:t>
            </w:r>
          </w:p>
        </w:tc>
        <w:tc>
          <w:tcPr>
            <w:tcW w:w="2160" w:type="dxa"/>
            <w:vAlign w:val="bottom"/>
            <w:tcBorders>
              <w:bottom w:val="single" w:sz="8" w:color="CCEEFF"/>
            </w:tcBorders>
            <w:gridSpan w:val="3"/>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Barracks Road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35,411</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Hauppauge (2)</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13,349</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Lawrence Park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25,099</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Wildwood (2)</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22,062</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Wynnewood (2)</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7.95%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25,579</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Brick Plaza (2)</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11/1/2015</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25,971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San Antonio Center</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1/1/2016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18,353</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Plaza El Segundo</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8/5/2017</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Grove at Shrewsbury (East)</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10/1/2017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44,045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The Grove at Shrewsbury (West)</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3/1/2018</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6.38%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11,135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Rollingwood Apartments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5/1/2019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5.54%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21,924</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29th Place</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1/31/2021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4,848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THE AVENUE at White Marsh</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52,705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Montrose Crossing</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1/10/2022</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75,106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Brook 35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7/1/2029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Chelsea</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1/15/2031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6,971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569,058</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7,388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mortgages payable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576,446</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5.38%</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64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Notes payable</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Term loan (3)</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11/21/2018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2028</w:t>
            </w: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11.31%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6,011</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variable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Escondido (Municipal bonds) (4)</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10/1/2016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9,400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Revolving credit facility (5)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4/21/2017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6"/>
              </w:rPr>
              <w:t>LIBOR + 0.90%</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106,500</w:t>
            </w:r>
          </w:p>
        </w:tc>
        <w:tc>
          <w:tcPr>
            <w:tcW w:w="3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5"/>
          </w:tcPr>
          <w:p>
            <w:pPr>
              <w:ind w:left="700"/>
              <w:spacing w:after="0"/>
              <w:rPr>
                <w:sz w:val="20"/>
                <w:szCs w:val="20"/>
                <w:color w:val="auto"/>
              </w:rPr>
            </w:pPr>
            <w:r>
              <w:rPr>
                <w:rFonts w:ascii="Arial" w:cs="Arial" w:eastAsia="Arial" w:hAnsi="Arial"/>
                <w:sz w:val="16"/>
                <w:szCs w:val="16"/>
                <w:color w:val="auto"/>
              </w:rPr>
              <w:t>Total notes payable</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396,911</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2.45%</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Senior notes and debentures</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i w:val="1"/>
                <w:iCs w:val="1"/>
                <w:color w:val="auto"/>
              </w:rPr>
              <w:t>Unsecured fixed rate</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5.90%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4/1/2020</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5.90%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3.00%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2.75%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3"/>
              </w:rPr>
              <w:t>6/1/2023</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2.75%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275,000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3.95%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1/15/2024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7.48% debentures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8/15/2026</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7.48%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29,200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360"/>
              <w:spacing w:after="0"/>
              <w:rPr>
                <w:sz w:val="20"/>
                <w:szCs w:val="20"/>
                <w:color w:val="auto"/>
              </w:rPr>
            </w:pPr>
            <w:r>
              <w:rPr>
                <w:rFonts w:ascii="Arial" w:cs="Arial" w:eastAsia="Arial" w:hAnsi="Arial"/>
                <w:sz w:val="16"/>
                <w:szCs w:val="16"/>
                <w:color w:val="auto"/>
              </w:rPr>
              <w:t>6.82% medium term notes</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8/1/2027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40,000</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4.50% notes</w:t>
            </w:r>
          </w:p>
        </w:tc>
        <w:tc>
          <w:tcPr>
            <w:tcW w:w="1840" w:type="dxa"/>
            <w:vAlign w:val="bottom"/>
          </w:tcPr>
          <w:p>
            <w:pPr>
              <w:jc w:val="center"/>
              <w:spacing w:after="0"/>
              <w:rPr>
                <w:sz w:val="20"/>
                <w:szCs w:val="20"/>
                <w:color w:val="auto"/>
              </w:rPr>
            </w:pPr>
            <w:r>
              <w:rPr>
                <w:rFonts w:ascii="Arial" w:cs="Arial" w:eastAsia="Arial" w:hAnsi="Arial"/>
                <w:sz w:val="16"/>
                <w:szCs w:val="16"/>
                <w:color w:val="auto"/>
                <w:w w:val="92"/>
              </w:rPr>
              <w:t>12/1/2044</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6"/>
                <w:szCs w:val="16"/>
                <w:color w:val="auto"/>
                <w:w w:val="92"/>
              </w:rPr>
              <w:t>4.50%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450,000</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Subtotal</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1,494,200</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Net unamortized premium</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315</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5"/>
            <w:shd w:val="clear" w:color="auto" w:fill="CCEEFF"/>
          </w:tcPr>
          <w:p>
            <w:pPr>
              <w:ind w:left="700"/>
              <w:spacing w:after="0"/>
              <w:rPr>
                <w:sz w:val="20"/>
                <w:szCs w:val="20"/>
                <w:color w:val="auto"/>
              </w:rPr>
            </w:pPr>
            <w:r>
              <w:rPr>
                <w:rFonts w:ascii="Arial" w:cs="Arial" w:eastAsia="Arial" w:hAnsi="Arial"/>
                <w:sz w:val="16"/>
                <w:szCs w:val="16"/>
                <w:color w:val="auto"/>
              </w:rPr>
              <w:t>Total senior notes and debentures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1,494,515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4.19%</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w w:val="91"/>
              </w:rPr>
              <w:t>Capital lease obligations</w:t>
            </w:r>
          </w:p>
        </w:tc>
        <w:tc>
          <w:tcPr>
            <w:tcW w:w="2040" w:type="dxa"/>
            <w:vAlign w:val="bottom"/>
            <w:tcBorders>
              <w:bottom w:val="single" w:sz="8" w:color="CCEEFF"/>
            </w:tcBorders>
            <w:gridSpan w:val="2"/>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40" w:type="dxa"/>
            <w:vAlign w:val="bottom"/>
            <w:gridSpan w:val="5"/>
          </w:tcPr>
          <w:p>
            <w:pPr>
              <w:ind w:left="360"/>
              <w:spacing w:after="0"/>
              <w:rPr>
                <w:sz w:val="20"/>
                <w:szCs w:val="20"/>
                <w:color w:val="auto"/>
              </w:rPr>
            </w:pPr>
            <w:r>
              <w:rPr>
                <w:rFonts w:ascii="Arial" w:cs="Arial" w:eastAsia="Arial" w:hAnsi="Arial"/>
                <w:sz w:val="16"/>
                <w:szCs w:val="16"/>
                <w:color w:val="auto"/>
              </w:rPr>
              <w:t>Various</w:t>
            </w:r>
          </w:p>
        </w:tc>
        <w:tc>
          <w:tcPr>
            <w:tcW w:w="194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Various through 2106</w:t>
            </w: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Various</w:t>
            </w: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71,633</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8.04%</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2,539,505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fixed rate debt and capital lease obligations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2,423,605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81"/>
              <w:spacing w:after="0"/>
              <w:rPr>
                <w:sz w:val="20"/>
                <w:szCs w:val="20"/>
                <w:color w:val="auto"/>
              </w:rPr>
            </w:pPr>
            <w:r>
              <w:rPr>
                <w:rFonts w:ascii="Arial" w:cs="Arial" w:eastAsia="Arial" w:hAnsi="Arial"/>
                <w:sz w:val="16"/>
                <w:szCs w:val="16"/>
                <w:color w:val="auto"/>
              </w:rPr>
              <w:t>4.45%</w:t>
            </w: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gridSpan w:val="6"/>
          </w:tcPr>
          <w:p>
            <w:pPr>
              <w:ind w:left="20"/>
              <w:spacing w:after="0"/>
              <w:rPr>
                <w:sz w:val="20"/>
                <w:szCs w:val="20"/>
                <w:color w:val="auto"/>
              </w:rPr>
            </w:pPr>
            <w:r>
              <w:rPr>
                <w:rFonts w:ascii="Arial" w:cs="Arial" w:eastAsia="Arial" w:hAnsi="Arial"/>
                <w:sz w:val="16"/>
                <w:szCs w:val="16"/>
                <w:color w:val="auto"/>
              </w:rPr>
              <w:t>Total variable rate debt</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115,900</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920" w:type="dxa"/>
            <w:vAlign w:val="bottom"/>
          </w:tcPr>
          <w:p>
            <w:pPr>
              <w:jc w:val="right"/>
              <w:ind w:right="181"/>
              <w:spacing w:after="0"/>
              <w:rPr>
                <w:sz w:val="20"/>
                <w:szCs w:val="20"/>
                <w:color w:val="auto"/>
              </w:rPr>
            </w:pPr>
            <w:r>
              <w:rPr>
                <w:rFonts w:ascii="Arial" w:cs="Arial" w:eastAsia="Arial" w:hAnsi="Arial"/>
                <w:sz w:val="16"/>
                <w:szCs w:val="16"/>
                <w:color w:val="auto"/>
              </w:rPr>
              <w:t>1.10%</w:t>
            </w:r>
          </w:p>
        </w:tc>
        <w:tc>
          <w:tcPr>
            <w:tcW w:w="440" w:type="dxa"/>
            <w:vAlign w:val="bottom"/>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gridSpan w:val="6"/>
            <w:shd w:val="clear" w:color="auto" w:fill="CCEEFF"/>
          </w:tcPr>
          <w:p>
            <w:pPr>
              <w:ind w:left="20"/>
              <w:spacing w:after="0"/>
              <w:rPr>
                <w:sz w:val="20"/>
                <w:szCs w:val="20"/>
                <w:color w:val="auto"/>
              </w:rPr>
            </w:pPr>
            <w:r>
              <w:rPr>
                <w:rFonts w:ascii="Arial" w:cs="Arial" w:eastAsia="Arial" w:hAnsi="Arial"/>
                <w:sz w:val="16"/>
                <w:szCs w:val="16"/>
                <w:color w:val="auto"/>
              </w:rPr>
              <w:t>Total debt and capital lease obligations</w:t>
            </w: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2,539,505</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4.30%</w:t>
            </w:r>
          </w:p>
        </w:tc>
        <w:tc>
          <w:tcPr>
            <w:tcW w:w="4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91"/>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60" w:top="747" w:right="239" w:bottom="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60" w:top="747" w:right="239" w:bottom="0" w:gutter="0" w:footer="0" w:header="0"/>
          <w:type w:val="continuous"/>
        </w:sectPr>
      </w:pPr>
    </w:p>
    <w:bookmarkStart w:id="15" w:name="page16"/>
    <w:bookmarkEnd w:id="15"/>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6" w:name="page17"/>
    <w:bookmarkEnd w:id="16"/>
    <w:p>
      <w:pPr>
        <w:jc w:val="center"/>
        <w:ind w:left="794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94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23495</wp:posOffset>
            </wp:positionV>
            <wp:extent cx="1183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89" w:lineRule="exact"/>
        <w:rPr>
          <w:sz w:val="20"/>
          <w:szCs w:val="20"/>
          <w:color w:val="auto"/>
        </w:rPr>
      </w:pPr>
    </w:p>
    <w:p>
      <w:pPr>
        <w:ind w:left="8000"/>
        <w:spacing w:after="0"/>
        <w:tabs>
          <w:tab w:leader="none" w:pos="89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Arial" w:cs="Arial" w:eastAsia="Arial" w:hAnsi="Arial"/>
          <w:sz w:val="13"/>
          <w:szCs w:val="13"/>
          <w:b w:val="1"/>
          <w:bCs w:val="1"/>
          <w:color w:val="auto"/>
        </w:rPr>
        <w:t>Six Months Ended</w:t>
      </w:r>
    </w:p>
    <w:p>
      <w:pPr>
        <w:spacing w:after="0" w:line="121"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23495</wp:posOffset>
            </wp:positionV>
            <wp:extent cx="1132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89" w:lineRule="exact"/>
        <w:rPr>
          <w:sz w:val="20"/>
          <w:szCs w:val="20"/>
          <w:color w:val="auto"/>
        </w:rPr>
      </w:pPr>
    </w:p>
    <w:p>
      <w:pPr>
        <w:spacing w:after="0"/>
        <w:tabs>
          <w:tab w:leader="none" w:pos="880" w:val="left"/>
        </w:tabs>
        <w:rPr>
          <w:sz w:val="20"/>
          <w:szCs w:val="20"/>
          <w:color w:val="auto"/>
        </w:rPr>
      </w:pPr>
      <w:r>
        <w:rPr>
          <w:rFonts w:ascii="Arial" w:cs="Arial" w:eastAsia="Arial" w:hAnsi="Arial"/>
          <w:sz w:val="12"/>
          <w:szCs w:val="12"/>
          <w:b w:val="1"/>
          <w:bCs w:val="1"/>
          <w:color w:val="auto"/>
        </w:rPr>
        <w:t>2015</w:t>
      </w:r>
      <w:r>
        <w:rPr>
          <w:sz w:val="20"/>
          <w:szCs w:val="20"/>
          <w:color w:val="auto"/>
        </w:rPr>
        <w:tab/>
      </w:r>
      <w:r>
        <w:rPr>
          <w:rFonts w:ascii="Arial" w:cs="Arial" w:eastAsia="Arial" w:hAnsi="Arial"/>
          <w:sz w:val="12"/>
          <w:szCs w:val="12"/>
          <w:b w:val="1"/>
          <w:bCs w:val="1"/>
          <w:color w:val="auto"/>
        </w:rPr>
        <w:t>2014</w:t>
      </w:r>
    </w:p>
    <w:p>
      <w:pPr>
        <w:spacing w:after="0" w:line="48" w:lineRule="exact"/>
        <w:rPr>
          <w:sz w:val="20"/>
          <w:szCs w:val="20"/>
          <w:color w:val="auto"/>
        </w:rPr>
      </w:pPr>
    </w:p>
    <w:p>
      <w:pPr>
        <w:sectPr>
          <w:pgSz w:w="11900" w:h="16838" w:orient="portrait"/>
          <w:cols w:equalWidth="0" w:num="2">
            <w:col w:w="9260" w:space="680"/>
            <w:col w:w="1480"/>
          </w:cols>
          <w:pgMar w:left="240" w:top="806" w:right="239" w:bottom="1440" w:gutter="0" w:footer="0" w:header="0"/>
        </w:sectPr>
      </w:pPr>
    </w:p>
    <w:tbl>
      <w:tblPr>
        <w:tblLayout w:type="fixed"/>
        <w:tblInd w:w="20" w:type="dxa"/>
        <w:tblCellMar>
          <w:top w:w="0" w:type="dxa"/>
          <w:left w:w="0" w:type="dxa"/>
          <w:bottom w:w="0" w:type="dxa"/>
          <w:right w:w="0" w:type="dxa"/>
        </w:tblCellMar>
      </w:tblPr>
      <w:tr>
        <w:trPr>
          <w:trHeight w:val="256"/>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91"/>
              </w:rPr>
              <w:t>Operational Statistics</w:t>
            </w:r>
          </w:p>
        </w:tc>
        <w:tc>
          <w:tcPr>
            <w:tcW w:w="62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2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r>
      <w:tr>
        <w:trPr>
          <w:trHeight w:val="237"/>
        </w:trPr>
        <w:tc>
          <w:tcPr>
            <w:tcW w:w="7640" w:type="dxa"/>
            <w:vAlign w:val="bottom"/>
            <w:gridSpan w:val="3"/>
          </w:tcPr>
          <w:p>
            <w:pPr>
              <w:ind w:left="20"/>
              <w:spacing w:after="0"/>
              <w:rPr>
                <w:sz w:val="20"/>
                <w:szCs w:val="20"/>
                <w:color w:val="auto"/>
              </w:rPr>
            </w:pPr>
            <w:r>
              <w:rPr>
                <w:rFonts w:ascii="Arial" w:cs="Arial" w:eastAsia="Arial" w:hAnsi="Arial"/>
                <w:sz w:val="16"/>
                <w:szCs w:val="16"/>
                <w:color w:val="auto"/>
              </w:rPr>
              <w:t>Excluding early extinguishment of debt:</w:t>
            </w:r>
          </w:p>
        </w:tc>
        <w:tc>
          <w:tcPr>
            <w:tcW w:w="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76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(8)(9)</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3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(8)(9)</w:t>
            </w:r>
          </w:p>
        </w:tc>
        <w:tc>
          <w:tcPr>
            <w:tcW w:w="660" w:type="dxa"/>
            <w:vAlign w:val="bottom"/>
          </w:tcPr>
          <w:p>
            <w:pPr>
              <w:jc w:val="right"/>
              <w:spacing w:after="0"/>
              <w:rPr>
                <w:sz w:val="20"/>
                <w:szCs w:val="20"/>
                <w:color w:val="auto"/>
              </w:rPr>
            </w:pPr>
            <w:r>
              <w:rPr>
                <w:rFonts w:ascii="Arial" w:cs="Arial" w:eastAsia="Arial" w:hAnsi="Arial"/>
                <w:sz w:val="16"/>
                <w:szCs w:val="16"/>
                <w:color w:val="auto"/>
              </w:rPr>
              <w:t>4.17</w:t>
            </w:r>
          </w:p>
        </w:tc>
        <w:tc>
          <w:tcPr>
            <w:tcW w:w="360" w:type="dxa"/>
            <w:vAlign w:val="bottom"/>
          </w:tcPr>
          <w:p>
            <w:pPr>
              <w:ind w:left="6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3.78</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4.03</w:t>
            </w:r>
          </w:p>
        </w:tc>
        <w:tc>
          <w:tcPr>
            <w:tcW w:w="340" w:type="dxa"/>
            <w:vAlign w:val="bottom"/>
          </w:tcPr>
          <w:p>
            <w:pPr>
              <w:ind w:left="8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3.74</w:t>
            </w:r>
          </w:p>
        </w:tc>
        <w:tc>
          <w:tcPr>
            <w:tcW w:w="26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Including early extinguishment of debt:</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7620" w:type="dxa"/>
            <w:vAlign w:val="bottom"/>
            <w:gridSpan w:val="2"/>
          </w:tcPr>
          <w:p>
            <w:pPr>
              <w:ind w:left="360"/>
              <w:spacing w:after="0"/>
              <w:rPr>
                <w:sz w:val="20"/>
                <w:szCs w:val="20"/>
                <w:color w:val="auto"/>
              </w:rPr>
            </w:pPr>
            <w:r>
              <w:rPr>
                <w:rFonts w:ascii="Arial" w:cs="Arial" w:eastAsia="Arial" w:hAnsi="Arial"/>
                <w:sz w:val="16"/>
                <w:szCs w:val="16"/>
                <w:color w:val="auto"/>
              </w:rPr>
              <w:t>Ratio of EBITDA to combined fixed charges and preferred share dividends (8)</w:t>
            </w:r>
          </w:p>
        </w:tc>
        <w:tc>
          <w:tcPr>
            <w:tcW w:w="660" w:type="dxa"/>
            <w:vAlign w:val="bottom"/>
          </w:tcPr>
          <w:p>
            <w:pPr>
              <w:jc w:val="right"/>
              <w:spacing w:after="0"/>
              <w:rPr>
                <w:sz w:val="20"/>
                <w:szCs w:val="20"/>
                <w:color w:val="auto"/>
              </w:rPr>
            </w:pPr>
            <w:r>
              <w:rPr>
                <w:rFonts w:ascii="Arial" w:cs="Arial" w:eastAsia="Arial" w:hAnsi="Arial"/>
                <w:sz w:val="16"/>
                <w:szCs w:val="16"/>
                <w:color w:val="auto"/>
              </w:rPr>
              <w:t>2.74</w:t>
            </w:r>
          </w:p>
        </w:tc>
        <w:tc>
          <w:tcPr>
            <w:tcW w:w="360" w:type="dxa"/>
            <w:vAlign w:val="bottom"/>
          </w:tcPr>
          <w:p>
            <w:pPr>
              <w:ind w:left="6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3.78</w:t>
            </w:r>
          </w:p>
        </w:tc>
        <w:tc>
          <w:tcPr>
            <w:tcW w:w="400" w:type="dxa"/>
            <w:vAlign w:val="bottom"/>
            <w:gridSpan w:val="2"/>
          </w:tcPr>
          <w:p>
            <w:pPr>
              <w:ind w:left="80"/>
              <w:spacing w:after="0"/>
              <w:rPr>
                <w:sz w:val="20"/>
                <w:szCs w:val="20"/>
                <w:color w:val="auto"/>
              </w:rPr>
            </w:pPr>
            <w:r>
              <w:rPr>
                <w:rFonts w:ascii="Arial" w:cs="Arial" w:eastAsia="Arial" w:hAnsi="Arial"/>
                <w:sz w:val="16"/>
                <w:szCs w:val="16"/>
                <w:color w:val="auto"/>
              </w:rPr>
              <w:t>x</w:t>
            </w:r>
          </w:p>
        </w:tc>
        <w:tc>
          <w:tcPr>
            <w:tcW w:w="620" w:type="dxa"/>
            <w:vAlign w:val="bottom"/>
          </w:tcPr>
          <w:p>
            <w:pPr>
              <w:jc w:val="right"/>
              <w:spacing w:after="0"/>
              <w:rPr>
                <w:sz w:val="20"/>
                <w:szCs w:val="20"/>
                <w:color w:val="auto"/>
              </w:rPr>
            </w:pPr>
            <w:r>
              <w:rPr>
                <w:rFonts w:ascii="Arial" w:cs="Arial" w:eastAsia="Arial" w:hAnsi="Arial"/>
                <w:sz w:val="16"/>
                <w:szCs w:val="16"/>
                <w:color w:val="auto"/>
              </w:rPr>
              <w:t>3.18</w:t>
            </w:r>
          </w:p>
        </w:tc>
        <w:tc>
          <w:tcPr>
            <w:tcW w:w="340" w:type="dxa"/>
            <w:vAlign w:val="bottom"/>
          </w:tcPr>
          <w:p>
            <w:pPr>
              <w:ind w:left="80"/>
              <w:spacing w:after="0"/>
              <w:rPr>
                <w:sz w:val="20"/>
                <w:szCs w:val="20"/>
                <w:color w:val="auto"/>
              </w:rPr>
            </w:pPr>
            <w:r>
              <w:rPr>
                <w:rFonts w:ascii="Arial" w:cs="Arial" w:eastAsia="Arial" w:hAnsi="Arial"/>
                <w:sz w:val="16"/>
                <w:szCs w:val="16"/>
                <w:color w:val="auto"/>
              </w:rPr>
              <w:t>x</w:t>
            </w:r>
          </w:p>
        </w:tc>
        <w:tc>
          <w:tcPr>
            <w:tcW w:w="560" w:type="dxa"/>
            <w:vAlign w:val="bottom"/>
          </w:tcPr>
          <w:p>
            <w:pPr>
              <w:jc w:val="right"/>
              <w:spacing w:after="0"/>
              <w:rPr>
                <w:sz w:val="20"/>
                <w:szCs w:val="20"/>
                <w:color w:val="auto"/>
              </w:rPr>
            </w:pPr>
            <w:r>
              <w:rPr>
                <w:rFonts w:ascii="Arial" w:cs="Arial" w:eastAsia="Arial" w:hAnsi="Arial"/>
                <w:sz w:val="16"/>
                <w:szCs w:val="16"/>
                <w:color w:val="auto"/>
              </w:rPr>
              <w:t>3.74</w:t>
            </w:r>
          </w:p>
        </w:tc>
        <w:tc>
          <w:tcPr>
            <w:tcW w:w="260" w:type="dxa"/>
            <w:vAlign w:val="bottom"/>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37"/>
        </w:trPr>
        <w:tc>
          <w:tcPr>
            <w:tcW w:w="20" w:type="dxa"/>
            <w:vAlign w:val="bottom"/>
            <w:shd w:val="clear" w:color="auto" w:fill="CCEEFF"/>
          </w:tcPr>
          <w:p>
            <w:pPr>
              <w:spacing w:after="0"/>
              <w:rPr>
                <w:sz w:val="20"/>
                <w:szCs w:val="20"/>
                <w:color w:val="auto"/>
              </w:rPr>
            </w:pPr>
          </w:p>
        </w:tc>
        <w:tc>
          <w:tcPr>
            <w:tcW w:w="7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Ratio of adjusted EBITDA to combined fixed charges and preferred share dividends (8)</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6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340" w:type="dxa"/>
            <w:vAlign w:val="bottom"/>
            <w:shd w:val="clear" w:color="auto" w:fill="CCEEFF"/>
          </w:tcPr>
          <w:p>
            <w:pPr>
              <w:ind w:left="80"/>
              <w:spacing w:after="0"/>
              <w:rPr>
                <w:sz w:val="20"/>
                <w:szCs w:val="20"/>
                <w:color w:val="auto"/>
              </w:rPr>
            </w:pPr>
            <w:r>
              <w:rPr>
                <w:rFonts w:ascii="Arial" w:cs="Arial" w:eastAsia="Arial" w:hAnsi="Arial"/>
                <w:sz w:val="16"/>
                <w:szCs w:val="16"/>
                <w:color w:val="auto"/>
              </w:rPr>
              <w:t>x</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260" w:type="dxa"/>
            <w:vAlign w:val="bottom"/>
            <w:shd w:val="clear" w:color="auto" w:fill="CCEEFF"/>
          </w:tcPr>
          <w:p>
            <w:pPr>
              <w:ind w:left="60"/>
              <w:spacing w:after="0"/>
              <w:rPr>
                <w:sz w:val="20"/>
                <w:szCs w:val="20"/>
                <w:color w:val="auto"/>
              </w:rPr>
            </w:pPr>
            <w:r>
              <w:rPr>
                <w:rFonts w:ascii="Arial" w:cs="Arial" w:eastAsia="Arial" w:hAnsi="Arial"/>
                <w:sz w:val="16"/>
                <w:szCs w:val="16"/>
                <w:color w:val="auto"/>
              </w:rPr>
              <w:t>x</w:t>
            </w:r>
          </w:p>
        </w:tc>
      </w:tr>
      <w:tr>
        <w:trPr>
          <w:trHeight w:val="33"/>
        </w:trPr>
        <w:tc>
          <w:tcPr>
            <w:tcW w:w="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62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5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Mortgages payable do not include our 30% share ($10.3 million) of the $34.4 million debt of the partnership with a discretionary fund created and advised by ING Clarion Partners.</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August 3, 2015, these mortgage loans were repaid at par.</w:t>
      </w:r>
    </w:p>
    <w:p>
      <w:pPr>
        <w:spacing w:after="0" w:line="55" w:lineRule="exact"/>
        <w:rPr>
          <w:rFonts w:ascii="Arial" w:cs="Arial" w:eastAsia="Arial" w:hAnsi="Arial"/>
          <w:sz w:val="14"/>
          <w:szCs w:val="14"/>
          <w:color w:val="auto"/>
        </w:rPr>
      </w:pPr>
    </w:p>
    <w:p>
      <w:pPr>
        <w:ind w:left="660" w:right="1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entered into two interest rate swap agreements to fix the variable rate portion of our $275.0 million term loan at 1.72% through November 1, 2018. The swap agreements effectively fix the rate on the term loan at 2.62% and thus, the loan is included in fixed rate debt.</w:t>
      </w:r>
    </w:p>
    <w:p>
      <w:pPr>
        <w:spacing w:after="0" w:line="11" w:lineRule="exact"/>
        <w:rPr>
          <w:rFonts w:ascii="Arial" w:cs="Arial" w:eastAsia="Arial" w:hAnsi="Arial"/>
          <w:sz w:val="14"/>
          <w:szCs w:val="14"/>
          <w:color w:val="auto"/>
        </w:rPr>
      </w:pPr>
    </w:p>
    <w:p>
      <w:pPr>
        <w:ind w:left="660" w:right="3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Escondido Promenade property is not encumbered by a lien.</w:t>
      </w:r>
    </w:p>
    <w:p>
      <w:pPr>
        <w:spacing w:after="0" w:line="11" w:lineRule="exact"/>
        <w:rPr>
          <w:rFonts w:ascii="Arial" w:cs="Arial" w:eastAsia="Arial" w:hAnsi="Arial"/>
          <w:sz w:val="14"/>
          <w:szCs w:val="14"/>
          <w:color w:val="auto"/>
        </w:rPr>
      </w:pPr>
    </w:p>
    <w:p>
      <w:pPr>
        <w:ind w:left="660" w:right="4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maximum amount drawn under our revolving credit facility during the three and six months ended June 30, 2015 was $173.5 million, and the weighted average interest rate on borrowings under our revolving credit facility, before amortization of debt fees, was 1.1% for the three and six months ended June 30, 2015.</w:t>
      </w:r>
    </w:p>
    <w:p>
      <w:pPr>
        <w:spacing w:after="0" w:line="11"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includes the amortization of any deferred financing fees, discounts and premiums, if applicable, except as described in Note 7.</w:t>
      </w:r>
    </w:p>
    <w:p>
      <w:pPr>
        <w:spacing w:after="0" w:line="55" w:lineRule="exact"/>
        <w:rPr>
          <w:rFonts w:ascii="Arial" w:cs="Arial" w:eastAsia="Arial" w:hAnsi="Arial"/>
          <w:sz w:val="14"/>
          <w:szCs w:val="14"/>
          <w:color w:val="auto"/>
        </w:rPr>
      </w:pPr>
    </w:p>
    <w:p>
      <w:pPr>
        <w:ind w:left="660" w:right="2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weighted average effective interest rate excludes $0.5 million in quarterly financing fees and quarterly debt fee amortization on our revolving credit facility which had a $106.5 million balance on June 30, 2015. In addition, the weighted average effective interest rate is calculated using the fixed rate on our term loan of 2.62% as the result of the interest rate swap agreements discussed in Note 3. The term loan is included in fixed rate debt.</w:t>
      </w:r>
    </w:p>
    <w:p>
      <w:pPr>
        <w:spacing w:after="0" w:line="23" w:lineRule="exact"/>
        <w:rPr>
          <w:rFonts w:ascii="Arial" w:cs="Arial" w:eastAsia="Arial" w:hAnsi="Arial"/>
          <w:sz w:val="14"/>
          <w:szCs w:val="14"/>
          <w:color w:val="auto"/>
        </w:rPr>
      </w:pPr>
    </w:p>
    <w:p>
      <w:pPr>
        <w:ind w:left="660" w:right="28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consist of interest on borrowed funds (including capitalized interest), amortization of debt discount/premium and debt costs, costs related to the early extinguishment of debt, and the portion of rent expense representing an interest factor. EBITDA includes a gain on sale of real estate of $11.5 million for the three and six months ended June 30, 2015. Adjusted EBITDA is reconciled to net income in the Glossary of Terms.</w:t>
      </w:r>
    </w:p>
    <w:p>
      <w:pPr>
        <w:spacing w:after="0" w:line="23"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Fixed charges for the three and six months ended June 30, 2015 exclude the $19.1 million early extinguishment of debt charge related to the make-whole premium paid as part of the early redemption of the 6.20% senior notes.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6" w:right="239" w:bottom="1440" w:gutter="0" w:footer="0" w:header="0"/>
          <w:type w:val="continuous"/>
        </w:sectPr>
      </w:pPr>
    </w:p>
    <w:bookmarkStart w:id="17" w:name="page18"/>
    <w:bookmarkEnd w:id="1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Debt Maturities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2"/>
              </w:rPr>
              <w:t>Cumulative</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6"/>
              </w:rPr>
              <w:t>Scheduled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jc w:val="right"/>
              <w:ind w:right="31"/>
              <w:spacing w:after="0"/>
              <w:rPr>
                <w:sz w:val="20"/>
                <w:szCs w:val="20"/>
                <w:color w:val="auto"/>
              </w:rPr>
            </w:pPr>
            <w:r>
              <w:rPr>
                <w:rFonts w:ascii="Arial" w:cs="Arial" w:eastAsia="Arial" w:hAnsi="Arial"/>
                <w:sz w:val="16"/>
                <w:szCs w:val="16"/>
                <w:b w:val="1"/>
                <w:bCs w:val="1"/>
                <w:color w:val="auto"/>
                <w:w w:val="99"/>
              </w:rPr>
              <w:t>Percent of Debt</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w w:val="91"/>
              </w:rPr>
              <w:t>Percent of Debt</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Average Rate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6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w:t>
            </w:r>
          </w:p>
        </w:tc>
        <w:tc>
          <w:tcPr>
            <w:tcW w:w="160" w:type="dxa"/>
            <w:vAlign w:val="bottom"/>
          </w:tcPr>
          <w:p>
            <w:pPr>
              <w:spacing w:after="0"/>
              <w:rPr>
                <w:sz w:val="18"/>
                <w:szCs w:val="18"/>
                <w:color w:val="auto"/>
              </w:rPr>
            </w:pPr>
          </w:p>
        </w:tc>
        <w:tc>
          <w:tcPr>
            <w:tcW w:w="15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4"/>
              </w:rPr>
              <w:t>Amortization</w:t>
            </w:r>
          </w:p>
        </w:tc>
        <w:tc>
          <w:tcPr>
            <w:tcW w:w="200" w:type="dxa"/>
            <w:vAlign w:val="bottom"/>
          </w:tcPr>
          <w:p>
            <w:pPr>
              <w:spacing w:after="0"/>
              <w:rPr>
                <w:sz w:val="18"/>
                <w:szCs w:val="18"/>
                <w:color w:val="auto"/>
              </w:rPr>
            </w:pPr>
          </w:p>
        </w:tc>
        <w:tc>
          <w:tcPr>
            <w:tcW w:w="1160" w:type="dxa"/>
            <w:vAlign w:val="bottom"/>
          </w:tcPr>
          <w:p>
            <w:pPr>
              <w:jc w:val="right"/>
              <w:ind w:right="232"/>
              <w:spacing w:after="0"/>
              <w:rPr>
                <w:sz w:val="20"/>
                <w:szCs w:val="20"/>
                <w:color w:val="auto"/>
              </w:rPr>
            </w:pPr>
            <w:r>
              <w:rPr>
                <w:rFonts w:ascii="Arial" w:cs="Arial" w:eastAsia="Arial" w:hAnsi="Arial"/>
                <w:sz w:val="16"/>
                <w:szCs w:val="16"/>
                <w:b w:val="1"/>
                <w:bCs w:val="1"/>
                <w:color w:val="auto"/>
              </w:rPr>
              <w:t>Maturities</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8"/>
                <w:szCs w:val="18"/>
                <w:color w:val="auto"/>
              </w:rPr>
            </w:pPr>
          </w:p>
        </w:tc>
        <w:tc>
          <w:tcPr>
            <w:tcW w:w="1320" w:type="dxa"/>
            <w:vAlign w:val="bottom"/>
          </w:tcPr>
          <w:p>
            <w:pPr>
              <w:jc w:val="right"/>
              <w:ind w:right="231"/>
              <w:spacing w:after="0"/>
              <w:rPr>
                <w:sz w:val="20"/>
                <w:szCs w:val="20"/>
                <w:color w:val="auto"/>
              </w:rPr>
            </w:pPr>
            <w:r>
              <w:rPr>
                <w:rFonts w:ascii="Arial" w:cs="Arial" w:eastAsia="Arial" w:hAnsi="Arial"/>
                <w:sz w:val="16"/>
                <w:szCs w:val="16"/>
                <w:b w:val="1"/>
                <w:bCs w:val="1"/>
                <w:color w:val="auto"/>
              </w:rPr>
              <w:t>Maturing</w:t>
            </w:r>
          </w:p>
        </w:tc>
        <w:tc>
          <w:tcPr>
            <w:tcW w:w="1520" w:type="dxa"/>
            <w:vAlign w:val="bottom"/>
          </w:tcPr>
          <w:p>
            <w:pPr>
              <w:jc w:val="center"/>
              <w:spacing w:after="0"/>
              <w:rPr>
                <w:sz w:val="20"/>
                <w:szCs w:val="20"/>
                <w:color w:val="auto"/>
              </w:rPr>
            </w:pPr>
            <w:r>
              <w:rPr>
                <w:rFonts w:ascii="Arial" w:cs="Arial" w:eastAsia="Arial" w:hAnsi="Arial"/>
                <w:sz w:val="16"/>
                <w:szCs w:val="16"/>
                <w:b w:val="1"/>
                <w:bCs w:val="1"/>
                <w:color w:val="auto"/>
              </w:rPr>
              <w:t>Maturing</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132"/>
              <w:spacing w:after="0"/>
              <w:rPr>
                <w:sz w:val="20"/>
                <w:szCs w:val="20"/>
                <w:color w:val="auto"/>
              </w:rPr>
            </w:pPr>
            <w:r>
              <w:rPr>
                <w:rFonts w:ascii="Arial" w:cs="Arial" w:eastAsia="Arial" w:hAnsi="Arial"/>
                <w:sz w:val="14"/>
                <w:szCs w:val="14"/>
                <w:b w:val="1"/>
                <w:bCs w:val="1"/>
                <w:color w:val="auto"/>
                <w:w w:val="95"/>
              </w:rPr>
              <w:t>(in thousands)</w:t>
            </w: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2015</w:t>
            </w:r>
          </w:p>
        </w:tc>
        <w:tc>
          <w:tcPr>
            <w:tcW w:w="14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3,963</w:t>
            </w:r>
          </w:p>
        </w:tc>
        <w:tc>
          <w:tcPr>
            <w:tcW w:w="34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145,806</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149,769</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5.9%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2016</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4,210</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27,497</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31,707</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7.2%</w:t>
            </w: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2017</w:t>
            </w: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4,191</w:t>
            </w:r>
          </w:p>
        </w:tc>
        <w:tc>
          <w:tcPr>
            <w:tcW w:w="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323,232</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3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327,423</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5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20.1%</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2018</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3,361</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285,502</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288,863</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31.5%</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2019</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20,160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23,326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32.4%</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2020</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3,168</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150,000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153,168</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38.4%</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2021</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3,091</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3,625</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38.7%</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2022</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1,216</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366,323</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367,539</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53.2%</w:t>
            </w: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2023</w:t>
            </w: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w:t>
            </w:r>
          </w:p>
        </w:tc>
        <w:tc>
          <w:tcPr>
            <w:tcW w:w="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330,010</w:t>
            </w:r>
          </w:p>
        </w:tc>
        <w:tc>
          <w:tcPr>
            <w:tcW w:w="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331,286</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ind w:left="40"/>
              <w:spacing w:after="0"/>
              <w:rPr>
                <w:sz w:val="20"/>
                <w:szCs w:val="20"/>
                <w:color w:val="auto"/>
              </w:rPr>
            </w:pPr>
            <w:r>
              <w:rPr>
                <w:rFonts w:ascii="Arial" w:cs="Arial" w:eastAsia="Arial" w:hAnsi="Arial"/>
                <w:sz w:val="18"/>
                <w:szCs w:val="18"/>
                <w:color w:val="auto"/>
                <w:w w:val="94"/>
              </w:rPr>
              <w:t>2024</w:t>
            </w: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301,052</w:t>
            </w:r>
          </w:p>
        </w:tc>
        <w:tc>
          <w:tcPr>
            <w:tcW w:w="3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11.9%</w:t>
            </w:r>
          </w:p>
        </w:tc>
        <w:tc>
          <w:tcPr>
            <w:tcW w:w="1520" w:type="dxa"/>
            <w:vAlign w:val="bottom"/>
          </w:tcPr>
          <w:p>
            <w:pPr>
              <w:jc w:val="right"/>
              <w:ind w:right="52"/>
              <w:spacing w:after="0"/>
              <w:rPr>
                <w:sz w:val="20"/>
                <w:szCs w:val="20"/>
                <w:color w:val="auto"/>
              </w:rPr>
            </w:pPr>
            <w:r>
              <w:rPr>
                <w:rFonts w:ascii="Arial" w:cs="Arial" w:eastAsia="Arial" w:hAnsi="Arial"/>
                <w:sz w:val="18"/>
                <w:szCs w:val="18"/>
                <w:color w:val="auto"/>
              </w:rPr>
              <w:t>78.2%</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20,253</w:t>
            </w:r>
          </w:p>
        </w:tc>
        <w:tc>
          <w:tcPr>
            <w:tcW w:w="3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530,700</w:t>
            </w:r>
          </w:p>
        </w:tc>
        <w:tc>
          <w:tcPr>
            <w:tcW w:w="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550,953</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5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8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48,947</w:t>
            </w:r>
          </w:p>
        </w:tc>
        <w:tc>
          <w:tcPr>
            <w:tcW w:w="3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2,482,855</w:t>
            </w:r>
          </w:p>
        </w:tc>
        <w:tc>
          <w:tcPr>
            <w:tcW w:w="3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2,531,802</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5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line="183" w:lineRule="exact"/>
              <w:rPr>
                <w:sz w:val="20"/>
                <w:szCs w:val="20"/>
                <w:color w:val="auto"/>
              </w:rPr>
            </w:pPr>
            <w:r>
              <w:rPr>
                <w:rFonts w:ascii="Arial" w:cs="Arial" w:eastAsia="Arial" w:hAnsi="Arial"/>
                <w:sz w:val="16"/>
                <w:szCs w:val="16"/>
                <w:color w:val="auto"/>
                <w:w w:val="90"/>
              </w:rPr>
              <w:t>Notes:</w:t>
            </w:r>
          </w:p>
        </w:tc>
        <w:tc>
          <w:tcPr>
            <w:tcW w:w="14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40" w:type="dxa"/>
            <w:vAlign w:val="bottom"/>
            <w:tcBorders>
              <w:bottom w:val="single" w:sz="8" w:color="auto"/>
            </w:tcBorders>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2015 maturities comprise six mortgage loans, which were repaid at par on August 3, 2015, prior to their original maturity date.</w:t>
      </w:r>
    </w:p>
    <w:p>
      <w:pPr>
        <w:spacing w:after="0" w:line="59" w:lineRule="exact"/>
        <w:rPr>
          <w:rFonts w:ascii="Arial" w:cs="Arial" w:eastAsia="Arial" w:hAnsi="Arial"/>
          <w:sz w:val="16"/>
          <w:szCs w:val="16"/>
          <w:color w:val="auto"/>
        </w:rPr>
      </w:pPr>
    </w:p>
    <w:p>
      <w:pPr>
        <w:ind w:left="660" w:right="40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$600.0 million unsecured revolving credit facility matures on April 21, 2017 subject to a one-year extension at our option. As of June 30, 2015, there was a $106.5 million balance outstanding on our revolving credit facility.</w:t>
      </w:r>
    </w:p>
    <w:p>
      <w:pPr>
        <w:spacing w:after="0" w:line="10" w:lineRule="exact"/>
        <w:rPr>
          <w:rFonts w:ascii="Arial" w:cs="Arial" w:eastAsia="Arial" w:hAnsi="Arial"/>
          <w:sz w:val="16"/>
          <w:szCs w:val="16"/>
          <w:color w:val="auto"/>
        </w:rPr>
      </w:pPr>
    </w:p>
    <w:p>
      <w:pPr>
        <w:ind w:left="660" w:right="180" w:hanging="652"/>
        <w:spacing w:after="0" w:line="275"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total debt maturities differs from the total reported on the consolidated balance sheet due to the unamortized net premium on certain mortgage loans and senior notes as of June 30, 2015.</w:t>
      </w:r>
    </w:p>
    <w:p>
      <w:pPr>
        <w:spacing w:after="0" w:line="10"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reflects the weighted average interest rate on debt maturing in the respective year.</w:t>
      </w:r>
    </w:p>
    <w:p>
      <w:pPr>
        <w:spacing w:after="0" w:line="59" w:lineRule="exact"/>
        <w:rPr>
          <w:rFonts w:ascii="Arial" w:cs="Arial" w:eastAsia="Arial" w:hAnsi="Arial"/>
          <w:sz w:val="16"/>
          <w:szCs w:val="16"/>
          <w:color w:val="auto"/>
        </w:rPr>
      </w:pPr>
    </w:p>
    <w:p>
      <w:pPr>
        <w:ind w:left="660" w:hanging="652"/>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weighted average rate excludes $0.5 million in quarterly financing fees and quarterly debt fee amortization on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2" w:right="239" w:bottom="1440" w:gutter="0" w:footer="0" w:header="0"/>
        </w:sectPr>
      </w:pPr>
    </w:p>
    <w:bookmarkStart w:id="18" w:name="page19"/>
    <w:bookmarkEnd w:id="18"/>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Summary of Redevelopment Opportunities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2015</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The following redevelopment opportunities have received or will shortly receive all necessary approvals to proceed and are actively being worked on by the Trust.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(1)</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98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Projected</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Projected</w:t>
            </w:r>
          </w:p>
        </w:tc>
        <w:tc>
          <w:tcPr>
            <w:tcW w:w="9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Anticipated</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Property</w:t>
            </w:r>
          </w:p>
        </w:tc>
        <w:tc>
          <w:tcPr>
            <w:tcW w:w="12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4920" w:type="dxa"/>
            <w:vAlign w:val="bottom"/>
            <w:vMerge w:val="restart"/>
          </w:tcPr>
          <w:p>
            <w:pPr>
              <w:ind w:left="2080"/>
              <w:spacing w:after="0"/>
              <w:rPr>
                <w:sz w:val="20"/>
                <w:szCs w:val="20"/>
                <w:color w:val="auto"/>
              </w:rPr>
            </w:pPr>
            <w:r>
              <w:rPr>
                <w:rFonts w:ascii="Arial" w:cs="Arial" w:eastAsia="Arial" w:hAnsi="Arial"/>
                <w:sz w:val="14"/>
                <w:szCs w:val="14"/>
                <w:b w:val="1"/>
                <w:bCs w:val="1"/>
                <w:color w:val="auto"/>
              </w:rPr>
              <w:t>Opportunity</w:t>
            </w:r>
          </w:p>
        </w:tc>
        <w:tc>
          <w:tcPr>
            <w:tcW w:w="98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Cost to Date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Stabilization</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vMerge w:val="continue"/>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9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ROI (2)</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Cost (1)</w:t>
            </w:r>
          </w:p>
        </w:tc>
        <w:tc>
          <w:tcPr>
            <w:tcW w:w="9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(in millions)</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Santana Row - Lot 11</w:t>
            </w:r>
          </w:p>
        </w:tc>
        <w:tc>
          <w:tcPr>
            <w:tcW w:w="12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San Jose, CA</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6"/>
              </w:rPr>
              <w:t>Addition of 6-story building with 225,500 square feet of office space, 1,500 square</w:t>
            </w:r>
          </w:p>
        </w:tc>
        <w:tc>
          <w:tcPr>
            <w:tcW w:w="980" w:type="dxa"/>
            <w:vAlign w:val="bottom"/>
            <w:shd w:val="clear" w:color="auto" w:fill="CCEEFF"/>
          </w:tcPr>
          <w:p>
            <w:pPr>
              <w:jc w:val="right"/>
              <w:ind w:right="108"/>
              <w:spacing w:after="0" w:line="157" w:lineRule="exact"/>
              <w:rPr>
                <w:sz w:val="20"/>
                <w:szCs w:val="20"/>
                <w:color w:val="auto"/>
              </w:rPr>
            </w:pPr>
            <w:r>
              <w:rPr>
                <w:rFonts w:ascii="Arial" w:cs="Arial" w:eastAsia="Arial" w:hAnsi="Arial"/>
                <w:sz w:val="14"/>
                <w:szCs w:val="14"/>
                <w:color w:val="auto"/>
              </w:rPr>
              <w:t>7.5% - 8.5%</w:t>
            </w: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w w:val="98"/>
              </w:rPr>
              <w:t>$110 - $120</w:t>
            </w: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$25</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6"/>
              </w:rPr>
              <w:t>2017</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feet of retail space, and 670 parking spaces</w:t>
            </w: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4"/>
                <w:szCs w:val="14"/>
                <w:color w:val="auto"/>
              </w:rPr>
              <w:t>The Point</w:t>
            </w:r>
          </w:p>
        </w:tc>
        <w:tc>
          <w:tcPr>
            <w:tcW w:w="1280" w:type="dxa"/>
            <w:vAlign w:val="bottom"/>
          </w:tcPr>
          <w:p>
            <w:pPr>
              <w:ind w:left="180"/>
              <w:spacing w:after="0"/>
              <w:rPr>
                <w:sz w:val="20"/>
                <w:szCs w:val="20"/>
                <w:color w:val="auto"/>
              </w:rPr>
            </w:pPr>
            <w:r>
              <w:rPr>
                <w:rFonts w:ascii="Arial" w:cs="Arial" w:eastAsia="Arial" w:hAnsi="Arial"/>
                <w:sz w:val="14"/>
                <w:szCs w:val="14"/>
                <w:color w:val="auto"/>
              </w:rPr>
              <w:t>El Segundo, CA</w:t>
            </w:r>
          </w:p>
        </w:tc>
        <w:tc>
          <w:tcPr>
            <w:tcW w:w="4920" w:type="dxa"/>
            <w:vAlign w:val="bottom"/>
          </w:tcPr>
          <w:p>
            <w:pPr>
              <w:ind w:left="40"/>
              <w:spacing w:after="0"/>
              <w:rPr>
                <w:sz w:val="20"/>
                <w:szCs w:val="20"/>
                <w:color w:val="auto"/>
              </w:rPr>
            </w:pPr>
            <w:r>
              <w:rPr>
                <w:rFonts w:ascii="Arial" w:cs="Arial" w:eastAsia="Arial" w:hAnsi="Arial"/>
                <w:sz w:val="14"/>
                <w:szCs w:val="14"/>
                <w:color w:val="auto"/>
              </w:rPr>
              <w:t>Addition of 90,000 square feet of retail, and 25,000 square feet of office space</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Westgate Center</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San Jose, CA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Façade and interior mall renovation, addition of food court and pad site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2014/2015</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4"/>
                <w:szCs w:val="14"/>
                <w:color w:val="auto"/>
              </w:rPr>
              <w:t>Tower Shops</w:t>
            </w:r>
          </w:p>
        </w:tc>
        <w:tc>
          <w:tcPr>
            <w:tcW w:w="1280" w:type="dxa"/>
            <w:vAlign w:val="bottom"/>
          </w:tcPr>
          <w:p>
            <w:pPr>
              <w:ind w:left="180"/>
              <w:spacing w:after="0"/>
              <w:rPr>
                <w:sz w:val="20"/>
                <w:szCs w:val="20"/>
                <w:color w:val="auto"/>
              </w:rPr>
            </w:pPr>
            <w:r>
              <w:rPr>
                <w:rFonts w:ascii="Arial" w:cs="Arial" w:eastAsia="Arial" w:hAnsi="Arial"/>
                <w:sz w:val="14"/>
                <w:szCs w:val="14"/>
                <w:color w:val="auto"/>
              </w:rPr>
              <w:t>Davie, FL</w:t>
            </w:r>
          </w:p>
        </w:tc>
        <w:tc>
          <w:tcPr>
            <w:tcW w:w="4920" w:type="dxa"/>
            <w:vAlign w:val="bottom"/>
          </w:tcPr>
          <w:p>
            <w:pPr>
              <w:ind w:left="40"/>
              <w:spacing w:after="0"/>
              <w:rPr>
                <w:sz w:val="20"/>
                <w:szCs w:val="20"/>
                <w:color w:val="auto"/>
              </w:rPr>
            </w:pPr>
            <w:r>
              <w:rPr>
                <w:rFonts w:ascii="Arial" w:cs="Arial" w:eastAsia="Arial" w:hAnsi="Arial"/>
                <w:sz w:val="14"/>
                <w:szCs w:val="14"/>
                <w:color w:val="auto"/>
              </w:rPr>
              <w:t>Addition of 50,000 square foot pad building</w:t>
            </w:r>
          </w:p>
        </w:tc>
        <w:tc>
          <w:tcPr>
            <w:tcW w:w="980" w:type="dxa"/>
            <w:vAlign w:val="bottom"/>
          </w:tcPr>
          <w:p>
            <w:pPr>
              <w:jc w:val="right"/>
              <w:spacing w:after="0"/>
              <w:rPr>
                <w:sz w:val="20"/>
                <w:szCs w:val="20"/>
                <w:color w:val="auto"/>
              </w:rPr>
            </w:pPr>
            <w:r>
              <w:rPr>
                <w:rFonts w:ascii="Arial" w:cs="Arial" w:eastAsia="Arial" w:hAnsi="Arial"/>
                <w:sz w:val="14"/>
                <w:szCs w:val="14"/>
                <w:color w:val="auto"/>
              </w:rPr>
              <w:t>12%</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Congressional Plaza</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Rockville, MD</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48 unit rental apartment building</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Willow Lawn</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rPr>
              <w:t>Richmond, VA</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Demo interior mall, relocate mall tenants, construct new exterior GLA, and gas</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10%</w:t>
            </w: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$13</w:t>
            </w: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$13</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station</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Lawrenceville,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9"/>
              </w:rPr>
              <w:t>Addition of 27,000 square feet of space including new in-line space, addition of</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bank pad and reconfiguration of existing pad site and anchor box</w:t>
            </w: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Quince Orchard</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w w:val="97"/>
              </w:rPr>
              <w:t>Gaithersburg, MD</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w w:val="96"/>
              </w:rPr>
              <w:t>Property repositioning through demo of non-functional small shop space, creation</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21%</w:t>
            </w: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$7</w:t>
            </w: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$6</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920" w:type="dxa"/>
            <w:vAlign w:val="bottom"/>
          </w:tcPr>
          <w:p>
            <w:pPr>
              <w:ind w:left="40"/>
              <w:spacing w:after="0" w:line="149" w:lineRule="exact"/>
              <w:rPr>
                <w:sz w:val="20"/>
                <w:szCs w:val="20"/>
                <w:color w:val="auto"/>
              </w:rPr>
            </w:pPr>
            <w:r>
              <w:rPr>
                <w:rFonts w:ascii="Arial" w:cs="Arial" w:eastAsia="Arial" w:hAnsi="Arial"/>
                <w:sz w:val="14"/>
                <w:szCs w:val="14"/>
                <w:color w:val="auto"/>
                <w:w w:val="98"/>
              </w:rPr>
              <w:t>of new anchor box, rightsizing of national office products tenant, and creation of</w:t>
            </w: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new visible small shop space</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East Bay Bridge</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Emeryville, CA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Reconfigure two existing spaces consisting of 48,000 square feet to accommodate</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two new tenants, add two new restaurant tenants, and courtyard renovations</w:t>
            </w: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4"/>
                <w:szCs w:val="14"/>
                <w:color w:val="auto"/>
              </w:rPr>
              <w:t>Willow Lawn</w:t>
            </w:r>
          </w:p>
        </w:tc>
        <w:tc>
          <w:tcPr>
            <w:tcW w:w="1280" w:type="dxa"/>
            <w:vAlign w:val="bottom"/>
          </w:tcPr>
          <w:p>
            <w:pPr>
              <w:ind w:left="180"/>
              <w:spacing w:after="0"/>
              <w:rPr>
                <w:sz w:val="20"/>
                <w:szCs w:val="20"/>
                <w:color w:val="auto"/>
              </w:rPr>
            </w:pPr>
            <w:r>
              <w:rPr>
                <w:rFonts w:ascii="Arial" w:cs="Arial" w:eastAsia="Arial" w:hAnsi="Arial"/>
                <w:sz w:val="14"/>
                <w:szCs w:val="14"/>
                <w:color w:val="auto"/>
              </w:rPr>
              <w:t>Richmond, VA</w:t>
            </w:r>
          </w:p>
        </w:tc>
        <w:tc>
          <w:tcPr>
            <w:tcW w:w="4920" w:type="dxa"/>
            <w:vAlign w:val="bottom"/>
          </w:tcPr>
          <w:p>
            <w:pPr>
              <w:ind w:left="40"/>
              <w:spacing w:after="0"/>
              <w:rPr>
                <w:sz w:val="20"/>
                <w:szCs w:val="20"/>
                <w:color w:val="auto"/>
              </w:rPr>
            </w:pPr>
            <w:r>
              <w:rPr>
                <w:rFonts w:ascii="Arial" w:cs="Arial" w:eastAsia="Arial" w:hAnsi="Arial"/>
                <w:sz w:val="14"/>
                <w:szCs w:val="14"/>
                <w:color w:val="auto"/>
              </w:rPr>
              <w:t>Construction of two new in-line retail spaces totaling 17,400 square feet</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Flourtown</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Flourtown, PA</w:t>
            </w:r>
          </w:p>
        </w:tc>
        <w:tc>
          <w:tcPr>
            <w:tcW w:w="49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New 75,000 square foot grocer and new 38,000 square foot movie theater</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vMerge w:val="continue"/>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The AVENUE at White</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w w:val="99"/>
              </w:rPr>
              <w:t>White Marsh, MD</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rPr>
              <w:t>Addition of two new pad sites totaling 13,000 square feet and a drive up ATM</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11%</w:t>
            </w: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$3</w:t>
            </w: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$2</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88"/>
        </w:trPr>
        <w:tc>
          <w:tcPr>
            <w:tcW w:w="1580" w:type="dxa"/>
            <w:vAlign w:val="bottom"/>
          </w:tcPr>
          <w:p>
            <w:pPr>
              <w:ind w:left="40"/>
              <w:spacing w:after="0"/>
              <w:rPr>
                <w:sz w:val="20"/>
                <w:szCs w:val="20"/>
                <w:color w:val="auto"/>
              </w:rPr>
            </w:pPr>
            <w:r>
              <w:rPr>
                <w:rFonts w:ascii="Arial" w:cs="Arial" w:eastAsia="Arial" w:hAnsi="Arial"/>
                <w:sz w:val="14"/>
                <w:szCs w:val="14"/>
                <w:color w:val="auto"/>
              </w:rPr>
              <w:t>Marsh</w:t>
            </w:r>
          </w:p>
        </w:tc>
        <w:tc>
          <w:tcPr>
            <w:tcW w:w="128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Mercer Mall</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8"/>
              </w:rPr>
              <w:t>Lawrenceville, NJ</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Demolition of existing 3,000 square foot pad building to allow for construction of a</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2016</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multi-restaurant pad building totaling 5,600 square feet</w:t>
            </w:r>
          </w:p>
        </w:tc>
        <w:tc>
          <w:tcPr>
            <w:tcW w:w="9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4"/>
                <w:szCs w:val="14"/>
                <w:color w:val="auto"/>
              </w:rPr>
              <w:t>Pentagon Row</w:t>
            </w:r>
          </w:p>
        </w:tc>
        <w:tc>
          <w:tcPr>
            <w:tcW w:w="1280" w:type="dxa"/>
            <w:vAlign w:val="bottom"/>
          </w:tcPr>
          <w:p>
            <w:pPr>
              <w:ind w:left="180"/>
              <w:spacing w:after="0"/>
              <w:rPr>
                <w:sz w:val="20"/>
                <w:szCs w:val="20"/>
                <w:color w:val="auto"/>
              </w:rPr>
            </w:pPr>
            <w:r>
              <w:rPr>
                <w:rFonts w:ascii="Arial" w:cs="Arial" w:eastAsia="Arial" w:hAnsi="Arial"/>
                <w:sz w:val="14"/>
                <w:szCs w:val="14"/>
                <w:color w:val="auto"/>
              </w:rPr>
              <w:t>Arlington, VA</w:t>
            </w:r>
          </w:p>
        </w:tc>
        <w:tc>
          <w:tcPr>
            <w:tcW w:w="4920" w:type="dxa"/>
            <w:vAlign w:val="bottom"/>
          </w:tcPr>
          <w:p>
            <w:pPr>
              <w:ind w:left="40"/>
              <w:spacing w:after="0"/>
              <w:rPr>
                <w:sz w:val="20"/>
                <w:szCs w:val="20"/>
                <w:color w:val="auto"/>
              </w:rPr>
            </w:pPr>
            <w:r>
              <w:rPr>
                <w:rFonts w:ascii="Arial" w:cs="Arial" w:eastAsia="Arial" w:hAnsi="Arial"/>
                <w:sz w:val="14"/>
                <w:szCs w:val="14"/>
                <w:color w:val="auto"/>
              </w:rPr>
              <w:t>Ice rink expansion and 1,500 square feet of new retail space</w:t>
            </w: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Wynnewood</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Wynnewood, PA</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obsolete 2nd floor office space to residential</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2015</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80" w:type="dxa"/>
            <w:vAlign w:val="bottom"/>
          </w:tcPr>
          <w:p>
            <w:pPr>
              <w:ind w:left="40"/>
              <w:spacing w:after="0" w:line="157" w:lineRule="exact"/>
              <w:rPr>
                <w:sz w:val="20"/>
                <w:szCs w:val="20"/>
                <w:color w:val="auto"/>
              </w:rPr>
            </w:pPr>
            <w:r>
              <w:rPr>
                <w:rFonts w:ascii="Arial" w:cs="Arial" w:eastAsia="Arial" w:hAnsi="Arial"/>
                <w:sz w:val="14"/>
                <w:szCs w:val="14"/>
                <w:color w:val="auto"/>
              </w:rPr>
              <w:t>Third Street Promenade</w:t>
            </w:r>
          </w:p>
        </w:tc>
        <w:tc>
          <w:tcPr>
            <w:tcW w:w="1280" w:type="dxa"/>
            <w:vAlign w:val="bottom"/>
          </w:tcPr>
          <w:p>
            <w:pPr>
              <w:ind w:left="180"/>
              <w:spacing w:after="0" w:line="157" w:lineRule="exact"/>
              <w:rPr>
                <w:sz w:val="20"/>
                <w:szCs w:val="20"/>
                <w:color w:val="auto"/>
              </w:rPr>
            </w:pPr>
            <w:r>
              <w:rPr>
                <w:rFonts w:ascii="Arial" w:cs="Arial" w:eastAsia="Arial" w:hAnsi="Arial"/>
                <w:sz w:val="14"/>
                <w:szCs w:val="14"/>
                <w:color w:val="auto"/>
                <w:w w:val="95"/>
              </w:rPr>
              <w:t>Santa Monica, CA</w:t>
            </w:r>
          </w:p>
        </w:tc>
        <w:tc>
          <w:tcPr>
            <w:tcW w:w="4920" w:type="dxa"/>
            <w:vAlign w:val="bottom"/>
          </w:tcPr>
          <w:p>
            <w:pPr>
              <w:ind w:left="40"/>
              <w:spacing w:after="0" w:line="157" w:lineRule="exact"/>
              <w:rPr>
                <w:sz w:val="20"/>
                <w:szCs w:val="20"/>
                <w:color w:val="auto"/>
              </w:rPr>
            </w:pPr>
            <w:r>
              <w:rPr>
                <w:rFonts w:ascii="Arial" w:cs="Arial" w:eastAsia="Arial" w:hAnsi="Arial"/>
                <w:sz w:val="14"/>
                <w:szCs w:val="14"/>
                <w:color w:val="auto"/>
                <w:w w:val="95"/>
              </w:rPr>
              <w:t>Building modified to convert second floor space to office to accommodate new first</w:t>
            </w:r>
          </w:p>
        </w:tc>
        <w:tc>
          <w:tcPr>
            <w:tcW w:w="980" w:type="dxa"/>
            <w:vAlign w:val="bottom"/>
          </w:tcPr>
          <w:p>
            <w:pPr>
              <w:jc w:val="right"/>
              <w:spacing w:after="0" w:line="157" w:lineRule="exact"/>
              <w:rPr>
                <w:sz w:val="20"/>
                <w:szCs w:val="20"/>
                <w:color w:val="auto"/>
              </w:rPr>
            </w:pPr>
            <w:r>
              <w:rPr>
                <w:rFonts w:ascii="Arial" w:cs="Arial" w:eastAsia="Arial" w:hAnsi="Arial"/>
                <w:sz w:val="14"/>
                <w:szCs w:val="14"/>
                <w:color w:val="auto"/>
              </w:rPr>
              <w:t>25%</w:t>
            </w:r>
          </w:p>
        </w:tc>
        <w:tc>
          <w:tcPr>
            <w:tcW w:w="860" w:type="dxa"/>
            <w:vAlign w:val="bottom"/>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88"/>
        </w:trPr>
        <w:tc>
          <w:tcPr>
            <w:tcW w:w="15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920" w:type="dxa"/>
            <w:vAlign w:val="bottom"/>
          </w:tcPr>
          <w:p>
            <w:pPr>
              <w:ind w:left="40"/>
              <w:spacing w:after="0"/>
              <w:rPr>
                <w:sz w:val="20"/>
                <w:szCs w:val="20"/>
                <w:color w:val="auto"/>
              </w:rPr>
            </w:pPr>
            <w:r>
              <w:rPr>
                <w:rFonts w:ascii="Arial" w:cs="Arial" w:eastAsia="Arial" w:hAnsi="Arial"/>
                <w:sz w:val="14"/>
                <w:szCs w:val="14"/>
                <w:color w:val="auto"/>
              </w:rPr>
              <w:t>floor retail and second floor office tenants</w:t>
            </w:r>
          </w:p>
        </w:tc>
        <w:tc>
          <w:tcPr>
            <w:tcW w:w="9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Troy</w:t>
            </w: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Parsippany, NY</w:t>
            </w:r>
          </w:p>
        </w:tc>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4,000 square foot pad building</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58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492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580" w:type="dxa"/>
            <w:vAlign w:val="bottom"/>
          </w:tcPr>
          <w:p>
            <w:pPr>
              <w:ind w:left="40"/>
              <w:spacing w:after="0"/>
              <w:rPr>
                <w:sz w:val="20"/>
                <w:szCs w:val="20"/>
                <w:color w:val="auto"/>
              </w:rPr>
            </w:pPr>
            <w:r>
              <w:rPr>
                <w:rFonts w:ascii="Arial" w:cs="Arial" w:eastAsia="Arial" w:hAnsi="Arial"/>
                <w:sz w:val="14"/>
                <w:szCs w:val="14"/>
                <w:color w:val="auto"/>
              </w:rPr>
              <w:t>Brick Plaza</w:t>
            </w:r>
          </w:p>
        </w:tc>
        <w:tc>
          <w:tcPr>
            <w:tcW w:w="1280" w:type="dxa"/>
            <w:vAlign w:val="bottom"/>
          </w:tcPr>
          <w:p>
            <w:pPr>
              <w:ind w:left="180"/>
              <w:spacing w:after="0"/>
              <w:rPr>
                <w:sz w:val="20"/>
                <w:szCs w:val="20"/>
                <w:color w:val="auto"/>
              </w:rPr>
            </w:pPr>
            <w:r>
              <w:rPr>
                <w:rFonts w:ascii="Arial" w:cs="Arial" w:eastAsia="Arial" w:hAnsi="Arial"/>
                <w:sz w:val="14"/>
                <w:szCs w:val="14"/>
                <w:color w:val="auto"/>
              </w:rPr>
              <w:t>Brick, NJ</w:t>
            </w:r>
          </w:p>
        </w:tc>
        <w:tc>
          <w:tcPr>
            <w:tcW w:w="4920" w:type="dxa"/>
            <w:vAlign w:val="bottom"/>
          </w:tcPr>
          <w:p>
            <w:pPr>
              <w:ind w:left="40"/>
              <w:spacing w:after="0"/>
              <w:rPr>
                <w:sz w:val="20"/>
                <w:szCs w:val="20"/>
                <w:color w:val="auto"/>
              </w:rPr>
            </w:pPr>
            <w:r>
              <w:rPr>
                <w:rFonts w:ascii="Arial" w:cs="Arial" w:eastAsia="Arial" w:hAnsi="Arial"/>
                <w:sz w:val="14"/>
                <w:szCs w:val="14"/>
                <w:color w:val="auto"/>
              </w:rPr>
              <w:t>New restaurant pad building</w:t>
            </w:r>
          </w:p>
        </w:tc>
        <w:tc>
          <w:tcPr>
            <w:tcW w:w="980" w:type="dxa"/>
            <w:vAlign w:val="bottom"/>
          </w:tcPr>
          <w:p>
            <w:pPr>
              <w:jc w:val="right"/>
              <w:spacing w:after="0"/>
              <w:rPr>
                <w:sz w:val="20"/>
                <w:szCs w:val="20"/>
                <w:color w:val="auto"/>
              </w:rPr>
            </w:pPr>
            <w:r>
              <w:rPr>
                <w:rFonts w:ascii="Arial" w:cs="Arial" w:eastAsia="Arial" w:hAnsi="Arial"/>
                <w:sz w:val="14"/>
                <w:szCs w:val="14"/>
                <w:color w:val="auto"/>
              </w:rPr>
              <w:t>30%</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60" w:type="dxa"/>
            <w:vAlign w:val="bottom"/>
          </w:tcPr>
          <w:p>
            <w:pPr>
              <w:spacing w:after="0"/>
              <w:rPr>
                <w:sz w:val="6"/>
                <w:szCs w:val="6"/>
                <w:color w:val="auto"/>
              </w:rPr>
            </w:pPr>
          </w:p>
        </w:tc>
        <w:tc>
          <w:tcPr>
            <w:tcW w:w="9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158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Finley Square</w:t>
            </w:r>
          </w:p>
        </w:tc>
        <w:tc>
          <w:tcPr>
            <w:tcW w:w="1280" w:type="dxa"/>
            <w:vAlign w:val="bottom"/>
            <w:shd w:val="clear" w:color="auto" w:fill="CCEEFF"/>
          </w:tcPr>
          <w:p>
            <w:pPr>
              <w:ind w:left="180"/>
              <w:spacing w:after="0" w:line="157" w:lineRule="exact"/>
              <w:rPr>
                <w:sz w:val="20"/>
                <w:szCs w:val="20"/>
                <w:color w:val="auto"/>
              </w:rPr>
            </w:pPr>
            <w:r>
              <w:rPr>
                <w:rFonts w:ascii="Arial" w:cs="Arial" w:eastAsia="Arial" w:hAnsi="Arial"/>
                <w:sz w:val="14"/>
                <w:szCs w:val="14"/>
                <w:color w:val="auto"/>
              </w:rPr>
              <w:t>Downers Grove,</w:t>
            </w:r>
          </w:p>
        </w:tc>
        <w:tc>
          <w:tcPr>
            <w:tcW w:w="492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New 2,000 square foot pad building</w:t>
            </w:r>
          </w:p>
        </w:tc>
        <w:tc>
          <w:tcPr>
            <w:tcW w:w="9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17%</w:t>
            </w:r>
          </w:p>
        </w:tc>
        <w:tc>
          <w:tcPr>
            <w:tcW w:w="86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$1</w:t>
            </w:r>
          </w:p>
        </w:tc>
        <w:tc>
          <w:tcPr>
            <w:tcW w:w="9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$0</w:t>
            </w: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5"/>
              </w:rPr>
              <w:t>Stabilized</w:t>
            </w:r>
          </w:p>
        </w:tc>
        <w:tc>
          <w:tcPr>
            <w:tcW w:w="0" w:type="dxa"/>
            <w:vAlign w:val="bottom"/>
          </w:tcPr>
          <w:p>
            <w:pPr>
              <w:spacing w:after="0"/>
              <w:rPr>
                <w:sz w:val="1"/>
                <w:szCs w:val="1"/>
                <w:color w:val="auto"/>
              </w:rPr>
            </w:pPr>
          </w:p>
        </w:tc>
      </w:tr>
      <w:tr>
        <w:trPr>
          <w:trHeight w:val="194"/>
        </w:trPr>
        <w:tc>
          <w:tcPr>
            <w:tcW w:w="1580" w:type="dxa"/>
            <w:vAlign w:val="bottom"/>
            <w:shd w:val="clear" w:color="auto" w:fill="CCEEFF"/>
          </w:tcPr>
          <w:p>
            <w:pPr>
              <w:spacing w:after="0"/>
              <w:rPr>
                <w:sz w:val="16"/>
                <w:szCs w:val="16"/>
                <w:color w:val="auto"/>
              </w:rPr>
            </w:pPr>
          </w:p>
        </w:tc>
        <w:tc>
          <w:tcPr>
            <w:tcW w:w="12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IL</w:t>
            </w:r>
          </w:p>
        </w:tc>
        <w:tc>
          <w:tcPr>
            <w:tcW w:w="492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8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 Active Redevelopment projects (4)</w:t>
            </w:r>
          </w:p>
        </w:tc>
        <w:tc>
          <w:tcPr>
            <w:tcW w:w="49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w w:val="98"/>
              </w:rPr>
              <w:t>$302 - $312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4920" w:type="dxa"/>
            <w:vAlign w:val="bottom"/>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3" w:lineRule="exact"/>
        <w:rPr>
          <w:sz w:val="20"/>
          <w:szCs w:val="20"/>
          <w:color w:val="auto"/>
        </w:rPr>
      </w:pPr>
    </w:p>
    <w:p>
      <w:pPr>
        <w:ind w:left="66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There is no guarantee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660" w:right="40" w:hanging="652"/>
        <w:spacing w:after="0" w:line="26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Projected ROI for redevelopment projects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does NOT include peripheral impacts, such as the impact on future lease rollovers at the property or the impact on the long-term value of the property.</w:t>
      </w: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spacing w:after="0" w:line="1" w:lineRule="exact"/>
        <w:rPr>
          <w:rFonts w:ascii="Arial" w:cs="Arial" w:eastAsia="Arial" w:hAnsi="Arial"/>
          <w:sz w:val="14"/>
          <w:szCs w:val="14"/>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976" w:right="239" w:bottom="1440" w:gutter="0" w:footer="0" w:header="0"/>
        </w:sectPr>
      </w:pPr>
    </w:p>
    <w:bookmarkStart w:id="19" w:name="page20"/>
    <w:bookmarkEnd w:id="19"/>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Pike &amp; Rose and Assembly Row</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2015</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Property (1)</w:t>
            </w: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Location</w:t>
            </w:r>
          </w:p>
        </w:tc>
        <w:tc>
          <w:tcPr>
            <w:tcW w:w="26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Opportunity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24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Cost (3)</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Costs to</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Anticipated</w:t>
            </w:r>
          </w:p>
        </w:tc>
        <w:tc>
          <w:tcPr>
            <w:tcW w:w="2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1580" w:type="dxa"/>
            <w:vAlign w:val="bottom"/>
            <w:tcBorders>
              <w:bottom w:val="single" w:sz="8" w:color="auto"/>
            </w:tcBorders>
            <w:gridSpan w:val="2"/>
            <w:vMerge w:val="continue"/>
          </w:tcPr>
          <w:p>
            <w:pPr>
              <w:spacing w:after="0"/>
              <w:rPr>
                <w:sz w:val="16"/>
                <w:szCs w:val="16"/>
                <w:color w:val="auto"/>
              </w:rPr>
            </w:pPr>
          </w:p>
        </w:tc>
        <w:tc>
          <w:tcPr>
            <w:tcW w:w="1160" w:type="dxa"/>
            <w:vAlign w:val="bottom"/>
            <w:tcBorders>
              <w:bottom w:val="single" w:sz="8" w:color="auto"/>
            </w:tcBorders>
            <w:gridSpan w:val="3"/>
            <w:vMerge w:val="continue"/>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3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Stabilization Expected Opening Timeframe</w:t>
            </w: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800" w:type="dxa"/>
            <w:vAlign w:val="bottom"/>
          </w:tcPr>
          <w:p>
            <w:pPr>
              <w:jc w:val="center"/>
              <w:spacing w:after="0"/>
              <w:rPr>
                <w:sz w:val="20"/>
                <w:szCs w:val="20"/>
                <w:color w:val="auto"/>
              </w:rPr>
            </w:pPr>
            <w:r>
              <w:rPr>
                <w:rFonts w:ascii="Arial" w:cs="Arial" w:eastAsia="Arial" w:hAnsi="Arial"/>
                <w:sz w:val="14"/>
                <w:szCs w:val="14"/>
                <w:color w:val="auto"/>
              </w:rPr>
              <w:t>(in millions)</w:t>
            </w:r>
          </w:p>
        </w:tc>
        <w:tc>
          <w:tcPr>
            <w:tcW w:w="1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740" w:type="dxa"/>
            <w:vAlign w:val="bottom"/>
            <w:gridSpan w:val="5"/>
          </w:tcPr>
          <w:p>
            <w:pPr>
              <w:ind w:left="40"/>
              <w:spacing w:after="0"/>
              <w:rPr>
                <w:sz w:val="20"/>
                <w:szCs w:val="20"/>
                <w:color w:val="auto"/>
              </w:rPr>
            </w:pPr>
            <w:r>
              <w:rPr>
                <w:rFonts w:ascii="Arial" w:cs="Arial" w:eastAsia="Arial" w:hAnsi="Arial"/>
                <w:sz w:val="14"/>
                <w:szCs w:val="14"/>
                <w:b w:val="1"/>
                <w:bCs w:val="1"/>
                <w:color w:val="auto"/>
              </w:rPr>
              <w:t>Phases delivered or delivering in 2015</w:t>
            </w:r>
          </w:p>
        </w:tc>
        <w:tc>
          <w:tcPr>
            <w:tcW w:w="26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54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38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7"/>
        </w:trPr>
        <w:tc>
          <w:tcPr>
            <w:tcW w:w="15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w:t>
            </w:r>
          </w:p>
        </w:tc>
        <w:tc>
          <w:tcPr>
            <w:tcW w:w="116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w w:val="98"/>
              </w:rPr>
              <w:t>Phase I consists of 493 residential units,</w:t>
            </w:r>
          </w:p>
        </w:tc>
        <w:tc>
          <w:tcPr>
            <w:tcW w:w="7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7% - 8%</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$255 - $265</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$247</w:t>
            </w:r>
          </w:p>
        </w:tc>
        <w:tc>
          <w:tcPr>
            <w:tcW w:w="334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w w:val="99"/>
              </w:rPr>
              <w:t>2015/2016  •174 unit residential building opened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157,000 square feet of retail, and 79,000</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2"/>
              </w:rPr>
              <w:t>late June 2014 and achieved stabilized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square feet of office space.</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occupancy in Q1 2015</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•137,000 sf of retail open as of</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6/30/15; retail 100% leased.</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8"/>
              </w:rPr>
              <w:t>Remaining retail to open in Q4 2015/</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Q1 2016.</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•40,000 sf of office space delivered as</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of 6/30/15; 70% leased; 97%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leased/under LOI</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•319 unit residential building initially</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opened in July 2015 with delivery of</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units through Q1 2016. Expected to</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achieve stabilized occupancy in Q4</w:t>
            </w:r>
          </w:p>
        </w:tc>
        <w:tc>
          <w:tcPr>
            <w:tcW w:w="0" w:type="dxa"/>
            <w:vAlign w:val="bottom"/>
          </w:tcPr>
          <w:p>
            <w:pPr>
              <w:spacing w:after="0"/>
              <w:rPr>
                <w:sz w:val="1"/>
                <w:szCs w:val="1"/>
                <w:color w:val="auto"/>
              </w:rPr>
            </w:pPr>
          </w:p>
        </w:tc>
      </w:tr>
      <w:tr>
        <w:trPr>
          <w:trHeight w:val="182"/>
        </w:trPr>
        <w:tc>
          <w:tcPr>
            <w:tcW w:w="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161"/>
        </w:trPr>
        <w:tc>
          <w:tcPr>
            <w:tcW w:w="4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6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8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9"/>
              </w:rPr>
              <w:t>Assembly Row - Phase I</w:t>
            </w:r>
          </w:p>
        </w:tc>
        <w:tc>
          <w:tcPr>
            <w:tcW w:w="116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Somerville, MA</w:t>
            </w:r>
          </w:p>
        </w:tc>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Initial phase consists of 445 residential</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94"/>
              </w:rPr>
              <w:t>5% - 6%</w:t>
            </w:r>
          </w:p>
        </w:tc>
        <w:tc>
          <w:tcPr>
            <w:tcW w:w="2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(4)</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3"/>
              </w:rPr>
              <w:t>$190 - $200</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$187</w:t>
            </w:r>
          </w:p>
        </w:tc>
        <w:tc>
          <w:tcPr>
            <w:tcW w:w="1040" w:type="dxa"/>
            <w:vAlign w:val="bottom"/>
          </w:tcPr>
          <w:p>
            <w:pPr>
              <w:jc w:val="right"/>
              <w:ind w:right="28"/>
              <w:spacing w:after="0" w:line="157" w:lineRule="exact"/>
              <w:rPr>
                <w:sz w:val="20"/>
                <w:szCs w:val="20"/>
                <w:color w:val="auto"/>
              </w:rPr>
            </w:pPr>
            <w:r>
              <w:rPr>
                <w:rFonts w:ascii="Arial" w:cs="Arial" w:eastAsia="Arial" w:hAnsi="Arial"/>
                <w:sz w:val="14"/>
                <w:szCs w:val="14"/>
                <w:b w:val="1"/>
                <w:bCs w:val="1"/>
                <w:color w:val="auto"/>
              </w:rPr>
              <w:t xml:space="preserve">(4)  </w:t>
            </w:r>
            <w:r>
              <w:rPr>
                <w:rFonts w:ascii="Arial" w:cs="Arial" w:eastAsia="Arial" w:hAnsi="Arial"/>
                <w:sz w:val="14"/>
                <w:szCs w:val="14"/>
                <w:color w:val="auto"/>
              </w:rPr>
              <w:t>2015/2016</w:t>
            </w:r>
          </w:p>
        </w:tc>
        <w:tc>
          <w:tcPr>
            <w:tcW w:w="2300" w:type="dxa"/>
            <w:vAlign w:val="bottom"/>
          </w:tcPr>
          <w:p>
            <w:pPr>
              <w:ind w:left="40"/>
              <w:spacing w:after="0" w:line="157" w:lineRule="exact"/>
              <w:rPr>
                <w:sz w:val="20"/>
                <w:szCs w:val="20"/>
                <w:color w:val="auto"/>
              </w:rPr>
            </w:pPr>
            <w:r>
              <w:rPr>
                <w:rFonts w:ascii="Arial" w:cs="Arial" w:eastAsia="Arial" w:hAnsi="Arial"/>
                <w:sz w:val="14"/>
                <w:szCs w:val="14"/>
                <w:color w:val="auto"/>
              </w:rPr>
              <w:t>•Retail open and 97% leased as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units (by AvalonBay), in addition to</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6/30/15</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98,000 square feet of office space and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w w:val="94"/>
              </w:rPr>
              <w:t>•33,000 sf of office space delivered as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approximately 331,000 square feet of</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of 6/30/15; 67% leased; 100%</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rPr>
              <w:t>retail space (including a restaurant pad</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leased/under LOI</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4"/>
              </w:rPr>
              <w:t>site). A new Orange Line T-Stop has been</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40"/>
              <w:spacing w:after="0" w:line="149" w:lineRule="exact"/>
              <w:rPr>
                <w:sz w:val="20"/>
                <w:szCs w:val="20"/>
                <w:color w:val="auto"/>
              </w:rPr>
            </w:pPr>
            <w:r>
              <w:rPr>
                <w:rFonts w:ascii="Arial" w:cs="Arial" w:eastAsia="Arial" w:hAnsi="Arial"/>
                <w:sz w:val="14"/>
                <w:szCs w:val="14"/>
                <w:color w:val="auto"/>
              </w:rPr>
              <w:t>•T Station opened September 2014</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20" w:type="dxa"/>
            <w:vAlign w:val="bottom"/>
          </w:tcPr>
          <w:p>
            <w:pPr>
              <w:ind w:left="140"/>
              <w:spacing w:after="0" w:line="149" w:lineRule="exact"/>
              <w:rPr>
                <w:sz w:val="20"/>
                <w:szCs w:val="20"/>
                <w:color w:val="auto"/>
              </w:rPr>
            </w:pPr>
            <w:r>
              <w:rPr>
                <w:rFonts w:ascii="Arial" w:cs="Arial" w:eastAsia="Arial" w:hAnsi="Arial"/>
                <w:sz w:val="14"/>
                <w:szCs w:val="14"/>
                <w:color w:val="auto"/>
                <w:w w:val="93"/>
              </w:rPr>
              <w:t>constructed by Massachusetts Bay Transit</w:t>
            </w: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Authority, as part of Phase I.</w:t>
            </w: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4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8" w:lineRule="exact"/>
              <w:rPr>
                <w:sz w:val="20"/>
                <w:szCs w:val="20"/>
                <w:color w:val="auto"/>
              </w:rPr>
            </w:pPr>
            <w:r>
              <w:rPr>
                <w:rFonts w:ascii="Arial" w:cs="Arial" w:eastAsia="Arial" w:hAnsi="Arial"/>
                <w:sz w:val="14"/>
                <w:szCs w:val="14"/>
                <w:b w:val="1"/>
                <w:bCs w:val="1"/>
                <w:color w:val="auto"/>
                <w:w w:val="96"/>
              </w:rPr>
              <w:t>Total Phases delivered or delivering in</w:t>
            </w:r>
          </w:p>
        </w:tc>
        <w:tc>
          <w:tcPr>
            <w:tcW w:w="78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w w:val="98"/>
              </w:rPr>
              <w:t>6 - 7%</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center"/>
              <w:spacing w:after="0" w:line="148" w:lineRule="exact"/>
              <w:rPr>
                <w:sz w:val="20"/>
                <w:szCs w:val="20"/>
                <w:color w:val="auto"/>
              </w:rPr>
            </w:pPr>
            <w:r>
              <w:rPr>
                <w:rFonts w:ascii="Arial" w:cs="Arial" w:eastAsia="Arial" w:hAnsi="Arial"/>
                <w:sz w:val="14"/>
                <w:szCs w:val="14"/>
                <w:b w:val="1"/>
                <w:bCs w:val="1"/>
                <w:color w:val="auto"/>
                <w:w w:val="93"/>
              </w:rPr>
              <w:t>$445 - $465</w:t>
            </w:r>
          </w:p>
        </w:tc>
        <w:tc>
          <w:tcPr>
            <w:tcW w:w="800" w:type="dxa"/>
            <w:vAlign w:val="bottom"/>
            <w:shd w:val="clear" w:color="auto" w:fill="CCEEFF"/>
          </w:tcPr>
          <w:p>
            <w:pPr>
              <w:jc w:val="right"/>
              <w:ind w:right="48"/>
              <w:spacing w:after="0" w:line="148" w:lineRule="exact"/>
              <w:rPr>
                <w:sz w:val="20"/>
                <w:szCs w:val="20"/>
                <w:color w:val="auto"/>
              </w:rPr>
            </w:pPr>
            <w:r>
              <w:rPr>
                <w:rFonts w:ascii="Arial" w:cs="Arial" w:eastAsia="Arial" w:hAnsi="Arial"/>
                <w:sz w:val="14"/>
                <w:szCs w:val="14"/>
                <w:b w:val="1"/>
                <w:bCs w:val="1"/>
                <w:color w:val="auto"/>
              </w:rPr>
              <w:t>$434</w:t>
            </w: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74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Phases commencing in 2015/2016</w:t>
            </w:r>
          </w:p>
        </w:tc>
        <w:tc>
          <w:tcPr>
            <w:tcW w:w="26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40" w:type="dxa"/>
            <w:vAlign w:val="bottom"/>
            <w:tcBorders>
              <w:top w:val="single" w:sz="8" w:color="CCEEFF"/>
            </w:tcBorders>
            <w:shd w:val="clear" w:color="auto" w:fill="CCEEFF"/>
          </w:tcPr>
          <w:p>
            <w:pPr>
              <w:spacing w:after="0"/>
              <w:rPr>
                <w:sz w:val="7"/>
                <w:szCs w:val="7"/>
                <w:color w:val="auto"/>
              </w:rPr>
            </w:pPr>
          </w:p>
        </w:tc>
        <w:tc>
          <w:tcPr>
            <w:tcW w:w="154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2620" w:type="dxa"/>
            <w:vAlign w:val="bottom"/>
            <w:tcBorders>
              <w:top w:val="single" w:sz="8" w:color="CCEEFF"/>
            </w:tcBorders>
            <w:shd w:val="clear" w:color="auto" w:fill="CCEEFF"/>
          </w:tcPr>
          <w:p>
            <w:pPr>
              <w:spacing w:after="0"/>
              <w:rPr>
                <w:sz w:val="7"/>
                <w:szCs w:val="7"/>
                <w:color w:val="auto"/>
              </w:rPr>
            </w:pPr>
          </w:p>
        </w:tc>
        <w:tc>
          <w:tcPr>
            <w:tcW w:w="78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900" w:type="dxa"/>
            <w:vAlign w:val="bottom"/>
            <w:tcBorders>
              <w:top w:val="single" w:sz="8" w:color="CCEEFF"/>
            </w:tcBorders>
            <w:shd w:val="clear" w:color="auto" w:fill="CCEEFF"/>
          </w:tcPr>
          <w:p>
            <w:pPr>
              <w:spacing w:after="0"/>
              <w:rPr>
                <w:sz w:val="7"/>
                <w:szCs w:val="7"/>
                <w:color w:val="auto"/>
              </w:rPr>
            </w:pPr>
          </w:p>
        </w:tc>
        <w:tc>
          <w:tcPr>
            <w:tcW w:w="800" w:type="dxa"/>
            <w:vAlign w:val="bottom"/>
            <w:tcBorders>
              <w:top w:val="single" w:sz="8" w:color="CCEEFF"/>
            </w:tcBorders>
            <w:shd w:val="clear" w:color="auto" w:fill="CCEEFF"/>
          </w:tcPr>
          <w:p>
            <w:pPr>
              <w:spacing w:after="0"/>
              <w:rPr>
                <w:sz w:val="7"/>
                <w:szCs w:val="7"/>
                <w:color w:val="auto"/>
              </w:rPr>
            </w:pPr>
          </w:p>
        </w:tc>
        <w:tc>
          <w:tcPr>
            <w:tcW w:w="1040" w:type="dxa"/>
            <w:vAlign w:val="bottom"/>
            <w:tcBorders>
              <w:top w:val="single" w:sz="8" w:color="CCEEFF"/>
            </w:tcBorders>
            <w:shd w:val="clear" w:color="auto" w:fill="CCEEFF"/>
          </w:tcPr>
          <w:p>
            <w:pPr>
              <w:spacing w:after="0"/>
              <w:rPr>
                <w:sz w:val="7"/>
                <w:szCs w:val="7"/>
                <w:color w:val="auto"/>
              </w:rPr>
            </w:pPr>
          </w:p>
        </w:tc>
        <w:tc>
          <w:tcPr>
            <w:tcW w:w="23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15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Pike &amp; Rose - Phase II</w:t>
            </w:r>
          </w:p>
        </w:tc>
        <w:tc>
          <w:tcPr>
            <w:tcW w:w="1160" w:type="dxa"/>
            <w:vAlign w:val="bottom"/>
            <w:gridSpan w:val="3"/>
            <w:shd w:val="clear" w:color="auto" w:fill="CCEEFF"/>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w w:val="92"/>
              </w:rPr>
              <w:t>Ground up mixed use development. Phase</w:t>
            </w:r>
          </w:p>
        </w:tc>
        <w:tc>
          <w:tcPr>
            <w:tcW w:w="78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4"/>
              </w:rPr>
              <w:t>7% - 8%</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93"/>
              </w:rPr>
              <w:t>$195 - $200</w:t>
            </w:r>
          </w:p>
        </w:tc>
        <w:tc>
          <w:tcPr>
            <w:tcW w:w="800" w:type="dxa"/>
            <w:vAlign w:val="bottom"/>
            <w:shd w:val="clear" w:color="auto" w:fill="CCEEFF"/>
          </w:tcPr>
          <w:p>
            <w:pPr>
              <w:jc w:val="right"/>
              <w:ind w:right="48"/>
              <w:spacing w:after="0" w:line="157" w:lineRule="exact"/>
              <w:rPr>
                <w:sz w:val="20"/>
                <w:szCs w:val="20"/>
                <w:color w:val="auto"/>
              </w:rPr>
            </w:pPr>
            <w:r>
              <w:rPr>
                <w:rFonts w:ascii="Arial" w:cs="Arial" w:eastAsia="Arial" w:hAnsi="Arial"/>
                <w:sz w:val="14"/>
                <w:szCs w:val="14"/>
                <w:color w:val="auto"/>
              </w:rPr>
              <w:t>$33</w:t>
            </w:r>
          </w:p>
        </w:tc>
        <w:tc>
          <w:tcPr>
            <w:tcW w:w="1040" w:type="dxa"/>
            <w:vAlign w:val="bottom"/>
            <w:shd w:val="clear" w:color="auto" w:fill="CCEEFF"/>
          </w:tcPr>
          <w:p>
            <w:pPr>
              <w:jc w:val="right"/>
              <w:ind w:right="28"/>
              <w:spacing w:after="0" w:line="157" w:lineRule="exact"/>
              <w:rPr>
                <w:sz w:val="20"/>
                <w:szCs w:val="20"/>
                <w:color w:val="auto"/>
              </w:rPr>
            </w:pPr>
            <w:r>
              <w:rPr>
                <w:rFonts w:ascii="Arial" w:cs="Arial" w:eastAsia="Arial" w:hAnsi="Arial"/>
                <w:sz w:val="14"/>
                <w:szCs w:val="14"/>
                <w:color w:val="auto"/>
              </w:rPr>
              <w:t>2018/2019</w:t>
            </w:r>
          </w:p>
        </w:tc>
        <w:tc>
          <w:tcPr>
            <w:tcW w:w="230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Projected opening - late 2017</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MD</w:t>
            </w: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II consists of 185,000 square feet of retail,</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264 residential units, and a 177 room</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hotel.</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60" w:type="dxa"/>
            <w:vAlign w:val="bottom"/>
            <w:gridSpan w:val="3"/>
          </w:tcPr>
          <w:p>
            <w:pPr>
              <w:ind w:left="60"/>
              <w:spacing w:after="0" w:line="157" w:lineRule="exact"/>
              <w:rPr>
                <w:sz w:val="20"/>
                <w:szCs w:val="20"/>
                <w:color w:val="auto"/>
              </w:rPr>
            </w:pPr>
            <w:r>
              <w:rPr>
                <w:rFonts w:ascii="Arial" w:cs="Arial" w:eastAsia="Arial" w:hAnsi="Arial"/>
                <w:sz w:val="14"/>
                <w:szCs w:val="14"/>
                <w:color w:val="auto"/>
              </w:rPr>
              <w:t>North Bethesda,</w:t>
            </w:r>
          </w:p>
        </w:tc>
        <w:tc>
          <w:tcPr>
            <w:tcW w:w="2620" w:type="dxa"/>
            <w:vAlign w:val="bottom"/>
          </w:tcPr>
          <w:p>
            <w:pPr>
              <w:ind w:left="140"/>
              <w:spacing w:after="0" w:line="157" w:lineRule="exact"/>
              <w:rPr>
                <w:sz w:val="20"/>
                <w:szCs w:val="20"/>
                <w:color w:val="auto"/>
              </w:rPr>
            </w:pPr>
            <w:r>
              <w:rPr>
                <w:rFonts w:ascii="Arial" w:cs="Arial" w:eastAsia="Arial" w:hAnsi="Arial"/>
                <w:sz w:val="14"/>
                <w:szCs w:val="14"/>
                <w:color w:val="auto"/>
              </w:rPr>
              <w:t>104 for-sale condominium units</w:t>
            </w:r>
          </w:p>
        </w:tc>
        <w:tc>
          <w:tcPr>
            <w:tcW w:w="780" w:type="dxa"/>
            <w:vAlign w:val="bottom"/>
          </w:tcPr>
          <w:p>
            <w:pPr>
              <w:jc w:val="center"/>
              <w:spacing w:after="0" w:line="157" w:lineRule="exact"/>
              <w:rPr>
                <w:sz w:val="20"/>
                <w:szCs w:val="20"/>
                <w:color w:val="auto"/>
              </w:rPr>
            </w:pPr>
            <w:r>
              <w:rPr>
                <w:rFonts w:ascii="Arial" w:cs="Arial" w:eastAsia="Arial" w:hAnsi="Arial"/>
                <w:sz w:val="14"/>
                <w:szCs w:val="14"/>
                <w:color w:val="auto"/>
                <w:w w:val="84"/>
              </w:rPr>
              <w:t>-</w:t>
            </w:r>
          </w:p>
        </w:tc>
        <w:tc>
          <w:tcPr>
            <w:tcW w:w="240" w:type="dxa"/>
            <w:vAlign w:val="bottom"/>
          </w:tcPr>
          <w:p>
            <w:pPr>
              <w:jc w:val="right"/>
              <w:spacing w:after="0" w:line="157" w:lineRule="exact"/>
              <w:rPr>
                <w:sz w:val="20"/>
                <w:szCs w:val="20"/>
                <w:color w:val="auto"/>
              </w:rPr>
            </w:pPr>
            <w:r>
              <w:rPr>
                <w:rFonts w:ascii="Arial" w:cs="Arial" w:eastAsia="Arial" w:hAnsi="Arial"/>
                <w:sz w:val="14"/>
                <w:szCs w:val="14"/>
                <w:b w:val="1"/>
                <w:bCs w:val="1"/>
                <w:color w:val="auto"/>
              </w:rPr>
              <w:t>(5)</w:t>
            </w:r>
          </w:p>
        </w:tc>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4"/>
              </w:rPr>
              <w:t>$53 - $58</w:t>
            </w:r>
          </w:p>
        </w:tc>
        <w:tc>
          <w:tcPr>
            <w:tcW w:w="800" w:type="dxa"/>
            <w:vAlign w:val="bottom"/>
          </w:tcPr>
          <w:p>
            <w:pPr>
              <w:jc w:val="right"/>
              <w:ind w:right="48"/>
              <w:spacing w:after="0" w:line="157" w:lineRule="exact"/>
              <w:rPr>
                <w:sz w:val="20"/>
                <w:szCs w:val="20"/>
                <w:color w:val="auto"/>
              </w:rPr>
            </w:pPr>
            <w:r>
              <w:rPr>
                <w:rFonts w:ascii="Arial" w:cs="Arial" w:eastAsia="Arial" w:hAnsi="Arial"/>
                <w:sz w:val="14"/>
                <w:szCs w:val="14"/>
                <w:color w:val="auto"/>
              </w:rPr>
              <w:t>$7</w:t>
            </w:r>
          </w:p>
        </w:tc>
        <w:tc>
          <w:tcPr>
            <w:tcW w:w="10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MD</w:t>
            </w:r>
          </w:p>
        </w:tc>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5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7"/>
              </w:rPr>
              <w:t>Assembly Row - Phase II</w:t>
            </w: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rPr>
              <w:t>Somerville, MA</w:t>
            </w: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Second phase of development consists of</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$270 - $285</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2018/2019</w:t>
            </w:r>
          </w:p>
        </w:tc>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Projected opening - late 2017/2018</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167,000 square feet of retail, 447</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residential units, and a 155 room boutique</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hotel. Additionally, there will be</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approximately 700,000 square feet of</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office space constructed by Partners</w:t>
            </w:r>
          </w:p>
        </w:tc>
        <w:tc>
          <w:tcPr>
            <w:tcW w:w="7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HealthCare.</w:t>
            </w: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color w:val="auto"/>
              </w:rPr>
              <w:t>Somerville, MA</w:t>
            </w:r>
          </w:p>
        </w:tc>
        <w:tc>
          <w:tcPr>
            <w:tcW w:w="2620" w:type="dxa"/>
            <w:vAlign w:val="bottom"/>
          </w:tcPr>
          <w:p>
            <w:pPr>
              <w:ind w:left="140"/>
              <w:spacing w:after="0"/>
              <w:rPr>
                <w:sz w:val="20"/>
                <w:szCs w:val="20"/>
                <w:color w:val="auto"/>
              </w:rPr>
            </w:pPr>
            <w:r>
              <w:rPr>
                <w:rFonts w:ascii="Arial" w:cs="Arial" w:eastAsia="Arial" w:hAnsi="Arial"/>
                <w:sz w:val="14"/>
                <w:szCs w:val="14"/>
                <w:color w:val="auto"/>
              </w:rPr>
              <w:t>117 for-sale condominium units</w:t>
            </w:r>
          </w:p>
        </w:tc>
        <w:tc>
          <w:tcPr>
            <w:tcW w:w="780" w:type="dxa"/>
            <w:vAlign w:val="bottom"/>
          </w:tcPr>
          <w:p>
            <w:pPr>
              <w:jc w:val="center"/>
              <w:spacing w:after="0"/>
              <w:rPr>
                <w:sz w:val="20"/>
                <w:szCs w:val="20"/>
                <w:color w:val="auto"/>
              </w:rPr>
            </w:pPr>
            <w:r>
              <w:rPr>
                <w:rFonts w:ascii="Arial" w:cs="Arial" w:eastAsia="Arial" w:hAnsi="Arial"/>
                <w:sz w:val="14"/>
                <w:szCs w:val="14"/>
                <w:color w:val="auto"/>
                <w:w w:val="84"/>
              </w:rPr>
              <w:t>-</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900" w:type="dxa"/>
            <w:vAlign w:val="bottom"/>
          </w:tcPr>
          <w:p>
            <w:pPr>
              <w:jc w:val="center"/>
              <w:spacing w:after="0"/>
              <w:rPr>
                <w:sz w:val="20"/>
                <w:szCs w:val="20"/>
                <w:color w:val="auto"/>
              </w:rPr>
            </w:pPr>
            <w:r>
              <w:rPr>
                <w:rFonts w:ascii="Arial" w:cs="Arial" w:eastAsia="Arial" w:hAnsi="Arial"/>
                <w:sz w:val="14"/>
                <w:szCs w:val="14"/>
                <w:color w:val="auto"/>
                <w:w w:val="94"/>
              </w:rPr>
              <w:t>$62 - $67</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480" w:type="dxa"/>
            <w:vAlign w:val="bottom"/>
            <w:tcBorders>
              <w:bottom w:val="single" w:sz="8" w:color="CCEEFF"/>
            </w:tcBorders>
          </w:tcPr>
          <w:p>
            <w:pPr>
              <w:spacing w:after="0"/>
              <w:rPr>
                <w:sz w:val="6"/>
                <w:szCs w:val="6"/>
                <w:color w:val="auto"/>
              </w:rPr>
            </w:pPr>
          </w:p>
        </w:tc>
        <w:tc>
          <w:tcPr>
            <w:tcW w:w="300" w:type="dxa"/>
            <w:vAlign w:val="bottom"/>
            <w:tcBorders>
              <w:bottom w:val="single" w:sz="8" w:color="CCEEFF"/>
            </w:tcBorders>
          </w:tcPr>
          <w:p>
            <w:pPr>
              <w:spacing w:after="0"/>
              <w:rPr>
                <w:sz w:val="6"/>
                <w:szCs w:val="6"/>
                <w:color w:val="auto"/>
              </w:rPr>
            </w:pPr>
          </w:p>
        </w:tc>
        <w:tc>
          <w:tcPr>
            <w:tcW w:w="380" w:type="dxa"/>
            <w:vAlign w:val="bottom"/>
            <w:tcBorders>
              <w:bottom w:val="single" w:sz="8" w:color="CCEEFF"/>
            </w:tcBorders>
          </w:tcPr>
          <w:p>
            <w:pPr>
              <w:spacing w:after="0"/>
              <w:rPr>
                <w:sz w:val="6"/>
                <w:szCs w:val="6"/>
                <w:color w:val="auto"/>
              </w:rPr>
            </w:pPr>
          </w:p>
        </w:tc>
        <w:tc>
          <w:tcPr>
            <w:tcW w:w="2620" w:type="dxa"/>
            <w:vAlign w:val="bottom"/>
            <w:tcBorders>
              <w:bottom w:val="single" w:sz="8" w:color="CCEEFF"/>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040" w:type="dxa"/>
            <w:vAlign w:val="bottom"/>
            <w:tcBorders>
              <w:bottom w:val="single" w:sz="8" w:color="CCEEFF"/>
            </w:tcBorders>
          </w:tcPr>
          <w:p>
            <w:pPr>
              <w:spacing w:after="0"/>
              <w:rPr>
                <w:sz w:val="6"/>
                <w:szCs w:val="6"/>
                <w:color w:val="auto"/>
              </w:rPr>
            </w:pPr>
          </w:p>
        </w:tc>
        <w:tc>
          <w:tcPr>
            <w:tcW w:w="23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2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w w:val="93"/>
              </w:rPr>
              <w:t>Total Phases commencing in 2015/2016</w:t>
            </w: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7% - 7.5%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$580 - $610</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w:t>
            </w:r>
          </w:p>
        </w:tc>
        <w:tc>
          <w:tcPr>
            <w:tcW w:w="104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620" w:type="dxa"/>
            <w:vAlign w:val="bottom"/>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2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Notes:</w:t>
      </w:r>
    </w:p>
    <w:p>
      <w:pPr>
        <w:spacing w:after="0" w:line="190" w:lineRule="exact"/>
        <w:rPr>
          <w:sz w:val="20"/>
          <w:szCs w:val="20"/>
          <w:color w:val="auto"/>
        </w:rPr>
      </w:pPr>
    </w:p>
    <w:p>
      <w:pPr>
        <w:ind w:left="500" w:right="280" w:hanging="465"/>
        <w:spacing w:after="0" w:line="238"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Anticipated opening dates, total cost, projected return on investment (ROI), anticipated stabilization, and significant tenants for centers under development are subject to adjustment as a result of factors inherent in the development process, some of which may not be under the direct control of the Trust. Refer to the Trust's filings with the Securities and Exchange Commission on Form 10-K and Form 10-Q for other risk factors.</w:t>
      </w:r>
    </w:p>
    <w:p>
      <w:pPr>
        <w:spacing w:after="0" w:line="20" w:lineRule="exact"/>
        <w:rPr>
          <w:rFonts w:ascii="Arial" w:cs="Arial" w:eastAsia="Arial" w:hAnsi="Arial"/>
          <w:sz w:val="14"/>
          <w:szCs w:val="14"/>
          <w:color w:val="auto"/>
        </w:rPr>
      </w:pPr>
    </w:p>
    <w:p>
      <w:pPr>
        <w:ind w:left="500" w:right="320" w:hanging="465"/>
        <w:spacing w:after="0" w:line="253" w:lineRule="auto"/>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for development projects reflects the deal specific cash, unleveraged Property Operating Income (POI) generated by the development and is calculated as POI divided by cost.</w:t>
      </w:r>
    </w:p>
    <w:p>
      <w:pPr>
        <w:spacing w:after="0" w:line="7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costs include an allocation of infrastructure costs for the entire project.</w:t>
      </w:r>
    </w:p>
    <w:p>
      <w:pPr>
        <w:spacing w:after="0" w:line="41" w:lineRule="exact"/>
        <w:rPr>
          <w:rFonts w:ascii="Arial" w:cs="Arial" w:eastAsia="Arial" w:hAnsi="Arial"/>
          <w:sz w:val="14"/>
          <w:szCs w:val="14"/>
          <w:color w:val="auto"/>
        </w:rPr>
      </w:pPr>
    </w:p>
    <w:p>
      <w:pPr>
        <w:ind w:left="500"/>
        <w:spacing w:after="0"/>
        <w:rPr>
          <w:rFonts w:ascii="Arial" w:cs="Arial" w:eastAsia="Arial" w:hAnsi="Arial"/>
          <w:sz w:val="14"/>
          <w:szCs w:val="14"/>
          <w:color w:val="auto"/>
        </w:rPr>
      </w:pPr>
      <w:r>
        <w:rPr>
          <w:rFonts w:ascii="Arial" w:cs="Arial" w:eastAsia="Arial" w:hAnsi="Arial"/>
          <w:sz w:val="13"/>
          <w:szCs w:val="13"/>
          <w:color w:val="auto"/>
        </w:rPr>
        <w:t>Costs are net of expected reimbursement by third parties and land sale proceeds from expected exercise of option. Phase II total costs include our 50% share of the costs of our investment</w:t>
      </w:r>
    </w:p>
    <w:p>
      <w:pPr>
        <w:spacing w:after="0" w:line="11"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the hotel.</w:t>
      </w:r>
    </w:p>
    <w:p>
      <w:pPr>
        <w:spacing w:after="0" w:line="29" w:lineRule="exact"/>
        <w:rPr>
          <w:rFonts w:ascii="Arial" w:cs="Arial" w:eastAsia="Arial" w:hAnsi="Arial"/>
          <w:sz w:val="14"/>
          <w:szCs w:val="14"/>
          <w:color w:val="auto"/>
        </w:rPr>
      </w:pPr>
    </w:p>
    <w:p>
      <w:pPr>
        <w:ind w:left="500" w:hanging="465"/>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Condominiums shown at cost; the projected ROI for Phase II does not assume any incremental profit on the sale of condominium units; condominiums are assumed to be sold at cost.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60" w:right="239" w:bottom="1440" w:gutter="0" w:footer="0" w:header="0"/>
        </w:sectPr>
      </w:pPr>
    </w:p>
    <w:bookmarkStart w:id="20" w:name="page21"/>
    <w:bookmarkEnd w:id="20"/>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Future Redevelopment Opportunities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2015</w:t>
      </w:r>
    </w:p>
    <w:p>
      <w:pPr>
        <w:spacing w:after="0" w:line="374" w:lineRule="exact"/>
        <w:rPr>
          <w:sz w:val="20"/>
          <w:szCs w:val="20"/>
          <w:color w:val="auto"/>
        </w:rPr>
      </w:pPr>
    </w:p>
    <w:p>
      <w:pPr>
        <w:ind w:left="40" w:right="40"/>
        <w:spacing w:after="0" w:line="273" w:lineRule="auto"/>
        <w:rPr>
          <w:sz w:val="20"/>
          <w:szCs w:val="20"/>
          <w:color w:val="auto"/>
        </w:rPr>
      </w:pPr>
      <w:r>
        <w:rPr>
          <w:rFonts w:ascii="Arial" w:cs="Arial" w:eastAsia="Arial" w:hAnsi="Arial"/>
          <w:sz w:val="16"/>
          <w:szCs w:val="16"/>
          <w:b w:val="1"/>
          <w:bCs w:val="1"/>
          <w:i w:val="1"/>
          <w:iCs w:val="1"/>
          <w:color w:val="auto"/>
        </w:rPr>
        <w:t>We have identified the following potential opportunities to create future shareholder value. Executing these opportunities could be subject to government approvals, tenant consents, market conditions, etc. Work on many of these new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p>
      <w:pPr>
        <w:spacing w:after="0" w:line="320" w:lineRule="exact"/>
        <w:rPr>
          <w:sz w:val="20"/>
          <w:szCs w:val="20"/>
          <w:color w:val="auto"/>
        </w:rPr>
      </w:pPr>
    </w:p>
    <w:p>
      <w:pPr>
        <w:ind w:left="40" w:right="960"/>
        <w:spacing w:after="0" w:line="290" w:lineRule="auto"/>
        <w:rPr>
          <w:sz w:val="20"/>
          <w:szCs w:val="20"/>
          <w:color w:val="auto"/>
        </w:rPr>
      </w:pPr>
      <w:r>
        <w:rPr>
          <w:rFonts w:ascii="Arial" w:cs="Arial" w:eastAsia="Arial" w:hAnsi="Arial"/>
          <w:sz w:val="16"/>
          <w:szCs w:val="16"/>
          <w:b w:val="1"/>
          <w:bCs w:val="1"/>
          <w:color w:val="auto"/>
        </w:rPr>
        <w:t>Pad Site Opportunities - Opportunities to add both single tenant and multi-tenant stand alone pad buildings at existing retail properties. Many of these opportunities are "by right" and construction is awaiting appropriate retailer demand.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Bethesda,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Fresh Meadows</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Queens, NY</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Dedham Plaza</w:t>
            </w:r>
          </w:p>
        </w:tc>
        <w:tc>
          <w:tcPr>
            <w:tcW w:w="2160" w:type="dxa"/>
            <w:vAlign w:val="bottom"/>
          </w:tcPr>
          <w:p>
            <w:pPr>
              <w:ind w:left="480"/>
              <w:spacing w:after="0"/>
              <w:rPr>
                <w:sz w:val="20"/>
                <w:szCs w:val="20"/>
                <w:color w:val="auto"/>
              </w:rPr>
            </w:pPr>
            <w:r>
              <w:rPr>
                <w:rFonts w:ascii="Arial" w:cs="Arial" w:eastAsia="Arial" w:hAnsi="Arial"/>
                <w:sz w:val="16"/>
                <w:szCs w:val="16"/>
                <w:color w:val="auto"/>
              </w:rPr>
              <w:t>Dedham, MA</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Melville Mall</w:t>
            </w:r>
          </w:p>
        </w:tc>
        <w:tc>
          <w:tcPr>
            <w:tcW w:w="4380" w:type="dxa"/>
            <w:vAlign w:val="bottom"/>
          </w:tcPr>
          <w:p>
            <w:pPr>
              <w:ind w:left="780"/>
              <w:spacing w:after="0"/>
              <w:rPr>
                <w:sz w:val="20"/>
                <w:szCs w:val="20"/>
                <w:color w:val="auto"/>
              </w:rPr>
            </w:pPr>
            <w:r>
              <w:rPr>
                <w:rFonts w:ascii="Arial" w:cs="Arial" w:eastAsia="Arial" w:hAnsi="Arial"/>
                <w:sz w:val="16"/>
                <w:szCs w:val="16"/>
                <w:color w:val="auto"/>
              </w:rPr>
              <w:t>Huntington, NY</w:t>
            </w:r>
          </w:p>
        </w:tc>
      </w:tr>
      <w:tr>
        <w:trPr>
          <w:trHeight w:val="33"/>
        </w:trPr>
        <w:tc>
          <w:tcPr>
            <w:tcW w:w="2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Eastgate</w:t>
            </w:r>
          </w:p>
        </w:tc>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Chapel Hill, NC</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Mercer Mall</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Lawrenceville, NJ</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Escondido Promenade</w:t>
            </w:r>
          </w:p>
        </w:tc>
        <w:tc>
          <w:tcPr>
            <w:tcW w:w="2160" w:type="dxa"/>
            <w:vAlign w:val="bottom"/>
          </w:tcPr>
          <w:p>
            <w:pPr>
              <w:ind w:left="480"/>
              <w:spacing w:after="0"/>
              <w:rPr>
                <w:sz w:val="20"/>
                <w:szCs w:val="20"/>
                <w:color w:val="auto"/>
              </w:rPr>
            </w:pPr>
            <w:r>
              <w:rPr>
                <w:rFonts w:ascii="Arial" w:cs="Arial" w:eastAsia="Arial" w:hAnsi="Arial"/>
                <w:sz w:val="16"/>
                <w:szCs w:val="16"/>
                <w:color w:val="auto"/>
              </w:rPr>
              <w:t>Escondido, CA</w:t>
            </w:r>
          </w:p>
        </w:tc>
        <w:tc>
          <w:tcPr>
            <w:tcW w:w="2460" w:type="dxa"/>
            <w:vAlign w:val="bottom"/>
          </w:tcPr>
          <w:p>
            <w:pPr>
              <w:ind w:left="620"/>
              <w:spacing w:after="0"/>
              <w:rPr>
                <w:sz w:val="20"/>
                <w:szCs w:val="20"/>
                <w:color w:val="auto"/>
              </w:rPr>
            </w:pPr>
            <w:r>
              <w:rPr>
                <w:rFonts w:ascii="Arial" w:cs="Arial" w:eastAsia="Arial" w:hAnsi="Arial"/>
                <w:sz w:val="16"/>
                <w:szCs w:val="16"/>
                <w:b w:val="1"/>
                <w:bCs w:val="1"/>
                <w:color w:val="auto"/>
              </w:rPr>
              <w:t>Pan Am</w:t>
            </w:r>
          </w:p>
        </w:tc>
        <w:tc>
          <w:tcPr>
            <w:tcW w:w="4380" w:type="dxa"/>
            <w:vAlign w:val="bottom"/>
          </w:tcPr>
          <w:p>
            <w:pPr>
              <w:ind w:left="780"/>
              <w:spacing w:after="0"/>
              <w:rPr>
                <w:sz w:val="20"/>
                <w:szCs w:val="20"/>
                <w:color w:val="auto"/>
              </w:rPr>
            </w:pPr>
            <w:r>
              <w:rPr>
                <w:rFonts w:ascii="Arial" w:cs="Arial" w:eastAsia="Arial" w:hAnsi="Arial"/>
                <w:sz w:val="16"/>
                <w:szCs w:val="16"/>
                <w:color w:val="auto"/>
              </w:rPr>
              <w:t>Fairfax, VA</w:t>
            </w:r>
          </w:p>
        </w:tc>
      </w:tr>
      <w:tr>
        <w:trPr>
          <w:trHeight w:val="33"/>
        </w:trPr>
        <w:tc>
          <w:tcPr>
            <w:tcW w:w="2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50"/>
        </w:trPr>
        <w:tc>
          <w:tcPr>
            <w:tcW w:w="2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Federal Plaza</w:t>
            </w:r>
          </w:p>
        </w:tc>
        <w:tc>
          <w:tcPr>
            <w:tcW w:w="21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c>
          <w:tcPr>
            <w:tcW w:w="24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b w:val="1"/>
                <w:bCs w:val="1"/>
                <w:color w:val="auto"/>
              </w:rPr>
              <w:t>Wildwood</w:t>
            </w:r>
          </w:p>
        </w:tc>
        <w:tc>
          <w:tcPr>
            <w:tcW w:w="43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Bethesda, MD</w:t>
            </w:r>
          </w:p>
        </w:tc>
      </w:tr>
      <w:tr>
        <w:trPr>
          <w:trHeight w:val="237"/>
        </w:trPr>
        <w:tc>
          <w:tcPr>
            <w:tcW w:w="2420" w:type="dxa"/>
            <w:vAlign w:val="bottom"/>
          </w:tcPr>
          <w:p>
            <w:pPr>
              <w:ind w:left="380"/>
              <w:spacing w:after="0"/>
              <w:rPr>
                <w:sz w:val="20"/>
                <w:szCs w:val="20"/>
                <w:color w:val="auto"/>
              </w:rPr>
            </w:pPr>
            <w:r>
              <w:rPr>
                <w:rFonts w:ascii="Arial" w:cs="Arial" w:eastAsia="Arial" w:hAnsi="Arial"/>
                <w:sz w:val="16"/>
                <w:szCs w:val="16"/>
                <w:b w:val="1"/>
                <w:bCs w:val="1"/>
                <w:color w:val="auto"/>
              </w:rPr>
              <w:t>Flourtown</w:t>
            </w:r>
          </w:p>
        </w:tc>
        <w:tc>
          <w:tcPr>
            <w:tcW w:w="2160" w:type="dxa"/>
            <w:vAlign w:val="bottom"/>
          </w:tcPr>
          <w:p>
            <w:pPr>
              <w:ind w:left="480"/>
              <w:spacing w:after="0"/>
              <w:rPr>
                <w:sz w:val="20"/>
                <w:szCs w:val="20"/>
                <w:color w:val="auto"/>
              </w:rPr>
            </w:pPr>
            <w:r>
              <w:rPr>
                <w:rFonts w:ascii="Arial" w:cs="Arial" w:eastAsia="Arial" w:hAnsi="Arial"/>
                <w:sz w:val="16"/>
                <w:szCs w:val="16"/>
                <w:color w:val="auto"/>
              </w:rPr>
              <w:t>Flourtown, PA</w:t>
            </w:r>
          </w:p>
        </w:tc>
        <w:tc>
          <w:tcPr>
            <w:tcW w:w="246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33"/>
        </w:trPr>
        <w:tc>
          <w:tcPr>
            <w:tcW w:w="24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460" w:type="dxa"/>
            <w:vAlign w:val="bottom"/>
          </w:tcPr>
          <w:p>
            <w:pPr>
              <w:spacing w:after="0"/>
              <w:rPr>
                <w:sz w:val="2"/>
                <w:szCs w:val="2"/>
                <w:color w:val="auto"/>
              </w:rPr>
            </w:pPr>
          </w:p>
        </w:tc>
        <w:tc>
          <w:tcPr>
            <w:tcW w:w="4380" w:type="dxa"/>
            <w:vAlign w:val="bottom"/>
          </w:tcPr>
          <w:p>
            <w:pPr>
              <w:spacing w:after="0"/>
              <w:rPr>
                <w:sz w:val="2"/>
                <w:szCs w:val="2"/>
                <w:color w:val="auto"/>
              </w:rPr>
            </w:pPr>
          </w:p>
        </w:tc>
      </w:tr>
      <w:tr>
        <w:trPr>
          <w:trHeight w:val="270"/>
        </w:trPr>
        <w:tc>
          <w:tcPr>
            <w:tcW w:w="2420" w:type="dxa"/>
            <w:vAlign w:val="bottom"/>
            <w:shd w:val="clear" w:color="auto" w:fill="CCEEFF"/>
          </w:tcPr>
          <w:p>
            <w:pPr>
              <w:spacing w:after="0"/>
              <w:rPr>
                <w:sz w:val="23"/>
                <w:szCs w:val="23"/>
                <w:color w:val="auto"/>
              </w:rPr>
            </w:pPr>
          </w:p>
        </w:tc>
        <w:tc>
          <w:tcPr>
            <w:tcW w:w="216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c>
          <w:tcPr>
            <w:tcW w:w="4380" w:type="dxa"/>
            <w:vAlign w:val="bottom"/>
            <w:shd w:val="clear" w:color="auto" w:fill="CCEEFF"/>
          </w:tcPr>
          <w:p>
            <w:pPr>
              <w:spacing w:after="0"/>
              <w:rPr>
                <w:sz w:val="23"/>
                <w:szCs w:val="23"/>
                <w:color w:val="auto"/>
              </w:rPr>
            </w:pPr>
          </w:p>
        </w:tc>
      </w:tr>
    </w:tbl>
    <w:p>
      <w:pPr>
        <w:spacing w:after="0" w:line="13" w:lineRule="exact"/>
        <w:rPr>
          <w:sz w:val="20"/>
          <w:szCs w:val="20"/>
          <w:color w:val="auto"/>
        </w:rPr>
      </w:pPr>
    </w:p>
    <w:p>
      <w:pPr>
        <w:ind w:left="40" w:right="520"/>
        <w:spacing w:after="0" w:line="290" w:lineRule="auto"/>
        <w:rPr>
          <w:sz w:val="20"/>
          <w:szCs w:val="20"/>
          <w:color w:val="auto"/>
        </w:rPr>
      </w:pPr>
      <w:r>
        <w:rPr>
          <w:rFonts w:ascii="Arial" w:cs="Arial" w:eastAsia="Arial" w:hAnsi="Arial"/>
          <w:sz w:val="16"/>
          <w:szCs w:val="16"/>
          <w:b w:val="1"/>
          <w:bCs w:val="1"/>
          <w:color w:val="auto"/>
        </w:rPr>
        <w:t>Property Expansion or Conversion - Opportunities at successful retail properties to convert previously underutilized land into new GLA and to convert other existing uses into additional retail GLA.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Assembly Row</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Somerville, MA</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Fresh Meadows</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Queens, NY</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Barracks Road</w:t>
            </w:r>
          </w:p>
        </w:tc>
        <w:tc>
          <w:tcPr>
            <w:tcW w:w="2480" w:type="dxa"/>
            <w:vAlign w:val="bottom"/>
          </w:tcPr>
          <w:p>
            <w:pPr>
              <w:ind w:left="700"/>
              <w:spacing w:after="0"/>
              <w:rPr>
                <w:sz w:val="20"/>
                <w:szCs w:val="20"/>
                <w:color w:val="auto"/>
              </w:rPr>
            </w:pPr>
            <w:r>
              <w:rPr>
                <w:rFonts w:ascii="Arial" w:cs="Arial" w:eastAsia="Arial" w:hAnsi="Arial"/>
                <w:sz w:val="16"/>
                <w:szCs w:val="16"/>
                <w:color w:val="auto"/>
              </w:rPr>
              <w:t>Charlottesville, VA</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Melville Mall</w:t>
            </w:r>
          </w:p>
        </w:tc>
        <w:tc>
          <w:tcPr>
            <w:tcW w:w="4080" w:type="dxa"/>
            <w:vAlign w:val="bottom"/>
          </w:tcPr>
          <w:p>
            <w:pPr>
              <w:ind w:left="480"/>
              <w:spacing w:after="0"/>
              <w:rPr>
                <w:sz w:val="20"/>
                <w:szCs w:val="20"/>
                <w:color w:val="auto"/>
              </w:rPr>
            </w:pPr>
            <w:r>
              <w:rPr>
                <w:rFonts w:ascii="Arial" w:cs="Arial" w:eastAsia="Arial" w:hAnsi="Arial"/>
                <w:sz w:val="16"/>
                <w:szCs w:val="16"/>
                <w:color w:val="auto"/>
              </w:rPr>
              <w:t>Huntington, NY</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Bethesda Row</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Bethesda, MD</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Montrose Crossing</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Rockville, MD</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CocoWalk</w:t>
            </w:r>
          </w:p>
        </w:tc>
        <w:tc>
          <w:tcPr>
            <w:tcW w:w="2480" w:type="dxa"/>
            <w:vAlign w:val="bottom"/>
          </w:tcPr>
          <w:p>
            <w:pPr>
              <w:ind w:left="700"/>
              <w:spacing w:after="0"/>
              <w:rPr>
                <w:sz w:val="20"/>
                <w:szCs w:val="20"/>
                <w:color w:val="auto"/>
              </w:rPr>
            </w:pPr>
            <w:r>
              <w:rPr>
                <w:rFonts w:ascii="Arial" w:cs="Arial" w:eastAsia="Arial" w:hAnsi="Arial"/>
                <w:sz w:val="16"/>
                <w:szCs w:val="16"/>
                <w:color w:val="auto"/>
              </w:rPr>
              <w:t>Miami, FL</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Northeast</w:t>
            </w:r>
          </w:p>
        </w:tc>
        <w:tc>
          <w:tcPr>
            <w:tcW w:w="4080" w:type="dxa"/>
            <w:vAlign w:val="bottom"/>
          </w:tcPr>
          <w:p>
            <w:pPr>
              <w:ind w:left="480"/>
              <w:spacing w:after="0"/>
              <w:rPr>
                <w:sz w:val="20"/>
                <w:szCs w:val="20"/>
                <w:color w:val="auto"/>
              </w:rPr>
            </w:pPr>
            <w:r>
              <w:rPr>
                <w:rFonts w:ascii="Arial" w:cs="Arial" w:eastAsia="Arial" w:hAnsi="Arial"/>
                <w:sz w:val="16"/>
                <w:szCs w:val="16"/>
                <w:color w:val="auto"/>
              </w:rPr>
              <w:t>Philadelphia, PA</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50"/>
        </w:trPr>
        <w:tc>
          <w:tcPr>
            <w:tcW w:w="2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Crossroads</w:t>
            </w:r>
          </w:p>
        </w:tc>
        <w:tc>
          <w:tcPr>
            <w:tcW w:w="24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Highland Park, IL</w:t>
            </w:r>
          </w:p>
        </w:tc>
        <w:tc>
          <w:tcPr>
            <w:tcW w:w="26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b w:val="1"/>
                <w:bCs w:val="1"/>
                <w:color w:val="auto"/>
              </w:rPr>
              <w:t>Third Street Promenade</w:t>
            </w:r>
          </w:p>
        </w:tc>
        <w:tc>
          <w:tcPr>
            <w:tcW w:w="40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Santa Monica, CA</w:t>
            </w:r>
          </w:p>
        </w:tc>
      </w:tr>
      <w:tr>
        <w:trPr>
          <w:trHeight w:val="237"/>
        </w:trPr>
        <w:tc>
          <w:tcPr>
            <w:tcW w:w="2200" w:type="dxa"/>
            <w:vAlign w:val="bottom"/>
          </w:tcPr>
          <w:p>
            <w:pPr>
              <w:ind w:left="380"/>
              <w:spacing w:after="0"/>
              <w:rPr>
                <w:sz w:val="20"/>
                <w:szCs w:val="20"/>
                <w:color w:val="auto"/>
              </w:rPr>
            </w:pPr>
            <w:r>
              <w:rPr>
                <w:rFonts w:ascii="Arial" w:cs="Arial" w:eastAsia="Arial" w:hAnsi="Arial"/>
                <w:sz w:val="16"/>
                <w:szCs w:val="16"/>
                <w:b w:val="1"/>
                <w:bCs w:val="1"/>
                <w:color w:val="auto"/>
              </w:rPr>
              <w:t>Darien</w:t>
            </w:r>
          </w:p>
        </w:tc>
        <w:tc>
          <w:tcPr>
            <w:tcW w:w="2480" w:type="dxa"/>
            <w:vAlign w:val="bottom"/>
          </w:tcPr>
          <w:p>
            <w:pPr>
              <w:ind w:left="700"/>
              <w:spacing w:after="0"/>
              <w:rPr>
                <w:sz w:val="20"/>
                <w:szCs w:val="20"/>
                <w:color w:val="auto"/>
              </w:rPr>
            </w:pPr>
            <w:r>
              <w:rPr>
                <w:rFonts w:ascii="Arial" w:cs="Arial" w:eastAsia="Arial" w:hAnsi="Arial"/>
                <w:sz w:val="16"/>
                <w:szCs w:val="16"/>
                <w:color w:val="auto"/>
              </w:rPr>
              <w:t>Darien, CT</w:t>
            </w:r>
          </w:p>
        </w:tc>
        <w:tc>
          <w:tcPr>
            <w:tcW w:w="2660" w:type="dxa"/>
            <w:vAlign w:val="bottom"/>
          </w:tcPr>
          <w:p>
            <w:pPr>
              <w:ind w:left="520"/>
              <w:spacing w:after="0"/>
              <w:rPr>
                <w:sz w:val="20"/>
                <w:szCs w:val="20"/>
                <w:color w:val="auto"/>
              </w:rPr>
            </w:pPr>
            <w:r>
              <w:rPr>
                <w:rFonts w:ascii="Arial" w:cs="Arial" w:eastAsia="Arial" w:hAnsi="Arial"/>
                <w:sz w:val="16"/>
                <w:szCs w:val="16"/>
                <w:b w:val="1"/>
                <w:bCs w:val="1"/>
                <w:color w:val="auto"/>
              </w:rPr>
              <w:t>Wildwood</w:t>
            </w:r>
          </w:p>
        </w:tc>
        <w:tc>
          <w:tcPr>
            <w:tcW w:w="4080" w:type="dxa"/>
            <w:vAlign w:val="bottom"/>
          </w:tcPr>
          <w:p>
            <w:pPr>
              <w:ind w:left="480"/>
              <w:spacing w:after="0"/>
              <w:rPr>
                <w:sz w:val="20"/>
                <w:szCs w:val="20"/>
                <w:color w:val="auto"/>
              </w:rPr>
            </w:pPr>
            <w:r>
              <w:rPr>
                <w:rFonts w:ascii="Arial" w:cs="Arial" w:eastAsia="Arial" w:hAnsi="Arial"/>
                <w:sz w:val="16"/>
                <w:szCs w:val="16"/>
                <w:color w:val="auto"/>
              </w:rPr>
              <w:t>Bethesda, MD</w:t>
            </w:r>
          </w:p>
        </w:tc>
      </w:tr>
      <w:tr>
        <w:trPr>
          <w:trHeight w:val="33"/>
        </w:trPr>
        <w:tc>
          <w:tcPr>
            <w:tcW w:w="220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4080" w:type="dxa"/>
            <w:vAlign w:val="bottom"/>
          </w:tcPr>
          <w:p>
            <w:pPr>
              <w:spacing w:after="0"/>
              <w:rPr>
                <w:sz w:val="2"/>
                <w:szCs w:val="2"/>
                <w:color w:val="auto"/>
              </w:rPr>
            </w:pPr>
          </w:p>
        </w:tc>
      </w:tr>
      <w:tr>
        <w:trPr>
          <w:trHeight w:val="237"/>
        </w:trPr>
        <w:tc>
          <w:tcPr>
            <w:tcW w:w="2200" w:type="dxa"/>
            <w:vAlign w:val="bottom"/>
            <w:shd w:val="clear" w:color="auto" w:fill="CCEEFF"/>
          </w:tcPr>
          <w:p>
            <w:pPr>
              <w:ind w:left="380"/>
              <w:spacing w:after="0"/>
              <w:rPr>
                <w:sz w:val="20"/>
                <w:szCs w:val="20"/>
                <w:color w:val="auto"/>
              </w:rPr>
            </w:pPr>
            <w:r>
              <w:rPr>
                <w:rFonts w:ascii="Arial" w:cs="Arial" w:eastAsia="Arial" w:hAnsi="Arial"/>
                <w:sz w:val="16"/>
                <w:szCs w:val="16"/>
                <w:b w:val="1"/>
                <w:bCs w:val="1"/>
                <w:color w:val="auto"/>
              </w:rPr>
              <w:t>Del Mar Village</w:t>
            </w:r>
          </w:p>
        </w:tc>
        <w:tc>
          <w:tcPr>
            <w:tcW w:w="2480" w:type="dxa"/>
            <w:vAlign w:val="bottom"/>
            <w:shd w:val="clear" w:color="auto" w:fill="CCEEFF"/>
          </w:tcPr>
          <w:p>
            <w:pPr>
              <w:ind w:left="700"/>
              <w:spacing w:after="0"/>
              <w:rPr>
                <w:sz w:val="20"/>
                <w:szCs w:val="20"/>
                <w:color w:val="auto"/>
              </w:rPr>
            </w:pPr>
            <w:r>
              <w:rPr>
                <w:rFonts w:ascii="Arial" w:cs="Arial" w:eastAsia="Arial" w:hAnsi="Arial"/>
                <w:sz w:val="16"/>
                <w:szCs w:val="16"/>
                <w:color w:val="auto"/>
              </w:rPr>
              <w:t>Boca Raton, FL</w:t>
            </w:r>
          </w:p>
        </w:tc>
        <w:tc>
          <w:tcPr>
            <w:tcW w:w="266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r>
      <w:tr>
        <w:trPr>
          <w:trHeight w:val="33"/>
        </w:trPr>
        <w:tc>
          <w:tcPr>
            <w:tcW w:w="2200" w:type="dxa"/>
            <w:vAlign w:val="bottom"/>
            <w:shd w:val="clear" w:color="auto" w:fill="CCEEFF"/>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63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Residential Opportunities - Opportunity to add residential units to existing retail and mixed-use properties.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Barracks Road</w:t>
            </w:r>
          </w:p>
        </w:tc>
        <w:tc>
          <w:tcPr>
            <w:tcW w:w="1900" w:type="dxa"/>
            <w:vAlign w:val="bottom"/>
          </w:tcPr>
          <w:p>
            <w:pPr>
              <w:ind w:left="80"/>
              <w:spacing w:after="0"/>
              <w:rPr>
                <w:sz w:val="20"/>
                <w:szCs w:val="20"/>
                <w:color w:val="auto"/>
              </w:rPr>
            </w:pPr>
            <w:r>
              <w:rPr>
                <w:rFonts w:ascii="Arial" w:cs="Arial" w:eastAsia="Arial" w:hAnsi="Arial"/>
                <w:sz w:val="16"/>
                <w:szCs w:val="16"/>
                <w:color w:val="auto"/>
              </w:rPr>
              <w:t>Charlottesville, VA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Village at Shirlington</w:t>
            </w:r>
          </w:p>
        </w:tc>
        <w:tc>
          <w:tcPr>
            <w:tcW w:w="3700" w:type="dxa"/>
            <w:vAlign w:val="bottom"/>
          </w:tcPr>
          <w:p>
            <w:pPr>
              <w:ind w:left="100"/>
              <w:spacing w:after="0"/>
              <w:rPr>
                <w:sz w:val="20"/>
                <w:szCs w:val="20"/>
                <w:color w:val="auto"/>
              </w:rPr>
            </w:pPr>
            <w:r>
              <w:rPr>
                <w:rFonts w:ascii="Arial" w:cs="Arial" w:eastAsia="Arial" w:hAnsi="Arial"/>
                <w:sz w:val="16"/>
                <w:szCs w:val="16"/>
                <w:color w:val="auto"/>
              </w:rPr>
              <w:t>Arlington, VA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Graham Park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Falls Church,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Towson land parcel</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Towson, MD</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Leesburg Plaza</w:t>
            </w:r>
          </w:p>
        </w:tc>
        <w:tc>
          <w:tcPr>
            <w:tcW w:w="1900" w:type="dxa"/>
            <w:vAlign w:val="bottom"/>
          </w:tcPr>
          <w:p>
            <w:pPr>
              <w:ind w:left="80"/>
              <w:spacing w:after="0"/>
              <w:rPr>
                <w:sz w:val="20"/>
                <w:szCs w:val="20"/>
                <w:color w:val="auto"/>
              </w:rPr>
            </w:pPr>
            <w:r>
              <w:rPr>
                <w:rFonts w:ascii="Arial" w:cs="Arial" w:eastAsia="Arial" w:hAnsi="Arial"/>
                <w:sz w:val="16"/>
                <w:szCs w:val="16"/>
                <w:color w:val="auto"/>
              </w:rPr>
              <w:t>Leesburg, VA</w:t>
            </w:r>
          </w:p>
        </w:tc>
        <w:tc>
          <w:tcPr>
            <w:tcW w:w="3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24"/>
        </w:trPr>
        <w:tc>
          <w:tcPr>
            <w:tcW w:w="2820" w:type="dxa"/>
            <w:vAlign w:val="bottom"/>
            <w:gridSpan w:val="4"/>
          </w:tcPr>
          <w:p>
            <w:pPr>
              <w:ind w:left="40"/>
              <w:spacing w:after="0"/>
              <w:rPr>
                <w:sz w:val="20"/>
                <w:szCs w:val="20"/>
                <w:color w:val="auto"/>
              </w:rPr>
            </w:pPr>
            <w:r>
              <w:rPr>
                <w:rFonts w:ascii="Arial" w:cs="Arial" w:eastAsia="Arial" w:hAnsi="Arial"/>
                <w:sz w:val="16"/>
                <w:szCs w:val="16"/>
                <w:b w:val="1"/>
                <w:bCs w:val="1"/>
                <w:color w:val="auto"/>
                <w:w w:val="94"/>
              </w:rPr>
              <w:t>Longer Term Mixed-Use Opportunities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Assembly Row (1)</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Somerville, MA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San Antonio Center</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Mountain View,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Bala Cynwyd</w:t>
            </w:r>
          </w:p>
        </w:tc>
        <w:tc>
          <w:tcPr>
            <w:tcW w:w="1900" w:type="dxa"/>
            <w:vAlign w:val="bottom"/>
          </w:tcPr>
          <w:p>
            <w:pPr>
              <w:ind w:left="80"/>
              <w:spacing w:after="0"/>
              <w:rPr>
                <w:sz w:val="20"/>
                <w:szCs w:val="20"/>
                <w:color w:val="auto"/>
              </w:rPr>
            </w:pPr>
            <w:r>
              <w:rPr>
                <w:rFonts w:ascii="Arial" w:cs="Arial" w:eastAsia="Arial" w:hAnsi="Arial"/>
                <w:sz w:val="16"/>
                <w:szCs w:val="16"/>
                <w:color w:val="auto"/>
              </w:rPr>
              <w:t>Bala Cynwyd, PA</w:t>
            </w:r>
          </w:p>
        </w:tc>
        <w:tc>
          <w:tcPr>
            <w:tcW w:w="3000" w:type="dxa"/>
            <w:vAlign w:val="bottom"/>
          </w:tcPr>
          <w:p>
            <w:pPr>
              <w:ind w:left="480"/>
              <w:spacing w:after="0"/>
              <w:rPr>
                <w:sz w:val="20"/>
                <w:szCs w:val="20"/>
                <w:color w:val="auto"/>
              </w:rPr>
            </w:pPr>
            <w:r>
              <w:rPr>
                <w:rFonts w:ascii="Arial" w:cs="Arial" w:eastAsia="Arial" w:hAnsi="Arial"/>
                <w:sz w:val="16"/>
                <w:szCs w:val="16"/>
                <w:b w:val="1"/>
                <w:bCs w:val="1"/>
                <w:color w:val="auto"/>
              </w:rPr>
              <w:t>Santana Row (3)</w:t>
            </w:r>
          </w:p>
        </w:tc>
        <w:tc>
          <w:tcPr>
            <w:tcW w:w="3700" w:type="dxa"/>
            <w:vAlign w:val="bottom"/>
          </w:tcPr>
          <w:p>
            <w:pPr>
              <w:ind w:left="100"/>
              <w:spacing w:after="0"/>
              <w:rPr>
                <w:sz w:val="20"/>
                <w:szCs w:val="20"/>
                <w:color w:val="auto"/>
              </w:rPr>
            </w:pPr>
            <w:r>
              <w:rPr>
                <w:rFonts w:ascii="Arial" w:cs="Arial" w:eastAsia="Arial" w:hAnsi="Arial"/>
                <w:sz w:val="16"/>
                <w:szCs w:val="16"/>
                <w:color w:val="auto"/>
              </w:rPr>
              <w:t>San Jose, CA</w:t>
            </w:r>
          </w:p>
        </w:tc>
      </w:tr>
      <w:tr>
        <w:trPr>
          <w:trHeight w:val="33"/>
        </w:trPr>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16"/>
        </w:trPr>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300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w w:val="94"/>
              </w:rPr>
              <w:t>Santana Row - Winchester Theater</w:t>
            </w:r>
          </w:p>
        </w:tc>
        <w:tc>
          <w:tcPr>
            <w:tcW w:w="3700" w:type="dxa"/>
            <w:vAlign w:val="bottom"/>
            <w:shd w:val="clear" w:color="auto" w:fill="CCEEFF"/>
          </w:tcPr>
          <w:p>
            <w:pPr>
              <w:spacing w:after="0"/>
              <w:rPr>
                <w:sz w:val="18"/>
                <w:szCs w:val="18"/>
                <w:color w:val="auto"/>
              </w:rPr>
            </w:pPr>
          </w:p>
        </w:tc>
      </w:tr>
      <w:tr>
        <w:trPr>
          <w:trHeight w:val="223"/>
        </w:trPr>
        <w:tc>
          <w:tcPr>
            <w:tcW w:w="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25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Pike 7 Plaza</w:t>
            </w:r>
          </w:p>
        </w:tc>
        <w:tc>
          <w:tcPr>
            <w:tcW w:w="19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Vienna, VA</w:t>
            </w:r>
          </w:p>
        </w:tc>
        <w:tc>
          <w:tcPr>
            <w:tcW w:w="3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site</w:t>
            </w:r>
          </w:p>
        </w:tc>
        <w:tc>
          <w:tcPr>
            <w:tcW w:w="3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San Jose, CA</w:t>
            </w:r>
          </w:p>
        </w:tc>
      </w:tr>
      <w:tr>
        <w:trPr>
          <w:trHeight w:val="237"/>
        </w:trPr>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2"/>
          </w:tcPr>
          <w:p>
            <w:pPr>
              <w:ind w:left="80"/>
              <w:spacing w:after="0"/>
              <w:rPr>
                <w:sz w:val="20"/>
                <w:szCs w:val="20"/>
                <w:color w:val="auto"/>
              </w:rPr>
            </w:pPr>
            <w:r>
              <w:rPr>
                <w:rFonts w:ascii="Arial" w:cs="Arial" w:eastAsia="Arial" w:hAnsi="Arial"/>
                <w:sz w:val="16"/>
                <w:szCs w:val="16"/>
                <w:b w:val="1"/>
                <w:bCs w:val="1"/>
                <w:color w:val="auto"/>
              </w:rPr>
              <w:t>Pike &amp; Rose (2)</w:t>
            </w:r>
          </w:p>
        </w:tc>
        <w:tc>
          <w:tcPr>
            <w:tcW w:w="1900" w:type="dxa"/>
            <w:vAlign w:val="bottom"/>
          </w:tcPr>
          <w:p>
            <w:pPr>
              <w:ind w:left="80"/>
              <w:spacing w:after="0"/>
              <w:rPr>
                <w:sz w:val="20"/>
                <w:szCs w:val="20"/>
                <w:color w:val="auto"/>
              </w:rPr>
            </w:pPr>
            <w:r>
              <w:rPr>
                <w:rFonts w:ascii="Arial" w:cs="Arial" w:eastAsia="Arial" w:hAnsi="Arial"/>
                <w:sz w:val="16"/>
                <w:szCs w:val="16"/>
                <w:color w:val="auto"/>
              </w:rPr>
              <w:t>North Bethesda, MD</w:t>
            </w:r>
          </w:p>
        </w:tc>
        <w:tc>
          <w:tcPr>
            <w:tcW w:w="300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2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80" w:type="dxa"/>
            <w:vAlign w:val="bottom"/>
            <w:gridSpan w:val="2"/>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90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3700" w:type="dxa"/>
            <w:vAlign w:val="bottom"/>
            <w:shd w:val="clear" w:color="auto" w:fill="CCEEFF"/>
          </w:tcPr>
          <w:p>
            <w:pPr>
              <w:spacing w:after="0"/>
              <w:rPr>
                <w:sz w:val="23"/>
                <w:szCs w:val="23"/>
                <w:color w:val="auto"/>
              </w:rPr>
            </w:pPr>
          </w:p>
        </w:tc>
      </w:tr>
      <w:tr>
        <w:trPr>
          <w:trHeight w:val="230"/>
        </w:trPr>
        <w:tc>
          <w:tcPr>
            <w:tcW w:w="2820" w:type="dxa"/>
            <w:vAlign w:val="bottom"/>
            <w:gridSpan w:val="4"/>
          </w:tcPr>
          <w:p>
            <w:pPr>
              <w:ind w:left="40"/>
              <w:spacing w:after="0"/>
              <w:rPr>
                <w:sz w:val="20"/>
                <w:szCs w:val="20"/>
                <w:color w:val="auto"/>
              </w:rPr>
            </w:pPr>
            <w:r>
              <w:rPr>
                <w:rFonts w:ascii="Arial" w:cs="Arial" w:eastAsia="Arial" w:hAnsi="Arial"/>
                <w:sz w:val="14"/>
                <w:szCs w:val="14"/>
                <w:color w:val="auto"/>
              </w:rPr>
              <w:t>Notes:</w:t>
            </w:r>
          </w:p>
        </w:tc>
        <w:tc>
          <w:tcPr>
            <w:tcW w:w="19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03"/>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Assembly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Remaining entitlements after Phase II include approximately 2 million square feet of commercial-use buildings and 834 residential units.</w:t>
            </w:r>
          </w:p>
        </w:tc>
      </w:tr>
      <w:tr>
        <w:trPr>
          <w:trHeight w:val="197"/>
        </w:trPr>
        <w:tc>
          <w:tcPr>
            <w:tcW w:w="300" w:type="dxa"/>
            <w:vAlign w:val="bottom"/>
            <w:gridSpan w:val="2"/>
          </w:tcPr>
          <w:p>
            <w:pPr>
              <w:ind w:left="40"/>
              <w:spacing w:after="0"/>
              <w:rPr>
                <w:sz w:val="20"/>
                <w:szCs w:val="20"/>
                <w:color w:val="auto"/>
              </w:rPr>
            </w:pPr>
            <w:r>
              <w:rPr>
                <w:rFonts w:ascii="Arial" w:cs="Arial" w:eastAsia="Arial" w:hAnsi="Arial"/>
                <w:sz w:val="14"/>
                <w:szCs w:val="14"/>
                <w:color w:val="auto"/>
              </w:rPr>
              <w:t>(2)</w:t>
            </w:r>
          </w:p>
        </w:tc>
        <w:tc>
          <w:tcPr>
            <w:tcW w:w="2520" w:type="dxa"/>
            <w:vAlign w:val="bottom"/>
            <w:gridSpan w:val="2"/>
          </w:tcPr>
          <w:p>
            <w:pPr>
              <w:ind w:left="80"/>
              <w:spacing w:after="0"/>
              <w:rPr>
                <w:sz w:val="20"/>
                <w:szCs w:val="20"/>
                <w:color w:val="auto"/>
              </w:rPr>
            </w:pPr>
            <w:r>
              <w:rPr>
                <w:rFonts w:ascii="Arial" w:cs="Arial" w:eastAsia="Arial" w:hAnsi="Arial"/>
                <w:sz w:val="14"/>
                <w:szCs w:val="14"/>
                <w:color w:val="auto"/>
              </w:rPr>
              <w:t>Pike &amp; Rose</w:t>
            </w:r>
          </w:p>
        </w:tc>
        <w:tc>
          <w:tcPr>
            <w:tcW w:w="8600" w:type="dxa"/>
            <w:vAlign w:val="bottom"/>
            <w:gridSpan w:val="3"/>
          </w:tcPr>
          <w:p>
            <w:pPr>
              <w:ind w:left="80"/>
              <w:spacing w:after="0"/>
              <w:rPr>
                <w:sz w:val="20"/>
                <w:szCs w:val="20"/>
                <w:color w:val="auto"/>
              </w:rPr>
            </w:pPr>
            <w:r>
              <w:rPr>
                <w:rFonts w:ascii="Arial" w:cs="Arial" w:eastAsia="Arial" w:hAnsi="Arial"/>
                <w:sz w:val="14"/>
                <w:szCs w:val="14"/>
                <w:color w:val="auto"/>
              </w:rPr>
              <w:t>Remaining entitlements after Phase II include approximately 1 million square feet of commercial-use buildings, and 744 residential units.</w:t>
            </w:r>
          </w:p>
        </w:tc>
      </w:tr>
      <w:tr>
        <w:trPr>
          <w:trHeight w:val="163"/>
        </w:trPr>
        <w:tc>
          <w:tcPr>
            <w:tcW w:w="3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25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Santana Row</w:t>
            </w:r>
          </w:p>
        </w:tc>
        <w:tc>
          <w:tcPr>
            <w:tcW w:w="860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w w:val="95"/>
              </w:rPr>
              <w:t>Current remaining entitlements for this property include 348 residential units and 69,000 square feet of commercial space for retail and office; we</w:t>
            </w:r>
          </w:p>
        </w:tc>
      </w:tr>
      <w:tr>
        <w:trPr>
          <w:trHeight w:val="194"/>
        </w:trPr>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spacing w:after="0"/>
              <w:rPr>
                <w:sz w:val="16"/>
                <w:szCs w:val="16"/>
                <w:color w:val="auto"/>
              </w:rPr>
            </w:pPr>
          </w:p>
        </w:tc>
        <w:tc>
          <w:tcPr>
            <w:tcW w:w="490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are currently seeking additional entitlements.</w:t>
            </w:r>
          </w:p>
        </w:tc>
        <w:tc>
          <w:tcPr>
            <w:tcW w:w="3700" w:type="dxa"/>
            <w:vAlign w:val="bottom"/>
            <w:shd w:val="clear" w:color="auto" w:fill="CCEEFF"/>
          </w:tcPr>
          <w:p>
            <w:pPr>
              <w:spacing w:after="0"/>
              <w:rPr>
                <w:sz w:val="16"/>
                <w:szCs w:val="16"/>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7" w:right="239"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2015 Significant Acquisitions &amp; Disposition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328"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2015 Significant Acquisitions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1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Property</w:t>
            </w:r>
          </w:p>
        </w:tc>
        <w:tc>
          <w:tcPr>
            <w:tcW w:w="204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City/State</w:t>
            </w:r>
          </w:p>
        </w:tc>
        <w:tc>
          <w:tcPr>
            <w:tcW w:w="1460" w:type="dxa"/>
            <w:vAlign w:val="bottom"/>
            <w:tcBorders>
              <w:bottom w:val="single" w:sz="8" w:color="auto"/>
            </w:tcBorders>
          </w:tcPr>
          <w:p>
            <w:pPr>
              <w:jc w:val="center"/>
              <w:ind w:left="63"/>
              <w:spacing w:after="0"/>
              <w:rPr>
                <w:sz w:val="20"/>
                <w:szCs w:val="20"/>
                <w:color w:val="auto"/>
              </w:rPr>
            </w:pPr>
            <w:r>
              <w:rPr>
                <w:rFonts w:ascii="Arial" w:cs="Arial" w:eastAsia="Arial" w:hAnsi="Arial"/>
                <w:sz w:val="14"/>
                <w:szCs w:val="14"/>
                <w:b w:val="1"/>
                <w:bCs w:val="1"/>
                <w:color w:val="auto"/>
              </w:rPr>
              <w:t>GLA</w:t>
            </w: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w w:val="92"/>
              </w:rPr>
              <w:t>Purchase Price</w:t>
            </w: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Principal Tenants</w:t>
            </w:r>
          </w:p>
        </w:tc>
      </w:tr>
      <w:tr>
        <w:trPr>
          <w:trHeight w:val="190"/>
        </w:trPr>
        <w:tc>
          <w:tcPr>
            <w:tcW w:w="18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460" w:type="dxa"/>
            <w:vAlign w:val="bottom"/>
          </w:tcPr>
          <w:p>
            <w:pPr>
              <w:jc w:val="center"/>
              <w:ind w:left="63"/>
              <w:spacing w:after="0"/>
              <w:rPr>
                <w:sz w:val="20"/>
                <w:szCs w:val="20"/>
                <w:color w:val="auto"/>
              </w:rPr>
            </w:pPr>
            <w:r>
              <w:rPr>
                <w:rFonts w:ascii="Arial" w:cs="Arial" w:eastAsia="Arial" w:hAnsi="Arial"/>
                <w:sz w:val="14"/>
                <w:szCs w:val="14"/>
                <w:b w:val="1"/>
                <w:bCs w:val="1"/>
                <w:color w:val="auto"/>
                <w:w w:val="91"/>
              </w:rPr>
              <w:t>(in square feet)</w:t>
            </w:r>
          </w:p>
        </w:tc>
        <w:tc>
          <w:tcPr>
            <w:tcW w:w="320" w:type="dxa"/>
            <w:vAlign w:val="bottom"/>
          </w:tcPr>
          <w:p>
            <w:pPr>
              <w:spacing w:after="0"/>
              <w:rPr>
                <w:sz w:val="16"/>
                <w:szCs w:val="16"/>
                <w:color w:val="auto"/>
              </w:rPr>
            </w:pPr>
          </w:p>
        </w:tc>
        <w:tc>
          <w:tcPr>
            <w:tcW w:w="1080" w:type="dxa"/>
            <w:vAlign w:val="bottom"/>
          </w:tcPr>
          <w:p>
            <w:pPr>
              <w:jc w:val="right"/>
              <w:ind w:right="143"/>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2600" w:type="dxa"/>
            <w:vAlign w:val="bottom"/>
          </w:tcPr>
          <w:p>
            <w:pPr>
              <w:spacing w:after="0"/>
              <w:rPr>
                <w:sz w:val="16"/>
                <w:szCs w:val="16"/>
                <w:color w:val="auto"/>
              </w:rPr>
            </w:pPr>
          </w:p>
        </w:tc>
      </w:tr>
      <w:tr>
        <w:trPr>
          <w:trHeight w:val="80"/>
        </w:trPr>
        <w:tc>
          <w:tcPr>
            <w:tcW w:w="18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0" w:type="dxa"/>
            <w:vAlign w:val="bottom"/>
          </w:tcPr>
          <w:p>
            <w:pPr>
              <w:spacing w:after="0"/>
              <w:rPr>
                <w:sz w:val="6"/>
                <w:szCs w:val="6"/>
                <w:color w:val="auto"/>
              </w:rPr>
            </w:pPr>
          </w:p>
        </w:tc>
      </w:tr>
      <w:tr>
        <w:trPr>
          <w:trHeight w:val="220"/>
        </w:trPr>
        <w:tc>
          <w:tcPr>
            <w:tcW w:w="18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January 2015</w:t>
            </w:r>
          </w:p>
        </w:tc>
        <w:tc>
          <w:tcPr>
            <w:tcW w:w="1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San Antonio Center</w:t>
            </w:r>
          </w:p>
        </w:tc>
        <w:tc>
          <w:tcPr>
            <w:tcW w:w="20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Mountain View, CA</w:t>
            </w:r>
          </w:p>
        </w:tc>
        <w:tc>
          <w:tcPr>
            <w:tcW w:w="1460" w:type="dxa"/>
            <w:vAlign w:val="bottom"/>
            <w:shd w:val="clear" w:color="auto" w:fill="CCEEFF"/>
          </w:tcPr>
          <w:p>
            <w:pPr>
              <w:jc w:val="center"/>
              <w:ind w:left="63"/>
              <w:spacing w:after="0"/>
              <w:rPr>
                <w:sz w:val="20"/>
                <w:szCs w:val="20"/>
                <w:color w:val="auto"/>
              </w:rPr>
            </w:pPr>
            <w:r>
              <w:rPr>
                <w:rFonts w:ascii="Arial" w:cs="Arial" w:eastAsia="Arial" w:hAnsi="Arial"/>
                <w:sz w:val="16"/>
                <w:szCs w:val="16"/>
                <w:color w:val="auto"/>
                <w:w w:val="89"/>
              </w:rPr>
              <w:t>376,000</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62.2</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260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Walmart / Kohl's / Trader Joe's / 24</w:t>
            </w:r>
          </w:p>
        </w:tc>
      </w:tr>
      <w:tr>
        <w:trPr>
          <w:trHeight w:val="219"/>
        </w:trPr>
        <w:tc>
          <w:tcPr>
            <w:tcW w:w="184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20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Hour Fitness</w:t>
            </w:r>
          </w:p>
        </w:tc>
      </w:tr>
      <w:tr>
        <w:trPr>
          <w:trHeight w:val="220"/>
        </w:trPr>
        <w:tc>
          <w:tcPr>
            <w:tcW w:w="1840" w:type="dxa"/>
            <w:vAlign w:val="bottom"/>
          </w:tcPr>
          <w:p>
            <w:pPr>
              <w:ind w:left="40"/>
              <w:spacing w:after="0"/>
              <w:rPr>
                <w:sz w:val="20"/>
                <w:szCs w:val="20"/>
                <w:color w:val="auto"/>
              </w:rPr>
            </w:pPr>
            <w:r>
              <w:rPr>
                <w:rFonts w:ascii="Arial" w:cs="Arial" w:eastAsia="Arial" w:hAnsi="Arial"/>
                <w:sz w:val="16"/>
                <w:szCs w:val="16"/>
                <w:color w:val="auto"/>
              </w:rPr>
              <w:t>May 4, 2015</w:t>
            </w:r>
          </w:p>
        </w:tc>
        <w:tc>
          <w:tcPr>
            <w:tcW w:w="1700" w:type="dxa"/>
            <w:vAlign w:val="bottom"/>
          </w:tcPr>
          <w:p>
            <w:pPr>
              <w:ind w:left="40"/>
              <w:spacing w:after="0"/>
              <w:rPr>
                <w:sz w:val="20"/>
                <w:szCs w:val="20"/>
                <w:color w:val="auto"/>
              </w:rPr>
            </w:pPr>
            <w:r>
              <w:rPr>
                <w:rFonts w:ascii="Arial" w:cs="Arial" w:eastAsia="Arial" w:hAnsi="Arial"/>
                <w:sz w:val="16"/>
                <w:szCs w:val="16"/>
                <w:color w:val="auto"/>
              </w:rPr>
              <w:t>CocoWalk</w:t>
            </w:r>
          </w:p>
        </w:tc>
        <w:tc>
          <w:tcPr>
            <w:tcW w:w="2040" w:type="dxa"/>
            <w:vAlign w:val="bottom"/>
          </w:tcPr>
          <w:p>
            <w:pPr>
              <w:ind w:left="400"/>
              <w:spacing w:after="0"/>
              <w:rPr>
                <w:sz w:val="20"/>
                <w:szCs w:val="20"/>
                <w:color w:val="auto"/>
              </w:rPr>
            </w:pPr>
            <w:r>
              <w:rPr>
                <w:rFonts w:ascii="Arial" w:cs="Arial" w:eastAsia="Arial" w:hAnsi="Arial"/>
                <w:sz w:val="16"/>
                <w:szCs w:val="16"/>
                <w:color w:val="auto"/>
              </w:rPr>
              <w:t>Miami, Florida</w:t>
            </w:r>
          </w:p>
        </w:tc>
        <w:tc>
          <w:tcPr>
            <w:tcW w:w="1460" w:type="dxa"/>
            <w:vAlign w:val="bottom"/>
          </w:tcPr>
          <w:p>
            <w:pPr>
              <w:jc w:val="center"/>
              <w:ind w:left="63"/>
              <w:spacing w:after="0"/>
              <w:rPr>
                <w:sz w:val="20"/>
                <w:szCs w:val="20"/>
                <w:color w:val="auto"/>
              </w:rPr>
            </w:pPr>
            <w:r>
              <w:rPr>
                <w:rFonts w:ascii="Arial" w:cs="Arial" w:eastAsia="Arial" w:hAnsi="Arial"/>
                <w:sz w:val="16"/>
                <w:szCs w:val="16"/>
                <w:color w:val="auto"/>
                <w:w w:val="89"/>
              </w:rPr>
              <w:t>198,000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
              <w:spacing w:after="0"/>
              <w:rPr>
                <w:sz w:val="20"/>
                <w:szCs w:val="20"/>
                <w:color w:val="auto"/>
              </w:rPr>
            </w:pPr>
            <w:r>
              <w:rPr>
                <w:rFonts w:ascii="Arial" w:cs="Arial" w:eastAsia="Arial" w:hAnsi="Arial"/>
                <w:sz w:val="16"/>
                <w:szCs w:val="16"/>
                <w:color w:val="auto"/>
              </w:rPr>
              <w:t>87.5</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2600" w:type="dxa"/>
            <w:vAlign w:val="bottom"/>
          </w:tcPr>
          <w:p>
            <w:pPr>
              <w:ind w:left="120"/>
              <w:spacing w:after="0"/>
              <w:rPr>
                <w:sz w:val="20"/>
                <w:szCs w:val="20"/>
                <w:color w:val="auto"/>
              </w:rPr>
            </w:pPr>
            <w:r>
              <w:rPr>
                <w:rFonts w:ascii="Arial" w:cs="Arial" w:eastAsia="Arial" w:hAnsi="Arial"/>
                <w:sz w:val="16"/>
                <w:szCs w:val="16"/>
                <w:color w:val="auto"/>
              </w:rPr>
              <w:t>Cinepolis Theaters / Gap / Youfit</w:t>
            </w:r>
          </w:p>
        </w:tc>
      </w:tr>
      <w:tr>
        <w:trPr>
          <w:trHeight w:val="206"/>
        </w:trPr>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0" w:type="dxa"/>
            <w:vAlign w:val="bottom"/>
          </w:tcPr>
          <w:p>
            <w:pPr>
              <w:ind w:left="120"/>
              <w:spacing w:after="0"/>
              <w:rPr>
                <w:sz w:val="20"/>
                <w:szCs w:val="20"/>
                <w:color w:val="auto"/>
              </w:rPr>
            </w:pPr>
            <w:r>
              <w:rPr>
                <w:rFonts w:ascii="Arial" w:cs="Arial" w:eastAsia="Arial" w:hAnsi="Arial"/>
                <w:sz w:val="16"/>
                <w:szCs w:val="16"/>
                <w:color w:val="auto"/>
              </w:rPr>
              <w:t>Health Club</w:t>
            </w:r>
          </w:p>
        </w:tc>
      </w:tr>
      <w:tr>
        <w:trPr>
          <w:trHeight w:val="33"/>
        </w:trPr>
        <w:tc>
          <w:tcPr>
            <w:tcW w:w="184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600" w:type="dxa"/>
            <w:vAlign w:val="bottom"/>
          </w:tcPr>
          <w:p>
            <w:pPr>
              <w:spacing w:after="0"/>
              <w:rPr>
                <w:sz w:val="2"/>
                <w:szCs w:val="2"/>
                <w:color w:val="auto"/>
              </w:rPr>
            </w:pPr>
          </w:p>
        </w:tc>
      </w:tr>
    </w:tbl>
    <w:p>
      <w:pPr>
        <w:spacing w:after="0" w:line="139" w:lineRule="exact"/>
        <w:rPr>
          <w:sz w:val="20"/>
          <w:szCs w:val="20"/>
          <w:color w:val="auto"/>
        </w:rPr>
      </w:pPr>
    </w:p>
    <w:p>
      <w:pPr>
        <w:ind w:left="40" w:right="220" w:hanging="5"/>
        <w:spacing w:after="0" w:line="293" w:lineRule="auto"/>
        <w:tabs>
          <w:tab w:leader="none" w:pos="27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effective interest approximates 80% and was funded by the assumption of our share of $19 million of mortgage debt, 58,000 downREIT operating partnership units, and approximately $27 million of cash.</w:t>
      </w:r>
    </w:p>
    <w:p>
      <w:pPr>
        <w:spacing w:after="0" w:line="9" w:lineRule="exact"/>
        <w:rPr>
          <w:rFonts w:ascii="Arial" w:cs="Arial" w:eastAsia="Arial" w:hAnsi="Arial"/>
          <w:sz w:val="16"/>
          <w:szCs w:val="16"/>
          <w:color w:val="auto"/>
        </w:rPr>
      </w:pPr>
    </w:p>
    <w:p>
      <w:pPr>
        <w:ind w:left="260" w:hanging="225"/>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acquisition was completed through a newly formed entity for which we own a preferred interest and an 80% common interest.</w:t>
      </w:r>
    </w:p>
    <w:p>
      <w:pPr>
        <w:spacing w:after="0" w:line="200" w:lineRule="exact"/>
        <w:rPr>
          <w:sz w:val="20"/>
          <w:szCs w:val="20"/>
          <w:color w:val="auto"/>
        </w:rPr>
      </w:pPr>
    </w:p>
    <w:p>
      <w:pPr>
        <w:spacing w:after="0" w:line="359"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2015 Significant Disposition</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Date</w:t>
            </w:r>
          </w:p>
        </w:tc>
        <w:tc>
          <w:tcPr>
            <w:tcW w:w="20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Property</w:t>
            </w:r>
          </w:p>
        </w:tc>
        <w:tc>
          <w:tcPr>
            <w:tcW w:w="208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City/State</w:t>
            </w:r>
          </w:p>
        </w:tc>
        <w:tc>
          <w:tcPr>
            <w:tcW w:w="1580" w:type="dxa"/>
            <w:vAlign w:val="bottom"/>
            <w:tcBorders>
              <w:bottom w:val="single" w:sz="8" w:color="auto"/>
            </w:tcBorders>
          </w:tcPr>
          <w:p>
            <w:pPr>
              <w:jc w:val="center"/>
              <w:ind w:left="145"/>
              <w:spacing w:after="0"/>
              <w:rPr>
                <w:sz w:val="20"/>
                <w:szCs w:val="20"/>
                <w:color w:val="auto"/>
              </w:rPr>
            </w:pPr>
            <w:r>
              <w:rPr>
                <w:rFonts w:ascii="Arial" w:cs="Arial" w:eastAsia="Arial" w:hAnsi="Arial"/>
                <w:sz w:val="14"/>
                <w:szCs w:val="14"/>
                <w:b w:val="1"/>
                <w:bCs w:val="1"/>
                <w:color w:val="auto"/>
              </w:rPr>
              <w:t>GLA</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0"/>
              </w:rPr>
              <w:t>Sales Price</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4"/>
              </w:rPr>
              <w:t>Gain on Sale</w:t>
            </w:r>
          </w:p>
        </w:tc>
      </w:tr>
      <w:tr>
        <w:trPr>
          <w:trHeight w:val="190"/>
        </w:trPr>
        <w:tc>
          <w:tcPr>
            <w:tcW w:w="14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80" w:type="dxa"/>
            <w:vAlign w:val="bottom"/>
          </w:tcPr>
          <w:p>
            <w:pPr>
              <w:jc w:val="center"/>
              <w:ind w:left="145"/>
              <w:spacing w:after="0"/>
              <w:rPr>
                <w:sz w:val="20"/>
                <w:szCs w:val="20"/>
                <w:color w:val="auto"/>
              </w:rPr>
            </w:pPr>
            <w:r>
              <w:rPr>
                <w:rFonts w:ascii="Arial" w:cs="Arial" w:eastAsia="Arial" w:hAnsi="Arial"/>
                <w:sz w:val="14"/>
                <w:szCs w:val="14"/>
                <w:b w:val="1"/>
                <w:bCs w:val="1"/>
                <w:color w:val="auto"/>
                <w:w w:val="91"/>
              </w:rPr>
              <w:t>(in square feet)</w:t>
            </w:r>
          </w:p>
        </w:tc>
        <w:tc>
          <w:tcPr>
            <w:tcW w:w="3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6"/>
                <w:szCs w:val="16"/>
                <w:color w:val="auto"/>
              </w:rPr>
            </w:pPr>
          </w:p>
        </w:tc>
        <w:tc>
          <w:tcPr>
            <w:tcW w:w="980" w:type="dxa"/>
            <w:vAlign w:val="bottom"/>
          </w:tcPr>
          <w:p>
            <w:pPr>
              <w:jc w:val="center"/>
              <w:ind w:right="85"/>
              <w:spacing w:after="0"/>
              <w:rPr>
                <w:sz w:val="20"/>
                <w:szCs w:val="20"/>
                <w:color w:val="auto"/>
              </w:rPr>
            </w:pPr>
            <w:r>
              <w:rPr>
                <w:rFonts w:ascii="Arial" w:cs="Arial" w:eastAsia="Arial" w:hAnsi="Arial"/>
                <w:sz w:val="14"/>
                <w:szCs w:val="14"/>
                <w:b w:val="1"/>
                <w:bCs w:val="1"/>
                <w:color w:val="auto"/>
                <w:w w:val="94"/>
              </w:rPr>
              <w:t>(in millions)</w:t>
            </w:r>
          </w:p>
        </w:tc>
      </w:tr>
      <w:tr>
        <w:trPr>
          <w:trHeight w:val="80"/>
        </w:trPr>
        <w:tc>
          <w:tcPr>
            <w:tcW w:w="1480" w:type="dxa"/>
            <w:vAlign w:val="bottom"/>
          </w:tcPr>
          <w:p>
            <w:pPr>
              <w:spacing w:after="0"/>
              <w:rPr>
                <w:sz w:val="6"/>
                <w:szCs w:val="6"/>
                <w:color w:val="auto"/>
              </w:rPr>
            </w:pPr>
          </w:p>
        </w:tc>
        <w:tc>
          <w:tcPr>
            <w:tcW w:w="20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r>
      <w:tr>
        <w:trPr>
          <w:trHeight w:val="224"/>
        </w:trPr>
        <w:tc>
          <w:tcPr>
            <w:tcW w:w="14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April 24, 2015</w:t>
            </w:r>
          </w:p>
        </w:tc>
        <w:tc>
          <w:tcPr>
            <w:tcW w:w="2020" w:type="dxa"/>
            <w:vAlign w:val="bottom"/>
            <w:shd w:val="clear" w:color="auto" w:fill="CCEEFF"/>
          </w:tcPr>
          <w:p>
            <w:pPr>
              <w:ind w:left="500"/>
              <w:spacing w:after="0"/>
              <w:rPr>
                <w:sz w:val="20"/>
                <w:szCs w:val="20"/>
                <w:color w:val="auto"/>
              </w:rPr>
            </w:pPr>
            <w:r>
              <w:rPr>
                <w:rFonts w:ascii="Arial" w:cs="Arial" w:eastAsia="Arial" w:hAnsi="Arial"/>
                <w:sz w:val="16"/>
                <w:szCs w:val="16"/>
                <w:color w:val="auto"/>
              </w:rPr>
              <w:t>Houston Street</w:t>
            </w:r>
          </w:p>
        </w:tc>
        <w:tc>
          <w:tcPr>
            <w:tcW w:w="2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San Antonio, TX</w:t>
            </w:r>
          </w:p>
        </w:tc>
        <w:tc>
          <w:tcPr>
            <w:tcW w:w="1580" w:type="dxa"/>
            <w:vAlign w:val="bottom"/>
            <w:shd w:val="clear" w:color="auto" w:fill="CCEEFF"/>
          </w:tcPr>
          <w:p>
            <w:pPr>
              <w:jc w:val="center"/>
              <w:ind w:left="145"/>
              <w:spacing w:after="0"/>
              <w:rPr>
                <w:sz w:val="20"/>
                <w:szCs w:val="20"/>
                <w:color w:val="auto"/>
              </w:rPr>
            </w:pPr>
            <w:r>
              <w:rPr>
                <w:rFonts w:ascii="Arial" w:cs="Arial" w:eastAsia="Arial" w:hAnsi="Arial"/>
                <w:sz w:val="16"/>
                <w:szCs w:val="16"/>
                <w:color w:val="auto"/>
                <w:w w:val="89"/>
              </w:rPr>
              <w:t>172,000</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11.5</w:t>
            </w:r>
          </w:p>
        </w:tc>
      </w:tr>
      <w:tr>
        <w:trPr>
          <w:trHeight w:val="47"/>
        </w:trPr>
        <w:tc>
          <w:tcPr>
            <w:tcW w:w="148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2080" w:type="dxa"/>
            <w:vAlign w:val="bottom"/>
            <w:shd w:val="clear" w:color="auto" w:fill="CCEEFF"/>
          </w:tcPr>
          <w:p>
            <w:pPr>
              <w:spacing w:after="0"/>
              <w:rPr>
                <w:sz w:val="4"/>
                <w:szCs w:val="4"/>
                <w:color w:val="auto"/>
              </w:rPr>
            </w:pPr>
          </w:p>
        </w:tc>
        <w:tc>
          <w:tcPr>
            <w:tcW w:w="158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742" w:right="239" w:bottom="1440" w:gutter="0" w:footer="0" w:header="0"/>
        </w:sectPr>
      </w:pPr>
    </w:p>
    <w:bookmarkStart w:id="22" w:name="page23"/>
    <w:bookmarkEnd w:id="22"/>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80" w:type="dxa"/>
            <w:vAlign w:val="bottom"/>
          </w:tcPr>
          <w:p>
            <w:pPr>
              <w:spacing w:after="0"/>
              <w:rPr>
                <w:sz w:val="11"/>
                <w:szCs w:val="11"/>
                <w:color w:val="auto"/>
              </w:rPr>
            </w:pPr>
          </w:p>
        </w:tc>
        <w:tc>
          <w:tcPr>
            <w:tcW w:w="58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86"/>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Estate at</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58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Grocery</w:t>
            </w:r>
          </w:p>
        </w:tc>
        <w:tc>
          <w:tcPr>
            <w:tcW w:w="3200" w:type="dxa"/>
            <w:vAlign w:val="bottom"/>
          </w:tcPr>
          <w:p>
            <w:pPr>
              <w:spacing w:after="0"/>
              <w:rPr>
                <w:sz w:val="11"/>
                <w:szCs w:val="11"/>
                <w:color w:val="auto"/>
              </w:rPr>
            </w:pPr>
          </w:p>
        </w:tc>
      </w:tr>
      <w:tr>
        <w:trPr>
          <w:trHeight w:val="174"/>
        </w:trPr>
        <w:tc>
          <w:tcPr>
            <w:tcW w:w="15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Property Name</w:t>
            </w: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MSA Description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Year 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rPr>
              <w:t>(1)</w:t>
            </w: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Leased</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Anchor</w:t>
            </w:r>
          </w:p>
        </w:tc>
        <w:tc>
          <w:tcPr>
            <w:tcW w:w="3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8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8"/>
              </w:rPr>
              <w:t>thousands)</w:t>
            </w:r>
          </w:p>
        </w:tc>
        <w:tc>
          <w:tcPr>
            <w:tcW w:w="80" w:type="dxa"/>
            <w:vAlign w:val="bottom"/>
          </w:tcPr>
          <w:p>
            <w:pPr>
              <w:spacing w:after="0"/>
              <w:rPr>
                <w:sz w:val="11"/>
                <w:szCs w:val="11"/>
                <w:color w:val="auto"/>
              </w:rPr>
            </w:pPr>
          </w:p>
        </w:tc>
        <w:tc>
          <w:tcPr>
            <w:tcW w:w="580" w:type="dxa"/>
            <w:vAlign w:val="bottom"/>
          </w:tcPr>
          <w:p>
            <w:pPr>
              <w:jc w:val="center"/>
              <w:ind w:right="38"/>
              <w:spacing w:after="0"/>
              <w:rPr>
                <w:sz w:val="20"/>
                <w:szCs w:val="20"/>
                <w:color w:val="auto"/>
              </w:rPr>
            </w:pPr>
            <w:r>
              <w:rPr>
                <w:rFonts w:ascii="Arial" w:cs="Arial" w:eastAsia="Arial" w:hAnsi="Arial"/>
                <w:sz w:val="11"/>
                <w:szCs w:val="11"/>
                <w:color w:val="auto"/>
                <w:w w:val="88"/>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Bethesda Row</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1640" w:type="dxa"/>
            <w:vAlign w:val="bottom"/>
            <w:gridSpan w:val="2"/>
          </w:tcPr>
          <w:p>
            <w:pPr>
              <w:jc w:val="right"/>
              <w:ind w:right="57"/>
              <w:spacing w:after="0" w:line="148" w:lineRule="exact"/>
              <w:rPr>
                <w:sz w:val="20"/>
                <w:szCs w:val="20"/>
                <w:color w:val="auto"/>
              </w:rPr>
            </w:pPr>
            <w:r>
              <w:rPr>
                <w:rFonts w:ascii="Arial" w:cs="Arial" w:eastAsia="Arial" w:hAnsi="Arial"/>
                <w:sz w:val="13"/>
                <w:szCs w:val="13"/>
                <w:color w:val="auto"/>
              </w:rPr>
              <w:t>1993- $ 223,411</w:t>
            </w:r>
          </w:p>
        </w:tc>
        <w:tc>
          <w:tcPr>
            <w:tcW w:w="80" w:type="dxa"/>
            <w:vAlign w:val="bottom"/>
          </w:tcPr>
          <w:p>
            <w:pPr>
              <w:jc w:val="right"/>
              <w:spacing w:after="0" w:line="148"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ind w:right="58"/>
              <w:spacing w:after="0" w:line="148"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533,000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40,000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6"/>
              </w:rPr>
              <w:t>Apple Computer / Barnes &amp; Noble / Equinox / Landmark</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w w:val="97"/>
              </w:rPr>
              <w:t>2006/2008/2010</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Theater</w:t>
            </w: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Congressional Plaza</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83,747</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325,000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The Fresh</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Buy Buy Baby / Container Store / Last Call Studio by</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Neiman Marcus</w:t>
            </w: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Courthouse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4,721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35,000</w:t>
            </w:r>
          </w:p>
        </w:tc>
        <w:tc>
          <w:tcPr>
            <w:tcW w:w="500" w:type="dxa"/>
            <w:vAlign w:val="bottom"/>
          </w:tcPr>
          <w:p>
            <w:pPr>
              <w:jc w:val="right"/>
              <w:spacing w:after="0"/>
              <w:rPr>
                <w:sz w:val="20"/>
                <w:szCs w:val="20"/>
                <w:color w:val="auto"/>
              </w:rPr>
            </w:pPr>
            <w:r>
              <w:rPr>
                <w:rFonts w:ascii="Arial" w:cs="Arial" w:eastAsia="Arial" w:hAnsi="Arial"/>
                <w:sz w:val="13"/>
                <w:szCs w:val="13"/>
                <w:color w:val="auto"/>
              </w:rPr>
              <w:t>67%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3"/>
              </w:rPr>
              <w:t>Falls Plaza/Falls Plaza-East</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1967/1972</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13,016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Staples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Federal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65,870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248,000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ind w:left="60"/>
              <w:spacing w:after="0"/>
              <w:rPr>
                <w:sz w:val="20"/>
                <w:szCs w:val="20"/>
                <w:color w:val="auto"/>
              </w:rPr>
            </w:pPr>
            <w:r>
              <w:rPr>
                <w:rFonts w:ascii="Arial" w:cs="Arial" w:eastAsia="Arial" w:hAnsi="Arial"/>
                <w:sz w:val="13"/>
                <w:szCs w:val="13"/>
                <w:color w:val="auto"/>
              </w:rPr>
              <w:t>14,000</w:t>
            </w:r>
          </w:p>
        </w:tc>
        <w:tc>
          <w:tcPr>
            <w:tcW w:w="820" w:type="dxa"/>
            <w:vAlign w:val="bottom"/>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tcPr>
          <w:p>
            <w:pPr>
              <w:ind w:left="60"/>
              <w:spacing w:after="0"/>
              <w:rPr>
                <w:sz w:val="20"/>
                <w:szCs w:val="20"/>
                <w:color w:val="auto"/>
              </w:rPr>
            </w:pPr>
            <w:r>
              <w:rPr>
                <w:rFonts w:ascii="Arial" w:cs="Arial" w:eastAsia="Arial" w:hAnsi="Arial"/>
                <w:sz w:val="13"/>
                <w:szCs w:val="13"/>
                <w:color w:val="auto"/>
              </w:rPr>
              <w:t>TJ Maxx / Micro Center / Ross Dress For Less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Friendship Center</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2001</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37,492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Maggiano's / Nordstrom Rack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Gaithersburg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26,308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207,000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Bed, Bath &amp; Beyond / Ross Dress For Less / Ashley</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Furniture HomeStore</w:t>
            </w: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Graham Park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33,947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Stein Mart</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Idylwood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16,730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30,000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Laurel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53,723</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389,000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Marshalls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Leesburg Plaza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35,855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236,000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ind w:left="60"/>
              <w:spacing w:after="0"/>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tcPr>
          <w:p>
            <w:pPr>
              <w:ind w:left="60"/>
              <w:spacing w:after="0"/>
              <w:rPr>
                <w:sz w:val="20"/>
                <w:szCs w:val="20"/>
                <w:color w:val="auto"/>
              </w:rPr>
            </w:pPr>
            <w:r>
              <w:rPr>
                <w:rFonts w:ascii="Arial" w:cs="Arial" w:eastAsia="Arial" w:hAnsi="Arial"/>
                <w:sz w:val="13"/>
                <w:szCs w:val="13"/>
                <w:color w:val="auto"/>
              </w:rPr>
              <w:t>Petsmart / Pier 1 Imports / Office Depot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Montrose Crossing</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2011/2013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153,558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75,106</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2"/>
              </w:rPr>
              <w:t>Marshalls / Sports Authority / Barnes &amp; Noble / A.C. Moore</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Mount Vernon/South</w:t>
            </w:r>
          </w:p>
        </w:tc>
        <w:tc>
          <w:tcPr>
            <w:tcW w:w="2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2003/2006</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82,593</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569,000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97%</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62,000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Shoppers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w w:val="94"/>
              </w:rPr>
              <w:t>Bed, Bath &amp; Beyond / Michaels / Home Depot / TJ Maxx /</w:t>
            </w:r>
          </w:p>
        </w:tc>
      </w:tr>
      <w:tr>
        <w:trPr>
          <w:trHeight w:val="135"/>
        </w:trPr>
        <w:tc>
          <w:tcPr>
            <w:tcW w:w="1560" w:type="dxa"/>
            <w:vAlign w:val="bottom"/>
            <w:gridSpan w:val="3"/>
          </w:tcPr>
          <w:p>
            <w:pPr>
              <w:ind w:left="40"/>
              <w:spacing w:after="0" w:line="135" w:lineRule="exact"/>
              <w:rPr>
                <w:sz w:val="20"/>
                <w:szCs w:val="20"/>
                <w:color w:val="auto"/>
              </w:rPr>
            </w:pPr>
            <w:r>
              <w:rPr>
                <w:rFonts w:ascii="Arial" w:cs="Arial" w:eastAsia="Arial" w:hAnsi="Arial"/>
                <w:sz w:val="13"/>
                <w:szCs w:val="13"/>
                <w:color w:val="auto"/>
                <w:w w:val="94"/>
              </w:rPr>
              <w:t>Valley/7770 Richmond Hwy</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Food</w:t>
            </w:r>
          </w:p>
        </w:tc>
        <w:tc>
          <w:tcPr>
            <w:tcW w:w="3200" w:type="dxa"/>
            <w:vAlign w:val="bottom"/>
          </w:tcPr>
          <w:p>
            <w:pPr>
              <w:ind w:left="60"/>
              <w:spacing w:after="0" w:line="135" w:lineRule="exact"/>
              <w:rPr>
                <w:sz w:val="20"/>
                <w:szCs w:val="20"/>
                <w:color w:val="auto"/>
              </w:rPr>
            </w:pPr>
            <w:r>
              <w:rPr>
                <w:rFonts w:ascii="Arial" w:cs="Arial" w:eastAsia="Arial" w:hAnsi="Arial"/>
                <w:sz w:val="13"/>
                <w:szCs w:val="13"/>
                <w:color w:val="auto"/>
              </w:rPr>
              <w:t>Gold's Gym / Staples / DSW</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4"/>
                <w:szCs w:val="14"/>
                <w:color w:val="auto"/>
              </w:rPr>
            </w:pPr>
          </w:p>
        </w:tc>
      </w:tr>
      <w:tr>
        <w:trPr>
          <w:trHeight w:val="181"/>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Old Keene Mill</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6,384</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24,000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Walgreens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Pan Am</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28,804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227,000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ind w:left="60"/>
              <w:spacing w:after="0"/>
              <w:rPr>
                <w:sz w:val="20"/>
                <w:szCs w:val="20"/>
                <w:color w:val="auto"/>
              </w:rPr>
            </w:pPr>
            <w:r>
              <w:rPr>
                <w:rFonts w:ascii="Arial" w:cs="Arial" w:eastAsia="Arial" w:hAnsi="Arial"/>
                <w:sz w:val="13"/>
                <w:szCs w:val="13"/>
                <w:color w:val="auto"/>
              </w:rPr>
              <w:t>65,000</w:t>
            </w:r>
          </w:p>
        </w:tc>
        <w:tc>
          <w:tcPr>
            <w:tcW w:w="820" w:type="dxa"/>
            <w:vAlign w:val="bottom"/>
          </w:tcPr>
          <w:p>
            <w:pPr>
              <w:ind w:left="100"/>
              <w:spacing w:after="0"/>
              <w:rPr>
                <w:sz w:val="20"/>
                <w:szCs w:val="20"/>
                <w:color w:val="auto"/>
              </w:rPr>
            </w:pPr>
            <w:r>
              <w:rPr>
                <w:rFonts w:ascii="Arial" w:cs="Arial" w:eastAsia="Arial" w:hAnsi="Arial"/>
                <w:sz w:val="13"/>
                <w:szCs w:val="13"/>
                <w:color w:val="auto"/>
              </w:rPr>
              <w:t>Safeway</w:t>
            </w:r>
          </w:p>
        </w:tc>
        <w:tc>
          <w:tcPr>
            <w:tcW w:w="3200" w:type="dxa"/>
            <w:vAlign w:val="bottom"/>
          </w:tcPr>
          <w:p>
            <w:pPr>
              <w:ind w:left="60"/>
              <w:spacing w:after="0"/>
              <w:rPr>
                <w:sz w:val="20"/>
                <w:szCs w:val="20"/>
                <w:color w:val="auto"/>
              </w:rPr>
            </w:pPr>
            <w:r>
              <w:rPr>
                <w:rFonts w:ascii="Arial" w:cs="Arial" w:eastAsia="Arial" w:hAnsi="Arial"/>
                <w:sz w:val="13"/>
                <w:szCs w:val="13"/>
                <w:color w:val="auto"/>
              </w:rPr>
              <w:t>Micro Center / Michaels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Pentagon Row</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1998/2010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97,660</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L.A. Fitness / Bed, Bath &amp; Beyond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Pike &amp; Rose</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w w:val="97"/>
              </w:rPr>
              <w:t>1982/2007/2012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333,536</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188,000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iPic Theaters / Gap / Gap Kids / Sport &amp; Health</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Pike 7 Plaza</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36,366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DSW / Staples / TJ Maxx</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Quince Orchard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34,200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267,000</w:t>
            </w:r>
          </w:p>
        </w:tc>
        <w:tc>
          <w:tcPr>
            <w:tcW w:w="500" w:type="dxa"/>
            <w:vAlign w:val="bottom"/>
          </w:tcPr>
          <w:p>
            <w:pPr>
              <w:jc w:val="right"/>
              <w:spacing w:after="0"/>
              <w:rPr>
                <w:sz w:val="20"/>
                <w:szCs w:val="20"/>
                <w:color w:val="auto"/>
              </w:rPr>
            </w:pPr>
            <w:r>
              <w:rPr>
                <w:rFonts w:ascii="Arial" w:cs="Arial" w:eastAsia="Arial" w:hAnsi="Arial"/>
                <w:sz w:val="13"/>
                <w:szCs w:val="13"/>
                <w:color w:val="auto"/>
              </w:rPr>
              <w:t>94%</w:t>
            </w:r>
          </w:p>
        </w:tc>
        <w:tc>
          <w:tcPr>
            <w:tcW w:w="580" w:type="dxa"/>
            <w:vAlign w:val="bottom"/>
          </w:tcPr>
          <w:p>
            <w:pPr>
              <w:ind w:left="60"/>
              <w:spacing w:after="0"/>
              <w:rPr>
                <w:sz w:val="20"/>
                <w:szCs w:val="20"/>
                <w:color w:val="auto"/>
              </w:rPr>
            </w:pPr>
            <w:r>
              <w:rPr>
                <w:rFonts w:ascii="Arial" w:cs="Arial" w:eastAsia="Arial" w:hAnsi="Arial"/>
                <w:sz w:val="13"/>
                <w:szCs w:val="13"/>
                <w:color w:val="auto"/>
              </w:rPr>
              <w:t>19,000</w:t>
            </w:r>
          </w:p>
        </w:tc>
        <w:tc>
          <w:tcPr>
            <w:tcW w:w="820" w:type="dxa"/>
            <w:vAlign w:val="bottom"/>
          </w:tcPr>
          <w:p>
            <w:pPr>
              <w:ind w:left="100"/>
              <w:spacing w:after="0"/>
              <w:rPr>
                <w:sz w:val="20"/>
                <w:szCs w:val="20"/>
                <w:color w:val="auto"/>
              </w:rPr>
            </w:pPr>
            <w:r>
              <w:rPr>
                <w:rFonts w:ascii="Arial" w:cs="Arial" w:eastAsia="Arial" w:hAnsi="Arial"/>
                <w:sz w:val="13"/>
                <w:szCs w:val="13"/>
                <w:color w:val="auto"/>
              </w:rPr>
              <w:t>Aldi</w:t>
            </w:r>
          </w:p>
        </w:tc>
        <w:tc>
          <w:tcPr>
            <w:tcW w:w="3200" w:type="dxa"/>
            <w:vAlign w:val="bottom"/>
          </w:tcPr>
          <w:p>
            <w:pPr>
              <w:ind w:left="60"/>
              <w:spacing w:after="0"/>
              <w:rPr>
                <w:sz w:val="20"/>
                <w:szCs w:val="20"/>
                <w:color w:val="auto"/>
              </w:rPr>
            </w:pPr>
            <w:r>
              <w:rPr>
                <w:rFonts w:ascii="Arial" w:cs="Arial" w:eastAsia="Arial" w:hAnsi="Arial"/>
                <w:sz w:val="13"/>
                <w:szCs w:val="13"/>
                <w:color w:val="auto"/>
              </w:rPr>
              <w:t>L.A. Fitness / HomeGoods / Staples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Rockville Town Square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2006-2007</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50,009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4,500</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187,000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 / Gold's Gym</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Rollingwood Apartments</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1971</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9,950</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21,924</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N/A</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Sam's Park &amp; Shop</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1995</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12,506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Petco</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Tower Shopping Center</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21,372</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112,000</w:t>
            </w:r>
          </w:p>
        </w:tc>
        <w:tc>
          <w:tcPr>
            <w:tcW w:w="500" w:type="dxa"/>
            <w:vAlign w:val="bottom"/>
          </w:tcPr>
          <w:p>
            <w:pPr>
              <w:jc w:val="right"/>
              <w:spacing w:after="0"/>
              <w:rPr>
                <w:sz w:val="20"/>
                <w:szCs w:val="20"/>
                <w:color w:val="auto"/>
              </w:rPr>
            </w:pPr>
            <w:r>
              <w:rPr>
                <w:rFonts w:ascii="Arial" w:cs="Arial" w:eastAsia="Arial" w:hAnsi="Arial"/>
                <w:sz w:val="13"/>
                <w:szCs w:val="13"/>
                <w:color w:val="auto"/>
              </w:rPr>
              <w:t>88%</w:t>
            </w:r>
          </w:p>
        </w:tc>
        <w:tc>
          <w:tcPr>
            <w:tcW w:w="580" w:type="dxa"/>
            <w:vAlign w:val="bottom"/>
          </w:tcPr>
          <w:p>
            <w:pPr>
              <w:ind w:left="60"/>
              <w:spacing w:after="0"/>
              <w:rPr>
                <w:sz w:val="20"/>
                <w:szCs w:val="20"/>
                <w:color w:val="auto"/>
              </w:rPr>
            </w:pPr>
            <w:r>
              <w:rPr>
                <w:rFonts w:ascii="Arial" w:cs="Arial" w:eastAsia="Arial" w:hAnsi="Arial"/>
                <w:sz w:val="13"/>
                <w:szCs w:val="13"/>
                <w:color w:val="auto"/>
              </w:rPr>
              <w:t>26,000</w:t>
            </w:r>
          </w:p>
        </w:tc>
        <w:tc>
          <w:tcPr>
            <w:tcW w:w="820" w:type="dxa"/>
            <w:vAlign w:val="bottom"/>
          </w:tcPr>
          <w:p>
            <w:pPr>
              <w:ind w:left="100"/>
              <w:spacing w:after="0"/>
              <w:rPr>
                <w:sz w:val="20"/>
                <w:szCs w:val="20"/>
                <w:color w:val="auto"/>
              </w:rPr>
            </w:pPr>
            <w:r>
              <w:rPr>
                <w:rFonts w:ascii="Arial" w:cs="Arial" w:eastAsia="Arial" w:hAnsi="Arial"/>
                <w:sz w:val="13"/>
                <w:szCs w:val="13"/>
                <w:color w:val="auto"/>
              </w:rPr>
              <w:t>L.A. Mart</w:t>
            </w:r>
          </w:p>
        </w:tc>
        <w:tc>
          <w:tcPr>
            <w:tcW w:w="3200" w:type="dxa"/>
            <w:vAlign w:val="bottom"/>
          </w:tcPr>
          <w:p>
            <w:pPr>
              <w:ind w:left="60"/>
              <w:spacing w:after="0"/>
              <w:rPr>
                <w:sz w:val="20"/>
                <w:szCs w:val="20"/>
                <w:color w:val="auto"/>
              </w:rPr>
            </w:pPr>
            <w:r>
              <w:rPr>
                <w:rFonts w:ascii="Arial" w:cs="Arial" w:eastAsia="Arial" w:hAnsi="Arial"/>
                <w:sz w:val="13"/>
                <w:szCs w:val="13"/>
                <w:color w:val="auto"/>
              </w:rPr>
              <w:t>Talbots / Total Wine &amp; More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Tyson's Station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1978</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4,572</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11,000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7"/>
              </w:rPr>
              <w:t>Trader Joe's</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Village at Shirlington</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tcPr>
          <w:p>
            <w:pPr>
              <w:jc w:val="right"/>
              <w:spacing w:after="0"/>
              <w:rPr>
                <w:sz w:val="20"/>
                <w:szCs w:val="20"/>
                <w:color w:val="auto"/>
              </w:rPr>
            </w:pPr>
            <w:r>
              <w:rPr>
                <w:rFonts w:ascii="Arial" w:cs="Arial" w:eastAsia="Arial" w:hAnsi="Arial"/>
                <w:sz w:val="13"/>
                <w:szCs w:val="13"/>
                <w:color w:val="auto"/>
              </w:rPr>
              <w:t>1995</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60,022</w:t>
            </w:r>
          </w:p>
        </w:tc>
        <w:tc>
          <w:tcPr>
            <w:tcW w:w="80" w:type="dxa"/>
            <w:vAlign w:val="bottom"/>
          </w:tcPr>
          <w:p>
            <w:pPr>
              <w:spacing w:after="0"/>
              <w:rPr>
                <w:sz w:val="15"/>
                <w:szCs w:val="15"/>
                <w:color w:val="auto"/>
              </w:rPr>
            </w:pPr>
          </w:p>
        </w:tc>
        <w:tc>
          <w:tcPr>
            <w:tcW w:w="580" w:type="dxa"/>
            <w:vAlign w:val="bottom"/>
          </w:tcPr>
          <w:p>
            <w:pPr>
              <w:jc w:val="right"/>
              <w:ind w:right="58"/>
              <w:spacing w:after="0"/>
              <w:rPr>
                <w:sz w:val="20"/>
                <w:szCs w:val="20"/>
                <w:color w:val="auto"/>
              </w:rPr>
            </w:pPr>
            <w:r>
              <w:rPr>
                <w:rFonts w:ascii="Arial" w:cs="Arial" w:eastAsia="Arial" w:hAnsi="Arial"/>
                <w:sz w:val="13"/>
                <w:szCs w:val="13"/>
                <w:color w:val="auto"/>
              </w:rPr>
              <w:t>6,515</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261,000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ind w:left="60"/>
              <w:spacing w:after="0"/>
              <w:rPr>
                <w:sz w:val="20"/>
                <w:szCs w:val="20"/>
                <w:color w:val="auto"/>
              </w:rPr>
            </w:pPr>
            <w:r>
              <w:rPr>
                <w:rFonts w:ascii="Arial" w:cs="Arial" w:eastAsia="Arial" w:hAnsi="Arial"/>
                <w:sz w:val="13"/>
                <w:szCs w:val="13"/>
                <w:color w:val="auto"/>
              </w:rPr>
              <w:t>28,000</w:t>
            </w:r>
          </w:p>
        </w:tc>
        <w:tc>
          <w:tcPr>
            <w:tcW w:w="820" w:type="dxa"/>
            <w:vAlign w:val="bottom"/>
          </w:tcPr>
          <w:p>
            <w:pPr>
              <w:ind w:left="100"/>
              <w:spacing w:after="0"/>
              <w:rPr>
                <w:sz w:val="20"/>
                <w:szCs w:val="20"/>
                <w:color w:val="auto"/>
              </w:rPr>
            </w:pPr>
            <w:r>
              <w:rPr>
                <w:rFonts w:ascii="Arial" w:cs="Arial" w:eastAsia="Arial" w:hAnsi="Arial"/>
                <w:sz w:val="13"/>
                <w:szCs w:val="13"/>
                <w:color w:val="auto"/>
                <w:w w:val="92"/>
              </w:rPr>
              <w:t>Harris Teeter</w:t>
            </w:r>
          </w:p>
        </w:tc>
        <w:tc>
          <w:tcPr>
            <w:tcW w:w="3200" w:type="dxa"/>
            <w:vAlign w:val="bottom"/>
          </w:tcPr>
          <w:p>
            <w:pPr>
              <w:ind w:left="60"/>
              <w:spacing w:after="0"/>
              <w:rPr>
                <w:sz w:val="20"/>
                <w:szCs w:val="20"/>
                <w:color w:val="auto"/>
              </w:rPr>
            </w:pPr>
            <w:r>
              <w:rPr>
                <w:rFonts w:ascii="Arial" w:cs="Arial" w:eastAsia="Arial" w:hAnsi="Arial"/>
                <w:sz w:val="13"/>
                <w:szCs w:val="13"/>
                <w:color w:val="auto"/>
              </w:rPr>
              <w:t>AMC Loews / Carlyle Grand Café</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Wildwood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9"/>
              </w:rPr>
              <w:t>Washington, DC-MD-VA</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1969</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18,716</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22,062</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20,000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Balducci's</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Washington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w w:val="89"/>
              </w:rPr>
              <w:t>1,545,068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5,480,000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860" w:type="dxa"/>
            <w:vAlign w:val="bottom"/>
            <w:gridSpan w:val="5"/>
            <w:shd w:val="clear" w:color="auto" w:fill="CCEEFF"/>
          </w:tcPr>
          <w:p>
            <w:pPr>
              <w:jc w:val="right"/>
              <w:ind w:right="80"/>
              <w:spacing w:after="0"/>
              <w:rPr>
                <w:sz w:val="20"/>
                <w:szCs w:val="20"/>
                <w:color w:val="auto"/>
              </w:rPr>
            </w:pPr>
            <w:r>
              <w:rPr>
                <w:rFonts w:ascii="Arial" w:cs="Arial" w:eastAsia="Arial" w:hAnsi="Arial"/>
                <w:sz w:val="13"/>
                <w:szCs w:val="13"/>
                <w:b w:val="1"/>
                <w:bCs w:val="1"/>
                <w:color w:val="auto"/>
                <w:w w:val="92"/>
              </w:rPr>
              <w:t>Philadelphia Metropolitan Area</w:t>
            </w: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Andorra</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25,639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265,000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24,000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Acme</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Kohl's / Staples / L.A. Fitness</w:t>
            </w: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Bala Cynwyd</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40,456</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45,000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Lord &amp; Taylor / L.A. Fitness / Michaels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Ellisburg</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1992</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34,509</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268,000</w:t>
            </w:r>
          </w:p>
        </w:tc>
        <w:tc>
          <w:tcPr>
            <w:tcW w:w="500" w:type="dxa"/>
            <w:vAlign w:val="bottom"/>
          </w:tcPr>
          <w:p>
            <w:pPr>
              <w:jc w:val="right"/>
              <w:spacing w:after="0"/>
              <w:rPr>
                <w:sz w:val="20"/>
                <w:szCs w:val="20"/>
                <w:color w:val="auto"/>
              </w:rPr>
            </w:pPr>
            <w:r>
              <w:rPr>
                <w:rFonts w:ascii="Arial" w:cs="Arial" w:eastAsia="Arial" w:hAnsi="Arial"/>
                <w:sz w:val="13"/>
                <w:szCs w:val="13"/>
                <w:color w:val="auto"/>
              </w:rPr>
              <w:t>97%</w:t>
            </w:r>
          </w:p>
        </w:tc>
        <w:tc>
          <w:tcPr>
            <w:tcW w:w="580" w:type="dxa"/>
            <w:vAlign w:val="bottom"/>
          </w:tcPr>
          <w:p>
            <w:pPr>
              <w:ind w:left="60"/>
              <w:spacing w:after="0"/>
              <w:rPr>
                <w:sz w:val="20"/>
                <w:szCs w:val="20"/>
                <w:color w:val="auto"/>
              </w:rPr>
            </w:pPr>
            <w:r>
              <w:rPr>
                <w:rFonts w:ascii="Arial" w:cs="Arial" w:eastAsia="Arial" w:hAnsi="Arial"/>
                <w:sz w:val="13"/>
                <w:szCs w:val="13"/>
                <w:color w:val="auto"/>
              </w:rPr>
              <w:t>47,000</w:t>
            </w:r>
          </w:p>
        </w:tc>
        <w:tc>
          <w:tcPr>
            <w:tcW w:w="820" w:type="dxa"/>
            <w:vAlign w:val="bottom"/>
          </w:tcPr>
          <w:p>
            <w:pPr>
              <w:ind w:left="100"/>
              <w:spacing w:after="0"/>
              <w:rPr>
                <w:sz w:val="20"/>
                <w:szCs w:val="20"/>
                <w:color w:val="auto"/>
              </w:rPr>
            </w:pPr>
            <w:r>
              <w:rPr>
                <w:rFonts w:ascii="Arial" w:cs="Arial" w:eastAsia="Arial" w:hAnsi="Arial"/>
                <w:sz w:val="13"/>
                <w:szCs w:val="13"/>
                <w:color w:val="auto"/>
                <w:w w:val="91"/>
              </w:rPr>
              <w:t>Whole Foods</w:t>
            </w:r>
          </w:p>
        </w:tc>
        <w:tc>
          <w:tcPr>
            <w:tcW w:w="3200" w:type="dxa"/>
            <w:vAlign w:val="bottom"/>
          </w:tcPr>
          <w:p>
            <w:pPr>
              <w:ind w:left="60"/>
              <w:spacing w:after="0"/>
              <w:rPr>
                <w:sz w:val="20"/>
                <w:szCs w:val="20"/>
                <w:color w:val="auto"/>
              </w:rPr>
            </w:pPr>
            <w:r>
              <w:rPr>
                <w:rFonts w:ascii="Arial" w:cs="Arial" w:eastAsia="Arial" w:hAnsi="Arial"/>
                <w:sz w:val="13"/>
                <w:szCs w:val="13"/>
                <w:color w:val="auto"/>
              </w:rPr>
              <w:t>Buy Buy Baby / Stein Mart</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Flourtown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15,438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160,000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spacing w:after="0"/>
              <w:rPr>
                <w:sz w:val="15"/>
                <w:szCs w:val="15"/>
                <w:color w:val="auto"/>
              </w:rPr>
            </w:pP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Langhorne Square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21,749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219,000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92%</w:t>
            </w:r>
          </w:p>
        </w:tc>
        <w:tc>
          <w:tcPr>
            <w:tcW w:w="58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100"/>
              <w:spacing w:after="0" w:line="148" w:lineRule="exact"/>
              <w:rPr>
                <w:sz w:val="20"/>
                <w:szCs w:val="20"/>
                <w:color w:val="auto"/>
              </w:rPr>
            </w:pPr>
            <w:r>
              <w:rPr>
                <w:rFonts w:ascii="Arial" w:cs="Arial" w:eastAsia="Arial" w:hAnsi="Arial"/>
                <w:sz w:val="13"/>
                <w:szCs w:val="13"/>
                <w:color w:val="auto"/>
              </w:rPr>
              <w:t>Redner's</w:t>
            </w: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Marshalls</w:t>
            </w:r>
          </w:p>
        </w:tc>
      </w:tr>
      <w:tr>
        <w:trPr>
          <w:trHeight w:val="135"/>
        </w:trPr>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3"/>
                <w:szCs w:val="13"/>
                <w:color w:val="auto"/>
              </w:rPr>
              <w:t>Warehouse</w:t>
            </w:r>
          </w:p>
        </w:tc>
        <w:tc>
          <w:tcPr>
            <w:tcW w:w="3200" w:type="dxa"/>
            <w:vAlign w:val="bottom"/>
          </w:tcPr>
          <w:p>
            <w:pPr>
              <w:spacing w:after="0"/>
              <w:rPr>
                <w:sz w:val="11"/>
                <w:szCs w:val="11"/>
                <w:color w:val="auto"/>
              </w:rPr>
            </w:pPr>
          </w:p>
        </w:tc>
      </w:tr>
      <w:tr>
        <w:trPr>
          <w:trHeight w:val="168"/>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ind w:left="100"/>
              <w:spacing w:after="0"/>
              <w:rPr>
                <w:sz w:val="20"/>
                <w:szCs w:val="20"/>
                <w:color w:val="auto"/>
              </w:rPr>
            </w:pPr>
            <w:r>
              <w:rPr>
                <w:rFonts w:ascii="Arial" w:cs="Arial" w:eastAsia="Arial" w:hAnsi="Arial"/>
                <w:sz w:val="13"/>
                <w:szCs w:val="13"/>
                <w:color w:val="auto"/>
              </w:rPr>
              <w:t>Mkts.</w:t>
            </w:r>
          </w:p>
        </w:tc>
        <w:tc>
          <w:tcPr>
            <w:tcW w:w="3200" w:type="dxa"/>
            <w:vAlign w:val="bottom"/>
          </w:tcPr>
          <w:p>
            <w:pPr>
              <w:spacing w:after="0"/>
              <w:rPr>
                <w:sz w:val="14"/>
                <w:szCs w:val="14"/>
                <w:color w:val="auto"/>
              </w:rPr>
            </w:pPr>
          </w:p>
        </w:tc>
      </w:tr>
      <w:tr>
        <w:trPr>
          <w:trHeight w:val="156"/>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Lawrence Park</w:t>
            </w: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32,033</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25,099</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364,000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53,000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Acme</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Kaplan Career Institute / TJ Maxx / HomeGoods</w:t>
            </w:r>
          </w:p>
        </w:tc>
      </w:tr>
      <w:tr>
        <w:trPr>
          <w:trHeight w:val="176"/>
        </w:trPr>
        <w:tc>
          <w:tcPr>
            <w:tcW w:w="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Markets</w:t>
            </w:r>
          </w:p>
        </w:tc>
        <w:tc>
          <w:tcPr>
            <w:tcW w:w="3200" w:type="dxa"/>
            <w:vAlign w:val="bottom"/>
            <w:shd w:val="clear" w:color="auto" w:fill="CCEEFF"/>
          </w:tcPr>
          <w:p>
            <w:pPr>
              <w:spacing w:after="0"/>
              <w:rPr>
                <w:sz w:val="15"/>
                <w:szCs w:val="15"/>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Northeast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1983</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24,825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288,000</w:t>
            </w:r>
          </w:p>
        </w:tc>
        <w:tc>
          <w:tcPr>
            <w:tcW w:w="500" w:type="dxa"/>
            <w:vAlign w:val="bottom"/>
          </w:tcPr>
          <w:p>
            <w:pPr>
              <w:jc w:val="right"/>
              <w:spacing w:after="0"/>
              <w:rPr>
                <w:sz w:val="20"/>
                <w:szCs w:val="20"/>
                <w:color w:val="auto"/>
              </w:rPr>
            </w:pPr>
            <w:r>
              <w:rPr>
                <w:rFonts w:ascii="Arial" w:cs="Arial" w:eastAsia="Arial" w:hAnsi="Arial"/>
                <w:sz w:val="13"/>
                <w:szCs w:val="13"/>
                <w:color w:val="auto"/>
              </w:rPr>
              <w:t>89%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Burlington Coat Factory / Home Gallery / Marshalls</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4"/>
              </w:rPr>
              <w:t>Town Center of New Britain</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14,769</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124,000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36,000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Rite Aid</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73"/>
        </w:trPr>
        <w:tc>
          <w:tcPr>
            <w:tcW w:w="1560" w:type="dxa"/>
            <w:vAlign w:val="bottom"/>
            <w:gridSpan w:val="3"/>
          </w:tcPr>
          <w:p>
            <w:pPr>
              <w:ind w:left="40"/>
              <w:spacing w:after="0"/>
              <w:rPr>
                <w:sz w:val="20"/>
                <w:szCs w:val="20"/>
                <w:color w:val="auto"/>
              </w:rPr>
            </w:pPr>
            <w:r>
              <w:rPr>
                <w:rFonts w:ascii="Arial" w:cs="Arial" w:eastAsia="Arial" w:hAnsi="Arial"/>
                <w:sz w:val="13"/>
                <w:szCs w:val="13"/>
                <w:color w:val="auto"/>
              </w:rPr>
              <w:t>Willow Grove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tcPr>
          <w:p>
            <w:pPr>
              <w:jc w:val="right"/>
              <w:spacing w:after="0"/>
              <w:rPr>
                <w:sz w:val="20"/>
                <w:szCs w:val="20"/>
                <w:color w:val="auto"/>
              </w:rPr>
            </w:pPr>
            <w:r>
              <w:rPr>
                <w:rFonts w:ascii="Arial" w:cs="Arial" w:eastAsia="Arial" w:hAnsi="Arial"/>
                <w:sz w:val="13"/>
                <w:szCs w:val="13"/>
                <w:color w:val="auto"/>
              </w:rPr>
              <w:t>1984</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29,971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tcPr>
          <w:p>
            <w:pPr>
              <w:jc w:val="right"/>
              <w:spacing w:after="0"/>
              <w:rPr>
                <w:sz w:val="20"/>
                <w:szCs w:val="20"/>
                <w:color w:val="auto"/>
              </w:rPr>
            </w:pPr>
            <w:r>
              <w:rPr>
                <w:rFonts w:ascii="Arial" w:cs="Arial" w:eastAsia="Arial" w:hAnsi="Arial"/>
                <w:sz w:val="13"/>
                <w:szCs w:val="13"/>
                <w:color w:val="auto"/>
              </w:rPr>
              <w:t>99%</w:t>
            </w: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60"/>
              <w:spacing w:after="0"/>
              <w:rPr>
                <w:sz w:val="20"/>
                <w:szCs w:val="20"/>
                <w:color w:val="auto"/>
              </w:rPr>
            </w:pPr>
            <w:r>
              <w:rPr>
                <w:rFonts w:ascii="Arial" w:cs="Arial" w:eastAsia="Arial" w:hAnsi="Arial"/>
                <w:sz w:val="13"/>
                <w:szCs w:val="13"/>
                <w:color w:val="auto"/>
              </w:rPr>
              <w:t>HomeGoods / Marshalls / Barnes &amp; Noble</w:t>
            </w:r>
          </w:p>
        </w:tc>
      </w:tr>
      <w:tr>
        <w:trPr>
          <w:trHeight w:val="97"/>
        </w:trPr>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0" w:type="dxa"/>
            <w:vAlign w:val="bottom"/>
          </w:tcPr>
          <w:p>
            <w:pPr>
              <w:spacing w:after="0"/>
              <w:rPr>
                <w:sz w:val="8"/>
                <w:szCs w:val="8"/>
                <w:color w:val="auto"/>
              </w:rPr>
            </w:pPr>
          </w:p>
        </w:tc>
      </w:tr>
      <w:tr>
        <w:trPr>
          <w:trHeight w:val="173"/>
        </w:trPr>
        <w:tc>
          <w:tcPr>
            <w:tcW w:w="15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Wynnewood</w:t>
            </w: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00" w:type="dxa"/>
            <w:vAlign w:val="bottom"/>
            <w:shd w:val="clear" w:color="auto" w:fill="CCEEFF"/>
          </w:tcPr>
          <w:p>
            <w:pPr>
              <w:ind w:left="80"/>
              <w:spacing w:after="0"/>
              <w:rPr>
                <w:sz w:val="20"/>
                <w:szCs w:val="20"/>
                <w:color w:val="auto"/>
              </w:rPr>
            </w:pPr>
            <w:r>
              <w:rPr>
                <w:rFonts w:ascii="Arial" w:cs="Arial" w:eastAsia="Arial" w:hAnsi="Arial"/>
                <w:sz w:val="13"/>
                <w:szCs w:val="13"/>
                <w:color w:val="auto"/>
              </w:rPr>
              <w:t>Philadelphia, PA-NJ</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41,647</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25,579</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580" w:type="dxa"/>
            <w:vAlign w:val="bottom"/>
            <w:shd w:val="clear" w:color="auto" w:fill="CCEEFF"/>
          </w:tcPr>
          <w:p>
            <w:pPr>
              <w:ind w:left="60"/>
              <w:spacing w:after="0"/>
              <w:rPr>
                <w:sz w:val="20"/>
                <w:szCs w:val="20"/>
                <w:color w:val="auto"/>
              </w:rPr>
            </w:pPr>
            <w:r>
              <w:rPr>
                <w:rFonts w:ascii="Arial" w:cs="Arial" w:eastAsia="Arial" w:hAnsi="Arial"/>
                <w:sz w:val="13"/>
                <w:szCs w:val="13"/>
                <w:color w:val="auto"/>
              </w:rPr>
              <w:t>98,000</w:t>
            </w:r>
          </w:p>
        </w:tc>
        <w:tc>
          <w:tcPr>
            <w:tcW w:w="8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Giant Food</w:t>
            </w:r>
          </w:p>
        </w:tc>
        <w:tc>
          <w:tcPr>
            <w:tcW w:w="3200" w:type="dxa"/>
            <w:vAlign w:val="bottom"/>
            <w:shd w:val="clear" w:color="auto" w:fill="CCEEFF"/>
          </w:tcPr>
          <w:p>
            <w:pPr>
              <w:ind w:left="60"/>
              <w:spacing w:after="0"/>
              <w:rPr>
                <w:sz w:val="20"/>
                <w:szCs w:val="20"/>
                <w:color w:val="auto"/>
              </w:rPr>
            </w:pPr>
            <w:r>
              <w:rPr>
                <w:rFonts w:ascii="Arial" w:cs="Arial" w:eastAsia="Arial" w:hAnsi="Arial"/>
                <w:sz w:val="13"/>
                <w:szCs w:val="13"/>
                <w:color w:val="auto"/>
              </w:rPr>
              <w:t>Bed, Bath &amp; Beyond / Old Navy / DSW</w:t>
            </w:r>
          </w:p>
        </w:tc>
      </w:tr>
      <w:tr>
        <w:trPr>
          <w:trHeight w:val="97"/>
        </w:trPr>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480" w:type="dxa"/>
            <w:vAlign w:val="bottom"/>
            <w:gridSpan w:val="2"/>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0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2"/>
          </w:tcPr>
          <w:p>
            <w:pPr>
              <w:ind w:left="80"/>
              <w:spacing w:after="0"/>
              <w:rPr>
                <w:sz w:val="20"/>
                <w:szCs w:val="20"/>
                <w:color w:val="auto"/>
              </w:rPr>
            </w:pPr>
            <w:r>
              <w:rPr>
                <w:rFonts w:ascii="Arial" w:cs="Arial" w:eastAsia="Arial" w:hAnsi="Arial"/>
                <w:sz w:val="13"/>
                <w:szCs w:val="13"/>
                <w:b w:val="1"/>
                <w:bCs w:val="1"/>
                <w:color w:val="auto"/>
              </w:rPr>
              <w:t>Total Philadelphia Metropolitan Area</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281,036</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2,445,000</w:t>
            </w:r>
          </w:p>
        </w:tc>
        <w:tc>
          <w:tcPr>
            <w:tcW w:w="500" w:type="dxa"/>
            <w:vAlign w:val="bottom"/>
          </w:tcPr>
          <w:p>
            <w:pPr>
              <w:jc w:val="right"/>
              <w:spacing w:after="0"/>
              <w:rPr>
                <w:sz w:val="20"/>
                <w:szCs w:val="20"/>
                <w:color w:val="auto"/>
              </w:rPr>
            </w:pPr>
            <w:r>
              <w:rPr>
                <w:rFonts w:ascii="Arial" w:cs="Arial" w:eastAsia="Arial" w:hAnsi="Arial"/>
                <w:sz w:val="13"/>
                <w:szCs w:val="13"/>
                <w:color w:val="auto"/>
              </w:rPr>
              <w:t>95%</w:t>
            </w: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9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California</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500" w:type="dxa"/>
            <w:vAlign w:val="bottom"/>
            <w:tcBorders>
              <w:top w:val="single" w:sz="8" w:color="CCEEFF"/>
            </w:tcBorders>
            <w:shd w:val="clear" w:color="auto" w:fill="CCEEFF"/>
          </w:tcPr>
          <w:p>
            <w:pPr>
              <w:spacing w:after="0"/>
              <w:rPr>
                <w:sz w:val="8"/>
                <w:szCs w:val="8"/>
                <w:color w:val="auto"/>
              </w:rPr>
            </w:pPr>
          </w:p>
        </w:tc>
        <w:tc>
          <w:tcPr>
            <w:tcW w:w="9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820" w:type="dxa"/>
            <w:vAlign w:val="bottom"/>
            <w:tcBorders>
              <w:top w:val="single" w:sz="8" w:color="CCEEFF"/>
            </w:tcBorders>
            <w:shd w:val="clear" w:color="auto" w:fill="CCEEFF"/>
          </w:tcPr>
          <w:p>
            <w:pPr>
              <w:spacing w:after="0"/>
              <w:rPr>
                <w:sz w:val="8"/>
                <w:szCs w:val="8"/>
                <w:color w:val="auto"/>
              </w:rPr>
            </w:pPr>
          </w:p>
        </w:tc>
        <w:tc>
          <w:tcPr>
            <w:tcW w:w="3200" w:type="dxa"/>
            <w:vAlign w:val="bottom"/>
            <w:tcBorders>
              <w:top w:val="single" w:sz="8" w:color="CCEEFF"/>
            </w:tcBorders>
            <w:shd w:val="clear" w:color="auto" w:fill="CCEEFF"/>
          </w:tcPr>
          <w:p>
            <w:pPr>
              <w:spacing w:after="0"/>
              <w:rPr>
                <w:sz w:val="8"/>
                <w:szCs w:val="8"/>
                <w:color w:val="auto"/>
              </w:rPr>
            </w:pPr>
          </w:p>
        </w:tc>
      </w:tr>
      <w:tr>
        <w:trPr>
          <w:trHeight w:val="148"/>
        </w:trPr>
        <w:tc>
          <w:tcPr>
            <w:tcW w:w="1560" w:type="dxa"/>
            <w:vAlign w:val="bottom"/>
            <w:gridSpan w:val="3"/>
          </w:tcPr>
          <w:p>
            <w:pPr>
              <w:ind w:left="40"/>
              <w:spacing w:after="0" w:line="148" w:lineRule="exact"/>
              <w:rPr>
                <w:sz w:val="20"/>
                <w:szCs w:val="20"/>
                <w:color w:val="auto"/>
              </w:rPr>
            </w:pPr>
            <w:r>
              <w:rPr>
                <w:rFonts w:ascii="Arial" w:cs="Arial" w:eastAsia="Arial" w:hAnsi="Arial"/>
                <w:sz w:val="13"/>
                <w:szCs w:val="13"/>
                <w:color w:val="auto"/>
              </w:rPr>
              <w:t>Colorado Blvd</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ind w:left="80"/>
              <w:spacing w:after="0" w:line="148" w:lineRule="exact"/>
              <w:rPr>
                <w:sz w:val="20"/>
                <w:szCs w:val="20"/>
                <w:color w:val="auto"/>
              </w:rPr>
            </w:pPr>
            <w:r>
              <w:rPr>
                <w:rFonts w:ascii="Arial" w:cs="Arial" w:eastAsia="Arial" w:hAnsi="Arial"/>
                <w:sz w:val="13"/>
                <w:szCs w:val="13"/>
                <w:color w:val="auto"/>
                <w:w w:val="94"/>
              </w:rPr>
              <w:t>Los Angeles-Long Beach,</w:t>
            </w:r>
          </w:p>
        </w:tc>
        <w:tc>
          <w:tcPr>
            <w:tcW w:w="980" w:type="dxa"/>
            <w:vAlign w:val="bottom"/>
          </w:tcPr>
          <w:p>
            <w:pPr>
              <w:jc w:val="right"/>
              <w:spacing w:after="0" w:line="148" w:lineRule="exact"/>
              <w:rPr>
                <w:sz w:val="20"/>
                <w:szCs w:val="20"/>
                <w:color w:val="auto"/>
              </w:rPr>
            </w:pPr>
            <w:r>
              <w:rPr>
                <w:rFonts w:ascii="Arial" w:cs="Arial" w:eastAsia="Arial" w:hAnsi="Arial"/>
                <w:sz w:val="13"/>
                <w:szCs w:val="13"/>
                <w:color w:val="auto"/>
              </w:rPr>
              <w:t>1996/1998</w:t>
            </w:r>
          </w:p>
        </w:tc>
        <w:tc>
          <w:tcPr>
            <w:tcW w:w="660" w:type="dxa"/>
            <w:vAlign w:val="bottom"/>
          </w:tcPr>
          <w:p>
            <w:pPr>
              <w:jc w:val="right"/>
              <w:ind w:right="57"/>
              <w:spacing w:after="0" w:line="148" w:lineRule="exact"/>
              <w:rPr>
                <w:sz w:val="20"/>
                <w:szCs w:val="20"/>
                <w:color w:val="auto"/>
              </w:rPr>
            </w:pPr>
            <w:r>
              <w:rPr>
                <w:rFonts w:ascii="Arial" w:cs="Arial" w:eastAsia="Arial" w:hAnsi="Arial"/>
                <w:sz w:val="13"/>
                <w:szCs w:val="13"/>
                <w:color w:val="auto"/>
              </w:rPr>
              <w:t>17,997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0" w:type="dxa"/>
            <w:vAlign w:val="bottom"/>
          </w:tcPr>
          <w:p>
            <w:pPr>
              <w:ind w:left="60"/>
              <w:spacing w:after="0" w:line="148" w:lineRule="exact"/>
              <w:rPr>
                <w:sz w:val="20"/>
                <w:szCs w:val="20"/>
                <w:color w:val="auto"/>
              </w:rPr>
            </w:pPr>
            <w:r>
              <w:rPr>
                <w:rFonts w:ascii="Arial" w:cs="Arial" w:eastAsia="Arial" w:hAnsi="Arial"/>
                <w:sz w:val="13"/>
                <w:szCs w:val="13"/>
                <w:color w:val="auto"/>
              </w:rPr>
              <w:t>Pottery Barn / Banana Republic</w:t>
            </w:r>
          </w:p>
        </w:tc>
      </w:tr>
      <w:tr>
        <w:trPr>
          <w:trHeight w:val="160"/>
        </w:trPr>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tcPr>
          <w:p>
            <w:pPr>
              <w:ind w:left="80"/>
              <w:spacing w:after="0"/>
              <w:rPr>
                <w:sz w:val="20"/>
                <w:szCs w:val="20"/>
                <w:color w:val="auto"/>
              </w:rPr>
            </w:pPr>
            <w:r>
              <w:rPr>
                <w:rFonts w:ascii="Arial" w:cs="Arial" w:eastAsia="Arial" w:hAnsi="Arial"/>
                <w:sz w:val="13"/>
                <w:szCs w:val="13"/>
                <w:color w:val="auto"/>
              </w:rPr>
              <w:t>CA</w:t>
            </w:r>
          </w:p>
        </w:tc>
        <w:tc>
          <w:tcPr>
            <w:tcW w:w="9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0" w:type="dxa"/>
            <w:vAlign w:val="bottom"/>
          </w:tcPr>
          <w:p>
            <w:pPr>
              <w:spacing w:after="0"/>
              <w:rPr>
                <w:sz w:val="13"/>
                <w:szCs w:val="13"/>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082"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7" w:right="239" w:bottom="1082" w:gutter="0" w:footer="0" w:header="0"/>
          <w:type w:val="continuous"/>
        </w:sectPr>
      </w:pPr>
    </w:p>
    <w:bookmarkStart w:id="23" w:name="page24"/>
    <w:bookmarkEnd w:id="23"/>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Real</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Grocery</w:t>
            </w: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Estate at</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20" w:type="dxa"/>
            <w:vAlign w:val="bottom"/>
          </w:tcPr>
          <w:p>
            <w:pPr>
              <w:spacing w:after="0"/>
              <w:rPr>
                <w:sz w:val="11"/>
                <w:szCs w:val="11"/>
                <w:color w:val="auto"/>
              </w:rPr>
            </w:pPr>
          </w:p>
        </w:tc>
        <w:tc>
          <w:tcPr>
            <w:tcW w:w="5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4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80" w:type="dxa"/>
            <w:vAlign w:val="bottom"/>
          </w:tcPr>
          <w:p>
            <w:pPr>
              <w:spacing w:after="0"/>
              <w:rPr>
                <w:sz w:val="11"/>
                <w:szCs w:val="11"/>
                <w:color w:val="auto"/>
              </w:rPr>
            </w:pPr>
          </w:p>
        </w:tc>
      </w:tr>
      <w:tr>
        <w:trPr>
          <w:trHeight w:val="174"/>
        </w:trPr>
        <w:tc>
          <w:tcPr>
            <w:tcW w:w="150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5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MSA Description</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GLA (2)</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173"/>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Crow Canyon Commons</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Ramon,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2005/2007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87,025</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241,000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32,000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Sprouts</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Rite Aid / Sports Authority</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East Bay Bridge</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Francisco-Oakland-</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2012</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172,420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438,000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59,000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Pak-N-Save</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Home Depot / Michaels / Target</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Fremont,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Escondido Promenade</w:t>
            </w:r>
          </w:p>
        </w:tc>
        <w:tc>
          <w:tcPr>
            <w:tcW w:w="500" w:type="dxa"/>
            <w:vAlign w:val="bottom"/>
            <w:shd w:val="clear" w:color="auto" w:fill="CCEEFF"/>
          </w:tcPr>
          <w:p>
            <w:pPr>
              <w:jc w:val="center"/>
              <w:ind w:left="17"/>
              <w:spacing w:after="0"/>
              <w:rPr>
                <w:sz w:val="20"/>
                <w:szCs w:val="20"/>
                <w:color w:val="auto"/>
              </w:rPr>
            </w:pPr>
            <w:r>
              <w:rPr>
                <w:rFonts w:ascii="Arial" w:cs="Arial" w:eastAsia="Arial" w:hAnsi="Arial"/>
                <w:sz w:val="13"/>
                <w:szCs w:val="13"/>
                <w:color w:val="auto"/>
                <w:w w:val="87"/>
              </w:rPr>
              <w:t>(3)</w:t>
            </w: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Diego,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1996/2010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47,076</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298,000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TJ Maxx / Toys R Us / Dick’s Sporting Goods / Ross Dress For</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Less</w:t>
            </w: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Hermosa Avenue</w:t>
            </w:r>
          </w:p>
        </w:tc>
        <w:tc>
          <w:tcPr>
            <w:tcW w:w="50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5,901</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24,000</w:t>
            </w:r>
          </w:p>
        </w:tc>
        <w:tc>
          <w:tcPr>
            <w:tcW w:w="50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80" w:type="dxa"/>
            <w:vAlign w:val="bottom"/>
          </w:tcPr>
          <w:p>
            <w:pPr>
              <w:spacing w:after="0"/>
              <w:rPr>
                <w:sz w:val="15"/>
                <w:szCs w:val="15"/>
                <w:color w:val="auto"/>
              </w:rPr>
            </w:pP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96"/>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Hollywood Blvd</w:t>
            </w:r>
          </w:p>
        </w:tc>
        <w:tc>
          <w:tcPr>
            <w:tcW w:w="50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3"/>
                <w:szCs w:val="13"/>
                <w:color w:val="auto"/>
                <w:w w:val="87"/>
              </w:rPr>
              <w:t>(3)</w:t>
            </w: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1999</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47,014</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184,000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4"/>
              </w:rPr>
              <w:t>Fresh &amp; Easy</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DSW / L.A. Fitness / Marshalls / La La Land</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Kings Court</w:t>
            </w:r>
          </w:p>
        </w:tc>
        <w:tc>
          <w:tcPr>
            <w:tcW w:w="500" w:type="dxa"/>
            <w:vAlign w:val="bottom"/>
          </w:tcPr>
          <w:p>
            <w:pPr>
              <w:jc w:val="center"/>
              <w:ind w:left="17"/>
              <w:spacing w:after="0" w:line="148" w:lineRule="exact"/>
              <w:rPr>
                <w:sz w:val="20"/>
                <w:szCs w:val="20"/>
                <w:color w:val="auto"/>
              </w:rPr>
            </w:pPr>
            <w:r>
              <w:rPr>
                <w:rFonts w:ascii="Arial" w:cs="Arial" w:eastAsia="Arial" w:hAnsi="Arial"/>
                <w:sz w:val="13"/>
                <w:szCs w:val="13"/>
                <w:color w:val="auto"/>
                <w:w w:val="87"/>
              </w:rPr>
              <w:t>(5)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1998</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11,609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80,000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25,000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Lunardi's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CVS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w w:val="94"/>
              </w:rPr>
              <w:t>Super Market</w:t>
            </w: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Old Town Center</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37,741</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95,000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Anthropologie / Banana Republic / Gap</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Plaza El Segundo</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w w:val="90"/>
              </w:rPr>
              <w:t>(3) (7)</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89"/>
              </w:rPr>
              <w:t>Los Angeles-Long Beach,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264,960</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175,000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381,000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66,000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w w:val="96"/>
              </w:rPr>
              <w:t>Whole Foods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4"/>
              </w:rPr>
              <w:t>Anthropologie / Best Buy / Container Store / Dick's Sporting</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Goods / H&amp;M / HomeGoods</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Santana Row</w:t>
            </w: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Jose, CA</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711,093</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649,000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0"/>
              </w:rPr>
              <w:t>Crate &amp; Barrel / Container Store / Best Buy / CineArts Theatre</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Hotel Valencia / H&amp;M</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San Antonio Center</w:t>
            </w:r>
          </w:p>
        </w:tc>
        <w:tc>
          <w:tcPr>
            <w:tcW w:w="50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 (5)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3"/>
              </w:rPr>
              <w:t>San Francisco-Oakland-San</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72,449</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18,353</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96%</w:t>
            </w:r>
          </w:p>
        </w:tc>
        <w:tc>
          <w:tcPr>
            <w:tcW w:w="600" w:type="dxa"/>
            <w:vAlign w:val="bottom"/>
          </w:tcPr>
          <w:p>
            <w:pPr>
              <w:ind w:left="80"/>
              <w:spacing w:after="0" w:line="148" w:lineRule="exact"/>
              <w:rPr>
                <w:sz w:val="20"/>
                <w:szCs w:val="20"/>
                <w:color w:val="auto"/>
              </w:rPr>
            </w:pPr>
            <w:r>
              <w:rPr>
                <w:rFonts w:ascii="Arial" w:cs="Arial" w:eastAsia="Arial" w:hAnsi="Arial"/>
                <w:sz w:val="13"/>
                <w:szCs w:val="13"/>
                <w:color w:val="auto"/>
              </w:rPr>
              <w:t>11,000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Trader Joe's</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Kohl's / Wal-mart / 24 Hour Fitness / Jo-Ann Stores</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Jose, CA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Third Street Promenade</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89"/>
              </w:rPr>
              <w:t>Los Angeles-Long Beach, CA</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1996-2000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78,463</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209,000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w w:val="92"/>
              </w:rPr>
              <w:t>J. Crew / Banana Republic / Old Navy / Abercrombie &amp; Fitch</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Westgate Center</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San Jose, CA</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144,263</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643,000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38,000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Walmart</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9"/>
              </w:rPr>
              <w:t>Target / Burlington Coat Factory / Ross Dress For Less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3"/>
                <w:szCs w:val="13"/>
                <w:color w:val="auto"/>
                <w:w w:val="90"/>
              </w:rPr>
              <w:t>Neighborhood</w:t>
            </w: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w w:val="97"/>
              </w:rPr>
              <w:t>Michaels / Nordstrom Rack / Nike Factory / J. Crew / Gap</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3"/>
                <w:szCs w:val="13"/>
                <w:color w:val="auto"/>
              </w:rPr>
              <w:t>Market</w:t>
            </w:r>
          </w:p>
        </w:tc>
        <w:tc>
          <w:tcPr>
            <w:tcW w:w="3280" w:type="dxa"/>
            <w:vAlign w:val="bottom"/>
          </w:tcPr>
          <w:p>
            <w:pPr>
              <w:ind w:left="40"/>
              <w:spacing w:after="0"/>
              <w:rPr>
                <w:sz w:val="20"/>
                <w:szCs w:val="20"/>
                <w:color w:val="auto"/>
              </w:rPr>
            </w:pPr>
            <w:r>
              <w:rPr>
                <w:rFonts w:ascii="Arial" w:cs="Arial" w:eastAsia="Arial" w:hAnsi="Arial"/>
                <w:sz w:val="13"/>
                <w:szCs w:val="13"/>
                <w:color w:val="auto"/>
              </w:rPr>
              <w:t>Factory Store</w:t>
            </w:r>
          </w:p>
        </w:tc>
      </w:tr>
      <w:tr>
        <w:trPr>
          <w:trHeight w:val="181"/>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150 Post Street</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San Francisco, CA</w:t>
            </w:r>
          </w:p>
        </w:tc>
        <w:tc>
          <w:tcPr>
            <w:tcW w:w="68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w w:val="89"/>
              </w:rPr>
              <w:t>1997</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36,527</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105,000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H&amp;M</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tcBorders>
              <w:bottom w:val="single" w:sz="8" w:color="auto"/>
            </w:tcBorders>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rPr>
              <w:t>Total California</w:t>
            </w:r>
          </w:p>
        </w:tc>
        <w:tc>
          <w:tcPr>
            <w:tcW w:w="6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1,734,538</w:t>
            </w:r>
          </w:p>
        </w:tc>
        <w:tc>
          <w:tcPr>
            <w:tcW w:w="660" w:type="dxa"/>
            <w:vAlign w:val="bottom"/>
          </w:tcPr>
          <w:p>
            <w:pPr>
              <w:spacing w:after="0"/>
              <w:rPr>
                <w:sz w:val="14"/>
                <w:szCs w:val="14"/>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w w:val="89"/>
              </w:rPr>
              <w:t>3,792,000</w:t>
            </w:r>
          </w:p>
        </w:tc>
        <w:tc>
          <w:tcPr>
            <w:tcW w:w="500" w:type="dxa"/>
            <w:vAlign w:val="bottom"/>
          </w:tcPr>
          <w:p>
            <w:pPr>
              <w:jc w:val="right"/>
              <w:spacing w:after="0"/>
              <w:rPr>
                <w:sz w:val="20"/>
                <w:szCs w:val="20"/>
                <w:color w:val="auto"/>
              </w:rPr>
            </w:pPr>
            <w:r>
              <w:rPr>
                <w:rFonts w:ascii="Arial" w:cs="Arial" w:eastAsia="Arial" w:hAnsi="Arial"/>
                <w:sz w:val="13"/>
                <w:szCs w:val="13"/>
                <w:color w:val="auto"/>
              </w:rPr>
              <w:t>98%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w w:val="98"/>
              </w:rPr>
              <w:t>NY Metro / New Jersey</w:t>
            </w:r>
          </w:p>
        </w:tc>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CCEEFF"/>
            </w:tcBorders>
            <w:shd w:val="clear" w:color="auto" w:fill="CCEEFF"/>
          </w:tcPr>
          <w:p>
            <w:pPr>
              <w:spacing w:after="0"/>
              <w:rPr>
                <w:sz w:val="8"/>
                <w:szCs w:val="8"/>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Brick Plaza</w:t>
            </w:r>
          </w:p>
        </w:tc>
        <w:tc>
          <w:tcPr>
            <w:tcW w:w="50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Monmouth-Ocean, NJ</w:t>
            </w:r>
          </w:p>
        </w:tc>
        <w:tc>
          <w:tcPr>
            <w:tcW w:w="680" w:type="dxa"/>
            <w:vAlign w:val="bottom"/>
          </w:tcPr>
          <w:p>
            <w:pPr>
              <w:jc w:val="right"/>
              <w:spacing w:after="0"/>
              <w:rPr>
                <w:sz w:val="20"/>
                <w:szCs w:val="20"/>
                <w:color w:val="auto"/>
              </w:rPr>
            </w:pPr>
            <w:r>
              <w:rPr>
                <w:rFonts w:ascii="Arial" w:cs="Arial" w:eastAsia="Arial" w:hAnsi="Arial"/>
                <w:sz w:val="13"/>
                <w:szCs w:val="13"/>
                <w:color w:val="auto"/>
              </w:rPr>
              <w:t>1989</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60,739</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25,971</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422,000</w:t>
            </w:r>
          </w:p>
        </w:tc>
        <w:tc>
          <w:tcPr>
            <w:tcW w:w="500" w:type="dxa"/>
            <w:vAlign w:val="bottom"/>
          </w:tcPr>
          <w:p>
            <w:pPr>
              <w:jc w:val="right"/>
              <w:spacing w:after="0"/>
              <w:rPr>
                <w:sz w:val="20"/>
                <w:szCs w:val="20"/>
                <w:color w:val="auto"/>
              </w:rPr>
            </w:pPr>
            <w:r>
              <w:rPr>
                <w:rFonts w:ascii="Arial" w:cs="Arial" w:eastAsia="Arial" w:hAnsi="Arial"/>
                <w:sz w:val="13"/>
                <w:szCs w:val="13"/>
                <w:color w:val="auto"/>
              </w:rPr>
              <w:t>90%</w:t>
            </w:r>
          </w:p>
        </w:tc>
        <w:tc>
          <w:tcPr>
            <w:tcW w:w="600" w:type="dxa"/>
            <w:vAlign w:val="bottom"/>
          </w:tcPr>
          <w:p>
            <w:pPr>
              <w:ind w:left="60"/>
              <w:spacing w:after="0"/>
              <w:rPr>
                <w:sz w:val="20"/>
                <w:szCs w:val="20"/>
                <w:color w:val="auto"/>
              </w:rPr>
            </w:pPr>
            <w:r>
              <w:rPr>
                <w:rFonts w:ascii="Arial" w:cs="Arial" w:eastAsia="Arial" w:hAnsi="Arial"/>
                <w:sz w:val="13"/>
                <w:szCs w:val="13"/>
                <w:color w:val="auto"/>
              </w:rPr>
              <w:t>66,000</w:t>
            </w:r>
          </w:p>
        </w:tc>
        <w:tc>
          <w:tcPr>
            <w:tcW w:w="840" w:type="dxa"/>
            <w:vAlign w:val="bottom"/>
          </w:tcPr>
          <w:p>
            <w:pPr>
              <w:ind w:left="80"/>
              <w:spacing w:after="0"/>
              <w:rPr>
                <w:sz w:val="20"/>
                <w:szCs w:val="20"/>
                <w:color w:val="auto"/>
              </w:rPr>
            </w:pPr>
            <w:r>
              <w:rPr>
                <w:rFonts w:ascii="Arial" w:cs="Arial" w:eastAsia="Arial" w:hAnsi="Arial"/>
                <w:sz w:val="13"/>
                <w:szCs w:val="13"/>
                <w:color w:val="auto"/>
              </w:rPr>
              <w:t>A&amp;P</w:t>
            </w:r>
          </w:p>
        </w:tc>
        <w:tc>
          <w:tcPr>
            <w:tcW w:w="3280" w:type="dxa"/>
            <w:vAlign w:val="bottom"/>
          </w:tcPr>
          <w:p>
            <w:pPr>
              <w:ind w:left="40"/>
              <w:spacing w:after="0"/>
              <w:rPr>
                <w:sz w:val="20"/>
                <w:szCs w:val="20"/>
                <w:color w:val="auto"/>
              </w:rPr>
            </w:pPr>
            <w:r>
              <w:rPr>
                <w:rFonts w:ascii="Arial" w:cs="Arial" w:eastAsia="Arial" w:hAnsi="Arial"/>
                <w:sz w:val="13"/>
                <w:szCs w:val="13"/>
                <w:color w:val="auto"/>
              </w:rPr>
              <w:t>AMC Loews / Barnes &amp; Noble / Sports Authority</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Brook 35</w:t>
            </w:r>
          </w:p>
        </w:tc>
        <w:tc>
          <w:tcPr>
            <w:tcW w:w="500" w:type="dxa"/>
            <w:vAlign w:val="bottom"/>
            <w:shd w:val="clear" w:color="auto" w:fill="CCEEFF"/>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46,558</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11,500</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98,000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6"/>
              </w:rPr>
              <w:t>Ann Taylor / Banana Republic / Coach / Williams-Sonoma</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5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80" w:type="dxa"/>
            <w:vAlign w:val="bottom"/>
            <w:shd w:val="clear" w:color="auto" w:fill="CCEEFF"/>
          </w:tcPr>
          <w:p>
            <w:pPr>
              <w:spacing w:after="0"/>
              <w:rPr>
                <w:sz w:val="11"/>
                <w:szCs w:val="11"/>
                <w:color w:val="auto"/>
              </w:rPr>
            </w:pP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PA</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Darien</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48,196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95,000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95%</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45,000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Equinox</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Fresh Meadows</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 York,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80,186</w:t>
            </w:r>
          </w:p>
        </w:tc>
        <w:tc>
          <w:tcPr>
            <w:tcW w:w="66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404,000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15,000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w w:val="92"/>
              </w:rPr>
              <w:t>Island of Gold</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AMC Loews / Kohl's / Michaels / Modell's</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Greenwich Avenue</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Haven-Bridgeport-</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1995</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13,969</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rPr>
              <w:t>Saks Fifth Avenue</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Stamford-Waterbury</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0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Hauppauge</w:t>
            </w:r>
          </w:p>
        </w:tc>
        <w:tc>
          <w:tcPr>
            <w:tcW w:w="5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1998</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28,478</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13,349</w:t>
            </w: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134,000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61,000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Shop Rite</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A.C. Moore</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Huntington</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1988/2007</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43,760</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279,000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3"/>
              </w:rPr>
              <w:t>Buy Buy Baby / Bed, Bath &amp; Beyond / Michaels / Nordstrom</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Rack</w:t>
            </w:r>
          </w:p>
        </w:tc>
      </w:tr>
      <w:tr>
        <w:trPr>
          <w:trHeight w:val="181"/>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Huntington Square</w:t>
            </w: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12,216</w:t>
            </w: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Barnes &amp; Noble</w:t>
            </w:r>
          </w:p>
        </w:tc>
      </w:tr>
      <w:tr>
        <w:trPr>
          <w:trHeight w:val="97"/>
        </w:trPr>
        <w:tc>
          <w:tcPr>
            <w:tcW w:w="4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3280" w:type="dxa"/>
            <w:vAlign w:val="bottom"/>
            <w:shd w:val="clear" w:color="auto" w:fill="CCEEFF"/>
          </w:tcPr>
          <w:p>
            <w:pPr>
              <w:spacing w:after="0"/>
              <w:rPr>
                <w:sz w:val="8"/>
                <w:szCs w:val="8"/>
                <w:color w:val="auto"/>
              </w:rPr>
            </w:pPr>
          </w:p>
        </w:tc>
      </w:tr>
      <w:tr>
        <w:trPr>
          <w:trHeight w:val="173"/>
        </w:trPr>
        <w:tc>
          <w:tcPr>
            <w:tcW w:w="1500" w:type="dxa"/>
            <w:vAlign w:val="bottom"/>
            <w:gridSpan w:val="4"/>
          </w:tcPr>
          <w:p>
            <w:pPr>
              <w:ind w:left="40"/>
              <w:spacing w:after="0"/>
              <w:rPr>
                <w:sz w:val="20"/>
                <w:szCs w:val="20"/>
                <w:color w:val="auto"/>
              </w:rPr>
            </w:pPr>
            <w:r>
              <w:rPr>
                <w:rFonts w:ascii="Arial" w:cs="Arial" w:eastAsia="Arial" w:hAnsi="Arial"/>
                <w:sz w:val="13"/>
                <w:szCs w:val="13"/>
                <w:color w:val="auto"/>
              </w:rPr>
              <w:t>Melville Mall</w:t>
            </w:r>
          </w:p>
        </w:tc>
        <w:tc>
          <w:tcPr>
            <w:tcW w:w="500" w:type="dxa"/>
            <w:vAlign w:val="bottom"/>
          </w:tcPr>
          <w:p>
            <w:pPr>
              <w:spacing w:after="0"/>
              <w:rPr>
                <w:sz w:val="15"/>
                <w:szCs w:val="15"/>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Nassau-Suffolk, NY</w:t>
            </w:r>
          </w:p>
        </w:tc>
        <w:tc>
          <w:tcPr>
            <w:tcW w:w="680" w:type="dxa"/>
            <w:vAlign w:val="bottom"/>
          </w:tcPr>
          <w:p>
            <w:pPr>
              <w:jc w:val="right"/>
              <w:spacing w:after="0"/>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71,178</w:t>
            </w:r>
          </w:p>
        </w:tc>
        <w:tc>
          <w:tcPr>
            <w:tcW w:w="660" w:type="dxa"/>
            <w:vAlign w:val="bottom"/>
          </w:tcPr>
          <w:p>
            <w:pPr>
              <w:spacing w:after="0"/>
              <w:rPr>
                <w:sz w:val="15"/>
                <w:szCs w:val="15"/>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247,000</w:t>
            </w:r>
          </w:p>
        </w:tc>
        <w:tc>
          <w:tcPr>
            <w:tcW w:w="500" w:type="dxa"/>
            <w:vAlign w:val="bottom"/>
          </w:tcPr>
          <w:p>
            <w:pPr>
              <w:jc w:val="right"/>
              <w:spacing w:after="0"/>
              <w:rPr>
                <w:sz w:val="20"/>
                <w:szCs w:val="20"/>
                <w:color w:val="auto"/>
              </w:rPr>
            </w:pPr>
            <w:r>
              <w:rPr>
                <w:rFonts w:ascii="Arial" w:cs="Arial" w:eastAsia="Arial" w:hAnsi="Arial"/>
                <w:sz w:val="13"/>
                <w:szCs w:val="13"/>
                <w:color w:val="auto"/>
              </w:rPr>
              <w:t>76%</w:t>
            </w:r>
          </w:p>
        </w:tc>
        <w:tc>
          <w:tcPr>
            <w:tcW w:w="600" w:type="dxa"/>
            <w:vAlign w:val="bottom"/>
          </w:tcPr>
          <w:p>
            <w:pPr>
              <w:ind w:left="60"/>
              <w:spacing w:after="0"/>
              <w:rPr>
                <w:sz w:val="20"/>
                <w:szCs w:val="20"/>
                <w:color w:val="auto"/>
              </w:rPr>
            </w:pPr>
            <w:r>
              <w:rPr>
                <w:rFonts w:ascii="Arial" w:cs="Arial" w:eastAsia="Arial" w:hAnsi="Arial"/>
                <w:sz w:val="13"/>
                <w:szCs w:val="13"/>
                <w:color w:val="auto"/>
              </w:rPr>
              <w:t>54,000</w:t>
            </w:r>
          </w:p>
        </w:tc>
        <w:tc>
          <w:tcPr>
            <w:tcW w:w="840" w:type="dxa"/>
            <w:vAlign w:val="bottom"/>
          </w:tcPr>
          <w:p>
            <w:pPr>
              <w:ind w:left="80"/>
              <w:spacing w:after="0"/>
              <w:rPr>
                <w:sz w:val="20"/>
                <w:szCs w:val="20"/>
                <w:color w:val="auto"/>
              </w:rPr>
            </w:pPr>
            <w:r>
              <w:rPr>
                <w:rFonts w:ascii="Arial" w:cs="Arial" w:eastAsia="Arial" w:hAnsi="Arial"/>
                <w:sz w:val="13"/>
                <w:szCs w:val="13"/>
                <w:color w:val="auto"/>
              </w:rPr>
              <w:t>Waldbaum's</w:t>
            </w:r>
          </w:p>
        </w:tc>
        <w:tc>
          <w:tcPr>
            <w:tcW w:w="3280" w:type="dxa"/>
            <w:vAlign w:val="bottom"/>
          </w:tcPr>
          <w:p>
            <w:pPr>
              <w:ind w:left="40"/>
              <w:spacing w:after="0"/>
              <w:rPr>
                <w:sz w:val="20"/>
                <w:szCs w:val="20"/>
                <w:color w:val="auto"/>
              </w:rPr>
            </w:pPr>
            <w:r>
              <w:rPr>
                <w:rFonts w:ascii="Arial" w:cs="Arial" w:eastAsia="Arial" w:hAnsi="Arial"/>
                <w:sz w:val="13"/>
                <w:szCs w:val="13"/>
                <w:color w:val="auto"/>
              </w:rPr>
              <w:t>Dick’s Sporting Goods / Marshalls</w:t>
            </w:r>
          </w:p>
        </w:tc>
      </w:tr>
      <w:tr>
        <w:trPr>
          <w:trHeight w:val="43"/>
        </w:trPr>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80" w:type="dxa"/>
            <w:vAlign w:val="bottom"/>
          </w:tcPr>
          <w:p>
            <w:pPr>
              <w:spacing w:after="0"/>
              <w:rPr>
                <w:sz w:val="3"/>
                <w:szCs w:val="3"/>
                <w:color w:val="auto"/>
              </w:rPr>
            </w:pPr>
          </w:p>
        </w:tc>
      </w:tr>
      <w:tr>
        <w:trPr>
          <w:trHeight w:val="148"/>
        </w:trPr>
        <w:tc>
          <w:tcPr>
            <w:tcW w:w="1500" w:type="dxa"/>
            <w:vAlign w:val="bottom"/>
            <w:gridSpan w:val="4"/>
            <w:shd w:val="clear" w:color="auto" w:fill="CCEEFF"/>
          </w:tcPr>
          <w:p>
            <w:pPr>
              <w:ind w:left="40"/>
              <w:spacing w:after="0" w:line="148" w:lineRule="exact"/>
              <w:rPr>
                <w:sz w:val="20"/>
                <w:szCs w:val="20"/>
                <w:color w:val="auto"/>
              </w:rPr>
            </w:pPr>
            <w:r>
              <w:rPr>
                <w:rFonts w:ascii="Arial" w:cs="Arial" w:eastAsia="Arial" w:hAnsi="Arial"/>
                <w:sz w:val="13"/>
                <w:szCs w:val="13"/>
                <w:color w:val="auto"/>
              </w:rPr>
              <w:t>Mercer Mall</w:t>
            </w:r>
          </w:p>
        </w:tc>
        <w:tc>
          <w:tcPr>
            <w:tcW w:w="500" w:type="dxa"/>
            <w:vAlign w:val="bottom"/>
            <w:shd w:val="clear" w:color="auto" w:fill="CCEEFF"/>
          </w:tcPr>
          <w:p>
            <w:pPr>
              <w:jc w:val="center"/>
              <w:ind w:left="17"/>
              <w:spacing w:after="0" w:line="148" w:lineRule="exact"/>
              <w:rPr>
                <w:sz w:val="20"/>
                <w:szCs w:val="20"/>
                <w:color w:val="auto"/>
              </w:rPr>
            </w:pPr>
            <w:r>
              <w:rPr>
                <w:rFonts w:ascii="Arial" w:cs="Arial" w:eastAsia="Arial" w:hAnsi="Arial"/>
                <w:sz w:val="13"/>
                <w:szCs w:val="13"/>
                <w:color w:val="auto"/>
                <w:w w:val="87"/>
              </w:rPr>
              <w:t>(6)</w:t>
            </w:r>
          </w:p>
        </w:tc>
        <w:tc>
          <w:tcPr>
            <w:tcW w:w="15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rPr>
              <w:t>Trenton, NJ</w:t>
            </w: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2003</w:t>
            </w:r>
          </w:p>
        </w:tc>
        <w:tc>
          <w:tcPr>
            <w:tcW w:w="66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118,428</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55,711</w:t>
            </w:r>
          </w:p>
        </w:tc>
        <w:tc>
          <w:tcPr>
            <w:tcW w:w="62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523,000</w:t>
            </w:r>
          </w:p>
        </w:tc>
        <w:tc>
          <w:tcPr>
            <w:tcW w:w="5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75,000</w:t>
            </w:r>
          </w:p>
        </w:tc>
        <w:tc>
          <w:tcPr>
            <w:tcW w:w="84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Shop Rite</w:t>
            </w:r>
          </w:p>
        </w:tc>
        <w:tc>
          <w:tcPr>
            <w:tcW w:w="3280" w:type="dxa"/>
            <w:vAlign w:val="bottom"/>
            <w:shd w:val="clear" w:color="auto" w:fill="CCEEFF"/>
          </w:tcPr>
          <w:p>
            <w:pPr>
              <w:ind w:left="40"/>
              <w:spacing w:after="0" w:line="148" w:lineRule="exact"/>
              <w:rPr>
                <w:sz w:val="20"/>
                <w:szCs w:val="20"/>
                <w:color w:val="auto"/>
              </w:rPr>
            </w:pPr>
            <w:r>
              <w:rPr>
                <w:rFonts w:ascii="Arial" w:cs="Arial" w:eastAsia="Arial" w:hAnsi="Arial"/>
                <w:sz w:val="13"/>
                <w:szCs w:val="13"/>
                <w:color w:val="auto"/>
                <w:w w:val="92"/>
              </w:rPr>
              <w:t>Bed, Bath &amp; Beyond / DSW / TJ Maxx / Raymour &amp; Flanigan</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 Nordstrom Rack / REI</w:t>
            </w: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7"/>
              </w:rPr>
              <w:t>The Grove at Shrewsbury</w:t>
            </w:r>
          </w:p>
        </w:tc>
        <w:tc>
          <w:tcPr>
            <w:tcW w:w="500" w:type="dxa"/>
            <w:vAlign w:val="bottom"/>
          </w:tcPr>
          <w:p>
            <w:pPr>
              <w:jc w:val="center"/>
              <w:spacing w:after="0" w:line="148" w:lineRule="exact"/>
              <w:rPr>
                <w:sz w:val="20"/>
                <w:szCs w:val="20"/>
                <w:color w:val="auto"/>
              </w:rPr>
            </w:pPr>
            <w:r>
              <w:rPr>
                <w:rFonts w:ascii="Arial" w:cs="Arial" w:eastAsia="Arial" w:hAnsi="Arial"/>
                <w:sz w:val="13"/>
                <w:szCs w:val="13"/>
                <w:color w:val="auto"/>
                <w:w w:val="90"/>
              </w:rPr>
              <w:t>(3) (5)</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rPr>
              <w:t>New York-Northern New</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2014</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121,664</w:t>
            </w:r>
          </w:p>
        </w:tc>
        <w:tc>
          <w:tcPr>
            <w:tcW w:w="660" w:type="dxa"/>
            <w:vAlign w:val="bottom"/>
          </w:tcPr>
          <w:p>
            <w:pPr>
              <w:jc w:val="right"/>
              <w:ind w:right="38"/>
              <w:spacing w:after="0" w:line="148" w:lineRule="exact"/>
              <w:rPr>
                <w:sz w:val="20"/>
                <w:szCs w:val="20"/>
                <w:color w:val="auto"/>
              </w:rPr>
            </w:pPr>
            <w:r>
              <w:rPr>
                <w:rFonts w:ascii="Arial" w:cs="Arial" w:eastAsia="Arial" w:hAnsi="Arial"/>
                <w:sz w:val="13"/>
                <w:szCs w:val="13"/>
                <w:color w:val="auto"/>
              </w:rPr>
              <w:t>55,180</w:t>
            </w: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192,000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3"/>
              </w:rPr>
              <w:t>Lululemon / Brooks Brothers / Anthropologie / Pottery Barn /</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580" w:type="dxa"/>
            <w:vAlign w:val="bottom"/>
          </w:tcPr>
          <w:p>
            <w:pPr>
              <w:ind w:left="40"/>
              <w:spacing w:after="0" w:line="135" w:lineRule="exact"/>
              <w:rPr>
                <w:sz w:val="20"/>
                <w:szCs w:val="20"/>
                <w:color w:val="auto"/>
              </w:rPr>
            </w:pPr>
            <w:r>
              <w:rPr>
                <w:rFonts w:ascii="Arial" w:cs="Arial" w:eastAsia="Arial" w:hAnsi="Arial"/>
                <w:sz w:val="13"/>
                <w:szCs w:val="13"/>
                <w:color w:val="auto"/>
                <w:w w:val="95"/>
              </w:rPr>
              <w:t>Jersey-Long Island, NY-NJ-</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rPr>
              <w:t>J. Crew / Banana Republic / Williams-Sonoma</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PA</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224"/>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3"/>
                <w:szCs w:val="13"/>
                <w:color w:val="auto"/>
              </w:rPr>
              <w:t>Troy</w:t>
            </w:r>
          </w:p>
        </w:tc>
        <w:tc>
          <w:tcPr>
            <w:tcW w:w="5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Newark, NJ</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6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29,945</w:t>
            </w:r>
          </w:p>
        </w:tc>
        <w:tc>
          <w:tcPr>
            <w:tcW w:w="6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211,000</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64,000</w:t>
            </w:r>
          </w:p>
        </w:tc>
        <w:tc>
          <w:tcPr>
            <w:tcW w:w="8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Pathmark</w:t>
            </w:r>
          </w:p>
        </w:tc>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L.A. Fitness</w:t>
            </w:r>
          </w:p>
        </w:tc>
      </w:tr>
      <w:tr>
        <w:trPr>
          <w:trHeight w:val="167"/>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b w:val="1"/>
                <w:bCs w:val="1"/>
                <w:color w:val="auto"/>
                <w:w w:val="91"/>
              </w:rPr>
              <w:t>Total NY Metro/New Jersey</w:t>
            </w:r>
          </w:p>
        </w:tc>
        <w:tc>
          <w:tcPr>
            <w:tcW w:w="680" w:type="dxa"/>
            <w:vAlign w:val="bottom"/>
          </w:tcPr>
          <w:p>
            <w:pPr>
              <w:spacing w:after="0"/>
              <w:rPr>
                <w:sz w:val="14"/>
                <w:szCs w:val="14"/>
                <w:color w:val="auto"/>
              </w:rPr>
            </w:pPr>
          </w:p>
        </w:tc>
        <w:tc>
          <w:tcPr>
            <w:tcW w:w="6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675,317</w:t>
            </w:r>
          </w:p>
        </w:tc>
        <w:tc>
          <w:tcPr>
            <w:tcW w:w="660" w:type="dxa"/>
            <w:vAlign w:val="bottom"/>
          </w:tcPr>
          <w:p>
            <w:pPr>
              <w:spacing w:after="0"/>
              <w:rPr>
                <w:sz w:val="14"/>
                <w:szCs w:val="14"/>
                <w:color w:val="auto"/>
              </w:rPr>
            </w:pPr>
          </w:p>
        </w:tc>
        <w:tc>
          <w:tcPr>
            <w:tcW w:w="6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w w:val="89"/>
              </w:rPr>
              <w:t>2,715,000</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80" w:type="dxa"/>
            <w:vAlign w:val="bottom"/>
          </w:tcPr>
          <w:p>
            <w:pPr>
              <w:spacing w:after="0"/>
              <w:rPr>
                <w:sz w:val="7"/>
                <w:szCs w:val="7"/>
                <w:color w:val="auto"/>
              </w:rPr>
            </w:pPr>
          </w:p>
        </w:tc>
      </w:tr>
      <w:tr>
        <w:trPr>
          <w:trHeight w:val="149"/>
        </w:trPr>
        <w:tc>
          <w:tcPr>
            <w:tcW w:w="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ind w:left="60"/>
              <w:spacing w:after="0"/>
              <w:rPr>
                <w:sz w:val="20"/>
                <w:szCs w:val="20"/>
                <w:color w:val="auto"/>
              </w:rPr>
            </w:pPr>
            <w:r>
              <w:rPr>
                <w:rFonts w:ascii="Arial" w:cs="Arial" w:eastAsia="Arial" w:hAnsi="Arial"/>
                <w:sz w:val="13"/>
                <w:szCs w:val="13"/>
                <w:b w:val="1"/>
                <w:bCs w:val="1"/>
                <w:color w:val="auto"/>
              </w:rPr>
              <w:t>New England</w:t>
            </w:r>
          </w:p>
        </w:tc>
        <w:tc>
          <w:tcPr>
            <w:tcW w:w="50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54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CCEEFF"/>
            </w:tcBorders>
            <w:shd w:val="clear" w:color="auto" w:fill="CCEEFF"/>
          </w:tcPr>
          <w:p>
            <w:pPr>
              <w:spacing w:after="0"/>
              <w:rPr>
                <w:sz w:val="8"/>
                <w:szCs w:val="8"/>
                <w:color w:val="auto"/>
              </w:rPr>
            </w:pPr>
          </w:p>
        </w:tc>
        <w:tc>
          <w:tcPr>
            <w:tcW w:w="840" w:type="dxa"/>
            <w:vAlign w:val="bottom"/>
            <w:tcBorders>
              <w:top w:val="single" w:sz="8" w:color="CCEEFF"/>
            </w:tcBorders>
            <w:shd w:val="clear" w:color="auto" w:fill="CCEEFF"/>
          </w:tcPr>
          <w:p>
            <w:pPr>
              <w:spacing w:after="0"/>
              <w:rPr>
                <w:sz w:val="8"/>
                <w:szCs w:val="8"/>
                <w:color w:val="auto"/>
              </w:rPr>
            </w:pPr>
          </w:p>
        </w:tc>
        <w:tc>
          <w:tcPr>
            <w:tcW w:w="3280" w:type="dxa"/>
            <w:vAlign w:val="bottom"/>
            <w:tcBorders>
              <w:top w:val="single" w:sz="8" w:color="CCEEFF"/>
            </w:tcBorders>
            <w:shd w:val="clear" w:color="auto" w:fill="CCEEFF"/>
          </w:tcPr>
          <w:p>
            <w:pPr>
              <w:spacing w:after="0"/>
              <w:rPr>
                <w:sz w:val="8"/>
                <w:szCs w:val="8"/>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w w:val="93"/>
              </w:rPr>
              <w:t>Assembly Row / Assembly</w:t>
            </w:r>
          </w:p>
        </w:tc>
        <w:tc>
          <w:tcPr>
            <w:tcW w:w="500" w:type="dxa"/>
            <w:vAlign w:val="bottom"/>
          </w:tcPr>
          <w:p>
            <w:pPr>
              <w:jc w:val="center"/>
              <w:ind w:left="17"/>
              <w:spacing w:after="0" w:line="148" w:lineRule="exact"/>
              <w:rPr>
                <w:sz w:val="20"/>
                <w:szCs w:val="20"/>
                <w:color w:val="auto"/>
              </w:rPr>
            </w:pPr>
            <w:r>
              <w:rPr>
                <w:rFonts w:ascii="Arial" w:cs="Arial" w:eastAsia="Arial" w:hAnsi="Arial"/>
                <w:sz w:val="13"/>
                <w:szCs w:val="13"/>
                <w:color w:val="auto"/>
                <w:w w:val="87"/>
              </w:rPr>
              <w:t>(4)</w:t>
            </w: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w w:val="97"/>
              </w:rPr>
              <w:t>2005-2011,</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455,254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696,000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99%</w:t>
            </w: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80" w:type="dxa"/>
            <w:vAlign w:val="bottom"/>
          </w:tcPr>
          <w:p>
            <w:pPr>
              <w:ind w:left="40"/>
              <w:spacing w:after="0" w:line="148" w:lineRule="exact"/>
              <w:rPr>
                <w:sz w:val="20"/>
                <w:szCs w:val="20"/>
                <w:color w:val="auto"/>
              </w:rPr>
            </w:pPr>
            <w:r>
              <w:rPr>
                <w:rFonts w:ascii="Arial" w:cs="Arial" w:eastAsia="Arial" w:hAnsi="Arial"/>
                <w:sz w:val="13"/>
                <w:szCs w:val="13"/>
                <w:color w:val="auto"/>
                <w:w w:val="95"/>
              </w:rPr>
              <w:t>AMC Theatres / LEGOLAND Discovery Center / Saks Fifth</w:t>
            </w:r>
          </w:p>
        </w:tc>
      </w:tr>
      <w:tr>
        <w:trPr>
          <w:trHeight w:val="135"/>
        </w:trPr>
        <w:tc>
          <w:tcPr>
            <w:tcW w:w="1500" w:type="dxa"/>
            <w:vAlign w:val="bottom"/>
            <w:gridSpan w:val="4"/>
          </w:tcPr>
          <w:p>
            <w:pPr>
              <w:ind w:left="40"/>
              <w:spacing w:after="0" w:line="135" w:lineRule="exact"/>
              <w:rPr>
                <w:sz w:val="20"/>
                <w:szCs w:val="20"/>
                <w:color w:val="auto"/>
              </w:rPr>
            </w:pPr>
            <w:r>
              <w:rPr>
                <w:rFonts w:ascii="Arial" w:cs="Arial" w:eastAsia="Arial" w:hAnsi="Arial"/>
                <w:sz w:val="13"/>
                <w:szCs w:val="13"/>
                <w:color w:val="auto"/>
              </w:rPr>
              <w:t>Square Marketplace</w:t>
            </w:r>
          </w:p>
        </w:tc>
        <w:tc>
          <w:tcPr>
            <w:tcW w:w="500" w:type="dxa"/>
            <w:vAlign w:val="bottom"/>
          </w:tcPr>
          <w:p>
            <w:pPr>
              <w:spacing w:after="0"/>
              <w:rPr>
                <w:sz w:val="11"/>
                <w:szCs w:val="11"/>
                <w:color w:val="auto"/>
              </w:rPr>
            </w:pPr>
          </w:p>
        </w:tc>
        <w:tc>
          <w:tcPr>
            <w:tcW w:w="1580" w:type="dxa"/>
            <w:vAlign w:val="bottom"/>
          </w:tcPr>
          <w:p>
            <w:pPr>
              <w:ind w:left="40"/>
              <w:spacing w:after="0" w:line="135" w:lineRule="exact"/>
              <w:rPr>
                <w:sz w:val="20"/>
                <w:szCs w:val="20"/>
                <w:color w:val="auto"/>
              </w:rPr>
            </w:pPr>
            <w:r>
              <w:rPr>
                <w:rFonts w:ascii="Arial" w:cs="Arial" w:eastAsia="Arial" w:hAnsi="Arial"/>
                <w:sz w:val="13"/>
                <w:szCs w:val="13"/>
                <w:color w:val="auto"/>
              </w:rPr>
              <w:t>MA-NH</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2013</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80" w:type="dxa"/>
            <w:vAlign w:val="bottom"/>
          </w:tcPr>
          <w:p>
            <w:pPr>
              <w:ind w:left="40"/>
              <w:spacing w:after="0" w:line="135" w:lineRule="exact"/>
              <w:rPr>
                <w:sz w:val="20"/>
                <w:szCs w:val="20"/>
                <w:color w:val="auto"/>
              </w:rPr>
            </w:pPr>
            <w:r>
              <w:rPr>
                <w:rFonts w:ascii="Arial" w:cs="Arial" w:eastAsia="Arial" w:hAnsi="Arial"/>
                <w:sz w:val="13"/>
                <w:szCs w:val="13"/>
                <w:color w:val="auto"/>
                <w:w w:val="91"/>
              </w:rPr>
              <w:t>Avenue Off 5th / J. Crew / Nike Factory / Bed, Bath &amp; Beyond</w:t>
            </w: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ind w:left="40"/>
              <w:spacing w:after="0"/>
              <w:rPr>
                <w:sz w:val="20"/>
                <w:szCs w:val="20"/>
                <w:color w:val="auto"/>
              </w:rPr>
            </w:pPr>
            <w:r>
              <w:rPr>
                <w:rFonts w:ascii="Arial" w:cs="Arial" w:eastAsia="Arial" w:hAnsi="Arial"/>
                <w:sz w:val="13"/>
                <w:szCs w:val="13"/>
                <w:color w:val="auto"/>
              </w:rPr>
              <w:t>/ TJ Maxx / Legal on the Mystic</w:t>
            </w: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Chelsea Commons</w:t>
            </w: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2006-2008</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42,712</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6,971</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222,000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16,000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Sav-A-Lot</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Home Depot / Planet Fitness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Dedham Plaza</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1993</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35,044</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241,000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91%</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80,000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Star Market</w:t>
            </w:r>
          </w:p>
        </w:tc>
        <w:tc>
          <w:tcPr>
            <w:tcW w:w="32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80" w:type="dxa"/>
            <w:vAlign w:val="bottom"/>
          </w:tcPr>
          <w:p>
            <w:pPr>
              <w:spacing w:after="0"/>
              <w:rPr>
                <w:sz w:val="14"/>
                <w:szCs w:val="14"/>
                <w:color w:val="auto"/>
              </w:rPr>
            </w:pPr>
          </w:p>
        </w:tc>
      </w:tr>
      <w:tr>
        <w:trPr>
          <w:trHeight w:val="156"/>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Linden Square</w:t>
            </w:r>
          </w:p>
        </w:tc>
        <w:tc>
          <w:tcPr>
            <w:tcW w:w="500" w:type="dxa"/>
            <w:vAlign w:val="bottom"/>
            <w:shd w:val="clear" w:color="auto" w:fill="CCEEFF"/>
          </w:tcPr>
          <w:p>
            <w:pPr>
              <w:spacing w:after="0"/>
              <w:rPr>
                <w:sz w:val="13"/>
                <w:szCs w:val="13"/>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Boston-Cambridge-Quincy,</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2006</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146,854</w:t>
            </w:r>
          </w:p>
        </w:tc>
        <w:tc>
          <w:tcPr>
            <w:tcW w:w="6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223,000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ind w:left="60"/>
              <w:spacing w:after="0"/>
              <w:rPr>
                <w:sz w:val="20"/>
                <w:szCs w:val="20"/>
                <w:color w:val="auto"/>
              </w:rPr>
            </w:pPr>
            <w:r>
              <w:rPr>
                <w:rFonts w:ascii="Arial" w:cs="Arial" w:eastAsia="Arial" w:hAnsi="Arial"/>
                <w:sz w:val="13"/>
                <w:szCs w:val="13"/>
                <w:color w:val="auto"/>
              </w:rPr>
              <w:t>50,000</w:t>
            </w:r>
          </w:p>
        </w:tc>
        <w:tc>
          <w:tcPr>
            <w:tcW w:w="84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3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CVS</w:t>
            </w:r>
          </w:p>
        </w:tc>
      </w:tr>
      <w:tr>
        <w:trPr>
          <w:trHeight w:val="176"/>
        </w:trPr>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MA-NH</w:t>
            </w:r>
          </w:p>
        </w:tc>
        <w:tc>
          <w:tcPr>
            <w:tcW w:w="6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80" w:type="dxa"/>
            <w:vAlign w:val="bottom"/>
            <w:shd w:val="clear" w:color="auto" w:fill="CCEEFF"/>
          </w:tcPr>
          <w:p>
            <w:pPr>
              <w:spacing w:after="0"/>
              <w:rPr>
                <w:sz w:val="15"/>
                <w:szCs w:val="15"/>
                <w:color w:val="auto"/>
              </w:rPr>
            </w:pPr>
          </w:p>
        </w:tc>
      </w:tr>
      <w:tr>
        <w:trPr>
          <w:trHeight w:val="148"/>
        </w:trPr>
        <w:tc>
          <w:tcPr>
            <w:tcW w:w="150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North Dartmouth</w:t>
            </w:r>
          </w:p>
        </w:tc>
        <w:tc>
          <w:tcPr>
            <w:tcW w:w="500" w:type="dxa"/>
            <w:vAlign w:val="bottom"/>
          </w:tcPr>
          <w:p>
            <w:pPr>
              <w:spacing w:after="0"/>
              <w:rPr>
                <w:sz w:val="12"/>
                <w:szCs w:val="12"/>
                <w:color w:val="auto"/>
              </w:rPr>
            </w:pPr>
          </w:p>
        </w:tc>
        <w:tc>
          <w:tcPr>
            <w:tcW w:w="1580" w:type="dxa"/>
            <w:vAlign w:val="bottom"/>
          </w:tcPr>
          <w:p>
            <w:pPr>
              <w:ind w:left="40"/>
              <w:spacing w:after="0" w:line="148" w:lineRule="exact"/>
              <w:rPr>
                <w:sz w:val="20"/>
                <w:szCs w:val="20"/>
                <w:color w:val="auto"/>
              </w:rPr>
            </w:pPr>
            <w:r>
              <w:rPr>
                <w:rFonts w:ascii="Arial" w:cs="Arial" w:eastAsia="Arial" w:hAnsi="Arial"/>
                <w:sz w:val="13"/>
                <w:szCs w:val="13"/>
                <w:color w:val="auto"/>
                <w:w w:val="96"/>
              </w:rPr>
              <w:t>Boston-Cambridge-Quincy,</w:t>
            </w:r>
          </w:p>
        </w:tc>
        <w:tc>
          <w:tcPr>
            <w:tcW w:w="680" w:type="dxa"/>
            <w:vAlign w:val="bottom"/>
          </w:tcPr>
          <w:p>
            <w:pPr>
              <w:jc w:val="right"/>
              <w:spacing w:after="0" w:line="148" w:lineRule="exact"/>
              <w:rPr>
                <w:sz w:val="20"/>
                <w:szCs w:val="20"/>
                <w:color w:val="auto"/>
              </w:rPr>
            </w:pPr>
            <w:r>
              <w:rPr>
                <w:rFonts w:ascii="Arial" w:cs="Arial" w:eastAsia="Arial" w:hAnsi="Arial"/>
                <w:sz w:val="13"/>
                <w:szCs w:val="13"/>
                <w:color w:val="auto"/>
              </w:rPr>
              <w:t>2006</w:t>
            </w: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9,366</w:t>
            </w:r>
          </w:p>
        </w:tc>
        <w:tc>
          <w:tcPr>
            <w:tcW w:w="660" w:type="dxa"/>
            <w:vAlign w:val="bottom"/>
          </w:tcPr>
          <w:p>
            <w:pPr>
              <w:spacing w:after="0"/>
              <w:rPr>
                <w:sz w:val="12"/>
                <w:szCs w:val="12"/>
                <w:color w:val="auto"/>
              </w:rPr>
            </w:pPr>
          </w:p>
        </w:tc>
        <w:tc>
          <w:tcPr>
            <w:tcW w:w="620" w:type="dxa"/>
            <w:vAlign w:val="bottom"/>
          </w:tcPr>
          <w:p>
            <w:pPr>
              <w:jc w:val="right"/>
              <w:ind w:right="17"/>
              <w:spacing w:after="0" w:line="148" w:lineRule="exact"/>
              <w:rPr>
                <w:sz w:val="20"/>
                <w:szCs w:val="20"/>
                <w:color w:val="auto"/>
              </w:rPr>
            </w:pPr>
            <w:r>
              <w:rPr>
                <w:rFonts w:ascii="Arial" w:cs="Arial" w:eastAsia="Arial" w:hAnsi="Arial"/>
                <w:sz w:val="13"/>
                <w:szCs w:val="13"/>
                <w:color w:val="auto"/>
              </w:rPr>
              <w:t>48,000</w:t>
            </w:r>
          </w:p>
        </w:tc>
        <w:tc>
          <w:tcPr>
            <w:tcW w:w="50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48,000</w:t>
            </w:r>
          </w:p>
        </w:tc>
        <w:tc>
          <w:tcPr>
            <w:tcW w:w="84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3280" w:type="dxa"/>
            <w:vAlign w:val="bottom"/>
          </w:tcPr>
          <w:p>
            <w:pPr>
              <w:spacing w:after="0"/>
              <w:rPr>
                <w:sz w:val="12"/>
                <w:szCs w:val="12"/>
                <w:color w:val="auto"/>
              </w:rPr>
            </w:pPr>
          </w:p>
        </w:tc>
      </w:tr>
      <w:tr>
        <w:trPr>
          <w:trHeight w:val="160"/>
        </w:trPr>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MA-NH</w:t>
            </w: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80" w:type="dxa"/>
            <w:vAlign w:val="bottom"/>
          </w:tcPr>
          <w:p>
            <w:pPr>
              <w:spacing w:after="0"/>
              <w:rPr>
                <w:sz w:val="13"/>
                <w:szCs w:val="13"/>
                <w:color w:val="auto"/>
              </w:rPr>
            </w:pPr>
          </w:p>
        </w:tc>
      </w:tr>
    </w:tbl>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7" w:right="239" w:bottom="1440" w:gutter="0" w:footer="0" w:header="0"/>
        </w:sectPr>
      </w:pPr>
    </w:p>
    <w:bookmarkStart w:id="24" w:name="page25"/>
    <w:bookmarkEnd w:id="24"/>
    <w:p>
      <w:pPr>
        <w:ind w:left="40"/>
        <w:spacing w:after="0"/>
        <w:rPr>
          <w:sz w:val="20"/>
          <w:szCs w:val="20"/>
          <w:color w:val="auto"/>
        </w:rPr>
      </w:pPr>
      <w:r>
        <w:rPr>
          <w:rFonts w:ascii="Arial" w:cs="Arial" w:eastAsia="Arial" w:hAnsi="Arial"/>
          <w:sz w:val="16"/>
          <w:szCs w:val="16"/>
          <w:b w:val="1"/>
          <w:bCs w:val="1"/>
          <w:color w:val="auto"/>
        </w:rPr>
        <w:t>Federal Realty Investment Trust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Real Estate Status Report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June 30, 2015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8"/>
              </w:rPr>
              <w:t>Mortgage</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and/or</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Capital</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1"/>
              </w:rPr>
              <w:t>Lease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Real Estate</w:t>
            </w: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Obligation</w:t>
            </w:r>
          </w:p>
        </w:tc>
        <w:tc>
          <w:tcPr>
            <w:tcW w:w="680" w:type="dxa"/>
            <w:vAlign w:val="bottom"/>
          </w:tcPr>
          <w:p>
            <w:pPr>
              <w:spacing w:after="0"/>
              <w:rPr>
                <w:sz w:val="11"/>
                <w:szCs w:val="11"/>
                <w:color w:val="auto"/>
              </w:rPr>
            </w:pPr>
          </w:p>
        </w:tc>
        <w:tc>
          <w:tcPr>
            <w:tcW w:w="52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Anchor</w:t>
            </w:r>
          </w:p>
        </w:tc>
        <w:tc>
          <w:tcPr>
            <w:tcW w:w="820" w:type="dxa"/>
            <w:vAlign w:val="bottom"/>
          </w:tcPr>
          <w:p>
            <w:pPr>
              <w:ind w:left="80"/>
              <w:spacing w:after="0" w:line="135" w:lineRule="exact"/>
              <w:rPr>
                <w:sz w:val="20"/>
                <w:szCs w:val="20"/>
                <w:color w:val="auto"/>
              </w:rPr>
            </w:pPr>
            <w:r>
              <w:rPr>
                <w:rFonts w:ascii="Arial" w:cs="Arial" w:eastAsia="Arial" w:hAnsi="Arial"/>
                <w:sz w:val="13"/>
                <w:szCs w:val="13"/>
                <w:b w:val="1"/>
                <w:bCs w:val="1"/>
                <w:color w:val="auto"/>
              </w:rPr>
              <w:t>Grocery</w:t>
            </w:r>
          </w:p>
        </w:tc>
        <w:tc>
          <w:tcPr>
            <w:tcW w:w="3220" w:type="dxa"/>
            <w:vAlign w:val="bottom"/>
          </w:tcPr>
          <w:p>
            <w:pPr>
              <w:spacing w:after="0"/>
              <w:rPr>
                <w:sz w:val="11"/>
                <w:szCs w:val="11"/>
                <w:color w:val="auto"/>
              </w:rPr>
            </w:pPr>
          </w:p>
        </w:tc>
      </w:tr>
      <w:tr>
        <w:trPr>
          <w:trHeight w:val="174"/>
        </w:trPr>
        <w:tc>
          <w:tcPr>
            <w:tcW w:w="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6"/>
          </w:tcPr>
          <w:p>
            <w:pPr>
              <w:spacing w:after="0"/>
              <w:rPr>
                <w:sz w:val="20"/>
                <w:szCs w:val="20"/>
                <w:color w:val="auto"/>
              </w:rPr>
            </w:pPr>
            <w:r>
              <w:rPr>
                <w:rFonts w:ascii="Arial" w:cs="Arial" w:eastAsia="Arial" w:hAnsi="Arial"/>
                <w:sz w:val="13"/>
                <w:szCs w:val="13"/>
                <w:b w:val="1"/>
                <w:bCs w:val="1"/>
                <w:color w:val="auto"/>
              </w:rPr>
              <w:t>Property Name</w:t>
            </w: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MSA Description</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Acquired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GLA (2)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GLA</w:t>
            </w:r>
          </w:p>
        </w:tc>
        <w:tc>
          <w:tcPr>
            <w:tcW w:w="82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Anchor</w:t>
            </w:r>
          </w:p>
        </w:tc>
        <w:tc>
          <w:tcPr>
            <w:tcW w:w="32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7"/>
              </w:rPr>
              <w:t>(in</w:t>
            </w: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Arial" w:cs="Arial" w:eastAsia="Arial" w:hAnsi="Arial"/>
                <w:sz w:val="11"/>
                <w:szCs w:val="11"/>
                <w:color w:val="auto"/>
                <w:w w:val="86"/>
              </w:rPr>
              <w:t>(in thousands)</w:t>
            </w:r>
          </w:p>
        </w:tc>
        <w:tc>
          <w:tcPr>
            <w:tcW w:w="660" w:type="dxa"/>
            <w:vAlign w:val="bottom"/>
          </w:tcPr>
          <w:p>
            <w:pPr>
              <w:jc w:val="center"/>
              <w:spacing w:after="0"/>
              <w:rPr>
                <w:sz w:val="20"/>
                <w:szCs w:val="20"/>
                <w:color w:val="auto"/>
              </w:rPr>
            </w:pPr>
            <w:r>
              <w:rPr>
                <w:rFonts w:ascii="Arial" w:cs="Arial" w:eastAsia="Arial" w:hAnsi="Arial"/>
                <w:sz w:val="11"/>
                <w:szCs w:val="11"/>
                <w:color w:val="auto"/>
                <w:w w:val="84"/>
              </w:rPr>
              <w:t>thousands)</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2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Queen Anne Plaza</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w w:val="94"/>
              </w:rPr>
              <w:t>Boston-Cambridge-Quincy,</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18,078</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149,000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50,000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Hannaford</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TJ Maxx / HomeGoods</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MA-NH</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Saugus Plaza</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w w:val="94"/>
              </w:rPr>
              <w:t>Boston-Cambridge-Quincy,</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1996</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14,991</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168,000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55,000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w w:val="93"/>
              </w:rPr>
              <w:t>Super Stop &amp;</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rPr>
              <w:t>Kmart</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MA-NH</w:t>
            </w: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Shop</w:t>
            </w:r>
          </w:p>
        </w:tc>
        <w:tc>
          <w:tcPr>
            <w:tcW w:w="3220" w:type="dxa"/>
            <w:vAlign w:val="bottom"/>
            <w:tcBorders>
              <w:bottom w:val="single" w:sz="8" w:color="CCEEFF"/>
            </w:tcBorders>
          </w:tcPr>
          <w:p>
            <w:pPr>
              <w:spacing w:after="0"/>
              <w:rPr>
                <w:sz w:val="14"/>
                <w:szCs w:val="14"/>
                <w:color w:val="auto"/>
              </w:rPr>
            </w:pP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New England</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722,299</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1,747,000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Baltimore</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Governor Plaza</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26,866</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243,000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16,500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Aldi</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Dick’s Sporting Goods</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Perring Plaza</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30,049</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395,000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auto"/>
              </w:rPr>
              <w:t>58,000</w:t>
            </w:r>
          </w:p>
        </w:tc>
        <w:tc>
          <w:tcPr>
            <w:tcW w:w="820" w:type="dxa"/>
            <w:vAlign w:val="bottom"/>
          </w:tcPr>
          <w:p>
            <w:pPr>
              <w:ind w:left="80"/>
              <w:spacing w:after="0" w:line="148" w:lineRule="exact"/>
              <w:rPr>
                <w:sz w:val="20"/>
                <w:szCs w:val="20"/>
                <w:color w:val="auto"/>
              </w:rPr>
            </w:pPr>
            <w:r>
              <w:rPr>
                <w:rFonts w:ascii="Arial" w:cs="Arial" w:eastAsia="Arial" w:hAnsi="Arial"/>
                <w:sz w:val="13"/>
                <w:szCs w:val="13"/>
                <w:color w:val="auto"/>
              </w:rPr>
              <w:t>Shoppers</w:t>
            </w: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97"/>
              </w:rPr>
              <w:t>Home Depot / Burlington Coat Factory / Jo-Ann Stores /</w:t>
            </w:r>
          </w:p>
        </w:tc>
      </w:tr>
      <w:tr>
        <w:trPr>
          <w:trHeight w:val="135"/>
        </w:trPr>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3"/>
                <w:szCs w:val="13"/>
                <w:color w:val="auto"/>
              </w:rPr>
              <w:t>Food</w:t>
            </w:r>
          </w:p>
        </w:tc>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Micro Center</w:t>
            </w:r>
          </w:p>
        </w:tc>
      </w:tr>
      <w:tr>
        <w:trPr>
          <w:trHeight w:val="168"/>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3"/>
                <w:szCs w:val="13"/>
                <w:color w:val="auto"/>
              </w:rPr>
              <w:t>Warehouse</w:t>
            </w:r>
          </w:p>
        </w:tc>
        <w:tc>
          <w:tcPr>
            <w:tcW w:w="3220" w:type="dxa"/>
            <w:vAlign w:val="bottom"/>
          </w:tcPr>
          <w:p>
            <w:pPr>
              <w:spacing w:after="0"/>
              <w:rPr>
                <w:sz w:val="14"/>
                <w:szCs w:val="14"/>
                <w:color w:val="auto"/>
              </w:rPr>
            </w:pPr>
          </w:p>
        </w:tc>
      </w:tr>
      <w:tr>
        <w:trPr>
          <w:trHeight w:val="156"/>
        </w:trPr>
        <w:tc>
          <w:tcPr>
            <w:tcW w:w="40" w:type="dxa"/>
            <w:vAlign w:val="bottom"/>
            <w:shd w:val="clear" w:color="auto" w:fill="CCEEFF"/>
          </w:tcPr>
          <w:p>
            <w:pPr>
              <w:spacing w:after="0"/>
              <w:rPr>
                <w:sz w:val="13"/>
                <w:szCs w:val="13"/>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THE AVENUE at White</w:t>
            </w:r>
          </w:p>
        </w:tc>
        <w:tc>
          <w:tcPr>
            <w:tcW w:w="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(5)</w:t>
            </w: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99,153</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52,705</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w:t>
            </w:r>
          </w:p>
        </w:tc>
        <w:tc>
          <w:tcPr>
            <w:tcW w:w="6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AMC Loews / Old Navy / Barnes &amp; Noble / A.C. Moore</w:t>
            </w:r>
          </w:p>
        </w:tc>
      </w:tr>
      <w:tr>
        <w:trPr>
          <w:trHeight w:val="176"/>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Marsh</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w w:val="88"/>
              </w:rPr>
              <w:t>The Shoppes at Nottingham</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17,441</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32,000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Square</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204"/>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White Marsh Plaza</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25,149</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80,000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54,000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spacing w:after="0"/>
              <w:rPr>
                <w:sz w:val="17"/>
                <w:szCs w:val="17"/>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White Marsh Other</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Baltimore, MD</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36,869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73,000</w:t>
            </w:r>
          </w:p>
        </w:tc>
        <w:tc>
          <w:tcPr>
            <w:tcW w:w="520" w:type="dxa"/>
            <w:vAlign w:val="bottom"/>
          </w:tcPr>
          <w:p>
            <w:pPr>
              <w:jc w:val="right"/>
              <w:spacing w:after="0"/>
              <w:rPr>
                <w:sz w:val="20"/>
                <w:szCs w:val="20"/>
                <w:color w:val="auto"/>
              </w:rPr>
            </w:pPr>
            <w:r>
              <w:rPr>
                <w:rFonts w:ascii="Arial" w:cs="Arial" w:eastAsia="Arial" w:hAnsi="Arial"/>
                <w:sz w:val="13"/>
                <w:szCs w:val="13"/>
                <w:color w:val="auto"/>
              </w:rPr>
              <w:t>100%</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6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Baltimore</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235,527</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1,120,000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Chicago</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73"/>
        </w:trPr>
        <w:tc>
          <w:tcPr>
            <w:tcW w:w="40" w:type="dxa"/>
            <w:vAlign w:val="bottom"/>
            <w:shd w:val="clear" w:color="auto" w:fill="CCEEFF"/>
          </w:tcPr>
          <w:p>
            <w:pPr>
              <w:spacing w:after="0"/>
              <w:rPr>
                <w:sz w:val="15"/>
                <w:szCs w:val="15"/>
                <w:color w:val="auto"/>
              </w:rPr>
            </w:pPr>
          </w:p>
        </w:tc>
        <w:tc>
          <w:tcPr>
            <w:tcW w:w="1460" w:type="dxa"/>
            <w:vAlign w:val="bottom"/>
            <w:gridSpan w:val="6"/>
            <w:shd w:val="clear" w:color="auto" w:fill="CCEEFF"/>
          </w:tcPr>
          <w:p>
            <w:pPr>
              <w:spacing w:after="0"/>
              <w:rPr>
                <w:sz w:val="20"/>
                <w:szCs w:val="20"/>
                <w:color w:val="auto"/>
              </w:rPr>
            </w:pPr>
            <w:r>
              <w:rPr>
                <w:rFonts w:ascii="Arial" w:cs="Arial" w:eastAsia="Arial" w:hAnsi="Arial"/>
                <w:sz w:val="13"/>
                <w:szCs w:val="13"/>
                <w:color w:val="auto"/>
              </w:rPr>
              <w:t>Crossroads</w:t>
            </w: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1993</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31,185</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168,000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Golfsmith / Guitar Center / L.A. Fitness</w:t>
            </w:r>
          </w:p>
        </w:tc>
      </w:tr>
      <w:tr>
        <w:trPr>
          <w:trHeight w:val="97"/>
        </w:trPr>
        <w:tc>
          <w:tcPr>
            <w:tcW w:w="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6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3220" w:type="dxa"/>
            <w:vAlign w:val="bottom"/>
            <w:shd w:val="clear" w:color="auto" w:fill="CCEEFF"/>
          </w:tcPr>
          <w:p>
            <w:pPr>
              <w:spacing w:after="0"/>
              <w:rPr>
                <w:sz w:val="8"/>
                <w:szCs w:val="8"/>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Finley Square</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34,001</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315,000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Buy Buy Baby / Petsmart</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Garden Market</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Chicago, IL</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1994</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12,732</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140,000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63,000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Mariano's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Walgreens</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w w:val="93"/>
              </w:rPr>
              <w:t>Fresh Market</w:t>
            </w: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North Lake Commons</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Chicago, IL</w:t>
            </w:r>
          </w:p>
        </w:tc>
        <w:tc>
          <w:tcPr>
            <w:tcW w:w="700" w:type="dxa"/>
            <w:vAlign w:val="bottom"/>
          </w:tcPr>
          <w:p>
            <w:pPr>
              <w:jc w:val="right"/>
              <w:spacing w:after="0"/>
              <w:rPr>
                <w:sz w:val="20"/>
                <w:szCs w:val="20"/>
                <w:color w:val="auto"/>
              </w:rPr>
            </w:pPr>
            <w:r>
              <w:rPr>
                <w:rFonts w:ascii="Arial" w:cs="Arial" w:eastAsia="Arial" w:hAnsi="Arial"/>
                <w:sz w:val="13"/>
                <w:szCs w:val="13"/>
                <w:color w:val="auto"/>
              </w:rPr>
              <w:t>1994</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16,609</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129,000</w:t>
            </w:r>
          </w:p>
        </w:tc>
        <w:tc>
          <w:tcPr>
            <w:tcW w:w="520" w:type="dxa"/>
            <w:vAlign w:val="bottom"/>
          </w:tcPr>
          <w:p>
            <w:pPr>
              <w:jc w:val="right"/>
              <w:spacing w:after="0"/>
              <w:rPr>
                <w:sz w:val="20"/>
                <w:szCs w:val="20"/>
                <w:color w:val="auto"/>
              </w:rPr>
            </w:pPr>
            <w:r>
              <w:rPr>
                <w:rFonts w:ascii="Arial" w:cs="Arial" w:eastAsia="Arial" w:hAnsi="Arial"/>
                <w:sz w:val="13"/>
                <w:szCs w:val="13"/>
                <w:color w:val="auto"/>
              </w:rPr>
              <w:t>89%</w:t>
            </w:r>
          </w:p>
        </w:tc>
        <w:tc>
          <w:tcPr>
            <w:tcW w:w="600" w:type="dxa"/>
            <w:vAlign w:val="bottom"/>
          </w:tcPr>
          <w:p>
            <w:pPr>
              <w:ind w:left="60"/>
              <w:spacing w:after="0"/>
              <w:rPr>
                <w:sz w:val="20"/>
                <w:szCs w:val="20"/>
                <w:color w:val="auto"/>
              </w:rPr>
            </w:pPr>
            <w:r>
              <w:rPr>
                <w:rFonts w:ascii="Arial" w:cs="Arial" w:eastAsia="Arial" w:hAnsi="Arial"/>
                <w:sz w:val="13"/>
                <w:szCs w:val="13"/>
                <w:color w:val="auto"/>
              </w:rPr>
              <w:t>77,000</w:t>
            </w:r>
          </w:p>
        </w:tc>
        <w:tc>
          <w:tcPr>
            <w:tcW w:w="820" w:type="dxa"/>
            <w:vAlign w:val="bottom"/>
          </w:tcPr>
          <w:p>
            <w:pPr>
              <w:ind w:left="80"/>
              <w:spacing w:after="0"/>
              <w:rPr>
                <w:sz w:val="20"/>
                <w:szCs w:val="20"/>
                <w:color w:val="auto"/>
              </w:rPr>
            </w:pPr>
            <w:r>
              <w:rPr>
                <w:rFonts w:ascii="Arial" w:cs="Arial" w:eastAsia="Arial" w:hAnsi="Arial"/>
                <w:sz w:val="13"/>
                <w:szCs w:val="13"/>
                <w:color w:val="auto"/>
              </w:rPr>
              <w:t>Jewel Osco</w:t>
            </w:r>
          </w:p>
        </w:tc>
        <w:tc>
          <w:tcPr>
            <w:tcW w:w="3220" w:type="dxa"/>
            <w:vAlign w:val="bottom"/>
          </w:tcPr>
          <w:p>
            <w:pPr>
              <w:spacing w:after="0"/>
              <w:rPr>
                <w:sz w:val="15"/>
                <w:szCs w:val="15"/>
                <w:color w:val="auto"/>
              </w:rPr>
            </w:pPr>
          </w:p>
        </w:tc>
      </w:tr>
      <w:tr>
        <w:trPr>
          <w:trHeight w:val="97"/>
        </w:trPr>
        <w:tc>
          <w:tcPr>
            <w:tcW w:w="40" w:type="dxa"/>
            <w:vAlign w:val="bottom"/>
            <w:tcBorders>
              <w:bottom w:val="single" w:sz="8" w:color="CCEEFF"/>
            </w:tcBorders>
          </w:tcPr>
          <w:p>
            <w:pPr>
              <w:spacing w:after="0"/>
              <w:rPr>
                <w:sz w:val="8"/>
                <w:szCs w:val="8"/>
                <w:color w:val="auto"/>
              </w:rPr>
            </w:pPr>
          </w:p>
        </w:tc>
        <w:tc>
          <w:tcPr>
            <w:tcW w:w="32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400" w:type="dxa"/>
            <w:vAlign w:val="bottom"/>
            <w:tcBorders>
              <w:bottom w:val="single" w:sz="8" w:color="CCEEFF"/>
            </w:tcBorders>
          </w:tcPr>
          <w:p>
            <w:pPr>
              <w:spacing w:after="0"/>
              <w:rPr>
                <w:sz w:val="8"/>
                <w:szCs w:val="8"/>
                <w:color w:val="auto"/>
              </w:rPr>
            </w:pPr>
          </w:p>
        </w:tc>
        <w:tc>
          <w:tcPr>
            <w:tcW w:w="1600" w:type="dxa"/>
            <w:vAlign w:val="bottom"/>
            <w:tcBorders>
              <w:bottom w:val="single" w:sz="8" w:color="CCEEFF"/>
            </w:tcBorders>
          </w:tcPr>
          <w:p>
            <w:pPr>
              <w:spacing w:after="0"/>
              <w:rPr>
                <w:sz w:val="8"/>
                <w:szCs w:val="8"/>
                <w:color w:val="auto"/>
              </w:rPr>
            </w:pPr>
          </w:p>
        </w:tc>
        <w:tc>
          <w:tcPr>
            <w:tcW w:w="700" w:type="dxa"/>
            <w:vAlign w:val="bottom"/>
            <w:tcBorders>
              <w:bottom w:val="single" w:sz="8" w:color="CCEEFF"/>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CCEEFF"/>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CCEEFF"/>
            </w:tcBorders>
          </w:tcPr>
          <w:p>
            <w:pPr>
              <w:spacing w:after="0"/>
              <w:rPr>
                <w:sz w:val="8"/>
                <w:szCs w:val="8"/>
                <w:color w:val="auto"/>
              </w:rPr>
            </w:pPr>
          </w:p>
        </w:tc>
        <w:tc>
          <w:tcPr>
            <w:tcW w:w="820" w:type="dxa"/>
            <w:vAlign w:val="bottom"/>
            <w:tcBorders>
              <w:bottom w:val="single" w:sz="8" w:color="CCEEFF"/>
            </w:tcBorders>
          </w:tcPr>
          <w:p>
            <w:pPr>
              <w:spacing w:after="0"/>
              <w:rPr>
                <w:sz w:val="8"/>
                <w:szCs w:val="8"/>
                <w:color w:val="auto"/>
              </w:rPr>
            </w:pPr>
          </w:p>
        </w:tc>
        <w:tc>
          <w:tcPr>
            <w:tcW w:w="3220" w:type="dxa"/>
            <w:vAlign w:val="bottom"/>
            <w:tcBorders>
              <w:bottom w:val="single" w:sz="8" w:color="CCEEFF"/>
            </w:tcBorders>
          </w:tcPr>
          <w:p>
            <w:pPr>
              <w:spacing w:after="0"/>
              <w:rPr>
                <w:sz w:val="8"/>
                <w:szCs w:val="8"/>
                <w:color w:val="auto"/>
              </w:rPr>
            </w:pPr>
          </w:p>
        </w:tc>
      </w:tr>
      <w:tr>
        <w:trPr>
          <w:trHeight w:val="167"/>
        </w:trPr>
        <w:tc>
          <w:tcPr>
            <w:tcW w:w="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Chicago</w:t>
            </w:r>
          </w:p>
        </w:tc>
        <w:tc>
          <w:tcPr>
            <w:tcW w:w="7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94,527</w:t>
            </w: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752,000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220" w:type="dxa"/>
            <w:vAlign w:val="bottom"/>
            <w:shd w:val="clear" w:color="auto" w:fill="CCEEFF"/>
          </w:tcPr>
          <w:p>
            <w:pPr>
              <w:spacing w:after="0"/>
              <w:rPr>
                <w:sz w:val="14"/>
                <w:szCs w:val="14"/>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South Florida</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Cocowalk</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(3)</w:t>
            </w: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2015</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87,799</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198,000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6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Cinepolis Theaters / Gap / Youfit Health Club</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Courtyard Shops</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rPr>
                <w:sz w:val="20"/>
                <w:szCs w:val="20"/>
                <w:color w:val="auto"/>
              </w:rPr>
            </w:pPr>
            <w:r>
              <w:rPr>
                <w:rFonts w:ascii="Arial" w:cs="Arial" w:eastAsia="Arial" w:hAnsi="Arial"/>
                <w:sz w:val="13"/>
                <w:szCs w:val="13"/>
                <w:color w:val="auto"/>
              </w:rPr>
              <w:t>2008</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40,955</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130,000</w:t>
            </w:r>
          </w:p>
        </w:tc>
        <w:tc>
          <w:tcPr>
            <w:tcW w:w="520" w:type="dxa"/>
            <w:vAlign w:val="bottom"/>
          </w:tcPr>
          <w:p>
            <w:pPr>
              <w:jc w:val="right"/>
              <w:spacing w:after="0"/>
              <w:rPr>
                <w:sz w:val="20"/>
                <w:szCs w:val="20"/>
                <w:color w:val="auto"/>
              </w:rPr>
            </w:pPr>
            <w:r>
              <w:rPr>
                <w:rFonts w:ascii="Arial" w:cs="Arial" w:eastAsia="Arial" w:hAnsi="Arial"/>
                <w:sz w:val="13"/>
                <w:szCs w:val="13"/>
                <w:color w:val="auto"/>
              </w:rPr>
              <w:t>97%</w:t>
            </w:r>
          </w:p>
        </w:tc>
        <w:tc>
          <w:tcPr>
            <w:tcW w:w="600" w:type="dxa"/>
            <w:vAlign w:val="bottom"/>
          </w:tcPr>
          <w:p>
            <w:pPr>
              <w:ind w:left="60"/>
              <w:spacing w:after="0"/>
              <w:rPr>
                <w:sz w:val="20"/>
                <w:szCs w:val="20"/>
                <w:color w:val="auto"/>
              </w:rPr>
            </w:pPr>
            <w:r>
              <w:rPr>
                <w:rFonts w:ascii="Arial" w:cs="Arial" w:eastAsia="Arial" w:hAnsi="Arial"/>
                <w:sz w:val="13"/>
                <w:szCs w:val="13"/>
                <w:color w:val="auto"/>
              </w:rPr>
              <w:t>49,000</w:t>
            </w:r>
          </w:p>
        </w:tc>
        <w:tc>
          <w:tcPr>
            <w:tcW w:w="820" w:type="dxa"/>
            <w:vAlign w:val="bottom"/>
          </w:tcPr>
          <w:p>
            <w:pPr>
              <w:ind w:left="80"/>
              <w:spacing w:after="0"/>
              <w:rPr>
                <w:sz w:val="20"/>
                <w:szCs w:val="20"/>
                <w:color w:val="auto"/>
              </w:rPr>
            </w:pPr>
            <w:r>
              <w:rPr>
                <w:rFonts w:ascii="Arial" w:cs="Arial" w:eastAsia="Arial" w:hAnsi="Arial"/>
                <w:sz w:val="13"/>
                <w:szCs w:val="13"/>
                <w:color w:val="auto"/>
              </w:rPr>
              <w:t>Publix</w:t>
            </w:r>
          </w:p>
        </w:tc>
        <w:tc>
          <w:tcPr>
            <w:tcW w:w="3220" w:type="dxa"/>
            <w:vAlign w:val="bottom"/>
          </w:tcPr>
          <w:p>
            <w:pPr>
              <w:spacing w:after="0"/>
              <w:rPr>
                <w:sz w:val="15"/>
                <w:szCs w:val="15"/>
                <w:color w:val="auto"/>
              </w:rPr>
            </w:pP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Del Mar Village</w:t>
            </w:r>
          </w:p>
        </w:tc>
        <w:tc>
          <w:tcPr>
            <w:tcW w:w="4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Miami-Ft Lauderdale</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2008/2014</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60,005</w:t>
            </w:r>
          </w:p>
        </w:tc>
        <w:tc>
          <w:tcPr>
            <w:tcW w:w="6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196,000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44,000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Winn Dixie</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CVS</w:t>
            </w:r>
          </w:p>
        </w:tc>
      </w:tr>
      <w:tr>
        <w:trPr>
          <w:trHeight w:val="148"/>
        </w:trPr>
        <w:tc>
          <w:tcPr>
            <w:tcW w:w="40" w:type="dxa"/>
            <w:vAlign w:val="bottom"/>
          </w:tcPr>
          <w:p>
            <w:pPr>
              <w:spacing w:after="0"/>
              <w:rPr>
                <w:sz w:val="12"/>
                <w:szCs w:val="12"/>
                <w:color w:val="auto"/>
              </w:rPr>
            </w:pPr>
          </w:p>
        </w:tc>
        <w:tc>
          <w:tcPr>
            <w:tcW w:w="1460" w:type="dxa"/>
            <w:vAlign w:val="bottom"/>
            <w:gridSpan w:val="6"/>
          </w:tcPr>
          <w:p>
            <w:pPr>
              <w:spacing w:after="0" w:line="148" w:lineRule="exact"/>
              <w:rPr>
                <w:sz w:val="20"/>
                <w:szCs w:val="20"/>
                <w:color w:val="auto"/>
              </w:rPr>
            </w:pPr>
            <w:r>
              <w:rPr>
                <w:rFonts w:ascii="Arial" w:cs="Arial" w:eastAsia="Arial" w:hAnsi="Arial"/>
                <w:sz w:val="13"/>
                <w:szCs w:val="13"/>
                <w:color w:val="auto"/>
              </w:rPr>
              <w:t>Tower Shops</w:t>
            </w:r>
          </w:p>
        </w:tc>
        <w:tc>
          <w:tcPr>
            <w:tcW w:w="400" w:type="dxa"/>
            <w:vAlign w:val="bottom"/>
          </w:tcPr>
          <w:p>
            <w:pPr>
              <w:spacing w:after="0"/>
              <w:rPr>
                <w:sz w:val="12"/>
                <w:szCs w:val="12"/>
                <w:color w:val="auto"/>
              </w:rPr>
            </w:pPr>
          </w:p>
        </w:tc>
        <w:tc>
          <w:tcPr>
            <w:tcW w:w="1600" w:type="dxa"/>
            <w:vAlign w:val="bottom"/>
          </w:tcPr>
          <w:p>
            <w:pPr>
              <w:ind w:left="100"/>
              <w:spacing w:after="0" w:line="148" w:lineRule="exact"/>
              <w:rPr>
                <w:sz w:val="20"/>
                <w:szCs w:val="20"/>
                <w:color w:val="auto"/>
              </w:rPr>
            </w:pPr>
            <w:r>
              <w:rPr>
                <w:rFonts w:ascii="Arial" w:cs="Arial" w:eastAsia="Arial" w:hAnsi="Arial"/>
                <w:sz w:val="13"/>
                <w:szCs w:val="13"/>
                <w:color w:val="auto"/>
              </w:rPr>
              <w:t>Miami-Ft Lauderdale</w:t>
            </w:r>
          </w:p>
        </w:tc>
        <w:tc>
          <w:tcPr>
            <w:tcW w:w="700" w:type="dxa"/>
            <w:vAlign w:val="bottom"/>
          </w:tcPr>
          <w:p>
            <w:pPr>
              <w:jc w:val="right"/>
              <w:spacing w:after="0" w:line="148" w:lineRule="exact"/>
              <w:rPr>
                <w:sz w:val="20"/>
                <w:szCs w:val="20"/>
                <w:color w:val="auto"/>
              </w:rPr>
            </w:pPr>
            <w:r>
              <w:rPr>
                <w:rFonts w:ascii="Arial" w:cs="Arial" w:eastAsia="Arial" w:hAnsi="Arial"/>
                <w:sz w:val="13"/>
                <w:szCs w:val="13"/>
                <w:color w:val="auto"/>
              </w:rPr>
              <w:t>2011/2014</w:t>
            </w:r>
          </w:p>
        </w:tc>
        <w:tc>
          <w:tcPr>
            <w:tcW w:w="720" w:type="dxa"/>
            <w:vAlign w:val="bottom"/>
          </w:tcPr>
          <w:p>
            <w:pPr>
              <w:jc w:val="right"/>
              <w:ind w:right="37"/>
              <w:spacing w:after="0" w:line="148" w:lineRule="exact"/>
              <w:rPr>
                <w:sz w:val="20"/>
                <w:szCs w:val="20"/>
                <w:color w:val="auto"/>
              </w:rPr>
            </w:pPr>
            <w:r>
              <w:rPr>
                <w:rFonts w:ascii="Arial" w:cs="Arial" w:eastAsia="Arial" w:hAnsi="Arial"/>
                <w:sz w:val="13"/>
                <w:szCs w:val="13"/>
                <w:color w:val="auto"/>
              </w:rPr>
              <w:t>90,353</w:t>
            </w:r>
          </w:p>
        </w:tc>
        <w:tc>
          <w:tcPr>
            <w:tcW w:w="660" w:type="dxa"/>
            <w:vAlign w:val="bottom"/>
          </w:tcPr>
          <w:p>
            <w:pPr>
              <w:spacing w:after="0"/>
              <w:rPr>
                <w:sz w:val="12"/>
                <w:szCs w:val="12"/>
                <w:color w:val="auto"/>
              </w:rPr>
            </w:pPr>
          </w:p>
        </w:tc>
        <w:tc>
          <w:tcPr>
            <w:tcW w:w="680" w:type="dxa"/>
            <w:vAlign w:val="bottom"/>
          </w:tcPr>
          <w:p>
            <w:pPr>
              <w:jc w:val="right"/>
              <w:ind w:right="17"/>
              <w:spacing w:after="0" w:line="148" w:lineRule="exact"/>
              <w:rPr>
                <w:sz w:val="20"/>
                <w:szCs w:val="20"/>
                <w:color w:val="auto"/>
              </w:rPr>
            </w:pPr>
            <w:r>
              <w:rPr>
                <w:rFonts w:ascii="Arial" w:cs="Arial" w:eastAsia="Arial" w:hAnsi="Arial"/>
                <w:sz w:val="13"/>
                <w:szCs w:val="13"/>
                <w:color w:val="auto"/>
              </w:rPr>
              <w:t>376,000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98%</w:t>
            </w: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ind w:left="60"/>
              <w:spacing w:after="0" w:line="148" w:lineRule="exact"/>
              <w:rPr>
                <w:sz w:val="20"/>
                <w:szCs w:val="20"/>
                <w:color w:val="auto"/>
              </w:rPr>
            </w:pPr>
            <w:r>
              <w:rPr>
                <w:rFonts w:ascii="Arial" w:cs="Arial" w:eastAsia="Arial" w:hAnsi="Arial"/>
                <w:sz w:val="13"/>
                <w:szCs w:val="13"/>
                <w:color w:val="auto"/>
                <w:w w:val="89"/>
              </w:rPr>
              <w:t>Best Buy / DSW / Old Navy / Ross Dress For Less / TJ Maxx</w:t>
            </w:r>
          </w:p>
        </w:tc>
      </w:tr>
      <w:tr>
        <w:trPr>
          <w:trHeight w:val="170"/>
        </w:trPr>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322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rPr>
              <w:t>/ Ulta</w:t>
            </w:r>
          </w:p>
        </w:tc>
      </w:tr>
      <w:tr>
        <w:trPr>
          <w:trHeight w:val="173"/>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b w:val="1"/>
                <w:bCs w:val="1"/>
                <w:color w:val="auto"/>
              </w:rPr>
              <w:t>Total South Florida</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279,112</w:t>
            </w: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900,000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w:t>
            </w: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84"/>
        </w:trPr>
        <w:tc>
          <w:tcPr>
            <w:tcW w:w="4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6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3220" w:type="dxa"/>
            <w:vAlign w:val="bottom"/>
            <w:shd w:val="clear" w:color="auto" w:fill="CCEEFF"/>
          </w:tcPr>
          <w:p>
            <w:pPr>
              <w:spacing w:after="0"/>
              <w:rPr>
                <w:sz w:val="7"/>
                <w:szCs w:val="7"/>
                <w:color w:val="auto"/>
              </w:rPr>
            </w:pPr>
          </w:p>
        </w:tc>
      </w:tr>
      <w:tr>
        <w:trPr>
          <w:trHeight w:val="149"/>
        </w:trPr>
        <w:tc>
          <w:tcPr>
            <w:tcW w:w="40" w:type="dxa"/>
            <w:vAlign w:val="bottom"/>
          </w:tcPr>
          <w:p>
            <w:pPr>
              <w:spacing w:after="0"/>
              <w:rPr>
                <w:sz w:val="12"/>
                <w:szCs w:val="12"/>
                <w:color w:val="auto"/>
              </w:rPr>
            </w:pPr>
          </w:p>
        </w:tc>
        <w:tc>
          <w:tcPr>
            <w:tcW w:w="1460" w:type="dxa"/>
            <w:vAlign w:val="bottom"/>
            <w:gridSpan w:val="6"/>
          </w:tcPr>
          <w:p>
            <w:pPr>
              <w:ind w:left="60"/>
              <w:spacing w:after="0"/>
              <w:rPr>
                <w:sz w:val="20"/>
                <w:szCs w:val="20"/>
                <w:color w:val="auto"/>
              </w:rPr>
            </w:pPr>
            <w:r>
              <w:rPr>
                <w:rFonts w:ascii="Arial" w:cs="Arial" w:eastAsia="Arial" w:hAnsi="Arial"/>
                <w:sz w:val="13"/>
                <w:szCs w:val="13"/>
                <w:b w:val="1"/>
                <w:bCs w:val="1"/>
                <w:color w:val="auto"/>
              </w:rPr>
              <w:t>Other</w:t>
            </w:r>
          </w:p>
        </w:tc>
        <w:tc>
          <w:tcPr>
            <w:tcW w:w="4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20" w:type="dxa"/>
            <w:vAlign w:val="bottom"/>
          </w:tcPr>
          <w:p>
            <w:pPr>
              <w:spacing w:after="0"/>
              <w:rPr>
                <w:sz w:val="12"/>
                <w:szCs w:val="12"/>
                <w:color w:val="auto"/>
              </w:rPr>
            </w:pPr>
          </w:p>
        </w:tc>
      </w:tr>
      <w:tr>
        <w:trPr>
          <w:trHeight w:val="102"/>
        </w:trPr>
        <w:tc>
          <w:tcPr>
            <w:tcW w:w="4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Barracks Road</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Charlottesville, VA</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1985</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60,630</w:t>
            </w:r>
          </w:p>
        </w:tc>
        <w:tc>
          <w:tcPr>
            <w:tcW w:w="660" w:type="dxa"/>
            <w:vAlign w:val="bottom"/>
            <w:shd w:val="clear" w:color="auto" w:fill="CCEEFF"/>
          </w:tcPr>
          <w:p>
            <w:pPr>
              <w:jc w:val="right"/>
              <w:ind w:right="38"/>
              <w:spacing w:after="0" w:line="148" w:lineRule="exact"/>
              <w:rPr>
                <w:sz w:val="20"/>
                <w:szCs w:val="20"/>
                <w:color w:val="auto"/>
              </w:rPr>
            </w:pPr>
            <w:r>
              <w:rPr>
                <w:rFonts w:ascii="Arial" w:cs="Arial" w:eastAsia="Arial" w:hAnsi="Arial"/>
                <w:sz w:val="13"/>
                <w:szCs w:val="13"/>
                <w:color w:val="auto"/>
              </w:rPr>
              <w:t>35,411</w:t>
            </w: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497,000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97%</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99,000</w:t>
            </w:r>
          </w:p>
        </w:tc>
        <w:tc>
          <w:tcPr>
            <w:tcW w:w="404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3"/>
                <w:szCs w:val="13"/>
                <w:color w:val="auto"/>
                <w:w w:val="92"/>
              </w:rPr>
              <w:t>Harris Teeter / Anthropologie / Bed, Bath &amp; Beyond / Barnes &amp; Noble / Old</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shd w:val="clear" w:color="auto" w:fill="CCEEFF"/>
          </w:tcPr>
          <w:p>
            <w:pPr>
              <w:ind w:left="60"/>
              <w:spacing w:after="0"/>
              <w:rPr>
                <w:sz w:val="20"/>
                <w:szCs w:val="20"/>
                <w:color w:val="auto"/>
              </w:rPr>
            </w:pPr>
            <w:r>
              <w:rPr>
                <w:rFonts w:ascii="Arial" w:cs="Arial" w:eastAsia="Arial" w:hAnsi="Arial"/>
                <w:sz w:val="13"/>
                <w:szCs w:val="13"/>
                <w:color w:val="auto"/>
              </w:rPr>
              <w:t>Navy / Michaels / Ulta</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Bristol Plaza</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Hartford, CT</w:t>
            </w:r>
          </w:p>
        </w:tc>
        <w:tc>
          <w:tcPr>
            <w:tcW w:w="700" w:type="dxa"/>
            <w:vAlign w:val="bottom"/>
          </w:tcPr>
          <w:p>
            <w:pPr>
              <w:jc w:val="right"/>
              <w:spacing w:after="0"/>
              <w:rPr>
                <w:sz w:val="20"/>
                <w:szCs w:val="20"/>
                <w:color w:val="auto"/>
              </w:rPr>
            </w:pPr>
            <w:r>
              <w:rPr>
                <w:rFonts w:ascii="Arial" w:cs="Arial" w:eastAsia="Arial" w:hAnsi="Arial"/>
                <w:sz w:val="13"/>
                <w:szCs w:val="13"/>
                <w:color w:val="auto"/>
              </w:rPr>
              <w:t>1995</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29,681</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266,000</w:t>
            </w:r>
          </w:p>
        </w:tc>
        <w:tc>
          <w:tcPr>
            <w:tcW w:w="520" w:type="dxa"/>
            <w:vAlign w:val="bottom"/>
          </w:tcPr>
          <w:p>
            <w:pPr>
              <w:jc w:val="right"/>
              <w:spacing w:after="0"/>
              <w:rPr>
                <w:sz w:val="20"/>
                <w:szCs w:val="20"/>
                <w:color w:val="auto"/>
              </w:rPr>
            </w:pPr>
            <w:r>
              <w:rPr>
                <w:rFonts w:ascii="Arial" w:cs="Arial" w:eastAsia="Arial" w:hAnsi="Arial"/>
                <w:sz w:val="13"/>
                <w:szCs w:val="13"/>
                <w:color w:val="auto"/>
              </w:rPr>
              <w:t>91%</w:t>
            </w:r>
          </w:p>
        </w:tc>
        <w:tc>
          <w:tcPr>
            <w:tcW w:w="600" w:type="dxa"/>
            <w:vAlign w:val="bottom"/>
          </w:tcPr>
          <w:p>
            <w:pPr>
              <w:ind w:left="60"/>
              <w:spacing w:after="0"/>
              <w:rPr>
                <w:sz w:val="20"/>
                <w:szCs w:val="20"/>
                <w:color w:val="auto"/>
              </w:rPr>
            </w:pPr>
            <w:r>
              <w:rPr>
                <w:rFonts w:ascii="Arial" w:cs="Arial" w:eastAsia="Arial" w:hAnsi="Arial"/>
                <w:sz w:val="13"/>
                <w:szCs w:val="13"/>
                <w:color w:val="auto"/>
              </w:rPr>
              <w:t>74,000</w:t>
            </w:r>
          </w:p>
        </w:tc>
        <w:tc>
          <w:tcPr>
            <w:tcW w:w="820" w:type="dxa"/>
            <w:vAlign w:val="bottom"/>
          </w:tcPr>
          <w:p>
            <w:pPr>
              <w:ind w:left="80"/>
              <w:spacing w:after="0"/>
              <w:rPr>
                <w:sz w:val="20"/>
                <w:szCs w:val="20"/>
                <w:color w:val="auto"/>
              </w:rPr>
            </w:pPr>
            <w:r>
              <w:rPr>
                <w:rFonts w:ascii="Arial" w:cs="Arial" w:eastAsia="Arial" w:hAnsi="Arial"/>
                <w:sz w:val="13"/>
                <w:szCs w:val="13"/>
                <w:color w:val="auto"/>
                <w:w w:val="98"/>
              </w:rPr>
              <w:t>Stop &amp; Shop</w:t>
            </w:r>
          </w:p>
        </w:tc>
        <w:tc>
          <w:tcPr>
            <w:tcW w:w="3220" w:type="dxa"/>
            <w:vAlign w:val="bottom"/>
          </w:tcPr>
          <w:p>
            <w:pPr>
              <w:ind w:left="60"/>
              <w:spacing w:after="0"/>
              <w:rPr>
                <w:sz w:val="20"/>
                <w:szCs w:val="20"/>
                <w:color w:val="auto"/>
              </w:rPr>
            </w:pPr>
            <w:r>
              <w:rPr>
                <w:rFonts w:ascii="Arial" w:cs="Arial" w:eastAsia="Arial" w:hAnsi="Arial"/>
                <w:sz w:val="13"/>
                <w:szCs w:val="13"/>
                <w:color w:val="auto"/>
              </w:rPr>
              <w:t>TJ Maxx</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48"/>
        </w:trPr>
        <w:tc>
          <w:tcPr>
            <w:tcW w:w="40" w:type="dxa"/>
            <w:vAlign w:val="bottom"/>
            <w:shd w:val="clear" w:color="auto" w:fill="CCEEFF"/>
          </w:tcPr>
          <w:p>
            <w:pPr>
              <w:spacing w:after="0"/>
              <w:rPr>
                <w:sz w:val="12"/>
                <w:szCs w:val="12"/>
                <w:color w:val="auto"/>
              </w:rPr>
            </w:pPr>
          </w:p>
        </w:tc>
        <w:tc>
          <w:tcPr>
            <w:tcW w:w="1460" w:type="dxa"/>
            <w:vAlign w:val="bottom"/>
            <w:gridSpan w:val="6"/>
            <w:shd w:val="clear" w:color="auto" w:fill="CCEEFF"/>
          </w:tcPr>
          <w:p>
            <w:pPr>
              <w:spacing w:after="0" w:line="148" w:lineRule="exact"/>
              <w:rPr>
                <w:sz w:val="20"/>
                <w:szCs w:val="20"/>
                <w:color w:val="auto"/>
              </w:rPr>
            </w:pPr>
            <w:r>
              <w:rPr>
                <w:rFonts w:ascii="Arial" w:cs="Arial" w:eastAsia="Arial" w:hAnsi="Arial"/>
                <w:sz w:val="13"/>
                <w:szCs w:val="13"/>
                <w:color w:val="auto"/>
              </w:rPr>
              <w:t>Eastgate</w:t>
            </w:r>
          </w:p>
        </w:tc>
        <w:tc>
          <w:tcPr>
            <w:tcW w:w="400" w:type="dxa"/>
            <w:vAlign w:val="bottom"/>
            <w:shd w:val="clear" w:color="auto" w:fill="CCEEFF"/>
          </w:tcPr>
          <w:p>
            <w:pPr>
              <w:spacing w:after="0"/>
              <w:rPr>
                <w:sz w:val="12"/>
                <w:szCs w:val="12"/>
                <w:color w:val="auto"/>
              </w:rPr>
            </w:pPr>
          </w:p>
        </w:tc>
        <w:tc>
          <w:tcPr>
            <w:tcW w:w="1600" w:type="dxa"/>
            <w:vAlign w:val="bottom"/>
            <w:shd w:val="clear" w:color="auto" w:fill="CCEEFF"/>
          </w:tcPr>
          <w:p>
            <w:pPr>
              <w:ind w:left="100"/>
              <w:spacing w:after="0" w:line="148" w:lineRule="exact"/>
              <w:rPr>
                <w:sz w:val="20"/>
                <w:szCs w:val="20"/>
                <w:color w:val="auto"/>
              </w:rPr>
            </w:pPr>
            <w:r>
              <w:rPr>
                <w:rFonts w:ascii="Arial" w:cs="Arial" w:eastAsia="Arial" w:hAnsi="Arial"/>
                <w:sz w:val="13"/>
                <w:szCs w:val="13"/>
                <w:color w:val="auto"/>
              </w:rPr>
              <w:t>Raleigh-Durham-Chapel</w:t>
            </w:r>
          </w:p>
        </w:tc>
        <w:tc>
          <w:tcPr>
            <w:tcW w:w="70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1986</w:t>
            </w:r>
          </w:p>
        </w:tc>
        <w:tc>
          <w:tcPr>
            <w:tcW w:w="720" w:type="dxa"/>
            <w:vAlign w:val="bottom"/>
            <w:shd w:val="clear" w:color="auto" w:fill="CCEEFF"/>
          </w:tcPr>
          <w:p>
            <w:pPr>
              <w:jc w:val="right"/>
              <w:ind w:right="37"/>
              <w:spacing w:after="0" w:line="148" w:lineRule="exact"/>
              <w:rPr>
                <w:sz w:val="20"/>
                <w:szCs w:val="20"/>
                <w:color w:val="auto"/>
              </w:rPr>
            </w:pPr>
            <w:r>
              <w:rPr>
                <w:rFonts w:ascii="Arial" w:cs="Arial" w:eastAsia="Arial" w:hAnsi="Arial"/>
                <w:sz w:val="13"/>
                <w:szCs w:val="13"/>
                <w:color w:val="auto"/>
              </w:rPr>
              <w:t>27,718</w:t>
            </w:r>
          </w:p>
        </w:tc>
        <w:tc>
          <w:tcPr>
            <w:tcW w:w="66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7"/>
              <w:spacing w:after="0" w:line="148" w:lineRule="exact"/>
              <w:rPr>
                <w:sz w:val="20"/>
                <w:szCs w:val="20"/>
                <w:color w:val="auto"/>
              </w:rPr>
            </w:pPr>
            <w:r>
              <w:rPr>
                <w:rFonts w:ascii="Arial" w:cs="Arial" w:eastAsia="Arial" w:hAnsi="Arial"/>
                <w:sz w:val="13"/>
                <w:szCs w:val="13"/>
                <w:color w:val="auto"/>
              </w:rPr>
              <w:t>153,000</w:t>
            </w:r>
          </w:p>
        </w:tc>
        <w:tc>
          <w:tcPr>
            <w:tcW w:w="520" w:type="dxa"/>
            <w:vAlign w:val="bottom"/>
            <w:shd w:val="clear" w:color="auto" w:fill="CCEEFF"/>
          </w:tcPr>
          <w:p>
            <w:pPr>
              <w:jc w:val="right"/>
              <w:spacing w:after="0" w:line="148" w:lineRule="exact"/>
              <w:rPr>
                <w:sz w:val="20"/>
                <w:szCs w:val="20"/>
                <w:color w:val="auto"/>
              </w:rPr>
            </w:pPr>
            <w:r>
              <w:rPr>
                <w:rFonts w:ascii="Arial" w:cs="Arial" w:eastAsia="Arial" w:hAnsi="Arial"/>
                <w:sz w:val="13"/>
                <w:szCs w:val="13"/>
                <w:color w:val="auto"/>
              </w:rPr>
              <w:t>93%</w:t>
            </w:r>
          </w:p>
        </w:tc>
        <w:tc>
          <w:tcPr>
            <w:tcW w:w="60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13,000</w:t>
            </w:r>
          </w:p>
        </w:tc>
        <w:tc>
          <w:tcPr>
            <w:tcW w:w="820" w:type="dxa"/>
            <w:vAlign w:val="bottom"/>
            <w:shd w:val="clear" w:color="auto" w:fill="CCEEFF"/>
          </w:tcPr>
          <w:p>
            <w:pPr>
              <w:ind w:left="80"/>
              <w:spacing w:after="0" w:line="148" w:lineRule="exact"/>
              <w:rPr>
                <w:sz w:val="20"/>
                <w:szCs w:val="20"/>
                <w:color w:val="auto"/>
              </w:rPr>
            </w:pPr>
            <w:r>
              <w:rPr>
                <w:rFonts w:ascii="Arial" w:cs="Arial" w:eastAsia="Arial" w:hAnsi="Arial"/>
                <w:sz w:val="13"/>
                <w:szCs w:val="13"/>
                <w:color w:val="auto"/>
              </w:rPr>
              <w:t>Trader Joe's</w:t>
            </w:r>
          </w:p>
        </w:tc>
        <w:tc>
          <w:tcPr>
            <w:tcW w:w="3220" w:type="dxa"/>
            <w:vAlign w:val="bottom"/>
            <w:shd w:val="clear" w:color="auto" w:fill="CCEEFF"/>
          </w:tcPr>
          <w:p>
            <w:pPr>
              <w:ind w:left="60"/>
              <w:spacing w:after="0" w:line="148" w:lineRule="exact"/>
              <w:rPr>
                <w:sz w:val="20"/>
                <w:szCs w:val="20"/>
                <w:color w:val="auto"/>
              </w:rPr>
            </w:pPr>
            <w:r>
              <w:rPr>
                <w:rFonts w:ascii="Arial" w:cs="Arial" w:eastAsia="Arial" w:hAnsi="Arial"/>
                <w:sz w:val="13"/>
                <w:szCs w:val="13"/>
                <w:color w:val="auto"/>
              </w:rPr>
              <w:t>Stein Mart</w:t>
            </w:r>
          </w:p>
        </w:tc>
      </w:tr>
      <w:tr>
        <w:trPr>
          <w:trHeight w:val="176"/>
        </w:trPr>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0" w:type="dxa"/>
            <w:vAlign w:val="bottom"/>
            <w:shd w:val="clear" w:color="auto" w:fill="CCEEFF"/>
          </w:tcPr>
          <w:p>
            <w:pPr>
              <w:ind w:left="100"/>
              <w:spacing w:after="0"/>
              <w:rPr>
                <w:sz w:val="20"/>
                <w:szCs w:val="20"/>
                <w:color w:val="auto"/>
              </w:rPr>
            </w:pPr>
            <w:r>
              <w:rPr>
                <w:rFonts w:ascii="Arial" w:cs="Arial" w:eastAsia="Arial" w:hAnsi="Arial"/>
                <w:sz w:val="13"/>
                <w:szCs w:val="13"/>
                <w:color w:val="auto"/>
              </w:rPr>
              <w:t>Hill, NC</w:t>
            </w:r>
          </w:p>
        </w:tc>
        <w:tc>
          <w:tcPr>
            <w:tcW w:w="7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20" w:type="dxa"/>
            <w:vAlign w:val="bottom"/>
            <w:shd w:val="clear" w:color="auto" w:fill="CCEEFF"/>
          </w:tcPr>
          <w:p>
            <w:pPr>
              <w:spacing w:after="0"/>
              <w:rPr>
                <w:sz w:val="15"/>
                <w:szCs w:val="15"/>
                <w:color w:val="auto"/>
              </w:rPr>
            </w:pP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Gratiot Plaza</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Detroit, MI</w:t>
            </w:r>
          </w:p>
        </w:tc>
        <w:tc>
          <w:tcPr>
            <w:tcW w:w="700" w:type="dxa"/>
            <w:vAlign w:val="bottom"/>
          </w:tcPr>
          <w:p>
            <w:pPr>
              <w:jc w:val="right"/>
              <w:spacing w:after="0"/>
              <w:rPr>
                <w:sz w:val="20"/>
                <w:szCs w:val="20"/>
                <w:color w:val="auto"/>
              </w:rPr>
            </w:pPr>
            <w:r>
              <w:rPr>
                <w:rFonts w:ascii="Arial" w:cs="Arial" w:eastAsia="Arial" w:hAnsi="Arial"/>
                <w:sz w:val="13"/>
                <w:szCs w:val="13"/>
                <w:color w:val="auto"/>
              </w:rPr>
              <w:t>1973</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19,237</w:t>
            </w:r>
          </w:p>
        </w:tc>
        <w:tc>
          <w:tcPr>
            <w:tcW w:w="660" w:type="dxa"/>
            <w:vAlign w:val="bottom"/>
          </w:tcPr>
          <w:p>
            <w:pPr>
              <w:spacing w:after="0"/>
              <w:rPr>
                <w:sz w:val="15"/>
                <w:szCs w:val="15"/>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217,000</w:t>
            </w:r>
          </w:p>
        </w:tc>
        <w:tc>
          <w:tcPr>
            <w:tcW w:w="520" w:type="dxa"/>
            <w:vAlign w:val="bottom"/>
          </w:tcPr>
          <w:p>
            <w:pPr>
              <w:jc w:val="right"/>
              <w:spacing w:after="0"/>
              <w:rPr>
                <w:sz w:val="20"/>
                <w:szCs w:val="20"/>
                <w:color w:val="auto"/>
              </w:rPr>
            </w:pPr>
            <w:r>
              <w:rPr>
                <w:rFonts w:ascii="Arial" w:cs="Arial" w:eastAsia="Arial" w:hAnsi="Arial"/>
                <w:sz w:val="13"/>
                <w:szCs w:val="13"/>
                <w:color w:val="auto"/>
              </w:rPr>
              <w:t>99%</w:t>
            </w:r>
          </w:p>
        </w:tc>
        <w:tc>
          <w:tcPr>
            <w:tcW w:w="600" w:type="dxa"/>
            <w:vAlign w:val="bottom"/>
          </w:tcPr>
          <w:p>
            <w:pPr>
              <w:ind w:left="60"/>
              <w:spacing w:after="0"/>
              <w:rPr>
                <w:sz w:val="20"/>
                <w:szCs w:val="20"/>
                <w:color w:val="auto"/>
              </w:rPr>
            </w:pPr>
            <w:r>
              <w:rPr>
                <w:rFonts w:ascii="Arial" w:cs="Arial" w:eastAsia="Arial" w:hAnsi="Arial"/>
                <w:sz w:val="13"/>
                <w:szCs w:val="13"/>
                <w:color w:val="auto"/>
              </w:rPr>
              <w:t>69,000</w:t>
            </w:r>
          </w:p>
        </w:tc>
        <w:tc>
          <w:tcPr>
            <w:tcW w:w="820" w:type="dxa"/>
            <w:vAlign w:val="bottom"/>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Pr>
          <w:p>
            <w:pPr>
              <w:ind w:left="60"/>
              <w:spacing w:after="0"/>
              <w:rPr>
                <w:sz w:val="20"/>
                <w:szCs w:val="20"/>
                <w:color w:val="auto"/>
              </w:rPr>
            </w:pPr>
            <w:r>
              <w:rPr>
                <w:rFonts w:ascii="Arial" w:cs="Arial" w:eastAsia="Arial" w:hAnsi="Arial"/>
                <w:sz w:val="13"/>
                <w:szCs w:val="13"/>
                <w:color w:val="auto"/>
              </w:rPr>
              <w:t>Bed, Bath &amp; Beyond / Best Buy / DSW</w:t>
            </w:r>
          </w:p>
        </w:tc>
      </w:tr>
      <w:tr>
        <w:trPr>
          <w:trHeight w:val="43"/>
        </w:trPr>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196"/>
        </w:trPr>
        <w:tc>
          <w:tcPr>
            <w:tcW w:w="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Lancaster</w:t>
            </w:r>
          </w:p>
        </w:tc>
        <w:tc>
          <w:tcPr>
            <w:tcW w:w="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(6)</w:t>
            </w: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Lancaster, PA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1980</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13,547</w:t>
            </w:r>
          </w:p>
        </w:tc>
        <w:tc>
          <w:tcPr>
            <w:tcW w:w="6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3"/>
                <w:szCs w:val="13"/>
                <w:color w:val="auto"/>
              </w:rPr>
              <w:t>4,907</w:t>
            </w: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127,000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75,000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Michaels</w:t>
            </w:r>
          </w:p>
        </w:tc>
      </w:tr>
      <w:tr>
        <w:trPr>
          <w:trHeight w:val="173"/>
        </w:trPr>
        <w:tc>
          <w:tcPr>
            <w:tcW w:w="40" w:type="dxa"/>
            <w:vAlign w:val="bottom"/>
          </w:tcPr>
          <w:p>
            <w:pPr>
              <w:spacing w:after="0"/>
              <w:rPr>
                <w:sz w:val="15"/>
                <w:szCs w:val="15"/>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29th Place</w:t>
            </w:r>
          </w:p>
        </w:tc>
        <w:tc>
          <w:tcPr>
            <w:tcW w:w="400" w:type="dxa"/>
            <w:vAlign w:val="bottom"/>
          </w:tcPr>
          <w:p>
            <w:pPr>
              <w:spacing w:after="0"/>
              <w:rPr>
                <w:sz w:val="15"/>
                <w:szCs w:val="15"/>
                <w:color w:val="auto"/>
              </w:rPr>
            </w:pPr>
          </w:p>
        </w:tc>
        <w:tc>
          <w:tcPr>
            <w:tcW w:w="1600" w:type="dxa"/>
            <w:vAlign w:val="bottom"/>
          </w:tcPr>
          <w:p>
            <w:pPr>
              <w:ind w:left="100"/>
              <w:spacing w:after="0"/>
              <w:rPr>
                <w:sz w:val="20"/>
                <w:szCs w:val="20"/>
                <w:color w:val="auto"/>
              </w:rPr>
            </w:pPr>
            <w:r>
              <w:rPr>
                <w:rFonts w:ascii="Arial" w:cs="Arial" w:eastAsia="Arial" w:hAnsi="Arial"/>
                <w:sz w:val="13"/>
                <w:szCs w:val="13"/>
                <w:color w:val="auto"/>
              </w:rPr>
              <w:t>Charlottesville, VA</w:t>
            </w:r>
          </w:p>
        </w:tc>
        <w:tc>
          <w:tcPr>
            <w:tcW w:w="700" w:type="dxa"/>
            <w:vAlign w:val="bottom"/>
          </w:tcPr>
          <w:p>
            <w:pPr>
              <w:jc w:val="right"/>
              <w:spacing w:after="0"/>
              <w:rPr>
                <w:sz w:val="20"/>
                <w:szCs w:val="20"/>
                <w:color w:val="auto"/>
              </w:rPr>
            </w:pPr>
            <w:r>
              <w:rPr>
                <w:rFonts w:ascii="Arial" w:cs="Arial" w:eastAsia="Arial" w:hAnsi="Arial"/>
                <w:sz w:val="13"/>
                <w:szCs w:val="13"/>
                <w:color w:val="auto"/>
              </w:rPr>
              <w:t>2007</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40,303</w:t>
            </w: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4,848</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169,000</w:t>
            </w:r>
          </w:p>
        </w:tc>
        <w:tc>
          <w:tcPr>
            <w:tcW w:w="520" w:type="dxa"/>
            <w:vAlign w:val="bottom"/>
          </w:tcPr>
          <w:p>
            <w:pPr>
              <w:jc w:val="right"/>
              <w:spacing w:after="0"/>
              <w:rPr>
                <w:sz w:val="20"/>
                <w:szCs w:val="20"/>
                <w:color w:val="auto"/>
              </w:rPr>
            </w:pPr>
            <w:r>
              <w:rPr>
                <w:rFonts w:ascii="Arial" w:cs="Arial" w:eastAsia="Arial" w:hAnsi="Arial"/>
                <w:sz w:val="13"/>
                <w:szCs w:val="13"/>
                <w:color w:val="auto"/>
              </w:rPr>
              <w:t>96%</w:t>
            </w:r>
          </w:p>
        </w:tc>
        <w:tc>
          <w:tcPr>
            <w:tcW w:w="6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20" w:type="dxa"/>
            <w:vAlign w:val="bottom"/>
          </w:tcPr>
          <w:p>
            <w:pPr>
              <w:ind w:left="60"/>
              <w:spacing w:after="0"/>
              <w:rPr>
                <w:sz w:val="20"/>
                <w:szCs w:val="20"/>
                <w:color w:val="auto"/>
              </w:rPr>
            </w:pPr>
            <w:r>
              <w:rPr>
                <w:rFonts w:ascii="Arial" w:cs="Arial" w:eastAsia="Arial" w:hAnsi="Arial"/>
                <w:sz w:val="13"/>
                <w:szCs w:val="13"/>
                <w:color w:val="auto"/>
              </w:rPr>
              <w:t>DSW / HomeGoods / Staples / Stein Mart</w:t>
            </w:r>
          </w:p>
        </w:tc>
      </w:tr>
      <w:tr>
        <w:trPr>
          <w:trHeight w:val="97"/>
        </w:trPr>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20" w:type="dxa"/>
            <w:vAlign w:val="bottom"/>
          </w:tcPr>
          <w:p>
            <w:pPr>
              <w:spacing w:after="0"/>
              <w:rPr>
                <w:sz w:val="8"/>
                <w:szCs w:val="8"/>
                <w:color w:val="auto"/>
              </w:rPr>
            </w:pPr>
          </w:p>
        </w:tc>
      </w:tr>
      <w:tr>
        <w:trPr>
          <w:trHeight w:val="216"/>
        </w:trPr>
        <w:tc>
          <w:tcPr>
            <w:tcW w:w="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3"/>
                <w:szCs w:val="13"/>
                <w:color w:val="auto"/>
              </w:rPr>
              <w:t>Willow Lawn</w:t>
            </w:r>
          </w:p>
        </w:tc>
        <w:tc>
          <w:tcPr>
            <w:tcW w:w="4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w w:val="97"/>
              </w:rPr>
              <w:t>Richmond-Petersburg, VA</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1983</w:t>
            </w:r>
          </w:p>
        </w:tc>
        <w:tc>
          <w:tcPr>
            <w:tcW w:w="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3"/>
                <w:szCs w:val="13"/>
                <w:color w:val="auto"/>
              </w:rPr>
              <w:t>85,639</w:t>
            </w:r>
          </w:p>
        </w:tc>
        <w:tc>
          <w:tcPr>
            <w:tcW w:w="6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3"/>
                <w:szCs w:val="13"/>
                <w:color w:val="auto"/>
              </w:rPr>
              <w:t>445,000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66,000</w:t>
            </w:r>
          </w:p>
        </w:tc>
        <w:tc>
          <w:tcPr>
            <w:tcW w:w="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Kroger</w:t>
            </w:r>
          </w:p>
        </w:tc>
        <w:tc>
          <w:tcPr>
            <w:tcW w:w="3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Old Navy / Staples / Ross Dress For Less</w:t>
            </w:r>
          </w:p>
        </w:tc>
      </w:tr>
      <w:tr>
        <w:trPr>
          <w:trHeight w:val="167"/>
        </w:trPr>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Arial" w:cs="Arial" w:eastAsia="Arial" w:hAnsi="Arial"/>
                <w:sz w:val="13"/>
                <w:szCs w:val="13"/>
                <w:b w:val="1"/>
                <w:bCs w:val="1"/>
                <w:color w:val="auto"/>
              </w:rPr>
              <w:t>Total Other</w:t>
            </w:r>
          </w:p>
        </w:tc>
        <w:tc>
          <w:tcPr>
            <w:tcW w:w="700" w:type="dxa"/>
            <w:vAlign w:val="bottom"/>
          </w:tcPr>
          <w:p>
            <w:pPr>
              <w:spacing w:after="0"/>
              <w:rPr>
                <w:sz w:val="14"/>
                <w:szCs w:val="14"/>
                <w:color w:val="auto"/>
              </w:rPr>
            </w:pPr>
          </w:p>
        </w:tc>
        <w:tc>
          <w:tcPr>
            <w:tcW w:w="7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276,755</w:t>
            </w:r>
          </w:p>
        </w:tc>
        <w:tc>
          <w:tcPr>
            <w:tcW w:w="660" w:type="dxa"/>
            <w:vAlign w:val="bottom"/>
          </w:tcPr>
          <w:p>
            <w:pPr>
              <w:spacing w:after="0"/>
              <w:rPr>
                <w:sz w:val="14"/>
                <w:szCs w:val="14"/>
                <w:color w:val="auto"/>
              </w:rPr>
            </w:pPr>
          </w:p>
        </w:tc>
        <w:tc>
          <w:tcPr>
            <w:tcW w:w="68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1,874,000</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84"/>
        </w:trPr>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20" w:type="dxa"/>
            <w:vAlign w:val="bottom"/>
          </w:tcPr>
          <w:p>
            <w:pPr>
              <w:spacing w:after="0"/>
              <w:rPr>
                <w:sz w:val="7"/>
                <w:szCs w:val="7"/>
                <w:color w:val="auto"/>
              </w:rPr>
            </w:pPr>
          </w:p>
        </w:tc>
      </w:tr>
      <w:tr>
        <w:trPr>
          <w:trHeight w:val="135"/>
        </w:trPr>
        <w:tc>
          <w:tcPr>
            <w:tcW w:w="4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spacing w:after="0"/>
              <w:rPr>
                <w:sz w:val="11"/>
                <w:szCs w:val="11"/>
                <w:color w:val="auto"/>
              </w:rPr>
            </w:pPr>
          </w:p>
        </w:tc>
        <w:tc>
          <w:tcPr>
            <w:tcW w:w="3220" w:type="dxa"/>
            <w:vAlign w:val="bottom"/>
            <w:tcBorders>
              <w:bottom w:val="single" w:sz="8" w:color="auto"/>
            </w:tcBorders>
            <w:shd w:val="clear" w:color="auto" w:fill="CCEEFF"/>
          </w:tcPr>
          <w:p>
            <w:pPr>
              <w:spacing w:after="0"/>
              <w:rPr>
                <w:sz w:val="11"/>
                <w:szCs w:val="11"/>
                <w:color w:val="auto"/>
              </w:rPr>
            </w:pPr>
          </w:p>
        </w:tc>
      </w:tr>
      <w:tr>
        <w:trPr>
          <w:trHeight w:val="167"/>
        </w:trPr>
        <w:tc>
          <w:tcPr>
            <w:tcW w:w="40" w:type="dxa"/>
            <w:vAlign w:val="bottom"/>
          </w:tcPr>
          <w:p>
            <w:pPr>
              <w:spacing w:after="0"/>
              <w:rPr>
                <w:sz w:val="14"/>
                <w:szCs w:val="14"/>
                <w:color w:val="auto"/>
              </w:rPr>
            </w:pPr>
          </w:p>
        </w:tc>
        <w:tc>
          <w:tcPr>
            <w:tcW w:w="1460" w:type="dxa"/>
            <w:vAlign w:val="bottom"/>
            <w:gridSpan w:val="6"/>
          </w:tcPr>
          <w:p>
            <w:pPr>
              <w:spacing w:after="0"/>
              <w:rPr>
                <w:sz w:val="20"/>
                <w:szCs w:val="20"/>
                <w:color w:val="auto"/>
              </w:rPr>
            </w:pPr>
            <w:r>
              <w:rPr>
                <w:rFonts w:ascii="Arial" w:cs="Arial" w:eastAsia="Arial" w:hAnsi="Arial"/>
                <w:sz w:val="13"/>
                <w:szCs w:val="13"/>
                <w:b w:val="1"/>
                <w:bCs w:val="1"/>
                <w:color w:val="auto"/>
              </w:rPr>
              <w:t>Grand Total</w:t>
            </w:r>
          </w:p>
        </w:tc>
        <w:tc>
          <w:tcPr>
            <w:tcW w:w="4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b w:val="1"/>
                <w:bCs w:val="1"/>
                <w:color w:val="auto"/>
                <w:w w:val="87"/>
              </w:rPr>
              <w:t>$ 5,844,179</w:t>
            </w:r>
          </w:p>
        </w:tc>
        <w:tc>
          <w:tcPr>
            <w:tcW w:w="660" w:type="dxa"/>
            <w:vAlign w:val="bottom"/>
          </w:tcPr>
          <w:p>
            <w:pPr>
              <w:jc w:val="right"/>
              <w:ind w:right="38"/>
              <w:spacing w:after="0"/>
              <w:rPr>
                <w:sz w:val="20"/>
                <w:szCs w:val="20"/>
                <w:color w:val="auto"/>
              </w:rPr>
            </w:pPr>
            <w:r>
              <w:rPr>
                <w:rFonts w:ascii="Arial" w:cs="Arial" w:eastAsia="Arial" w:hAnsi="Arial"/>
                <w:sz w:val="13"/>
                <w:szCs w:val="13"/>
                <w:b w:val="1"/>
                <w:bCs w:val="1"/>
                <w:color w:val="auto"/>
                <w:w w:val="93"/>
              </w:rPr>
              <w:t>$ 640,691</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20,825,000</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96%</w:t>
            </w:r>
          </w:p>
        </w:tc>
        <w:tc>
          <w:tcPr>
            <w:tcW w:w="6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20" w:type="dxa"/>
            <w:vAlign w:val="bottom"/>
          </w:tcPr>
          <w:p>
            <w:pPr>
              <w:spacing w:after="0"/>
              <w:rPr>
                <w:sz w:val="14"/>
                <w:szCs w:val="14"/>
                <w:color w:val="auto"/>
              </w:rPr>
            </w:pPr>
          </w:p>
        </w:tc>
      </w:tr>
      <w:tr>
        <w:trPr>
          <w:trHeight w:val="97"/>
        </w:trPr>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20" w:type="dxa"/>
            <w:vAlign w:val="bottom"/>
            <w:tcBorders>
              <w:bottom w:val="single" w:sz="8" w:color="auto"/>
            </w:tcBorders>
          </w:tcPr>
          <w:p>
            <w:pPr>
              <w:spacing w:after="0"/>
              <w:rPr>
                <w:sz w:val="8"/>
                <w:szCs w:val="8"/>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460" w:type="dxa"/>
            <w:vAlign w:val="bottom"/>
            <w:gridSpan w:val="6"/>
          </w:tcPr>
          <w:p>
            <w:pPr>
              <w:spacing w:after="0"/>
              <w:rPr>
                <w:sz w:val="20"/>
                <w:szCs w:val="20"/>
                <w:color w:val="auto"/>
              </w:rPr>
            </w:pPr>
            <w:r>
              <w:rPr>
                <w:rFonts w:ascii="Arial" w:cs="Arial" w:eastAsia="Arial" w:hAnsi="Arial"/>
                <w:sz w:val="13"/>
                <w:szCs w:val="13"/>
                <w:color w:val="auto"/>
              </w:rPr>
              <w:t>Notes:</w:t>
            </w: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920" w:type="dxa"/>
            <w:vAlign w:val="bottom"/>
            <w:gridSpan w:val="10"/>
          </w:tcPr>
          <w:p>
            <w:pPr>
              <w:spacing w:after="0" w:line="20" w:lineRule="exact"/>
              <w:rPr>
                <w:sz w:val="1"/>
                <w:szCs w:val="1"/>
                <w:color w:val="auto"/>
              </w:rPr>
            </w:pPr>
          </w:p>
        </w:tc>
      </w:tr>
      <w:tr>
        <w:trPr>
          <w:trHeight w:val="19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4"/>
              </w:rPr>
              <w:t>The mortgage or capital lease obligations differ from the total reported on the consolidated balance sheet due to the unamortized discount or premium on certain mortgage payables.</w:t>
            </w: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5"/>
              </w:rPr>
              <w:t>Excludes newly created redevelopment square footage not yet in service, as well as residential and hotel square footage.</w:t>
            </w: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(3)</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7"/>
              </w:rPr>
              <w:t>The Trust has a controlling financial interest in this property.</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700" w:type="dxa"/>
            <w:vAlign w:val="bottom"/>
            <w:gridSpan w:val="9"/>
          </w:tcPr>
          <w:p>
            <w:pPr>
              <w:ind w:left="60"/>
              <w:spacing w:after="0"/>
              <w:rPr>
                <w:sz w:val="20"/>
                <w:szCs w:val="20"/>
                <w:color w:val="auto"/>
              </w:rPr>
            </w:pPr>
            <w:r>
              <w:rPr>
                <w:rFonts w:ascii="Arial" w:cs="Arial" w:eastAsia="Arial" w:hAnsi="Arial"/>
                <w:sz w:val="13"/>
                <w:szCs w:val="13"/>
                <w:color w:val="auto"/>
                <w:w w:val="93"/>
              </w:rPr>
              <w:t>Portion of property is currently under development. See further discussion in the Pike &amp; Rose and Assembly Row schedule.</w:t>
            </w:r>
          </w:p>
        </w:tc>
        <w:tc>
          <w:tcPr>
            <w:tcW w:w="3220" w:type="dxa"/>
            <w:vAlign w:val="bottom"/>
          </w:tcPr>
          <w:p>
            <w:pPr>
              <w:spacing w:after="0"/>
              <w:rPr>
                <w:sz w:val="16"/>
                <w:szCs w:val="16"/>
                <w:color w:val="auto"/>
              </w:rPr>
            </w:pPr>
          </w:p>
        </w:tc>
      </w:tr>
      <w:tr>
        <w:trPr>
          <w:trHeight w:val="164"/>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920" w:type="dxa"/>
            <w:vAlign w:val="bottom"/>
            <w:gridSpan w:val="10"/>
          </w:tcPr>
          <w:p>
            <w:pPr>
              <w:ind w:left="60"/>
              <w:spacing w:after="0"/>
              <w:rPr>
                <w:sz w:val="20"/>
                <w:szCs w:val="20"/>
                <w:color w:val="auto"/>
              </w:rPr>
            </w:pPr>
            <w:r>
              <w:rPr>
                <w:rFonts w:ascii="Arial" w:cs="Arial" w:eastAsia="Arial" w:hAnsi="Arial"/>
                <w:sz w:val="13"/>
                <w:szCs w:val="13"/>
                <w:color w:val="auto"/>
                <w:w w:val="92"/>
              </w:rPr>
              <w:t>All or a portion of the property is owned in a "downreit" partnership, of which a wholly owned subsidiary of the Trust is the sole general partner, with third party partners holding operating</w:t>
            </w:r>
          </w:p>
        </w:tc>
      </w:tr>
      <w:tr>
        <w:trPr>
          <w:trHeight w:val="160"/>
        </w:trPr>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0" w:type="dxa"/>
            <w:vAlign w:val="bottom"/>
            <w:gridSpan w:val="2"/>
          </w:tcPr>
          <w:p>
            <w:pPr>
              <w:ind w:left="60"/>
              <w:spacing w:after="0"/>
              <w:rPr>
                <w:sz w:val="20"/>
                <w:szCs w:val="20"/>
                <w:color w:val="auto"/>
              </w:rPr>
            </w:pPr>
            <w:r>
              <w:rPr>
                <w:rFonts w:ascii="Arial" w:cs="Arial" w:eastAsia="Arial" w:hAnsi="Arial"/>
                <w:sz w:val="13"/>
                <w:szCs w:val="13"/>
                <w:color w:val="auto"/>
              </w:rPr>
              <w:t>partnership units.</w:t>
            </w: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20" w:type="dxa"/>
            <w:vAlign w:val="bottom"/>
            <w:gridSpan w:val="4"/>
          </w:tcPr>
          <w:p>
            <w:pPr>
              <w:ind w:left="60"/>
              <w:spacing w:after="0"/>
              <w:rPr>
                <w:sz w:val="20"/>
                <w:szCs w:val="20"/>
                <w:color w:val="auto"/>
              </w:rPr>
            </w:pPr>
            <w:r>
              <w:rPr>
                <w:rFonts w:ascii="Arial" w:cs="Arial" w:eastAsia="Arial" w:hAnsi="Arial"/>
                <w:sz w:val="13"/>
                <w:szCs w:val="13"/>
                <w:color w:val="auto"/>
                <w:w w:val="96"/>
              </w:rPr>
              <w:t>All or a portion of property subject to capital lease obligation.</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189"/>
        </w:trPr>
        <w:tc>
          <w:tcPr>
            <w:tcW w:w="360" w:type="dxa"/>
            <w:vAlign w:val="bottom"/>
            <w:gridSpan w:val="2"/>
          </w:tcPr>
          <w:p>
            <w:pPr>
              <w:ind w:left="40"/>
              <w:spacing w:after="0"/>
              <w:rPr>
                <w:sz w:val="20"/>
                <w:szCs w:val="20"/>
                <w:color w:val="auto"/>
              </w:rPr>
            </w:pPr>
            <w:r>
              <w:rPr>
                <w:rFonts w:ascii="Arial" w:cs="Arial" w:eastAsia="Arial" w:hAnsi="Arial"/>
                <w:sz w:val="13"/>
                <w:szCs w:val="13"/>
                <w:color w:val="auto"/>
              </w:rPr>
              <w:t>(7)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760" w:type="dxa"/>
            <w:vAlign w:val="bottom"/>
            <w:gridSpan w:val="6"/>
          </w:tcPr>
          <w:p>
            <w:pPr>
              <w:ind w:left="60"/>
              <w:spacing w:after="0"/>
              <w:rPr>
                <w:sz w:val="20"/>
                <w:szCs w:val="20"/>
                <w:color w:val="auto"/>
              </w:rPr>
            </w:pPr>
            <w:r>
              <w:rPr>
                <w:rFonts w:ascii="Arial" w:cs="Arial" w:eastAsia="Arial" w:hAnsi="Arial"/>
                <w:sz w:val="13"/>
                <w:szCs w:val="13"/>
                <w:color w:val="auto"/>
                <w:w w:val="93"/>
              </w:rPr>
              <w:t>Includes a 100% owned, 8.1 acre land parcel being used for The Point redevelopment.</w:t>
            </w: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2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1">
            <w:col w:w="11420"/>
          </w:cols>
          <w:pgMar w:left="240" w:top="747" w:right="239" w:bottom="1440" w:gutter="0" w:footer="0" w:header="0"/>
        </w:sectPr>
      </w:pPr>
    </w:p>
    <w:p>
      <w:pPr>
        <w:spacing w:after="0" w:line="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747" w:right="239" w:bottom="1440" w:gutter="0" w:footer="0" w:header="0"/>
          <w:type w:val="continuous"/>
        </w:sectPr>
      </w:pPr>
    </w:p>
    <w:bookmarkStart w:id="25" w:name="page26"/>
    <w:bookmarkEnd w:id="25"/>
    <w:p>
      <w:pPr>
        <w:ind w:left="20"/>
        <w:spacing w:after="0"/>
        <w:rPr>
          <w:sz w:val="20"/>
          <w:szCs w:val="20"/>
          <w:color w:val="auto"/>
        </w:rPr>
      </w:pPr>
      <w:r>
        <w:rPr>
          <w:rFonts w:ascii="Arial" w:cs="Arial" w:eastAsia="Arial" w:hAnsi="Arial"/>
          <w:sz w:val="16"/>
          <w:szCs w:val="16"/>
          <w:b w:val="1"/>
          <w:bCs w:val="1"/>
          <w:color w:val="auto"/>
        </w:rPr>
        <w:t>Federal Realty Investment Trust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Retail Leasing Summary (1)</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June 30, 2015</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Total Lease Summary - Comparable (2)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296,946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30.41</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$ 26.36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1,203,298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8,780,682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29.57</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249,295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37.50</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$ 33.70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947,399</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5,721,362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22.95</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306,860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33.27</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$ 27.76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1,691,334</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3,414,377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11.13</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372,693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35.69</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$ 31.55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w w:val="99"/>
              </w:rPr>
              <w:t>1,542,966</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11,381,523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30.54</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1,225,794</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34.17</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$ 29.78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5,384,997</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29,297,944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23.90</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rPr>
              <w:t>New Lease Summary - Comparable (2)</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147,114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30.96</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$ 26.98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585,589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6,812,702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46.31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100,934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40.69</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$ 35.13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560,791</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5,563,472</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55.12</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125,838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24.62</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$ 15.62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9"/>
              </w:rPr>
              <w:t>1,131,869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3,323,715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26.41</w:t>
            </w:r>
          </w:p>
        </w:tc>
        <w:tc>
          <w:tcPr>
            <w:tcW w:w="3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w:t>
            </w: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38</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42%</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177,145</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33.16</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$ 28.85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763,753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11,087,445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62.59</w:t>
            </w:r>
          </w:p>
        </w:tc>
        <w:tc>
          <w:tcPr>
            <w:tcW w:w="3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116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551,031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32.00</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$ 26.48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3,042,002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26,787,334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48.61</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20" w:type="dxa"/>
            <w:vAlign w:val="bottom"/>
            <w:gridSpan w:val="7"/>
          </w:tcPr>
          <w:p>
            <w:pPr>
              <w:spacing w:after="0"/>
              <w:rPr>
                <w:sz w:val="20"/>
                <w:szCs w:val="20"/>
                <w:color w:val="auto"/>
              </w:rPr>
            </w:pPr>
            <w:r>
              <w:rPr>
                <w:rFonts w:ascii="Arial" w:cs="Arial" w:eastAsia="Arial" w:hAnsi="Arial"/>
                <w:sz w:val="14"/>
                <w:szCs w:val="14"/>
                <w:b w:val="1"/>
                <w:bCs w:val="1"/>
                <w:color w:val="auto"/>
                <w:w w:val="95"/>
              </w:rPr>
              <w:t>Renewal Lease Summary - Comparable (2) (8)</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0"/>
              </w:rPr>
              <w:t>Straight-lined</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Number of</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 of</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Prior Rent</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8"/>
              </w:rPr>
              <w:t>Cash Basis %</w:t>
            </w:r>
          </w:p>
        </w:tc>
        <w:tc>
          <w:tcPr>
            <w:tcW w:w="1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Basis %</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0"/>
              </w:rPr>
              <w:t>Leases</w:t>
            </w:r>
          </w:p>
        </w:tc>
        <w:tc>
          <w:tcPr>
            <w:tcW w:w="980" w:type="dxa"/>
            <w:vAlign w:val="bottom"/>
            <w:gridSpan w:val="4"/>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Comparable</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3"/>
          </w:tcPr>
          <w:p>
            <w:pPr>
              <w:jc w:val="right"/>
              <w:ind w:right="220"/>
              <w:spacing w:after="0" w:line="122" w:lineRule="exact"/>
              <w:rPr>
                <w:sz w:val="20"/>
                <w:szCs w:val="20"/>
                <w:color w:val="auto"/>
              </w:rPr>
            </w:pPr>
            <w:r>
              <w:rPr>
                <w:rFonts w:ascii="Arial" w:cs="Arial" w:eastAsia="Arial" w:hAnsi="Arial"/>
                <w:sz w:val="11"/>
                <w:szCs w:val="11"/>
                <w:b w:val="1"/>
                <w:bCs w:val="1"/>
                <w:color w:val="auto"/>
                <w:w w:val="90"/>
              </w:rPr>
              <w:t>Rent (3) Per</w:t>
            </w: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(4) Per Sq.</w:t>
            </w:r>
          </w:p>
        </w:tc>
        <w:tc>
          <w:tcPr>
            <w:tcW w:w="8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Annual Increase</w:t>
            </w:r>
          </w:p>
        </w:tc>
        <w:tc>
          <w:tcPr>
            <w:tcW w:w="120" w:type="dxa"/>
            <w:vAlign w:val="bottom"/>
          </w:tcPr>
          <w:p>
            <w:pPr>
              <w:spacing w:after="0"/>
              <w:rPr>
                <w:sz w:val="10"/>
                <w:szCs w:val="10"/>
                <w:color w:val="auto"/>
              </w:rPr>
            </w:pPr>
          </w:p>
        </w:tc>
        <w:tc>
          <w:tcPr>
            <w:tcW w:w="8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Increase Over</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980" w:type="dxa"/>
            <w:vAlign w:val="bottom"/>
            <w:gridSpan w:val="4"/>
          </w:tcPr>
          <w:p>
            <w:pPr>
              <w:jc w:val="center"/>
              <w:ind w:right="140"/>
              <w:spacing w:after="0"/>
              <w:rPr>
                <w:sz w:val="20"/>
                <w:szCs w:val="20"/>
                <w:color w:val="auto"/>
              </w:rPr>
            </w:pPr>
            <w:r>
              <w:rPr>
                <w:rFonts w:ascii="Arial" w:cs="Arial" w:eastAsia="Arial" w:hAnsi="Arial"/>
                <w:sz w:val="11"/>
                <w:szCs w:val="11"/>
                <w:b w:val="1"/>
                <w:bCs w:val="1"/>
                <w:color w:val="auto"/>
                <w:w w:val="83"/>
              </w:rPr>
              <w:t>Leases Signed</w:t>
            </w:r>
          </w:p>
        </w:tc>
        <w:tc>
          <w:tcPr>
            <w:tcW w:w="880" w:type="dxa"/>
            <w:vAlign w:val="bottom"/>
            <w:gridSpan w:val="2"/>
          </w:tcPr>
          <w:p>
            <w:pPr>
              <w:ind w:left="100"/>
              <w:spacing w:after="0"/>
              <w:rPr>
                <w:sz w:val="20"/>
                <w:szCs w:val="20"/>
                <w:color w:val="auto"/>
              </w:rPr>
            </w:pPr>
            <w:r>
              <w:rPr>
                <w:rFonts w:ascii="Arial" w:cs="Arial" w:eastAsia="Arial" w:hAnsi="Arial"/>
                <w:sz w:val="11"/>
                <w:szCs w:val="11"/>
                <w:b w:val="1"/>
                <w:bCs w:val="1"/>
                <w:color w:val="auto"/>
              </w:rPr>
              <w:t>GLA Signed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Sq. Ft.</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rPr>
              <w:t>Ft.</w:t>
            </w:r>
          </w:p>
        </w:tc>
        <w:tc>
          <w:tcPr>
            <w:tcW w:w="140" w:type="dxa"/>
            <w:vAlign w:val="bottom"/>
          </w:tcPr>
          <w:p>
            <w:pPr>
              <w:spacing w:after="0"/>
              <w:rPr>
                <w:sz w:val="12"/>
                <w:szCs w:val="12"/>
                <w:color w:val="auto"/>
              </w:rPr>
            </w:pPr>
          </w:p>
        </w:tc>
        <w:tc>
          <w:tcPr>
            <w:tcW w:w="740" w:type="dxa"/>
            <w:vAlign w:val="bottom"/>
          </w:tcPr>
          <w:p>
            <w:pPr>
              <w:jc w:val="center"/>
              <w:ind w:right="52"/>
              <w:spacing w:after="0"/>
              <w:rPr>
                <w:sz w:val="20"/>
                <w:szCs w:val="20"/>
                <w:color w:val="auto"/>
              </w:rPr>
            </w:pPr>
            <w:r>
              <w:rPr>
                <w:rFonts w:ascii="Arial" w:cs="Arial" w:eastAsia="Arial" w:hAnsi="Arial"/>
                <w:sz w:val="11"/>
                <w:szCs w:val="11"/>
                <w:b w:val="1"/>
                <w:bCs w:val="1"/>
                <w:color w:val="auto"/>
                <w:w w:val="91"/>
              </w:rPr>
              <w:t>in Rent</w:t>
            </w:r>
          </w:p>
        </w:tc>
        <w:tc>
          <w:tcPr>
            <w:tcW w:w="120" w:type="dxa"/>
            <w:vAlign w:val="bottom"/>
          </w:tcPr>
          <w:p>
            <w:pPr>
              <w:spacing w:after="0"/>
              <w:rPr>
                <w:sz w:val="12"/>
                <w:szCs w:val="12"/>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3"/>
              </w:rPr>
              <w:t>Prior Rent</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Prior Rent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149,832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29.87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$ 25.75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617,709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1,967,980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13.13</w:t>
            </w:r>
          </w:p>
        </w:tc>
        <w:tc>
          <w:tcPr>
            <w:tcW w:w="360" w:type="dxa"/>
            <w:vAlign w:val="bottom"/>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tcPr>
          <w:p>
            <w:pPr>
              <w:jc w:val="right"/>
              <w:ind w:right="55"/>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148,361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6"/>
              <w:spacing w:after="0"/>
              <w:rPr>
                <w:sz w:val="20"/>
                <w:szCs w:val="20"/>
                <w:color w:val="auto"/>
              </w:rPr>
            </w:pPr>
            <w:r>
              <w:rPr>
                <w:rFonts w:ascii="Arial" w:cs="Arial" w:eastAsia="Arial" w:hAnsi="Arial"/>
                <w:sz w:val="14"/>
                <w:szCs w:val="14"/>
                <w:color w:val="auto"/>
              </w:rPr>
              <w:t>35.34</w:t>
            </w: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w w:val="89"/>
              </w:rPr>
              <w:t>$ 32.73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32"/>
              <w:spacing w:after="0"/>
              <w:rPr>
                <w:sz w:val="20"/>
                <w:szCs w:val="20"/>
                <w:color w:val="auto"/>
              </w:rPr>
            </w:pPr>
            <w:r>
              <w:rPr>
                <w:rFonts w:ascii="Arial" w:cs="Arial" w:eastAsia="Arial" w:hAnsi="Arial"/>
                <w:sz w:val="14"/>
                <w:szCs w:val="14"/>
                <w:color w:val="auto"/>
              </w:rPr>
              <w:t>386,608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157,890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1.06</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77%</w:t>
            </w: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181,022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w w:val="89"/>
              </w:rPr>
              <w:t>$ 36.19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559,465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90,662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0.50</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58%</w:t>
            </w: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195,548</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4"/>
                <w:szCs w:val="14"/>
                <w:color w:val="auto"/>
              </w:rPr>
              <w:t>37.98</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w w:val="89"/>
              </w:rPr>
              <w:t>$ 33.99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779,213</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294,078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1.50</w:t>
            </w:r>
          </w:p>
        </w:tc>
        <w:tc>
          <w:tcPr>
            <w:tcW w:w="360" w:type="dxa"/>
            <w:vAlign w:val="bottom"/>
            <w:tcBorders>
              <w:bottom w:val="single" w:sz="8" w:color="auto"/>
            </w:tcBorders>
          </w:tcPr>
          <w:p>
            <w:pPr>
              <w:spacing w:after="0"/>
              <w:rPr>
                <w:sz w:val="22"/>
                <w:szCs w:val="22"/>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63%</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674,763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gridSpan w:val="2"/>
            <w:shd w:val="clear" w:color="auto" w:fill="CCEEFF"/>
          </w:tcPr>
          <w:p>
            <w:pPr>
              <w:jc w:val="right"/>
              <w:ind w:right="46"/>
              <w:spacing w:after="0"/>
              <w:rPr>
                <w:sz w:val="20"/>
                <w:szCs w:val="20"/>
                <w:color w:val="auto"/>
              </w:rPr>
            </w:pPr>
            <w:r>
              <w:rPr>
                <w:rFonts w:ascii="Arial" w:cs="Arial" w:eastAsia="Arial" w:hAnsi="Arial"/>
                <w:sz w:val="14"/>
                <w:szCs w:val="14"/>
                <w:color w:val="auto"/>
              </w:rPr>
              <w:t>35.95</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w w:val="89"/>
              </w:rPr>
              <w:t>$ 32.47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99"/>
              </w:rPr>
              <w:t>2,342,995</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2,510,610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3.72</w:t>
            </w:r>
          </w:p>
        </w:tc>
        <w:tc>
          <w:tcPr>
            <w:tcW w:w="360" w:type="dxa"/>
            <w:vAlign w:val="bottom"/>
            <w:tcBorders>
              <w:bottom w:val="single" w:sz="8" w:color="auto"/>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00" w:type="dxa"/>
            <w:vAlign w:val="bottom"/>
            <w:gridSpan w:val="13"/>
          </w:tcPr>
          <w:p>
            <w:pPr>
              <w:spacing w:after="0"/>
              <w:rPr>
                <w:sz w:val="20"/>
                <w:szCs w:val="20"/>
                <w:color w:val="auto"/>
              </w:rPr>
            </w:pPr>
            <w:r>
              <w:rPr>
                <w:rFonts w:ascii="Arial" w:cs="Arial" w:eastAsia="Arial" w:hAnsi="Arial"/>
                <w:sz w:val="14"/>
                <w:szCs w:val="14"/>
                <w:b w:val="1"/>
                <w:bCs w:val="1"/>
                <w:color w:val="auto"/>
              </w:rPr>
              <w:t>Total Lease Summary - Comparable and Non-comparable (2) (9)</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Weighted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Tenant</w:t>
            </w:r>
          </w:p>
        </w:tc>
        <w:tc>
          <w:tcPr>
            <w:tcW w:w="360" w:type="dxa"/>
            <w:vAlign w:val="bottom"/>
          </w:tcPr>
          <w:p>
            <w:pPr>
              <w:spacing w:after="0"/>
              <w:rPr>
                <w:sz w:val="13"/>
                <w:szCs w:val="13"/>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Number</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Contractual</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8"/>
              </w:rPr>
              <w:t>Tenant</w:t>
            </w:r>
          </w:p>
        </w:tc>
        <w:tc>
          <w:tcPr>
            <w:tcW w:w="100" w:type="dxa"/>
            <w:vAlign w:val="bottom"/>
          </w:tcPr>
          <w:p>
            <w:pPr>
              <w:spacing w:after="0"/>
              <w:rPr>
                <w:sz w:val="10"/>
                <w:szCs w:val="10"/>
                <w:color w:val="auto"/>
              </w:rPr>
            </w:pPr>
          </w:p>
        </w:tc>
        <w:tc>
          <w:tcPr>
            <w:tcW w:w="880" w:type="dxa"/>
            <w:vAlign w:val="bottom"/>
          </w:tcPr>
          <w:p>
            <w:pPr>
              <w:jc w:val="center"/>
              <w:ind w:right="15"/>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360" w:type="dxa"/>
            <w:vAlign w:val="bottom"/>
          </w:tcPr>
          <w:p>
            <w:pPr>
              <w:spacing w:after="0"/>
              <w:rPr>
                <w:sz w:val="10"/>
                <w:szCs w:val="10"/>
                <w:color w:val="auto"/>
              </w:rPr>
            </w:pPr>
          </w:p>
        </w:tc>
      </w:tr>
      <w:tr>
        <w:trPr>
          <w:trHeight w:val="122"/>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of Leases</w:t>
            </w: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Rent (3) Per Sq.</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Lease Term</w:t>
            </w:r>
          </w:p>
        </w:tc>
        <w:tc>
          <w:tcPr>
            <w:tcW w:w="100" w:type="dxa"/>
            <w:vAlign w:val="bottom"/>
          </w:tcPr>
          <w:p>
            <w:pPr>
              <w:spacing w:after="0"/>
              <w:rPr>
                <w:sz w:val="10"/>
                <w:szCs w:val="10"/>
                <w:color w:val="auto"/>
              </w:rPr>
            </w:pPr>
          </w:p>
        </w:tc>
        <w:tc>
          <w:tcPr>
            <w:tcW w:w="10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Improvements &amp;</w:t>
            </w:r>
          </w:p>
        </w:tc>
        <w:tc>
          <w:tcPr>
            <w:tcW w:w="98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8"/>
              </w:rPr>
              <w:t>Incentives Per Sq.</w:t>
            </w:r>
          </w:p>
        </w:tc>
        <w:tc>
          <w:tcPr>
            <w:tcW w:w="360" w:type="dxa"/>
            <w:vAlign w:val="bottom"/>
          </w:tcPr>
          <w:p>
            <w:pPr>
              <w:spacing w:after="0"/>
              <w:rPr>
                <w:sz w:val="10"/>
                <w:szCs w:val="10"/>
                <w:color w:val="auto"/>
              </w:rPr>
            </w:pPr>
          </w:p>
        </w:tc>
      </w:tr>
      <w:tr>
        <w:trPr>
          <w:trHeight w:val="140"/>
        </w:trPr>
        <w:tc>
          <w:tcPr>
            <w:tcW w:w="20" w:type="dxa"/>
            <w:vAlign w:val="bottom"/>
          </w:tcPr>
          <w:p>
            <w:pPr>
              <w:spacing w:after="0"/>
              <w:rPr>
                <w:sz w:val="12"/>
                <w:szCs w:val="12"/>
                <w:color w:val="auto"/>
              </w:rPr>
            </w:pPr>
          </w:p>
        </w:tc>
        <w:tc>
          <w:tcPr>
            <w:tcW w:w="1240" w:type="dxa"/>
            <w:vAlign w:val="bottom"/>
          </w:tcPr>
          <w:p>
            <w:pPr>
              <w:jc w:val="right"/>
              <w:ind w:right="371"/>
              <w:spacing w:after="0"/>
              <w:rPr>
                <w:sz w:val="20"/>
                <w:szCs w:val="20"/>
                <w:color w:val="auto"/>
              </w:rPr>
            </w:pPr>
            <w:r>
              <w:rPr>
                <w:rFonts w:ascii="Arial" w:cs="Arial" w:eastAsia="Arial" w:hAnsi="Arial"/>
                <w:sz w:val="11"/>
                <w:szCs w:val="11"/>
                <w:b w:val="1"/>
                <w:bCs w:val="1"/>
                <w:color w:val="auto"/>
              </w:rPr>
              <w:t>Quarter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Signed</w:t>
            </w:r>
          </w:p>
        </w:tc>
        <w:tc>
          <w:tcPr>
            <w:tcW w:w="140" w:type="dxa"/>
            <w:vAlign w:val="bottom"/>
          </w:tcPr>
          <w:p>
            <w:pPr>
              <w:spacing w:after="0"/>
              <w:rPr>
                <w:sz w:val="12"/>
                <w:szCs w:val="12"/>
                <w:color w:val="auto"/>
              </w:rPr>
            </w:pPr>
          </w:p>
        </w:tc>
        <w:tc>
          <w:tcPr>
            <w:tcW w:w="1680" w:type="dxa"/>
            <w:vAlign w:val="bottom"/>
            <w:gridSpan w:val="4"/>
          </w:tcPr>
          <w:p>
            <w:pPr>
              <w:ind w:left="440"/>
              <w:spacing w:after="0"/>
              <w:rPr>
                <w:sz w:val="20"/>
                <w:szCs w:val="20"/>
                <w:color w:val="auto"/>
              </w:rPr>
            </w:pPr>
            <w:r>
              <w:rPr>
                <w:rFonts w:ascii="Arial" w:cs="Arial" w:eastAsia="Arial" w:hAnsi="Arial"/>
                <w:sz w:val="11"/>
                <w:szCs w:val="11"/>
                <w:b w:val="1"/>
                <w:bCs w:val="1"/>
                <w:color w:val="auto"/>
              </w:rPr>
              <w:t>GLA Signed</w:t>
            </w:r>
          </w:p>
        </w:tc>
        <w:tc>
          <w:tcPr>
            <w:tcW w:w="120" w:type="dxa"/>
            <w:vAlign w:val="bottom"/>
          </w:tcPr>
          <w:p>
            <w:pPr>
              <w:spacing w:after="0"/>
              <w:rPr>
                <w:sz w:val="12"/>
                <w:szCs w:val="12"/>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Ft.</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8"/>
              </w:rPr>
              <w:t>Incentives (6)</w:t>
            </w:r>
          </w:p>
        </w:tc>
        <w:tc>
          <w:tcPr>
            <w:tcW w:w="100" w:type="dxa"/>
            <w:vAlign w:val="bottom"/>
          </w:tcPr>
          <w:p>
            <w:pPr>
              <w:spacing w:after="0"/>
              <w:rPr>
                <w:sz w:val="12"/>
                <w:szCs w:val="12"/>
                <w:color w:val="auto"/>
              </w:rPr>
            </w:pPr>
          </w:p>
        </w:tc>
        <w:tc>
          <w:tcPr>
            <w:tcW w:w="880" w:type="dxa"/>
            <w:vAlign w:val="bottom"/>
          </w:tcPr>
          <w:p>
            <w:pPr>
              <w:jc w:val="center"/>
              <w:ind w:right="15"/>
              <w:spacing w:after="0"/>
              <w:rPr>
                <w:sz w:val="20"/>
                <w:szCs w:val="20"/>
                <w:color w:val="auto"/>
              </w:rPr>
            </w:pPr>
            <w:r>
              <w:rPr>
                <w:rFonts w:ascii="Arial" w:cs="Arial" w:eastAsia="Arial" w:hAnsi="Arial"/>
                <w:sz w:val="11"/>
                <w:szCs w:val="11"/>
                <w:b w:val="1"/>
                <w:bCs w:val="1"/>
                <w:color w:val="auto"/>
                <w:w w:val="88"/>
              </w:rPr>
              <w:t>Ft.</w:t>
            </w:r>
          </w:p>
        </w:tc>
        <w:tc>
          <w:tcPr>
            <w:tcW w:w="360" w:type="dxa"/>
            <w:vAlign w:val="bottom"/>
          </w:tcPr>
          <w:p>
            <w:pPr>
              <w:spacing w:after="0"/>
              <w:rPr>
                <w:sz w:val="12"/>
                <w:szCs w:val="12"/>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64"/>
        </w:trPr>
        <w:tc>
          <w:tcPr>
            <w:tcW w:w="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2nd Quarter 2015</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313,887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31.66</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11,268,961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35.90</w:t>
            </w:r>
          </w:p>
        </w:tc>
        <w:tc>
          <w:tcPr>
            <w:tcW w:w="360" w:type="dxa"/>
            <w:vAlign w:val="bottom"/>
            <w:shd w:val="clear" w:color="auto" w:fill="CCEEFF"/>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1st Quarter 2015</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5"/>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gridSpan w:val="2"/>
          </w:tcPr>
          <w:p>
            <w:pPr>
              <w:jc w:val="right"/>
              <w:ind w:right="99"/>
              <w:spacing w:after="0"/>
              <w:rPr>
                <w:sz w:val="20"/>
                <w:szCs w:val="20"/>
                <w:color w:val="auto"/>
              </w:rPr>
            </w:pPr>
            <w:r>
              <w:rPr>
                <w:rFonts w:ascii="Arial" w:cs="Arial" w:eastAsia="Arial" w:hAnsi="Arial"/>
                <w:sz w:val="14"/>
                <w:szCs w:val="14"/>
                <w:color w:val="auto"/>
              </w:rPr>
              <w:t>279,586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3"/>
              <w:spacing w:after="0"/>
              <w:rPr>
                <w:sz w:val="20"/>
                <w:szCs w:val="20"/>
                <w:color w:val="auto"/>
              </w:rPr>
            </w:pPr>
            <w:r>
              <w:rPr>
                <w:rFonts w:ascii="Arial" w:cs="Arial" w:eastAsia="Arial" w:hAnsi="Arial"/>
                <w:sz w:val="14"/>
                <w:szCs w:val="14"/>
                <w:color w:val="auto"/>
              </w:rPr>
              <w:t>38.88</w:t>
            </w:r>
          </w:p>
        </w:tc>
        <w:tc>
          <w:tcPr>
            <w:tcW w:w="120" w:type="dxa"/>
            <w:vAlign w:val="bottom"/>
          </w:tcPr>
          <w:p>
            <w:pPr>
              <w:spacing w:after="0"/>
              <w:rPr>
                <w:sz w:val="22"/>
                <w:szCs w:val="22"/>
                <w:color w:val="auto"/>
              </w:rPr>
            </w:pPr>
          </w:p>
        </w:tc>
        <w:tc>
          <w:tcPr>
            <w:tcW w:w="660" w:type="dxa"/>
            <w:vAlign w:val="bottom"/>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35"/>
              <w:spacing w:after="0"/>
              <w:rPr>
                <w:sz w:val="20"/>
                <w:szCs w:val="20"/>
                <w:color w:val="auto"/>
              </w:rPr>
            </w:pPr>
            <w:r>
              <w:rPr>
                <w:rFonts w:ascii="Arial" w:cs="Arial" w:eastAsia="Arial" w:hAnsi="Arial"/>
                <w:sz w:val="14"/>
                <w:szCs w:val="14"/>
                <w:color w:val="auto"/>
              </w:rPr>
              <w:t>7,500,950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5"/>
              <w:spacing w:after="0"/>
              <w:rPr>
                <w:sz w:val="20"/>
                <w:szCs w:val="20"/>
                <w:color w:val="auto"/>
              </w:rPr>
            </w:pPr>
            <w:r>
              <w:rPr>
                <w:rFonts w:ascii="Arial" w:cs="Arial" w:eastAsia="Arial" w:hAnsi="Arial"/>
                <w:sz w:val="14"/>
                <w:szCs w:val="14"/>
                <w:color w:val="auto"/>
              </w:rPr>
              <w:t>26.83</w:t>
            </w:r>
          </w:p>
        </w:tc>
        <w:tc>
          <w:tcPr>
            <w:tcW w:w="360" w:type="dxa"/>
            <w:vAlign w:val="bottom"/>
          </w:tcPr>
          <w:p>
            <w:pPr>
              <w:spacing w:after="0"/>
              <w:rPr>
                <w:sz w:val="22"/>
                <w:szCs w:val="22"/>
                <w:color w:val="auto"/>
              </w:rPr>
            </w:pPr>
          </w:p>
        </w:tc>
      </w:tr>
      <w:tr>
        <w:trPr>
          <w:trHeight w:val="276"/>
        </w:trPr>
        <w:tc>
          <w:tcPr>
            <w:tcW w:w="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4th Quarter 2014</w:t>
            </w: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343,896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34.55</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4"/>
                <w:szCs w:val="14"/>
                <w:color w:val="auto"/>
              </w:rPr>
              <w:t>7.4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7,636,392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4"/>
                <w:szCs w:val="14"/>
                <w:color w:val="auto"/>
              </w:rPr>
              <w:t>22.21</w:t>
            </w:r>
          </w:p>
        </w:tc>
        <w:tc>
          <w:tcPr>
            <w:tcW w:w="360" w:type="dxa"/>
            <w:vAlign w:val="bottom"/>
            <w:shd w:val="clear" w:color="auto" w:fill="CCEEFF"/>
          </w:tcPr>
          <w:p>
            <w:pPr>
              <w:spacing w:after="0"/>
              <w:rPr>
                <w:sz w:val="24"/>
                <w:szCs w:val="24"/>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3rd Quarter 2014</w:t>
            </w:r>
          </w:p>
        </w:tc>
        <w:tc>
          <w:tcPr>
            <w:tcW w:w="5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CCEEFF"/>
            </w:tcBorders>
          </w:tcPr>
          <w:p>
            <w:pPr>
              <w:spacing w:after="0"/>
              <w:rPr>
                <w:sz w:val="22"/>
                <w:szCs w:val="22"/>
                <w:color w:val="auto"/>
              </w:rPr>
            </w:pPr>
          </w:p>
        </w:tc>
        <w:tc>
          <w:tcPr>
            <w:tcW w:w="40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color w:val="auto"/>
              </w:rPr>
              <w:t>434,165</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36.22</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14,045,241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color w:val="auto"/>
              </w:rPr>
              <w:t>32.35</w:t>
            </w:r>
          </w:p>
        </w:tc>
        <w:tc>
          <w:tcPr>
            <w:tcW w:w="360" w:type="dxa"/>
            <w:vAlign w:val="bottom"/>
            <w:tcBorders>
              <w:bottom w:val="single" w:sz="8" w:color="auto"/>
            </w:tcBorders>
          </w:tcPr>
          <w:p>
            <w:pPr>
              <w:spacing w:after="0"/>
              <w:rPr>
                <w:sz w:val="22"/>
                <w:szCs w:val="2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Total - 12 months</w:t>
            </w: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362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1,371,534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35.30</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40,451,544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29.49</w:t>
            </w:r>
          </w:p>
        </w:tc>
        <w:tc>
          <w:tcPr>
            <w:tcW w:w="360" w:type="dxa"/>
            <w:vAlign w:val="bottom"/>
            <w:tcBorders>
              <w:bottom w:val="single" w:sz="8" w:color="auto"/>
            </w:tcBorders>
            <w:shd w:val="clear" w:color="auto" w:fill="CCEEFF"/>
          </w:tcPr>
          <w:p>
            <w:pPr>
              <w:spacing w:after="0"/>
              <w:rPr>
                <w:sz w:val="23"/>
                <w:szCs w:val="23"/>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Notes:</w:t>
      </w:r>
    </w:p>
    <w:p>
      <w:pPr>
        <w:spacing w:after="0" w:line="40" w:lineRule="exact"/>
        <w:rPr>
          <w:sz w:val="20"/>
          <w:szCs w:val="20"/>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Leases on this report represent retail activity only; office and residential leases are not included.</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Comparable leases represent those leases signed on spaces for which there was a former tenant.</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Contractual rent represents contractual minimum rent under the new lease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Prior rent represents minimum rent and percentage rent, if any, paid by the prior tenant in the final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Weighted average is determined on the basis of contractual rent for the first 12 months of the term.</w:t>
      </w:r>
    </w:p>
    <w:p>
      <w:pPr>
        <w:spacing w:after="0" w:line="3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Glossary of Terms.</w:t>
      </w:r>
    </w:p>
    <w:p>
      <w:pPr>
        <w:spacing w:after="0" w:line="39" w:lineRule="exact"/>
        <w:rPr>
          <w:rFonts w:ascii="Arial" w:cs="Arial" w:eastAsia="Arial" w:hAnsi="Arial"/>
          <w:sz w:val="13"/>
          <w:szCs w:val="13"/>
          <w:color w:val="auto"/>
        </w:rPr>
      </w:pPr>
    </w:p>
    <w:p>
      <w:pPr>
        <w:ind w:left="1280" w:hanging="1251"/>
        <w:spacing w:after="0" w:line="230" w:lineRule="auto"/>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Approximately $0.5 million ($1.20 per square foot) in 2nd Quarter 2015, $0.4 million ($0.86 per square foot) in 4th Quarter 2014 and $6.1 million ($11.89 per square foot) in 3rd Quarter 2014 of the Tenant Improvements &amp; Incentives are for properties under active redevelopment (e.g. Westgate Center, Willow Lawn, East Bay Bridge) and are included in the Projected Cost for those projects on the Summary of Redevelopment Opportunities.</w:t>
      </w:r>
    </w:p>
    <w:p>
      <w:pPr>
        <w:spacing w:after="0" w:line="29" w:lineRule="exact"/>
        <w:rPr>
          <w:rFonts w:ascii="Arial" w:cs="Arial" w:eastAsia="Arial" w:hAnsi="Arial"/>
          <w:sz w:val="13"/>
          <w:szCs w:val="13"/>
          <w:color w:val="auto"/>
        </w:rPr>
      </w:pPr>
    </w:p>
    <w:p>
      <w:pPr>
        <w:ind w:left="1280" w:hanging="1251"/>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Renewal leases represent expiring leases rolling over with the same tenant in the same location. All other leases are categorized as new.</w:t>
      </w:r>
    </w:p>
    <w:p>
      <w:pPr>
        <w:spacing w:after="0" w:line="39" w:lineRule="exact"/>
        <w:rPr>
          <w:rFonts w:ascii="Arial" w:cs="Arial" w:eastAsia="Arial" w:hAnsi="Arial"/>
          <w:sz w:val="13"/>
          <w:szCs w:val="13"/>
          <w:color w:val="auto"/>
        </w:rPr>
      </w:pPr>
    </w:p>
    <w:p>
      <w:pPr>
        <w:ind w:left="1280" w:right="60" w:hanging="1251"/>
        <w:spacing w:after="0" w:line="288" w:lineRule="auto"/>
        <w:tabs>
          <w:tab w:leader="none" w:pos="128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Number of Leases Signed, GLA Signed, Contractual Rent Per Sq Ft and Weighted Average Lease Term columns include information for leases signed at our Assembly Row and Pike &amp; Rose projects. The Tenant Improvements &amp; Incentives and Tenant Improvements &amp; Incentives Per Sq Ft columns do not include the tenant improvements and incentives on leases signed for those projects; these amounts for leases signed for Assembly Row and Pike &amp; Rose are included in the Projected Cost column for those projects shown on the Pike &amp; Rose and Assembly Row schedule.</w:t>
      </w:r>
    </w:p>
    <w:p>
      <w:pPr>
        <w:sectPr>
          <w:pgSz w:w="11900" w:h="16838" w:orient="portrait"/>
          <w:cols w:equalWidth="0" w:num="1">
            <w:col w:w="11380"/>
          </w:cols>
          <w:pgMar w:left="260" w:top="976" w:right="2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380"/>
          </w:cols>
          <w:pgMar w:left="260" w:top="976" w:right="259" w:bottom="1440" w:gutter="0" w:footer="0" w:header="0"/>
          <w:type w:val="continuous"/>
        </w:sectPr>
      </w:pPr>
    </w:p>
    <w:bookmarkStart w:id="26" w:name="page27"/>
    <w:bookmarkEnd w:id="26"/>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Lease Expirations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283845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38450" cy="180340"/>
                    </a:xfrm>
                    <a:prstGeom prst="rect">
                      <a:avLst/>
                    </a:prstGeom>
                    <a:noFill/>
                  </pic:spPr>
                </pic:pic>
              </a:graphicData>
            </a:graphic>
          </wp:anchor>
        </w:drawing>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Assumes no exercise of lease options</w:t>
      </w:r>
    </w:p>
    <w:p>
      <w:pPr>
        <w:spacing w:after="0" w:line="28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444,000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28.79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482,000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648,000</w:t>
            </w:r>
          </w:p>
        </w:tc>
        <w:tc>
          <w:tcPr>
            <w:tcW w:w="96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16.75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945,000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36.44</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1,593,000</w:t>
            </w:r>
          </w:p>
        </w:tc>
        <w:tc>
          <w:tcPr>
            <w:tcW w:w="74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28.43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17.15</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1,228,000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36.08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26.08</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1,478,000</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14.59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993,000</w:t>
            </w:r>
          </w:p>
        </w:tc>
        <w:tc>
          <w:tcPr>
            <w:tcW w:w="940" w:type="dxa"/>
            <w:vAlign w:val="bottom"/>
          </w:tcPr>
          <w:p>
            <w:pPr>
              <w:jc w:val="right"/>
              <w:spacing w:after="0"/>
              <w:rPr>
                <w:sz w:val="20"/>
                <w:szCs w:val="20"/>
                <w:color w:val="auto"/>
              </w:rPr>
            </w:pPr>
            <w:r>
              <w:rPr>
                <w:rFonts w:ascii="Arial" w:cs="Arial" w:eastAsia="Arial" w:hAnsi="Arial"/>
                <w:sz w:val="16"/>
                <w:szCs w:val="16"/>
                <w:color w:val="auto"/>
              </w:rPr>
              <w:t>12%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39.97</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2,471,000</w:t>
            </w: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24.78</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18.41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36.73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2,649,000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1,093,000</w:t>
            </w:r>
          </w:p>
        </w:tc>
        <w:tc>
          <w:tcPr>
            <w:tcW w:w="96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15.40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875,000</w:t>
            </w: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36.45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1,968,000</w:t>
            </w:r>
          </w:p>
        </w:tc>
        <w:tc>
          <w:tcPr>
            <w:tcW w:w="74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859,000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17.29</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596,000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39.40</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1,455,000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26.34</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815,000</w:t>
            </w: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16.56</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473,000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39.95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1,288,000</w:t>
            </w:r>
          </w:p>
        </w:tc>
        <w:tc>
          <w:tcPr>
            <w:tcW w:w="7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25.16</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21.80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473,000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37.82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917,000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519,000</w:t>
            </w: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17.25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484,000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43.11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1,003,000</w:t>
            </w:r>
          </w:p>
        </w:tc>
        <w:tc>
          <w:tcPr>
            <w:tcW w:w="7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29.73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2,466,000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19.56</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820,000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35.79</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11,521,000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17.55</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8,195,000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37.26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19,716,000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3340" w:type="dxa"/>
            <w:vAlign w:val="bottom"/>
            <w:tcBorders>
              <w:left w:val="single" w:sz="8" w:color="auto"/>
            </w:tcBorders>
            <w:gridSpan w:val="3"/>
          </w:tcPr>
          <w:p>
            <w:pPr>
              <w:jc w:val="right"/>
              <w:ind w:right="540"/>
              <w:spacing w:after="0"/>
              <w:rPr>
                <w:sz w:val="20"/>
                <w:szCs w:val="20"/>
                <w:color w:val="auto"/>
              </w:rPr>
            </w:pPr>
            <w:r>
              <w:rPr>
                <w:rFonts w:ascii="Arial" w:cs="Arial" w:eastAsia="Arial" w:hAnsi="Arial"/>
                <w:sz w:val="16"/>
                <w:szCs w:val="16"/>
                <w:b w:val="1"/>
                <w:bCs w:val="1"/>
                <w:color w:val="auto"/>
                <w:w w:val="87"/>
              </w:rPr>
              <w:t>Assumes all lease options are exercised</w:t>
            </w:r>
          </w:p>
        </w:tc>
        <w:tc>
          <w:tcPr>
            <w:tcW w:w="2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140" w:type="dxa"/>
            <w:vAlign w:val="bottom"/>
            <w:tcBorders>
              <w:left w:val="single" w:sz="8" w:color="auto"/>
              <w:bottom w:val="single" w:sz="8" w:color="auto"/>
            </w:tcBorders>
          </w:tcPr>
          <w:p>
            <w:pPr>
              <w:spacing w:after="0"/>
              <w:rPr>
                <w:sz w:val="2"/>
                <w:szCs w:val="2"/>
                <w:color w:val="auto"/>
              </w:rPr>
            </w:pPr>
          </w:p>
        </w:tc>
        <w:tc>
          <w:tcPr>
            <w:tcW w:w="242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420" w:type="dxa"/>
            <w:vAlign w:val="bottom"/>
            <w:gridSpan w:val="3"/>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Anchor Tenants (1)</w:t>
            </w:r>
          </w:p>
        </w:tc>
        <w:tc>
          <w:tcPr>
            <w:tcW w:w="9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Small Shop Tenants</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1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Year</w:t>
            </w:r>
          </w:p>
        </w:tc>
        <w:tc>
          <w:tcPr>
            <w:tcW w:w="12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rPr>
              <w:t>Expiring SF</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 of Anchor</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26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Expiring SF</w:t>
            </w:r>
          </w:p>
        </w:tc>
        <w:tc>
          <w:tcPr>
            <w:tcW w:w="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 of Small</w:t>
            </w:r>
          </w:p>
        </w:tc>
        <w:tc>
          <w:tcPr>
            <w:tcW w:w="134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134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Expiring SF (4)</w:t>
            </w:r>
          </w:p>
        </w:tc>
        <w:tc>
          <w:tcPr>
            <w:tcW w:w="74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rPr>
              <w:t>% of</w:t>
            </w:r>
          </w:p>
        </w:tc>
        <w:tc>
          <w:tcPr>
            <w:tcW w:w="11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9"/>
              </w:rPr>
              <w:t>Minimum Rent</w:t>
            </w:r>
          </w:p>
        </w:tc>
        <w:tc>
          <w:tcPr>
            <w:tcW w:w="0" w:type="dxa"/>
            <w:vAlign w:val="bottom"/>
          </w:tcPr>
          <w:p>
            <w:pPr>
              <w:spacing w:after="0"/>
              <w:rPr>
                <w:sz w:val="1"/>
                <w:szCs w:val="1"/>
                <w:color w:val="auto"/>
              </w:rPr>
            </w:pPr>
          </w:p>
        </w:tc>
      </w:tr>
      <w:tr>
        <w:trPr>
          <w:trHeight w:val="192"/>
        </w:trPr>
        <w:tc>
          <w:tcPr>
            <w:tcW w:w="1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260" w:type="dxa"/>
            <w:vAlign w:val="bottom"/>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Shop SF</w:t>
            </w:r>
          </w:p>
        </w:tc>
        <w:tc>
          <w:tcPr>
            <w:tcW w:w="22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PSF (2)</w:t>
            </w:r>
          </w:p>
        </w:tc>
        <w:tc>
          <w:tcPr>
            <w:tcW w:w="1340" w:type="dxa"/>
            <w:vAlign w:val="bottom"/>
            <w:vMerge w:val="continue"/>
          </w:tcPr>
          <w:p>
            <w:pPr>
              <w:spacing w:after="0"/>
              <w:rPr>
                <w:sz w:val="16"/>
                <w:szCs w:val="16"/>
                <w:color w:val="auto"/>
              </w:rPr>
            </w:pP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rPr>
              <w:t>Total SF</w:t>
            </w:r>
          </w:p>
        </w:tc>
        <w:tc>
          <w:tcPr>
            <w:tcW w:w="220" w:type="dxa"/>
            <w:vAlign w:val="bottom"/>
          </w:tcPr>
          <w:p>
            <w:pPr>
              <w:spacing w:after="0"/>
              <w:rPr>
                <w:sz w:val="16"/>
                <w:szCs w:val="16"/>
                <w:color w:val="auto"/>
              </w:rPr>
            </w:pPr>
          </w:p>
        </w:tc>
        <w:tc>
          <w:tcPr>
            <w:tcW w:w="90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PSF (2)</w:t>
            </w:r>
          </w:p>
        </w:tc>
        <w:tc>
          <w:tcPr>
            <w:tcW w:w="0" w:type="dxa"/>
            <w:vAlign w:val="bottom"/>
          </w:tcPr>
          <w:p>
            <w:pPr>
              <w:spacing w:after="0"/>
              <w:rPr>
                <w:sz w:val="1"/>
                <w:szCs w:val="1"/>
                <w:color w:val="auto"/>
              </w:rPr>
            </w:pPr>
          </w:p>
        </w:tc>
      </w:tr>
      <w:tr>
        <w:trPr>
          <w:trHeight w:val="236"/>
        </w:trPr>
        <w:tc>
          <w:tcPr>
            <w:tcW w:w="1140" w:type="dxa"/>
            <w:vAlign w:val="bottom"/>
            <w:tcBorders>
              <w:top w:val="single" w:sz="8" w:color="auto"/>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2015</w:t>
            </w:r>
          </w:p>
        </w:tc>
        <w:tc>
          <w:tcPr>
            <w:tcW w:w="12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15,000</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354,000</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28.12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369,000</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29.25</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62,000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21.19</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504,000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39.15</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565,000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37.20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2017</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23.97</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650,000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38.79</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35.17</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313,000</w:t>
            </w: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14.87</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514,000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43.20</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827,000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2019</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453,000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39.72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945,000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30.60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143,000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21.05</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558,000</w:t>
            </w: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34.93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701,000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185,000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12.54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594,000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780,000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32.80</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2022</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135,000</w:t>
            </w: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24.11</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527,000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34.63</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662,000</w:t>
            </w:r>
          </w:p>
        </w:tc>
        <w:tc>
          <w:tcPr>
            <w:tcW w:w="740" w:type="dxa"/>
            <w:vAlign w:val="bottom"/>
          </w:tcPr>
          <w:p>
            <w:pPr>
              <w:jc w:val="right"/>
              <w:spacing w:after="0"/>
              <w:rPr>
                <w:sz w:val="20"/>
                <w:szCs w:val="20"/>
                <w:color w:val="auto"/>
              </w:rPr>
            </w:pPr>
            <w:r>
              <w:rPr>
                <w:rFonts w:ascii="Arial" w:cs="Arial" w:eastAsia="Arial" w:hAnsi="Arial"/>
                <w:sz w:val="16"/>
                <w:szCs w:val="16"/>
                <w:color w:val="auto"/>
              </w:rPr>
              <w:t>3%</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32.49</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2023</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348,000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16.81</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39.13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798,000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37"/>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2024</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283,000</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16.40</w:t>
            </w:r>
          </w:p>
        </w:tc>
        <w:tc>
          <w:tcPr>
            <w:tcW w:w="20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464,000</w:t>
            </w: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39.61</w:t>
            </w:r>
          </w:p>
        </w:tc>
        <w:tc>
          <w:tcPr>
            <w:tcW w:w="2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747,000</w:t>
            </w: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30.83</w:t>
            </w:r>
          </w:p>
        </w:tc>
        <w:tc>
          <w:tcPr>
            <w:tcW w:w="0" w:type="dxa"/>
            <w:vAlign w:val="bottom"/>
          </w:tcPr>
          <w:p>
            <w:pPr>
              <w:spacing w:after="0"/>
              <w:rPr>
                <w:sz w:val="1"/>
                <w:szCs w:val="1"/>
                <w:color w:val="auto"/>
              </w:rPr>
            </w:pPr>
          </w:p>
        </w:tc>
      </w:tr>
      <w:tr>
        <w:trPr>
          <w:trHeight w:val="33"/>
        </w:trPr>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14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Thereafter</w:t>
            </w:r>
          </w:p>
        </w:tc>
        <w:tc>
          <w:tcPr>
            <w:tcW w:w="12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9,374,000</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17.27</w:t>
            </w: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3,088,000</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36.17</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12,462,000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21.95</w:t>
            </w:r>
          </w:p>
        </w:tc>
        <w:tc>
          <w:tcPr>
            <w:tcW w:w="0" w:type="dxa"/>
            <w:vAlign w:val="bottom"/>
          </w:tcPr>
          <w:p>
            <w:pPr>
              <w:spacing w:after="0"/>
              <w:rPr>
                <w:sz w:val="1"/>
                <w:szCs w:val="1"/>
                <w:color w:val="auto"/>
              </w:rPr>
            </w:pPr>
          </w:p>
        </w:tc>
      </w:tr>
      <w:tr>
        <w:trPr>
          <w:trHeight w:val="244"/>
        </w:trPr>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Total (3)</w:t>
            </w:r>
          </w:p>
        </w:tc>
        <w:tc>
          <w:tcPr>
            <w:tcW w:w="12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11,521,000</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17.55</w:t>
            </w:r>
          </w:p>
        </w:tc>
        <w:tc>
          <w:tcPr>
            <w:tcW w:w="200" w:type="dxa"/>
            <w:vAlign w:val="bottom"/>
          </w:tcPr>
          <w:p>
            <w:pPr>
              <w:spacing w:after="0"/>
              <w:rPr>
                <w:sz w:val="21"/>
                <w:szCs w:val="21"/>
                <w:color w:val="auto"/>
              </w:rPr>
            </w:pP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8,195,000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37.26</w:t>
            </w:r>
          </w:p>
        </w:tc>
        <w:tc>
          <w:tcPr>
            <w:tcW w:w="220" w:type="dxa"/>
            <w:vAlign w:val="bottom"/>
          </w:tcPr>
          <w:p>
            <w:pPr>
              <w:spacing w:after="0"/>
              <w:rPr>
                <w:sz w:val="21"/>
                <w:szCs w:val="21"/>
                <w:color w:val="auto"/>
              </w:rPr>
            </w:pP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19,716,000</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1"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Anchor is defined as a tenant leasing 15,000 square feet or more.</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Minimum Rent reflects in-place contractual (cash-basis) rent as of June 30, 2015.</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Represents occupied square footage as of June 30, 2015</w:t>
      </w:r>
    </w:p>
    <w:p>
      <w:pPr>
        <w:spacing w:after="0" w:line="72" w:lineRule="exact"/>
        <w:rPr>
          <w:rFonts w:ascii="Arial" w:cs="Arial" w:eastAsia="Arial" w:hAnsi="Arial"/>
          <w:sz w:val="16"/>
          <w:szCs w:val="16"/>
          <w:color w:val="auto"/>
        </w:rPr>
      </w:pPr>
    </w:p>
    <w:p>
      <w:pPr>
        <w:ind w:left="1160" w:hanging="1125"/>
        <w:spacing w:after="0"/>
        <w:tabs>
          <w:tab w:leader="none" w:pos="11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2" w:right="239" w:bottom="1440" w:gutter="0" w:footer="0" w:header="0"/>
        </w:sectPr>
      </w:pPr>
    </w:p>
    <w:bookmarkStart w:id="27" w:name="page28"/>
    <w:bookmarkEnd w:id="27"/>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Portfolio Leased Statistics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 w:type="dxa"/>
            <w:vAlign w:val="bottom"/>
          </w:tcPr>
          <w:p>
            <w:pPr>
              <w:spacing w:after="0"/>
              <w:rPr>
                <w:sz w:val="17"/>
                <w:szCs w:val="17"/>
                <w:color w:val="auto"/>
              </w:rPr>
            </w:pP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w w:val="91"/>
              </w:rPr>
              <w:t>Overall Portfolio Statistics (1)</w:t>
            </w:r>
          </w:p>
        </w:tc>
        <w:tc>
          <w:tcPr>
            <w:tcW w:w="2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2015</w:t>
            </w:r>
          </w:p>
        </w:tc>
        <w:tc>
          <w:tcPr>
            <w:tcW w:w="64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2014</w:t>
            </w: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(3) (4)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20,825,000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19,930,000</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95.7%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19,995,000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19,054,000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95.3%</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1,500</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1,329</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94.3%</w:t>
            </w:r>
          </w:p>
        </w:tc>
      </w:tr>
      <w:tr>
        <w:trPr>
          <w:trHeight w:val="770"/>
        </w:trPr>
        <w:tc>
          <w:tcPr>
            <w:tcW w:w="40" w:type="dxa"/>
            <w:vAlign w:val="bottom"/>
          </w:tcPr>
          <w:p>
            <w:pPr>
              <w:spacing w:after="0"/>
              <w:rPr>
                <w:sz w:val="24"/>
                <w:szCs w:val="24"/>
                <w:color w:val="auto"/>
              </w:rPr>
            </w:pPr>
          </w:p>
        </w:tc>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Same Center Statistics (1)</w:t>
            </w:r>
          </w:p>
        </w:tc>
        <w:tc>
          <w:tcPr>
            <w:tcW w:w="270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At June 30, 2015</w:t>
            </w:r>
          </w:p>
        </w:tc>
        <w:tc>
          <w:tcPr>
            <w:tcW w:w="6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At June 30, 2014</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466"/>
        </w:trPr>
        <w:tc>
          <w:tcPr>
            <w:tcW w:w="4520" w:type="dxa"/>
            <w:vAlign w:val="bottom"/>
            <w:gridSpan w:val="5"/>
          </w:tcPr>
          <w:p>
            <w:pPr>
              <w:ind w:left="40"/>
              <w:spacing w:after="0"/>
              <w:rPr>
                <w:sz w:val="20"/>
                <w:szCs w:val="20"/>
                <w:color w:val="auto"/>
              </w:rPr>
            </w:pPr>
            <w:r>
              <w:rPr>
                <w:rFonts w:ascii="Arial" w:cs="Arial" w:eastAsia="Arial" w:hAnsi="Arial"/>
                <w:sz w:val="16"/>
                <w:szCs w:val="16"/>
                <w:color w:val="auto"/>
              </w:rPr>
              <w:t>Type</w:t>
            </w:r>
          </w:p>
        </w:tc>
        <w:tc>
          <w:tcPr>
            <w:tcW w:w="1100" w:type="dxa"/>
            <w:vAlign w:val="bottom"/>
            <w:gridSpan w:val="3"/>
          </w:tcPr>
          <w:p>
            <w:pPr>
              <w:jc w:val="right"/>
              <w:ind w:right="80"/>
              <w:spacing w:after="0"/>
              <w:rPr>
                <w:sz w:val="20"/>
                <w:szCs w:val="20"/>
                <w:color w:val="auto"/>
              </w:rPr>
            </w:pPr>
            <w:r>
              <w:rPr>
                <w:rFonts w:ascii="Arial" w:cs="Arial" w:eastAsia="Arial" w:hAnsi="Arial"/>
                <w:sz w:val="16"/>
                <w:szCs w:val="16"/>
                <w:color w:val="auto"/>
              </w:rPr>
              <w:t>Size</w:t>
            </w:r>
          </w:p>
        </w:tc>
        <w:tc>
          <w:tcPr>
            <w:tcW w:w="1440" w:type="dxa"/>
            <w:vAlign w:val="bottom"/>
            <w:gridSpan w:val="3"/>
          </w:tcPr>
          <w:p>
            <w:pPr>
              <w:ind w:left="600"/>
              <w:spacing w:after="0"/>
              <w:rPr>
                <w:sz w:val="20"/>
                <w:szCs w:val="20"/>
                <w:color w:val="auto"/>
              </w:rPr>
            </w:pPr>
            <w:r>
              <w:rPr>
                <w:rFonts w:ascii="Arial" w:cs="Arial" w:eastAsia="Arial" w:hAnsi="Arial"/>
                <w:sz w:val="16"/>
                <w:szCs w:val="16"/>
                <w:color w:val="auto"/>
              </w:rPr>
              <w:t>Leased</w:t>
            </w:r>
          </w:p>
        </w:tc>
        <w:tc>
          <w:tcPr>
            <w:tcW w:w="92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6"/>
                <w:szCs w:val="16"/>
                <w:color w:val="auto"/>
                <w:w w:val="87"/>
              </w:rPr>
              <w:t>Leased %</w:t>
            </w: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Size</w:t>
            </w:r>
          </w:p>
        </w:tc>
        <w:tc>
          <w:tcPr>
            <w:tcW w:w="560" w:type="dxa"/>
            <w:vAlign w:val="bottom"/>
          </w:tcPr>
          <w:p>
            <w:pPr>
              <w:spacing w:after="0"/>
              <w:rPr>
                <w:sz w:val="24"/>
                <w:szCs w:val="24"/>
                <w:color w:val="auto"/>
              </w:rPr>
            </w:pPr>
          </w:p>
        </w:tc>
        <w:tc>
          <w:tcPr>
            <w:tcW w:w="960" w:type="dxa"/>
            <w:vAlign w:val="bottom"/>
            <w:gridSpan w:val="2"/>
          </w:tcPr>
          <w:p>
            <w:pPr>
              <w:spacing w:after="0"/>
              <w:rPr>
                <w:sz w:val="20"/>
                <w:szCs w:val="20"/>
                <w:color w:val="auto"/>
              </w:rPr>
            </w:pPr>
            <w:r>
              <w:rPr>
                <w:rFonts w:ascii="Arial" w:cs="Arial" w:eastAsia="Arial" w:hAnsi="Arial"/>
                <w:sz w:val="16"/>
                <w:szCs w:val="16"/>
                <w:color w:val="auto"/>
              </w:rPr>
              <w:t>Leased</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w w:val="87"/>
              </w:rPr>
              <w:t>Leased %</w:t>
            </w:r>
          </w:p>
        </w:tc>
      </w:tr>
      <w:tr>
        <w:trPr>
          <w:trHeight w:val="318"/>
        </w:trPr>
        <w:tc>
          <w:tcPr>
            <w:tcW w:w="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45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6"/>
                <w:szCs w:val="16"/>
                <w:color w:val="auto"/>
              </w:rPr>
              <w:t>Retail Properties (2) (4) (5) (sf)</w:t>
            </w:r>
          </w:p>
        </w:tc>
        <w:tc>
          <w:tcPr>
            <w:tcW w:w="11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16,533,000</w:t>
            </w:r>
          </w:p>
        </w:tc>
        <w:tc>
          <w:tcPr>
            <w:tcW w:w="144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15,911,000</w:t>
            </w:r>
          </w:p>
        </w:tc>
        <w:tc>
          <w:tcPr>
            <w:tcW w:w="920" w:type="dxa"/>
            <w:vAlign w:val="bottom"/>
            <w:tcBorders>
              <w:bottom w:val="single" w:sz="8" w:color="CCEEFF"/>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96.2%</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16,507,000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15,838,000</w:t>
            </w:r>
          </w:p>
        </w:tc>
        <w:tc>
          <w:tcPr>
            <w:tcW w:w="5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95.9%</w:t>
            </w:r>
          </w:p>
        </w:tc>
      </w:tr>
      <w:tr>
        <w:trPr>
          <w:trHeight w:val="270"/>
        </w:trPr>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Borders>
              <w:right w:val="single" w:sz="8" w:color="auto"/>
            </w:tcBorders>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r>
      <w:tr>
        <w:trPr>
          <w:trHeight w:val="237"/>
        </w:trPr>
        <w:tc>
          <w:tcPr>
            <w:tcW w:w="452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Residential Properties (units)</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380" w:type="dxa"/>
            <w:vAlign w:val="bottom"/>
            <w:shd w:val="clear" w:color="auto" w:fill="CCEEFF"/>
          </w:tcPr>
          <w:p>
            <w:pPr>
              <w:spacing w:after="0"/>
              <w:rPr>
                <w:sz w:val="20"/>
                <w:szCs w:val="20"/>
                <w:color w:val="auto"/>
              </w:rPr>
            </w:pPr>
          </w:p>
        </w:tc>
        <w:tc>
          <w:tcPr>
            <w:tcW w:w="92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97.3%</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1,075</w:t>
            </w:r>
          </w:p>
        </w:tc>
        <w:tc>
          <w:tcPr>
            <w:tcW w:w="5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96.5%</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80" w:type="dxa"/>
            <w:vAlign w:val="bottom"/>
            <w:tcBorders>
              <w:right w:val="single" w:sz="8" w:color="auto"/>
            </w:tcBorders>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Notes:</w:t>
      </w:r>
    </w:p>
    <w:p>
      <w:pPr>
        <w:spacing w:after="0" w:line="167" w:lineRule="exact"/>
        <w:rPr>
          <w:sz w:val="20"/>
          <w:szCs w:val="20"/>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Glossary of Terms.</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Leasable square feet excludes redevelopment square footage not yet placed in service.</w:t>
      </w:r>
    </w:p>
    <w:p>
      <w:pPr>
        <w:spacing w:after="0" w:line="72"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 June 30, 2015 leased percentage was 98.7% for anchor tenants and 91.8% for small shop tenants.</w:t>
      </w:r>
    </w:p>
    <w:p>
      <w:pPr>
        <w:spacing w:after="0" w:line="72" w:lineRule="exact"/>
        <w:rPr>
          <w:rFonts w:ascii="Arial" w:cs="Arial" w:eastAsia="Arial" w:hAnsi="Arial"/>
          <w:sz w:val="16"/>
          <w:szCs w:val="16"/>
          <w:color w:val="auto"/>
        </w:rPr>
      </w:pPr>
    </w:p>
    <w:p>
      <w:pPr>
        <w:ind w:left="840" w:right="40" w:hanging="805"/>
        <w:spacing w:after="0" w:line="293"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Occupied percentage was 94.9% and 94.3% at June 30, 2015 and 2014, respectively, and same center occupied percentage was 95.6% and 95.4% at June 30, 2015 and 2014, respectively.</w:t>
      </w:r>
    </w:p>
    <w:p>
      <w:pPr>
        <w:spacing w:after="0" w:line="9" w:lineRule="exact"/>
        <w:rPr>
          <w:rFonts w:ascii="Arial" w:cs="Arial" w:eastAsia="Arial" w:hAnsi="Arial"/>
          <w:sz w:val="16"/>
          <w:szCs w:val="16"/>
          <w:color w:val="auto"/>
        </w:rPr>
      </w:pPr>
    </w:p>
    <w:p>
      <w:pPr>
        <w:ind w:left="840" w:hanging="805"/>
        <w:spacing w:after="0"/>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Excludes properties purchased, sold or under redevelopment or development.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2" w:right="239" w:bottom="1440" w:gutter="0" w:footer="0" w:header="0"/>
        </w:sectPr>
      </w:pPr>
    </w:p>
    <w:bookmarkStart w:id="28" w:name="page29"/>
    <w:bookmarkEnd w:id="28"/>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Top 25 Tenants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Annualized Base</w:t>
            </w:r>
          </w:p>
        </w:tc>
        <w:tc>
          <w:tcPr>
            <w:tcW w:w="1560" w:type="dxa"/>
            <w:vAlign w:val="bottom"/>
          </w:tcPr>
          <w:p>
            <w:pPr>
              <w:jc w:val="right"/>
              <w:ind w:right="200"/>
              <w:spacing w:after="0"/>
              <w:rPr>
                <w:sz w:val="20"/>
                <w:szCs w:val="20"/>
                <w:color w:val="auto"/>
              </w:rPr>
            </w:pPr>
            <w:r>
              <w:rPr>
                <w:rFonts w:ascii="Arial" w:cs="Arial" w:eastAsia="Arial" w:hAnsi="Arial"/>
                <w:sz w:val="14"/>
                <w:szCs w:val="14"/>
                <w:b w:val="1"/>
                <w:bCs w:val="1"/>
                <w:color w:val="auto"/>
                <w:w w:val="96"/>
              </w:rPr>
              <w:t>Percentage of Total</w:t>
            </w: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4"/>
              </w:rPr>
              <w:t>Percentage of</w:t>
            </w:r>
          </w:p>
        </w:tc>
        <w:tc>
          <w:tcPr>
            <w:tcW w:w="860" w:type="dxa"/>
            <w:vAlign w:val="bottom"/>
          </w:tcPr>
          <w:p>
            <w:pPr>
              <w:jc w:val="right"/>
              <w:ind w:right="2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6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Rank</w:t>
            </w:r>
          </w:p>
        </w:tc>
        <w:tc>
          <w:tcPr>
            <w:tcW w:w="47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Tenant Name</w:t>
            </w: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560" w:type="dxa"/>
            <w:vAlign w:val="bottom"/>
          </w:tcPr>
          <w:p>
            <w:pPr>
              <w:jc w:val="right"/>
              <w:ind w:right="200"/>
              <w:spacing w:after="0" w:line="149" w:lineRule="exact"/>
              <w:rPr>
                <w:sz w:val="20"/>
                <w:szCs w:val="20"/>
                <w:color w:val="auto"/>
              </w:rPr>
            </w:pPr>
            <w:r>
              <w:rPr>
                <w:rFonts w:ascii="Arial" w:cs="Arial" w:eastAsia="Arial" w:hAnsi="Arial"/>
                <w:sz w:val="14"/>
                <w:szCs w:val="14"/>
                <w:b w:val="1"/>
                <w:bCs w:val="1"/>
                <w:color w:val="auto"/>
              </w:rPr>
              <w:t>Annualized Base</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Tenant GLA</w:t>
            </w:r>
          </w:p>
        </w:tc>
        <w:tc>
          <w:tcPr>
            <w:tcW w:w="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8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rPr>
              <w:t>Stores</w:t>
            </w:r>
          </w:p>
        </w:tc>
        <w:tc>
          <w:tcPr>
            <w:tcW w:w="0" w:type="dxa"/>
            <w:vAlign w:val="bottom"/>
          </w:tcPr>
          <w:p>
            <w:pPr>
              <w:spacing w:after="0"/>
              <w:rPr>
                <w:sz w:val="1"/>
                <w:szCs w:val="1"/>
                <w:color w:val="auto"/>
              </w:rPr>
            </w:pPr>
          </w:p>
        </w:tc>
      </w:tr>
      <w:tr>
        <w:trPr>
          <w:trHeight w:val="192"/>
        </w:trPr>
        <w:tc>
          <w:tcPr>
            <w:tcW w:w="620" w:type="dxa"/>
            <w:vAlign w:val="bottom"/>
            <w:tcBorders>
              <w:bottom w:val="single" w:sz="8" w:color="auto"/>
            </w:tcBorders>
            <w:vMerge w:val="continue"/>
          </w:tcPr>
          <w:p>
            <w:pPr>
              <w:spacing w:after="0"/>
              <w:rPr>
                <w:sz w:val="16"/>
                <w:szCs w:val="16"/>
                <w:color w:val="auto"/>
              </w:rPr>
            </w:pPr>
          </w:p>
        </w:tc>
        <w:tc>
          <w:tcPr>
            <w:tcW w:w="47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Rent</w:t>
            </w:r>
          </w:p>
        </w:tc>
        <w:tc>
          <w:tcPr>
            <w:tcW w:w="15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Rent (4)</w:t>
            </w:r>
          </w:p>
        </w:tc>
        <w:tc>
          <w:tcPr>
            <w:tcW w:w="9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Total GLA (4)</w:t>
            </w:r>
          </w:p>
        </w:tc>
        <w:tc>
          <w:tcPr>
            <w:tcW w:w="8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Leased</w:t>
            </w:r>
          </w:p>
        </w:tc>
        <w:tc>
          <w:tcPr>
            <w:tcW w:w="0" w:type="dxa"/>
            <w:vAlign w:val="bottom"/>
          </w:tcPr>
          <w:p>
            <w:pPr>
              <w:spacing w:after="0"/>
              <w:rPr>
                <w:sz w:val="1"/>
                <w:szCs w:val="1"/>
                <w:color w:val="auto"/>
              </w:rPr>
            </w:pPr>
          </w:p>
        </w:tc>
      </w:tr>
      <w:tr>
        <w:trPr>
          <w:trHeight w:val="270"/>
        </w:trPr>
        <w:tc>
          <w:tcPr>
            <w:tcW w:w="620" w:type="dxa"/>
            <w:vAlign w:val="bottom"/>
          </w:tcPr>
          <w:p>
            <w:pPr>
              <w:spacing w:after="0"/>
              <w:rPr>
                <w:sz w:val="23"/>
                <w:szCs w:val="23"/>
                <w:color w:val="auto"/>
              </w:rPr>
            </w:pPr>
          </w:p>
        </w:tc>
        <w:tc>
          <w:tcPr>
            <w:tcW w:w="4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Ahold USA,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15,302,000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3.01%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w:t>
            </w:r>
          </w:p>
        </w:tc>
        <w:tc>
          <w:tcPr>
            <w:tcW w:w="4700" w:type="dxa"/>
            <w:vAlign w:val="bottom"/>
          </w:tcPr>
          <w:p>
            <w:pPr>
              <w:ind w:left="180"/>
              <w:spacing w:after="0"/>
              <w:rPr>
                <w:sz w:val="20"/>
                <w:szCs w:val="20"/>
                <w:color w:val="auto"/>
              </w:rPr>
            </w:pPr>
            <w:r>
              <w:rPr>
                <w:rFonts w:ascii="Arial" w:cs="Arial" w:eastAsia="Arial" w:hAnsi="Arial"/>
                <w:sz w:val="16"/>
                <w:szCs w:val="16"/>
                <w:color w:val="auto"/>
              </w:rPr>
              <w:t>Bed, Bath &amp; Beyond,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12,805,000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2.52%</w:t>
            </w:r>
          </w:p>
        </w:tc>
        <w:tc>
          <w:tcPr>
            <w:tcW w:w="980" w:type="dxa"/>
            <w:vAlign w:val="bottom"/>
          </w:tcPr>
          <w:p>
            <w:pPr>
              <w:jc w:val="right"/>
              <w:spacing w:after="0"/>
              <w:rPr>
                <w:sz w:val="20"/>
                <w:szCs w:val="20"/>
                <w:color w:val="auto"/>
              </w:rPr>
            </w:pPr>
            <w:r>
              <w:rPr>
                <w:rFonts w:ascii="Arial" w:cs="Arial" w:eastAsia="Arial" w:hAnsi="Arial"/>
                <w:sz w:val="16"/>
                <w:szCs w:val="16"/>
                <w:color w:val="auto"/>
              </w:rPr>
              <w:t>736,000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TJX Companies,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767,000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4</w:t>
            </w:r>
          </w:p>
        </w:tc>
        <w:tc>
          <w:tcPr>
            <w:tcW w:w="4700" w:type="dxa"/>
            <w:vAlign w:val="bottom"/>
          </w:tcPr>
          <w:p>
            <w:pPr>
              <w:ind w:left="180"/>
              <w:spacing w:after="0"/>
              <w:rPr>
                <w:sz w:val="20"/>
                <w:szCs w:val="20"/>
                <w:color w:val="auto"/>
              </w:rPr>
            </w:pPr>
            <w:r>
              <w:rPr>
                <w:rFonts w:ascii="Arial" w:cs="Arial" w:eastAsia="Arial" w:hAnsi="Arial"/>
                <w:sz w:val="16"/>
                <w:szCs w:val="16"/>
                <w:color w:val="auto"/>
              </w:rPr>
              <w:t>Gap,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11,625,000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2.29%</w:t>
            </w:r>
          </w:p>
        </w:tc>
        <w:tc>
          <w:tcPr>
            <w:tcW w:w="980" w:type="dxa"/>
            <w:vAlign w:val="bottom"/>
          </w:tcPr>
          <w:p>
            <w:pPr>
              <w:jc w:val="right"/>
              <w:spacing w:after="0"/>
              <w:rPr>
                <w:sz w:val="20"/>
                <w:szCs w:val="20"/>
                <w:color w:val="auto"/>
              </w:rPr>
            </w:pPr>
            <w:r>
              <w:rPr>
                <w:rFonts w:ascii="Arial" w:cs="Arial" w:eastAsia="Arial" w:hAnsi="Arial"/>
                <w:sz w:val="16"/>
                <w:szCs w:val="16"/>
                <w:color w:val="auto"/>
              </w:rPr>
              <w:t>341,000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L.A. Fitness International LLC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8,395,000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6</w:t>
            </w:r>
          </w:p>
        </w:tc>
        <w:tc>
          <w:tcPr>
            <w:tcW w:w="4700" w:type="dxa"/>
            <w:vAlign w:val="bottom"/>
          </w:tcPr>
          <w:p>
            <w:pPr>
              <w:ind w:left="180"/>
              <w:spacing w:after="0"/>
              <w:rPr>
                <w:sz w:val="20"/>
                <w:szCs w:val="20"/>
                <w:color w:val="auto"/>
              </w:rPr>
            </w:pPr>
            <w:r>
              <w:rPr>
                <w:rFonts w:ascii="Arial" w:cs="Arial" w:eastAsia="Arial" w:hAnsi="Arial"/>
                <w:sz w:val="16"/>
                <w:szCs w:val="16"/>
                <w:color w:val="auto"/>
              </w:rPr>
              <w:t>CVS Corporation</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7,299,000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1.44%</w:t>
            </w:r>
          </w:p>
        </w:tc>
        <w:tc>
          <w:tcPr>
            <w:tcW w:w="980" w:type="dxa"/>
            <w:vAlign w:val="bottom"/>
          </w:tcPr>
          <w:p>
            <w:pPr>
              <w:jc w:val="right"/>
              <w:spacing w:after="0"/>
              <w:rPr>
                <w:sz w:val="20"/>
                <w:szCs w:val="20"/>
                <w:color w:val="auto"/>
              </w:rPr>
            </w:pPr>
            <w:r>
              <w:rPr>
                <w:rFonts w:ascii="Arial" w:cs="Arial" w:eastAsia="Arial" w:hAnsi="Arial"/>
                <w:sz w:val="16"/>
                <w:szCs w:val="16"/>
                <w:color w:val="auto"/>
              </w:rPr>
              <w:t>189,000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DSW,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6,105,000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1.20%</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8</w:t>
            </w:r>
          </w:p>
        </w:tc>
        <w:tc>
          <w:tcPr>
            <w:tcW w:w="4700" w:type="dxa"/>
            <w:vAlign w:val="bottom"/>
          </w:tcPr>
          <w:p>
            <w:pPr>
              <w:ind w:left="180"/>
              <w:spacing w:after="0"/>
              <w:rPr>
                <w:sz w:val="20"/>
                <w:szCs w:val="20"/>
                <w:color w:val="auto"/>
              </w:rPr>
            </w:pPr>
            <w:r>
              <w:rPr>
                <w:rFonts w:ascii="Arial" w:cs="Arial" w:eastAsia="Arial" w:hAnsi="Arial"/>
                <w:sz w:val="16"/>
                <w:szCs w:val="16"/>
                <w:color w:val="auto"/>
              </w:rPr>
              <w:t>Best Buy Stores, L.P.</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5,483,000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1.08%</w:t>
            </w:r>
          </w:p>
        </w:tc>
        <w:tc>
          <w:tcPr>
            <w:tcW w:w="980" w:type="dxa"/>
            <w:vAlign w:val="bottom"/>
          </w:tcPr>
          <w:p>
            <w:pPr>
              <w:jc w:val="right"/>
              <w:spacing w:after="0"/>
              <w:rPr>
                <w:sz w:val="20"/>
                <w:szCs w:val="20"/>
                <w:color w:val="auto"/>
              </w:rPr>
            </w:pPr>
            <w:r>
              <w:rPr>
                <w:rFonts w:ascii="Arial" w:cs="Arial" w:eastAsia="Arial" w:hAnsi="Arial"/>
                <w:sz w:val="16"/>
                <w:szCs w:val="16"/>
                <w:color w:val="auto"/>
              </w:rPr>
              <w:t>188,000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9</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Home Depot,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5,435,000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10</w:t>
            </w:r>
          </w:p>
        </w:tc>
        <w:tc>
          <w:tcPr>
            <w:tcW w:w="4700" w:type="dxa"/>
            <w:vAlign w:val="bottom"/>
          </w:tcPr>
          <w:p>
            <w:pPr>
              <w:ind w:left="180"/>
              <w:spacing w:after="0"/>
              <w:rPr>
                <w:sz w:val="20"/>
                <w:szCs w:val="20"/>
                <w:color w:val="auto"/>
              </w:rPr>
            </w:pPr>
            <w:r>
              <w:rPr>
                <w:rFonts w:ascii="Arial" w:cs="Arial" w:eastAsia="Arial" w:hAnsi="Arial"/>
                <w:sz w:val="16"/>
                <w:szCs w:val="16"/>
                <w:color w:val="auto"/>
              </w:rPr>
              <w:t>Michaels Stores,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5,147,000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1.01%</w:t>
            </w:r>
          </w:p>
        </w:tc>
        <w:tc>
          <w:tcPr>
            <w:tcW w:w="980" w:type="dxa"/>
            <w:vAlign w:val="bottom"/>
          </w:tcPr>
          <w:p>
            <w:pPr>
              <w:jc w:val="right"/>
              <w:spacing w:after="0"/>
              <w:rPr>
                <w:sz w:val="20"/>
                <w:szCs w:val="20"/>
                <w:color w:val="auto"/>
              </w:rPr>
            </w:pPr>
            <w:r>
              <w:rPr>
                <w:rFonts w:ascii="Arial" w:cs="Arial" w:eastAsia="Arial" w:hAnsi="Arial"/>
                <w:sz w:val="16"/>
                <w:szCs w:val="16"/>
                <w:color w:val="auto"/>
              </w:rPr>
              <w:t>286,000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Barnes &amp; Noble,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5,117,000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1.01%</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12</w:t>
            </w:r>
          </w:p>
        </w:tc>
        <w:tc>
          <w:tcPr>
            <w:tcW w:w="4700" w:type="dxa"/>
            <w:vAlign w:val="bottom"/>
          </w:tcPr>
          <w:p>
            <w:pPr>
              <w:ind w:left="180"/>
              <w:spacing w:after="0"/>
              <w:rPr>
                <w:sz w:val="20"/>
                <w:szCs w:val="20"/>
                <w:color w:val="auto"/>
              </w:rPr>
            </w:pPr>
            <w:r>
              <w:rPr>
                <w:rFonts w:ascii="Arial" w:cs="Arial" w:eastAsia="Arial" w:hAnsi="Arial"/>
                <w:sz w:val="16"/>
                <w:szCs w:val="16"/>
                <w:color w:val="auto"/>
              </w:rPr>
              <w:t>Bank of America, N.A.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0.98%</w:t>
            </w:r>
          </w:p>
        </w:tc>
        <w:tc>
          <w:tcPr>
            <w:tcW w:w="980" w:type="dxa"/>
            <w:vAlign w:val="bottom"/>
          </w:tcPr>
          <w:p>
            <w:pPr>
              <w:jc w:val="right"/>
              <w:spacing w:after="0"/>
              <w:rPr>
                <w:sz w:val="20"/>
                <w:szCs w:val="20"/>
                <w:color w:val="auto"/>
              </w:rPr>
            </w:pPr>
            <w:r>
              <w:rPr>
                <w:rFonts w:ascii="Arial" w:cs="Arial" w:eastAsia="Arial" w:hAnsi="Arial"/>
                <w:sz w:val="16"/>
                <w:szCs w:val="16"/>
                <w:color w:val="auto"/>
              </w:rPr>
              <w:t>103,000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0.49%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Nordstrom,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0.95%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4"/>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14</w:t>
            </w:r>
          </w:p>
        </w:tc>
        <w:tc>
          <w:tcPr>
            <w:tcW w:w="4700" w:type="dxa"/>
            <w:vAlign w:val="bottom"/>
          </w:tcPr>
          <w:p>
            <w:pPr>
              <w:ind w:left="180"/>
              <w:spacing w:after="0"/>
              <w:rPr>
                <w:sz w:val="20"/>
                <w:szCs w:val="20"/>
                <w:color w:val="auto"/>
              </w:rPr>
            </w:pPr>
            <w:r>
              <w:rPr>
                <w:rFonts w:ascii="Arial" w:cs="Arial" w:eastAsia="Arial" w:hAnsi="Arial"/>
                <w:sz w:val="16"/>
                <w:szCs w:val="16"/>
                <w:color w:val="auto"/>
              </w:rPr>
              <w:t>Whole Foods Market,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4,425,000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0.87%</w:t>
            </w:r>
          </w:p>
        </w:tc>
        <w:tc>
          <w:tcPr>
            <w:tcW w:w="980" w:type="dxa"/>
            <w:vAlign w:val="bottom"/>
          </w:tcPr>
          <w:p>
            <w:pPr>
              <w:jc w:val="right"/>
              <w:spacing w:after="0"/>
              <w:rPr>
                <w:sz w:val="20"/>
                <w:szCs w:val="20"/>
                <w:color w:val="auto"/>
              </w:rPr>
            </w:pPr>
            <w:r>
              <w:rPr>
                <w:rFonts w:ascii="Arial" w:cs="Arial" w:eastAsia="Arial" w:hAnsi="Arial"/>
                <w:sz w:val="16"/>
                <w:szCs w:val="16"/>
                <w:color w:val="auto"/>
              </w:rPr>
              <w:t>167,000</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47"/>
        </w:trPr>
        <w:tc>
          <w:tcPr>
            <w:tcW w:w="620" w:type="dxa"/>
            <w:vAlign w:val="bottom"/>
          </w:tcPr>
          <w:p>
            <w:pPr>
              <w:spacing w:after="0"/>
              <w:rPr>
                <w:sz w:val="4"/>
                <w:szCs w:val="4"/>
                <w:color w:val="auto"/>
              </w:rPr>
            </w:pPr>
          </w:p>
        </w:tc>
        <w:tc>
          <w:tcPr>
            <w:tcW w:w="4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Dick's Sporting Goods,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0.86%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16</w:t>
            </w:r>
          </w:p>
        </w:tc>
        <w:tc>
          <w:tcPr>
            <w:tcW w:w="4700" w:type="dxa"/>
            <w:vAlign w:val="bottom"/>
          </w:tcPr>
          <w:p>
            <w:pPr>
              <w:ind w:left="180"/>
              <w:spacing w:after="0"/>
              <w:rPr>
                <w:sz w:val="20"/>
                <w:szCs w:val="20"/>
                <w:color w:val="auto"/>
              </w:rPr>
            </w:pPr>
            <w:r>
              <w:rPr>
                <w:rFonts w:ascii="Arial" w:cs="Arial" w:eastAsia="Arial" w:hAnsi="Arial"/>
                <w:sz w:val="16"/>
                <w:szCs w:val="16"/>
                <w:color w:val="auto"/>
              </w:rPr>
              <w:t>AMC Entertainment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4,276,000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0.84%</w:t>
            </w:r>
          </w:p>
        </w:tc>
        <w:tc>
          <w:tcPr>
            <w:tcW w:w="980" w:type="dxa"/>
            <w:vAlign w:val="bottom"/>
          </w:tcPr>
          <w:p>
            <w:pPr>
              <w:jc w:val="right"/>
              <w:spacing w:after="0"/>
              <w:rPr>
                <w:sz w:val="20"/>
                <w:szCs w:val="20"/>
                <w:color w:val="auto"/>
              </w:rPr>
            </w:pPr>
            <w:r>
              <w:rPr>
                <w:rFonts w:ascii="Arial" w:cs="Arial" w:eastAsia="Arial" w:hAnsi="Arial"/>
                <w:sz w:val="16"/>
                <w:szCs w:val="16"/>
                <w:color w:val="auto"/>
              </w:rPr>
              <w:t>229,000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17</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Riverbed Technology,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3,837,000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18</w:t>
            </w:r>
          </w:p>
        </w:tc>
        <w:tc>
          <w:tcPr>
            <w:tcW w:w="4700" w:type="dxa"/>
            <w:vAlign w:val="bottom"/>
          </w:tcPr>
          <w:p>
            <w:pPr>
              <w:ind w:left="180"/>
              <w:spacing w:after="0"/>
              <w:rPr>
                <w:sz w:val="20"/>
                <w:szCs w:val="20"/>
                <w:color w:val="auto"/>
              </w:rPr>
            </w:pPr>
            <w:r>
              <w:rPr>
                <w:rFonts w:ascii="Arial" w:cs="Arial" w:eastAsia="Arial" w:hAnsi="Arial"/>
                <w:sz w:val="16"/>
                <w:szCs w:val="16"/>
                <w:color w:val="auto"/>
              </w:rPr>
              <w:t>Staples, Inc.</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3,800,000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0.75%</w:t>
            </w:r>
          </w:p>
        </w:tc>
        <w:tc>
          <w:tcPr>
            <w:tcW w:w="980" w:type="dxa"/>
            <w:vAlign w:val="bottom"/>
          </w:tcPr>
          <w:p>
            <w:pPr>
              <w:jc w:val="right"/>
              <w:spacing w:after="0"/>
              <w:rPr>
                <w:sz w:val="20"/>
                <w:szCs w:val="20"/>
                <w:color w:val="auto"/>
              </w:rPr>
            </w:pPr>
            <w:r>
              <w:rPr>
                <w:rFonts w:ascii="Arial" w:cs="Arial" w:eastAsia="Arial" w:hAnsi="Arial"/>
                <w:sz w:val="16"/>
                <w:szCs w:val="16"/>
                <w:color w:val="auto"/>
              </w:rPr>
              <w:t>178,000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0.85%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Ross Stores,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3,772,000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0.74%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20</w:t>
            </w:r>
          </w:p>
        </w:tc>
        <w:tc>
          <w:tcPr>
            <w:tcW w:w="4700" w:type="dxa"/>
            <w:vAlign w:val="bottom"/>
          </w:tcPr>
          <w:p>
            <w:pPr>
              <w:ind w:left="180"/>
              <w:spacing w:after="0"/>
              <w:rPr>
                <w:sz w:val="20"/>
                <w:szCs w:val="20"/>
                <w:color w:val="auto"/>
              </w:rPr>
            </w:pPr>
            <w:r>
              <w:rPr>
                <w:rFonts w:ascii="Arial" w:cs="Arial" w:eastAsia="Arial" w:hAnsi="Arial"/>
                <w:sz w:val="16"/>
                <w:szCs w:val="16"/>
                <w:color w:val="auto"/>
              </w:rPr>
              <w:t>AB Acquisition LLC (Acme, Safeway)</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3,648,000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0.72%</w:t>
            </w:r>
          </w:p>
        </w:tc>
        <w:tc>
          <w:tcPr>
            <w:tcW w:w="980" w:type="dxa"/>
            <w:vAlign w:val="bottom"/>
          </w:tcPr>
          <w:p>
            <w:pPr>
              <w:jc w:val="right"/>
              <w:spacing w:after="0"/>
              <w:rPr>
                <w:sz w:val="20"/>
                <w:szCs w:val="20"/>
                <w:color w:val="auto"/>
              </w:rPr>
            </w:pPr>
            <w:r>
              <w:rPr>
                <w:rFonts w:ascii="Arial" w:cs="Arial" w:eastAsia="Arial" w:hAnsi="Arial"/>
                <w:sz w:val="16"/>
                <w:szCs w:val="16"/>
                <w:color w:val="auto"/>
              </w:rPr>
              <w:t>404,000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21</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Kroger Co., The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3,528,000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0.69%</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22</w:t>
            </w:r>
          </w:p>
        </w:tc>
        <w:tc>
          <w:tcPr>
            <w:tcW w:w="4700" w:type="dxa"/>
            <w:vAlign w:val="bottom"/>
          </w:tcPr>
          <w:p>
            <w:pPr>
              <w:ind w:left="180"/>
              <w:spacing w:after="0"/>
              <w:rPr>
                <w:sz w:val="20"/>
                <w:szCs w:val="20"/>
                <w:color w:val="auto"/>
              </w:rPr>
            </w:pPr>
            <w:r>
              <w:rPr>
                <w:rFonts w:ascii="Arial" w:cs="Arial" w:eastAsia="Arial" w:hAnsi="Arial"/>
                <w:sz w:val="16"/>
                <w:szCs w:val="16"/>
                <w:color w:val="auto"/>
              </w:rPr>
              <w:t>Sports Authority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3,418,000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0.67%</w:t>
            </w:r>
          </w:p>
        </w:tc>
        <w:tc>
          <w:tcPr>
            <w:tcW w:w="980" w:type="dxa"/>
            <w:vAlign w:val="bottom"/>
          </w:tcPr>
          <w:p>
            <w:pPr>
              <w:jc w:val="right"/>
              <w:spacing w:after="0"/>
              <w:rPr>
                <w:sz w:val="20"/>
                <w:szCs w:val="20"/>
                <w:color w:val="auto"/>
              </w:rPr>
            </w:pPr>
            <w:r>
              <w:rPr>
                <w:rFonts w:ascii="Arial" w:cs="Arial" w:eastAsia="Arial" w:hAnsi="Arial"/>
                <w:sz w:val="16"/>
                <w:szCs w:val="16"/>
                <w:color w:val="auto"/>
              </w:rPr>
              <w:t>194,000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0.93%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23</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Wells Fargo Bank, N.A.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3,329,000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51,000</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620" w:type="dxa"/>
            <w:vAlign w:val="bottom"/>
          </w:tcPr>
          <w:p>
            <w:pPr>
              <w:jc w:val="right"/>
              <w:ind w:right="99"/>
              <w:spacing w:after="0"/>
              <w:rPr>
                <w:sz w:val="20"/>
                <w:szCs w:val="20"/>
                <w:color w:val="auto"/>
              </w:rPr>
            </w:pPr>
            <w:r>
              <w:rPr>
                <w:rFonts w:ascii="Arial" w:cs="Arial" w:eastAsia="Arial" w:hAnsi="Arial"/>
                <w:sz w:val="16"/>
                <w:szCs w:val="16"/>
                <w:color w:val="auto"/>
              </w:rPr>
              <w:t>24</w:t>
            </w:r>
          </w:p>
        </w:tc>
        <w:tc>
          <w:tcPr>
            <w:tcW w:w="4700" w:type="dxa"/>
            <w:vAlign w:val="bottom"/>
          </w:tcPr>
          <w:p>
            <w:pPr>
              <w:ind w:left="180"/>
              <w:spacing w:after="0"/>
              <w:rPr>
                <w:sz w:val="20"/>
                <w:szCs w:val="20"/>
                <w:color w:val="auto"/>
              </w:rPr>
            </w:pPr>
            <w:r>
              <w:rPr>
                <w:rFonts w:ascii="Arial" w:cs="Arial" w:eastAsia="Arial" w:hAnsi="Arial"/>
                <w:sz w:val="16"/>
                <w:szCs w:val="16"/>
                <w:color w:val="auto"/>
              </w:rPr>
              <w:t>Dress Barn, Inc., The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3,293,000</w:t>
            </w:r>
          </w:p>
        </w:tc>
        <w:tc>
          <w:tcPr>
            <w:tcW w:w="1560" w:type="dxa"/>
            <w:vAlign w:val="bottom"/>
          </w:tcPr>
          <w:p>
            <w:pPr>
              <w:jc w:val="right"/>
              <w:ind w:right="60"/>
              <w:spacing w:after="0"/>
              <w:rPr>
                <w:sz w:val="20"/>
                <w:szCs w:val="20"/>
                <w:color w:val="auto"/>
              </w:rPr>
            </w:pPr>
            <w:r>
              <w:rPr>
                <w:rFonts w:ascii="Arial" w:cs="Arial" w:eastAsia="Arial" w:hAnsi="Arial"/>
                <w:sz w:val="16"/>
                <w:szCs w:val="16"/>
                <w:color w:val="auto"/>
              </w:rPr>
              <w:t>0.65%</w:t>
            </w:r>
          </w:p>
        </w:tc>
        <w:tc>
          <w:tcPr>
            <w:tcW w:w="980" w:type="dxa"/>
            <w:vAlign w:val="bottom"/>
          </w:tcPr>
          <w:p>
            <w:pPr>
              <w:jc w:val="right"/>
              <w:spacing w:after="0"/>
              <w:rPr>
                <w:sz w:val="20"/>
                <w:szCs w:val="20"/>
                <w:color w:val="auto"/>
              </w:rPr>
            </w:pPr>
            <w:r>
              <w:rPr>
                <w:rFonts w:ascii="Arial" w:cs="Arial" w:eastAsia="Arial" w:hAnsi="Arial"/>
                <w:sz w:val="16"/>
                <w:szCs w:val="16"/>
                <w:color w:val="auto"/>
              </w:rPr>
              <w:t>133,000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0.64%</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3"/>
        </w:trPr>
        <w:tc>
          <w:tcPr>
            <w:tcW w:w="6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25</w:t>
            </w:r>
          </w:p>
        </w:tc>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PetSmart,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3,275,000</w:t>
            </w:r>
          </w:p>
        </w:tc>
        <w:tc>
          <w:tcPr>
            <w:tcW w:w="15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0.64%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84"/>
        </w:trPr>
        <w:tc>
          <w:tcPr>
            <w:tcW w:w="620" w:type="dxa"/>
            <w:vAlign w:val="bottom"/>
            <w:tcBorders>
              <w:bottom w:val="single" w:sz="8" w:color="CCEEFF"/>
            </w:tcBorders>
          </w:tcPr>
          <w:p>
            <w:pPr>
              <w:spacing w:after="0"/>
              <w:rPr>
                <w:sz w:val="24"/>
                <w:szCs w:val="24"/>
                <w:color w:val="auto"/>
              </w:rPr>
            </w:pPr>
          </w:p>
        </w:tc>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Totals - Top 25 Tenants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149,929,000</w:t>
            </w:r>
          </w:p>
        </w:tc>
        <w:tc>
          <w:tcPr>
            <w:tcW w:w="156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29.53%</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7,254,000</w:t>
            </w:r>
          </w:p>
        </w:tc>
        <w:tc>
          <w:tcPr>
            <w:tcW w:w="2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34.83%</w:t>
            </w:r>
          </w:p>
        </w:tc>
        <w:tc>
          <w:tcPr>
            <w:tcW w:w="8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262</w:t>
            </w:r>
          </w:p>
        </w:tc>
        <w:tc>
          <w:tcPr>
            <w:tcW w:w="0" w:type="dxa"/>
            <w:vAlign w:val="bottom"/>
          </w:tcPr>
          <w:p>
            <w:pPr>
              <w:spacing w:after="0"/>
              <w:rPr>
                <w:sz w:val="1"/>
                <w:szCs w:val="1"/>
                <w:color w:val="auto"/>
              </w:rPr>
            </w:pPr>
          </w:p>
        </w:tc>
      </w:tr>
      <w:tr>
        <w:trPr>
          <w:trHeight w:val="257"/>
        </w:trPr>
        <w:tc>
          <w:tcPr>
            <w:tcW w:w="620" w:type="dxa"/>
            <w:vAlign w:val="bottom"/>
            <w:shd w:val="clear" w:color="auto" w:fill="CCEEFF"/>
          </w:tcPr>
          <w:p>
            <w:pPr>
              <w:spacing w:after="0"/>
              <w:rPr>
                <w:sz w:val="22"/>
                <w:szCs w:val="22"/>
                <w:color w:val="auto"/>
              </w:rPr>
            </w:pPr>
          </w:p>
        </w:tc>
        <w:tc>
          <w:tcPr>
            <w:tcW w:w="47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20" w:type="dxa"/>
            <w:vAlign w:val="bottom"/>
          </w:tcPr>
          <w:p>
            <w:pPr>
              <w:spacing w:after="0"/>
              <w:rPr>
                <w:sz w:val="20"/>
                <w:szCs w:val="20"/>
                <w:color w:val="auto"/>
              </w:rPr>
            </w:pPr>
          </w:p>
        </w:tc>
        <w:tc>
          <w:tcPr>
            <w:tcW w:w="4700" w:type="dxa"/>
            <w:vAlign w:val="bottom"/>
          </w:tcPr>
          <w:p>
            <w:pPr>
              <w:ind w:left="180"/>
              <w:spacing w:after="0"/>
              <w:rPr>
                <w:sz w:val="20"/>
                <w:szCs w:val="20"/>
                <w:color w:val="auto"/>
              </w:rPr>
            </w:pPr>
            <w:r>
              <w:rPr>
                <w:rFonts w:ascii="Arial" w:cs="Arial" w:eastAsia="Arial" w:hAnsi="Arial"/>
                <w:sz w:val="16"/>
                <w:szCs w:val="16"/>
                <w:color w:val="auto"/>
              </w:rPr>
              <w:t>Total: (1)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507,765,000</w:t>
            </w:r>
          </w:p>
        </w:tc>
        <w:tc>
          <w:tcPr>
            <w:tcW w:w="1560" w:type="dxa"/>
            <w:vAlign w:val="bottom"/>
          </w:tcPr>
          <w:p>
            <w:pPr>
              <w:jc w:val="right"/>
              <w:ind w:right="1220"/>
              <w:spacing w:after="0"/>
              <w:rPr>
                <w:sz w:val="20"/>
                <w:szCs w:val="20"/>
                <w:color w:val="auto"/>
              </w:rPr>
            </w:pPr>
            <w:r>
              <w:rPr>
                <w:rFonts w:ascii="Arial" w:cs="Arial" w:eastAsia="Arial" w:hAnsi="Arial"/>
                <w:sz w:val="16"/>
                <w:szCs w:val="16"/>
                <w:color w:val="auto"/>
              </w:rPr>
              <w:t>(2)</w:t>
            </w:r>
          </w:p>
        </w:tc>
        <w:tc>
          <w:tcPr>
            <w:tcW w:w="980" w:type="dxa"/>
            <w:vAlign w:val="bottom"/>
          </w:tcPr>
          <w:p>
            <w:pPr>
              <w:jc w:val="right"/>
              <w:spacing w:after="0"/>
              <w:rPr>
                <w:sz w:val="20"/>
                <w:szCs w:val="20"/>
                <w:color w:val="auto"/>
              </w:rPr>
            </w:pPr>
            <w:r>
              <w:rPr>
                <w:rFonts w:ascii="Arial" w:cs="Arial" w:eastAsia="Arial" w:hAnsi="Arial"/>
                <w:sz w:val="16"/>
                <w:szCs w:val="16"/>
                <w:color w:val="auto"/>
              </w:rPr>
              <w:t>20,825,000</w:t>
            </w: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c>
          <w:tcPr>
            <w:tcW w:w="11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2,689</w:t>
            </w:r>
          </w:p>
        </w:tc>
        <w:tc>
          <w:tcPr>
            <w:tcW w:w="0" w:type="dxa"/>
            <w:vAlign w:val="bottom"/>
          </w:tcPr>
          <w:p>
            <w:pPr>
              <w:spacing w:after="0"/>
              <w:rPr>
                <w:sz w:val="1"/>
                <w:szCs w:val="1"/>
                <w:color w:val="auto"/>
              </w:rPr>
            </w:pPr>
          </w:p>
        </w:tc>
      </w:tr>
    </w:tbl>
    <w:p>
      <w:pPr>
        <w:spacing w:after="0" w:line="334"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Notes:</w:t>
      </w:r>
    </w:p>
    <w:p>
      <w:pPr>
        <w:spacing w:after="0" w:line="73" w:lineRule="exact"/>
        <w:rPr>
          <w:sz w:val="20"/>
          <w:szCs w:val="20"/>
          <w:color w:val="auto"/>
        </w:rPr>
      </w:pPr>
    </w:p>
    <w:p>
      <w:pPr>
        <w:ind w:left="800" w:hanging="765"/>
        <w:spacing w:after="0"/>
        <w:tabs>
          <w:tab w:leader="none" w:pos="8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Does not include amounts related to leases these tenants have with our partnership with a discretionary fund created and advised by ING Clarion Partners.</w:t>
      </w:r>
    </w:p>
    <w:p>
      <w:pPr>
        <w:spacing w:after="0" w:line="97" w:lineRule="exact"/>
        <w:rPr>
          <w:rFonts w:ascii="Arial" w:cs="Arial" w:eastAsia="Arial" w:hAnsi="Arial"/>
          <w:sz w:val="15"/>
          <w:szCs w:val="15"/>
          <w:color w:val="auto"/>
        </w:rPr>
      </w:pPr>
    </w:p>
    <w:p>
      <w:pPr>
        <w:ind w:left="800" w:right="120" w:hanging="765"/>
        <w:spacing w:after="0" w:line="293"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Reflects aggregate, annualized in-place contractual (defined as cash-basis including adjustments for concessions) minimum rent for all occupied spaces as of June 30, 2015</w:t>
      </w:r>
    </w:p>
    <w:p>
      <w:pPr>
        <w:spacing w:after="0" w:line="23" w:lineRule="exact"/>
        <w:rPr>
          <w:rFonts w:ascii="Arial" w:cs="Arial" w:eastAsia="Arial" w:hAnsi="Arial"/>
          <w:sz w:val="16"/>
          <w:szCs w:val="16"/>
          <w:color w:val="auto"/>
        </w:rPr>
      </w:pPr>
    </w:p>
    <w:p>
      <w:pPr>
        <w:ind w:left="800" w:hanging="765"/>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Excludes redevelopment square footage not yet placed in service.</w:t>
      </w:r>
    </w:p>
    <w:p>
      <w:pPr>
        <w:spacing w:after="0" w:line="86" w:lineRule="exact"/>
        <w:rPr>
          <w:rFonts w:ascii="Arial" w:cs="Arial" w:eastAsia="Arial" w:hAnsi="Arial"/>
          <w:sz w:val="16"/>
          <w:szCs w:val="16"/>
          <w:color w:val="auto"/>
        </w:rPr>
      </w:pPr>
    </w:p>
    <w:p>
      <w:pPr>
        <w:ind w:left="800" w:hanging="765"/>
        <w:spacing w:after="0"/>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Individual items may not add up to total due to rounding.</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9" w:name="page30"/>
    <w:bookmarkEnd w:id="29"/>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2015 Guidance</w:t>
            </w:r>
          </w:p>
        </w:tc>
        <w:tc>
          <w:tcPr>
            <w:tcW w:w="500" w:type="dxa"/>
            <w:vAlign w:val="bottom"/>
            <w:tcBorders>
              <w:bottom w:val="single" w:sz="8" w:color="auto"/>
            </w:tcBorders>
          </w:tcPr>
          <w:p>
            <w:pPr>
              <w:spacing w:after="0"/>
              <w:rPr>
                <w:sz w:val="16"/>
                <w:szCs w:val="16"/>
                <w:color w:val="auto"/>
              </w:rPr>
            </w:pPr>
          </w:p>
        </w:tc>
      </w:tr>
      <w:tr>
        <w:trPr>
          <w:trHeight w:val="244"/>
        </w:trPr>
        <w:tc>
          <w:tcPr>
            <w:tcW w:w="40" w:type="dxa"/>
            <w:vAlign w:val="bottom"/>
          </w:tcPr>
          <w:p>
            <w:pPr>
              <w:spacing w:after="0"/>
              <w:rPr>
                <w:sz w:val="21"/>
                <w:szCs w:val="21"/>
                <w:color w:val="auto"/>
              </w:rPr>
            </w:pPr>
          </w:p>
        </w:tc>
        <w:tc>
          <w:tcPr>
            <w:tcW w:w="474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60" w:type="dxa"/>
            <w:vAlign w:val="bottom"/>
            <w:gridSpan w:val="3"/>
          </w:tcPr>
          <w:p>
            <w:pPr>
              <w:jc w:val="center"/>
              <w:ind w:left="73"/>
              <w:spacing w:after="0"/>
              <w:rPr>
                <w:sz w:val="20"/>
                <w:szCs w:val="20"/>
                <w:color w:val="auto"/>
              </w:rPr>
            </w:pPr>
            <w:r>
              <w:rPr>
                <w:rFonts w:ascii="Arial" w:cs="Arial" w:eastAsia="Arial" w:hAnsi="Arial"/>
                <w:sz w:val="14"/>
                <w:szCs w:val="14"/>
                <w:color w:val="auto"/>
                <w:w w:val="97"/>
              </w:rPr>
              <w:t>(Dollars in millions except</w:t>
            </w:r>
          </w:p>
        </w:tc>
        <w:tc>
          <w:tcPr>
            <w:tcW w:w="500" w:type="dxa"/>
            <w:vAlign w:val="bottom"/>
          </w:tcPr>
          <w:p>
            <w:pPr>
              <w:spacing w:after="0"/>
              <w:rPr>
                <w:sz w:val="21"/>
                <w:szCs w:val="21"/>
                <w:color w:val="auto"/>
              </w:rPr>
            </w:pPr>
          </w:p>
        </w:tc>
      </w:tr>
      <w:tr>
        <w:trPr>
          <w:trHeight w:val="270"/>
        </w:trPr>
        <w:tc>
          <w:tcPr>
            <w:tcW w:w="4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860" w:type="dxa"/>
            <w:vAlign w:val="bottom"/>
            <w:gridSpan w:val="3"/>
          </w:tcPr>
          <w:p>
            <w:pPr>
              <w:jc w:val="center"/>
              <w:ind w:left="113"/>
              <w:spacing w:after="0"/>
              <w:rPr>
                <w:sz w:val="20"/>
                <w:szCs w:val="20"/>
                <w:color w:val="auto"/>
              </w:rPr>
            </w:pPr>
            <w:r>
              <w:rPr>
                <w:rFonts w:ascii="Arial" w:cs="Arial" w:eastAsia="Arial" w:hAnsi="Arial"/>
                <w:sz w:val="14"/>
                <w:szCs w:val="14"/>
                <w:color w:val="auto"/>
                <w:w w:val="91"/>
              </w:rPr>
              <w:t>per share amounts) (1)</w:t>
            </w:r>
          </w:p>
        </w:tc>
        <w:tc>
          <w:tcPr>
            <w:tcW w:w="500" w:type="dxa"/>
            <w:vAlign w:val="bottom"/>
          </w:tcPr>
          <w:p>
            <w:pPr>
              <w:spacing w:after="0"/>
              <w:rPr>
                <w:sz w:val="23"/>
                <w:szCs w:val="23"/>
                <w:color w:val="auto"/>
              </w:rPr>
            </w:pPr>
          </w:p>
        </w:tc>
      </w:tr>
      <w:tr>
        <w:trPr>
          <w:trHeight w:val="215"/>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 available for common shareholders (FFO)</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474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Amortization of initial direct costs of leases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Funds from operations</w:t>
            </w: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w:t>
            </w:r>
          </w:p>
        </w:tc>
        <w:tc>
          <w:tcPr>
            <w:tcW w:w="22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on preferred shares</w:t>
            </w: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Income attributable to operating partnership units</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attributable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w:t>
            </w: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352</w:t>
            </w:r>
          </w:p>
        </w:tc>
        <w:tc>
          <w:tcPr>
            <w:tcW w:w="22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Early extinguishment of debt, net of allocation to unvested shares</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r>
      <w:tr>
        <w:trPr>
          <w:trHeight w:val="297"/>
        </w:trPr>
        <w:tc>
          <w:tcPr>
            <w:tcW w:w="8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FFO excluding early extinguishment of debt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371</w:t>
            </w:r>
          </w:p>
        </w:tc>
        <w:tc>
          <w:tcPr>
            <w:tcW w:w="220" w:type="dxa"/>
            <w:vAlign w:val="bottom"/>
            <w:tcBorders>
              <w:bottom w:val="single" w:sz="8" w:color="CCEEFF"/>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374</w:t>
            </w:r>
          </w:p>
        </w:tc>
      </w:tr>
      <w:tr>
        <w:trPr>
          <w:trHeight w:val="271"/>
        </w:trPr>
        <w:tc>
          <w:tcPr>
            <w:tcW w:w="40" w:type="dxa"/>
            <w:vAlign w:val="bottom"/>
            <w:shd w:val="clear" w:color="auto" w:fill="CCEEFF"/>
          </w:tcPr>
          <w:p>
            <w:pPr>
              <w:spacing w:after="0"/>
              <w:rPr>
                <w:sz w:val="23"/>
                <w:szCs w:val="23"/>
                <w:color w:val="auto"/>
              </w:rPr>
            </w:pPr>
          </w:p>
        </w:tc>
        <w:tc>
          <w:tcPr>
            <w:tcW w:w="4740" w:type="dxa"/>
            <w:vAlign w:val="bottom"/>
            <w:shd w:val="clear" w:color="auto" w:fill="CCEEFF"/>
          </w:tcPr>
          <w:p>
            <w:pPr>
              <w:spacing w:after="0"/>
              <w:rPr>
                <w:sz w:val="23"/>
                <w:szCs w:val="23"/>
                <w:color w:val="auto"/>
              </w:rPr>
            </w:pPr>
          </w:p>
        </w:tc>
        <w:tc>
          <w:tcPr>
            <w:tcW w:w="3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Weighted average number of common shares, diluted</w:t>
            </w:r>
          </w:p>
        </w:tc>
        <w:tc>
          <w:tcPr>
            <w:tcW w:w="36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70.1</w:t>
            </w:r>
          </w:p>
        </w:tc>
      </w:tr>
      <w:tr>
        <w:trPr>
          <w:trHeight w:val="27"/>
        </w:trPr>
        <w:tc>
          <w:tcPr>
            <w:tcW w:w="4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474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r>
      <w:tr>
        <w:trPr>
          <w:trHeight w:val="264"/>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FFO excluding early extinguishment of debt, per diluted share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22"/>
                <w:szCs w:val="22"/>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r>
      <w:tr>
        <w:trPr>
          <w:trHeight w:val="20"/>
        </w:trPr>
        <w:tc>
          <w:tcPr>
            <w:tcW w:w="4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Note:</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(1) - Individual items may not add up to total due to rounding.</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40" w:type="dxa"/>
            <w:vAlign w:val="bottom"/>
            <w:gridSpan w:val="4"/>
          </w:tcPr>
          <w:p>
            <w:pPr>
              <w:jc w:val="center"/>
              <w:ind w:right="292"/>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ind w:right="556"/>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jc w:val="center"/>
              <w:ind w:left="674"/>
              <w:spacing w:after="0"/>
              <w:rPr>
                <w:sz w:val="20"/>
                <w:szCs w:val="20"/>
                <w:color w:val="auto"/>
              </w:rPr>
            </w:pPr>
            <w:r>
              <w:rPr>
                <w:rFonts w:ascii="Arial" w:cs="Arial" w:eastAsia="Arial" w:hAnsi="Arial"/>
                <w:sz w:val="14"/>
                <w:szCs w:val="14"/>
                <w:b w:val="1"/>
                <w:bCs w:val="1"/>
                <w:color w:val="auto"/>
                <w:w w:val="92"/>
              </w:rPr>
              <w:t>June 30,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INCOME STATEMENTS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2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 income</w:t>
            </w:r>
          </w:p>
        </w:tc>
        <w:tc>
          <w:tcPr>
            <w:tcW w:w="86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4,262</w:t>
            </w:r>
          </w:p>
        </w:tc>
        <w:tc>
          <w:tcPr>
            <w:tcW w:w="120" w:type="dxa"/>
            <w:vAlign w:val="bottom"/>
          </w:tcPr>
          <w:p>
            <w:pPr>
              <w:spacing w:after="0"/>
              <w:rPr>
                <w:sz w:val="21"/>
                <w:szCs w:val="21"/>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4,455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8,995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9,463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income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4,273</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4,469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9,017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9,487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Rental</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2,377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2,284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Real estate taxes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21"/>
                <w:szCs w:val="21"/>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w w:val="88"/>
              </w:rPr>
              <w:t>1,237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1,590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3,077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29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8"/>
              </w:rPr>
              <w:t>2,479</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2,980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580" w:type="dxa"/>
            <w:vAlign w:val="bottom"/>
            <w:gridSpan w:val="3"/>
          </w:tcPr>
          <w:p>
            <w:pPr>
              <w:ind w:left="140"/>
              <w:spacing w:after="0"/>
              <w:rPr>
                <w:sz w:val="20"/>
                <w:szCs w:val="20"/>
                <w:color w:val="auto"/>
              </w:rPr>
            </w:pPr>
            <w:r>
              <w:rPr>
                <w:rFonts w:ascii="Arial" w:cs="Arial" w:eastAsia="Arial" w:hAnsi="Arial"/>
                <w:sz w:val="18"/>
                <w:szCs w:val="18"/>
                <w:color w:val="auto"/>
              </w:rPr>
              <w:t>Operating income</w:t>
            </w: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8"/>
              </w:rPr>
              <w:t>1,794</w:t>
            </w:r>
          </w:p>
        </w:tc>
        <w:tc>
          <w:tcPr>
            <w:tcW w:w="12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1,489</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3,187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5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1,277</w:t>
            </w:r>
          </w:p>
        </w:tc>
        <w:tc>
          <w:tcPr>
            <w:tcW w:w="120" w:type="dxa"/>
            <w:vAlign w:val="bottom"/>
          </w:tcPr>
          <w:p>
            <w:pPr>
              <w:spacing w:after="0"/>
              <w:rPr>
                <w:sz w:val="22"/>
                <w:szCs w:val="22"/>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2,151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40" w:type="dxa"/>
            <w:vAlign w:val="bottom"/>
            <w:gridSpan w:val="4"/>
          </w:tcPr>
          <w:p>
            <w:pPr>
              <w:jc w:val="center"/>
              <w:ind w:right="272"/>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5"/>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CONSOLIDATED BALANCE SHEETS</w:t>
            </w: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2960" w:type="dxa"/>
            <w:vAlign w:val="bottom"/>
            <w:tcBorders>
              <w:top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Real estate, at cost</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188,179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187,507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58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8"/>
                <w:szCs w:val="18"/>
                <w:color w:val="auto"/>
              </w:rPr>
              <w:t>Less accumulated depreciation and amortization</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(38,304)</w:t>
            </w:r>
          </w:p>
        </w:tc>
        <w:tc>
          <w:tcPr>
            <w:tcW w:w="0" w:type="dxa"/>
            <w:vAlign w:val="bottom"/>
          </w:tcPr>
          <w:p>
            <w:pPr>
              <w:spacing w:after="0"/>
              <w:rPr>
                <w:sz w:val="1"/>
                <w:szCs w:val="1"/>
                <w:color w:val="auto"/>
              </w:rPr>
            </w:pPr>
          </w:p>
        </w:tc>
      </w:tr>
      <w:tr>
        <w:trPr>
          <w:trHeight w:val="237"/>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Net real estate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147,514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149,203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Other assets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5,709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LIABILITIES AND PARTNERS' CAPITAL</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Liabilities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Mortgages payable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580" w:type="dxa"/>
            <w:vAlign w:val="bottom"/>
            <w:gridSpan w:val="3"/>
          </w:tcPr>
          <w:p>
            <w:pPr>
              <w:ind w:left="180"/>
              <w:spacing w:after="0"/>
              <w:rPr>
                <w:sz w:val="20"/>
                <w:szCs w:val="20"/>
                <w:color w:val="auto"/>
              </w:rPr>
            </w:pPr>
            <w:r>
              <w:rPr>
                <w:rFonts w:ascii="Arial" w:cs="Arial" w:eastAsia="Arial" w:hAnsi="Arial"/>
                <w:sz w:val="18"/>
                <w:szCs w:val="18"/>
                <w:color w:val="auto"/>
              </w:rPr>
              <w:t>Other liabilities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3,201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3,673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38,058</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Partners' capital</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120,138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119,355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AND PARTNERS' CAPITAL</w:t>
            </w: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157,724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157,413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60" w:type="dxa"/>
            <w:vAlign w:val="bottom"/>
            <w:vMerge w:val="restart"/>
          </w:tcPr>
          <w:p>
            <w:pPr>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2" w:right="23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40" w:type="dxa"/>
            <w:vAlign w:val="bottom"/>
            <w:vMerge w:val="restart"/>
          </w:tcPr>
          <w:p>
            <w:pPr>
              <w:jc w:val="center"/>
              <w:ind w:left="356"/>
              <w:spacing w:after="0"/>
              <w:rPr>
                <w:sz w:val="20"/>
                <w:szCs w:val="20"/>
                <w:color w:val="auto"/>
              </w:rPr>
            </w:pPr>
            <w:r>
              <w:rPr>
                <w:rFonts w:ascii="Arial" w:cs="Arial" w:eastAsia="Arial" w:hAnsi="Arial"/>
                <w:sz w:val="14"/>
                <w:szCs w:val="14"/>
                <w:b w:val="1"/>
                <w:bCs w:val="1"/>
                <w:color w:val="auto"/>
              </w:rPr>
              <w:t>Maturity</w:t>
            </w:r>
          </w:p>
        </w:tc>
        <w:tc>
          <w:tcPr>
            <w:tcW w:w="2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Stated Interest Rate</w:t>
            </w:r>
          </w:p>
        </w:tc>
        <w:tc>
          <w:tcPr>
            <w:tcW w:w="280" w:type="dxa"/>
            <w:vAlign w:val="bottom"/>
          </w:tcPr>
          <w:p>
            <w:pPr>
              <w:spacing w:after="0"/>
              <w:rPr>
                <w:sz w:val="14"/>
                <w:szCs w:val="14"/>
                <w:color w:val="auto"/>
              </w:rPr>
            </w:pPr>
          </w:p>
        </w:tc>
        <w:tc>
          <w:tcPr>
            <w:tcW w:w="148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3"/>
              </w:rPr>
              <w:t>Balance</w:t>
            </w:r>
          </w:p>
        </w:tc>
        <w:tc>
          <w:tcPr>
            <w:tcW w:w="22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57"/>
              <w:spacing w:after="0"/>
              <w:rPr>
                <w:sz w:val="20"/>
                <w:szCs w:val="20"/>
                <w:color w:val="auto"/>
              </w:rPr>
            </w:pPr>
            <w:r>
              <w:rPr>
                <w:rFonts w:ascii="Arial" w:cs="Arial" w:eastAsia="Arial" w:hAnsi="Arial"/>
                <w:sz w:val="14"/>
                <w:szCs w:val="14"/>
                <w:b w:val="1"/>
                <w:bCs w:val="1"/>
                <w:color w:val="auto"/>
                <w:w w:val="90"/>
              </w:rPr>
              <w:t>as of June 30, 2015</w:t>
            </w:r>
          </w:p>
        </w:tc>
        <w:tc>
          <w:tcPr>
            <w:tcW w:w="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2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70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09"/>
        </w:trPr>
        <w:tc>
          <w:tcPr>
            <w:tcW w:w="3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Mortgage Loans</w:t>
            </w:r>
          </w:p>
        </w:tc>
        <w:tc>
          <w:tcPr>
            <w:tcW w:w="124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auto"/>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22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660" w:type="dxa"/>
            <w:vAlign w:val="bottom"/>
            <w:gridSpan w:val="3"/>
          </w:tcPr>
          <w:p>
            <w:pPr>
              <w:ind w:left="40"/>
              <w:spacing w:after="0"/>
              <w:rPr>
                <w:sz w:val="20"/>
                <w:szCs w:val="20"/>
                <w:color w:val="auto"/>
              </w:rPr>
            </w:pPr>
            <w:r>
              <w:rPr>
                <w:rFonts w:ascii="Arial" w:cs="Arial" w:eastAsia="Arial" w:hAnsi="Arial"/>
                <w:sz w:val="18"/>
                <w:szCs w:val="18"/>
                <w:i w:val="1"/>
                <w:iCs w:val="1"/>
                <w:color w:val="auto"/>
              </w:rPr>
              <w:t>Secured Fixed Rate</w:t>
            </w:r>
          </w:p>
        </w:tc>
        <w:tc>
          <w:tcPr>
            <w:tcW w:w="12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Barcroft Plaza</w:t>
            </w:r>
          </w:p>
        </w:tc>
        <w:tc>
          <w:tcPr>
            <w:tcW w:w="1240" w:type="dxa"/>
            <w:vAlign w:val="bottom"/>
            <w:tcBorders>
              <w:bottom w:val="single" w:sz="8" w:color="CCEEFF"/>
            </w:tcBorders>
            <w:shd w:val="clear" w:color="auto" w:fill="CCEEFF"/>
          </w:tcPr>
          <w:p>
            <w:pPr>
              <w:jc w:val="center"/>
              <w:ind w:left="356"/>
              <w:spacing w:after="0"/>
              <w:rPr>
                <w:sz w:val="20"/>
                <w:szCs w:val="20"/>
                <w:color w:val="auto"/>
              </w:rPr>
            </w:pPr>
            <w:r>
              <w:rPr>
                <w:rFonts w:ascii="Arial" w:cs="Arial" w:eastAsia="Arial" w:hAnsi="Arial"/>
                <w:sz w:val="18"/>
                <w:szCs w:val="18"/>
                <w:color w:val="auto"/>
                <w:w w:val="91"/>
              </w:rPr>
              <w:t>7/1/2016</w:t>
            </w:r>
          </w:p>
        </w:tc>
        <w:tc>
          <w:tcPr>
            <w:tcW w:w="2540" w:type="dxa"/>
            <w:vAlign w:val="bottom"/>
            <w:tcBorders>
              <w:bottom w:val="single" w:sz="8" w:color="CCEEFF"/>
            </w:tcBorders>
            <w:gridSpan w:val="2"/>
            <w:shd w:val="clear" w:color="auto" w:fill="CCEEFF"/>
          </w:tcPr>
          <w:p>
            <w:pPr>
              <w:ind w:left="1380"/>
              <w:spacing w:after="0"/>
              <w:rPr>
                <w:sz w:val="20"/>
                <w:szCs w:val="20"/>
                <w:color w:val="auto"/>
              </w:rPr>
            </w:pPr>
            <w:r>
              <w:rPr>
                <w:rFonts w:ascii="Arial" w:cs="Arial" w:eastAsia="Arial" w:hAnsi="Arial"/>
                <w:sz w:val="18"/>
                <w:szCs w:val="18"/>
                <w:color w:val="auto"/>
              </w:rPr>
              <w:t>5.99%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20,785</w:t>
            </w:r>
          </w:p>
        </w:tc>
        <w:tc>
          <w:tcPr>
            <w:tcW w:w="2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20" w:type="dxa"/>
            <w:vAlign w:val="bottom"/>
            <w:gridSpan w:val="2"/>
          </w:tcPr>
          <w:p>
            <w:pPr>
              <w:ind w:left="340"/>
              <w:spacing w:after="0"/>
              <w:rPr>
                <w:sz w:val="20"/>
                <w:szCs w:val="20"/>
                <w:color w:val="auto"/>
              </w:rPr>
            </w:pPr>
            <w:r>
              <w:rPr>
                <w:rFonts w:ascii="Arial" w:cs="Arial" w:eastAsia="Arial" w:hAnsi="Arial"/>
                <w:sz w:val="18"/>
                <w:szCs w:val="18"/>
                <w:color w:val="auto"/>
              </w:rPr>
              <w:t>Greenlawn Plaza</w:t>
            </w:r>
          </w:p>
        </w:tc>
        <w:tc>
          <w:tcPr>
            <w:tcW w:w="1240" w:type="dxa"/>
            <w:vAlign w:val="bottom"/>
          </w:tcPr>
          <w:p>
            <w:pPr>
              <w:jc w:val="center"/>
              <w:ind w:left="356"/>
              <w:spacing w:after="0"/>
              <w:rPr>
                <w:sz w:val="20"/>
                <w:szCs w:val="20"/>
                <w:color w:val="auto"/>
              </w:rPr>
            </w:pPr>
            <w:r>
              <w:rPr>
                <w:rFonts w:ascii="Arial" w:cs="Arial" w:eastAsia="Arial" w:hAnsi="Arial"/>
                <w:sz w:val="18"/>
                <w:szCs w:val="18"/>
                <w:color w:val="auto"/>
                <w:w w:val="91"/>
              </w:rPr>
              <w:t>7/1/2016</w:t>
            </w:r>
          </w:p>
        </w:tc>
        <w:tc>
          <w:tcPr>
            <w:tcW w:w="1880" w:type="dxa"/>
            <w:vAlign w:val="bottom"/>
          </w:tcPr>
          <w:p>
            <w:pPr>
              <w:ind w:left="1380"/>
              <w:spacing w:after="0"/>
              <w:rPr>
                <w:sz w:val="20"/>
                <w:szCs w:val="20"/>
                <w:color w:val="auto"/>
              </w:rPr>
            </w:pPr>
            <w:r>
              <w:rPr>
                <w:rFonts w:ascii="Arial" w:cs="Arial" w:eastAsia="Arial" w:hAnsi="Arial"/>
                <w:sz w:val="18"/>
                <w:szCs w:val="18"/>
                <w:color w:val="auto"/>
                <w:w w:val="93"/>
              </w:rPr>
              <w:t>5.90%</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jc w:val="right"/>
              <w:ind w:right="97"/>
              <w:spacing w:after="0"/>
              <w:rPr>
                <w:sz w:val="20"/>
                <w:szCs w:val="20"/>
                <w:color w:val="auto"/>
              </w:rPr>
            </w:pPr>
            <w:r>
              <w:rPr>
                <w:rFonts w:ascii="Arial" w:cs="Arial" w:eastAsia="Arial" w:hAnsi="Arial"/>
                <w:sz w:val="18"/>
                <w:szCs w:val="18"/>
                <w:color w:val="auto"/>
              </w:rPr>
              <w:t>13,600</w:t>
            </w:r>
          </w:p>
        </w:tc>
        <w:tc>
          <w:tcPr>
            <w:tcW w:w="2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24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4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Total Fixed Rate Debt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8"/>
                <w:szCs w:val="18"/>
                <w:color w:val="auto"/>
              </w:rPr>
              <w:t>34,385</w:t>
            </w:r>
          </w:p>
        </w:tc>
        <w:tc>
          <w:tcPr>
            <w:tcW w:w="2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Debt Maturities</w:t>
      </w:r>
    </w:p>
    <w:p>
      <w:pPr>
        <w:spacing w:after="0" w:line="1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Year</w:t>
            </w:r>
          </w:p>
        </w:tc>
        <w:tc>
          <w:tcPr>
            <w:tcW w:w="1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Scheduled Amortization</w:t>
            </w:r>
          </w:p>
        </w:tc>
        <w:tc>
          <w:tcPr>
            <w:tcW w:w="132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Maturities</w:t>
            </w:r>
          </w:p>
        </w:tc>
        <w:tc>
          <w:tcPr>
            <w:tcW w:w="380" w:type="dxa"/>
            <w:vAlign w:val="bottom"/>
          </w:tcPr>
          <w:p>
            <w:pPr>
              <w:spacing w:after="0"/>
              <w:rPr>
                <w:sz w:val="14"/>
                <w:szCs w:val="14"/>
                <w:color w:val="auto"/>
              </w:rPr>
            </w:pPr>
          </w:p>
        </w:tc>
        <w:tc>
          <w:tcPr>
            <w:tcW w:w="11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660" w:type="dxa"/>
            <w:vAlign w:val="bottom"/>
            <w:vMerge w:val="restart"/>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Percent of Debt Maturing</w:t>
            </w:r>
          </w:p>
        </w:tc>
        <w:tc>
          <w:tcPr>
            <w:tcW w:w="46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Arial" w:cs="Arial" w:eastAsia="Arial" w:hAnsi="Arial"/>
                <w:sz w:val="14"/>
                <w:szCs w:val="14"/>
                <w:b w:val="1"/>
                <w:bCs w:val="1"/>
                <w:color w:val="auto"/>
                <w:w w:val="94"/>
              </w:rPr>
              <w:t>Cumulative Percent of Debt</w:t>
            </w:r>
          </w:p>
        </w:tc>
        <w:tc>
          <w:tcPr>
            <w:tcW w:w="0" w:type="dxa"/>
            <w:vAlign w:val="bottom"/>
          </w:tcPr>
          <w:p>
            <w:pPr>
              <w:spacing w:after="0"/>
              <w:rPr>
                <w:sz w:val="1"/>
                <w:szCs w:val="1"/>
                <w:color w:val="auto"/>
              </w:rPr>
            </w:pPr>
          </w:p>
        </w:tc>
      </w:tr>
      <w:tr>
        <w:trPr>
          <w:trHeight w:val="192"/>
        </w:trPr>
        <w:tc>
          <w:tcPr>
            <w:tcW w:w="2000" w:type="dxa"/>
            <w:vAlign w:val="bottom"/>
            <w:tcBorders>
              <w:bottom w:val="single" w:sz="8" w:color="auto"/>
            </w:tcBorders>
            <w:vMerge w:val="continue"/>
          </w:tcPr>
          <w:p>
            <w:pPr>
              <w:spacing w:after="0"/>
              <w:rPr>
                <w:sz w:val="16"/>
                <w:szCs w:val="16"/>
                <w:color w:val="auto"/>
              </w:rPr>
            </w:pPr>
          </w:p>
        </w:tc>
        <w:tc>
          <w:tcPr>
            <w:tcW w:w="1980" w:type="dxa"/>
            <w:vAlign w:val="bottom"/>
            <w:tcBorders>
              <w:bottom w:val="single" w:sz="8" w:color="auto"/>
            </w:tcBorders>
            <w:gridSpan w:val="2"/>
            <w:vMerge w:val="continue"/>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Maturing</w:t>
            </w: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7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00" w:type="dxa"/>
            <w:vAlign w:val="bottom"/>
          </w:tcPr>
          <w:p>
            <w:pPr>
              <w:jc w:val="right"/>
              <w:ind w:right="34"/>
              <w:spacing w:after="0"/>
              <w:rPr>
                <w:sz w:val="20"/>
                <w:szCs w:val="20"/>
                <w:color w:val="auto"/>
              </w:rPr>
            </w:pPr>
            <w:r>
              <w:rPr>
                <w:rFonts w:ascii="Arial" w:cs="Arial" w:eastAsia="Arial" w:hAnsi="Arial"/>
                <w:sz w:val="18"/>
                <w:szCs w:val="18"/>
                <w:color w:val="auto"/>
              </w:rPr>
              <w:t>2016</w:t>
            </w:r>
          </w:p>
        </w:tc>
        <w:tc>
          <w:tcPr>
            <w:tcW w:w="740" w:type="dxa"/>
            <w:vAlign w:val="bottom"/>
          </w:tcPr>
          <w:p>
            <w:pPr>
              <w:spacing w:after="0"/>
              <w:rPr>
                <w:sz w:val="21"/>
                <w:szCs w:val="21"/>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34,385</w:t>
            </w:r>
          </w:p>
        </w:tc>
        <w:tc>
          <w:tcPr>
            <w:tcW w:w="380" w:type="dxa"/>
            <w:vAlign w:val="bottom"/>
          </w:tcPr>
          <w:p>
            <w:pPr>
              <w:spacing w:after="0"/>
              <w:rPr>
                <w:sz w:val="21"/>
                <w:szCs w:val="21"/>
                <w:color w:val="auto"/>
              </w:rPr>
            </w:pP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100.0%</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0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34,385</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34,385</w:t>
            </w:r>
          </w:p>
        </w:tc>
        <w:tc>
          <w:tcPr>
            <w:tcW w:w="6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Notes:</w:t>
      </w:r>
    </w:p>
    <w:p>
      <w:pPr>
        <w:spacing w:after="0" w:line="63" w:lineRule="exact"/>
        <w:rPr>
          <w:sz w:val="20"/>
          <w:szCs w:val="20"/>
          <w:color w:val="auto"/>
        </w:rPr>
      </w:pPr>
    </w:p>
    <w:p>
      <w:pPr>
        <w:ind w:left="620" w:right="220" w:hanging="585"/>
        <w:spacing w:after="0" w:line="277"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2" w:right="239"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Federal Realty Investment Trust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June 30, 2015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3"/>
                <w:szCs w:val="13"/>
                <w:b w:val="1"/>
                <w:bCs w:val="1"/>
                <w:color w:val="auto"/>
              </w:rPr>
              <w:t>Grocery</w:t>
            </w:r>
          </w:p>
        </w:tc>
        <w:tc>
          <w:tcPr>
            <w:tcW w:w="1100" w:type="dxa"/>
            <w:vAlign w:val="bottom"/>
          </w:tcPr>
          <w:p>
            <w:pPr>
              <w:spacing w:after="0"/>
              <w:rPr>
                <w:sz w:val="13"/>
                <w:szCs w:val="13"/>
                <w:color w:val="auto"/>
              </w:rPr>
            </w:pPr>
          </w:p>
        </w:tc>
        <w:tc>
          <w:tcPr>
            <w:tcW w:w="248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Year</w:t>
            </w: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91"/>
              </w:rPr>
              <w:t>Real Estate</w:t>
            </w:r>
          </w:p>
        </w:tc>
        <w:tc>
          <w:tcPr>
            <w:tcW w:w="6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Mortgage</w:t>
            </w:r>
          </w:p>
        </w:tc>
        <w:tc>
          <w:tcPr>
            <w:tcW w:w="660" w:type="dxa"/>
            <w:vAlign w:val="bottom"/>
          </w:tcPr>
          <w:p>
            <w:pPr>
              <w:spacing w:after="0"/>
              <w:rPr>
                <w:sz w:val="11"/>
                <w:szCs w:val="11"/>
                <w:color w:val="auto"/>
              </w:rPr>
            </w:pPr>
          </w:p>
        </w:tc>
        <w:tc>
          <w:tcPr>
            <w:tcW w:w="520" w:type="dxa"/>
            <w:vAlign w:val="bottom"/>
          </w:tcPr>
          <w:p>
            <w:pPr>
              <w:jc w:val="right"/>
              <w:ind w:right="137"/>
              <w:spacing w:after="0" w:line="135"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174"/>
        </w:trPr>
        <w:tc>
          <w:tcPr>
            <w:tcW w:w="1580" w:type="dxa"/>
            <w:vAlign w:val="bottom"/>
            <w:tcBorders>
              <w:bottom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Property Name</w:t>
            </w: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MSA Description</w:t>
            </w: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Acquired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at Cost</w:t>
            </w: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GLA</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Leased</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GLA</w:t>
            </w: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Grocery Anchor</w:t>
            </w:r>
          </w:p>
        </w:tc>
        <w:tc>
          <w:tcPr>
            <w:tcW w:w="24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Principal Tenants</w:t>
            </w: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1"/>
              <w:spacing w:after="0"/>
              <w:rPr>
                <w:sz w:val="20"/>
                <w:szCs w:val="20"/>
                <w:color w:val="auto"/>
              </w:rPr>
            </w:pPr>
            <w:r>
              <w:rPr>
                <w:rFonts w:ascii="Arial" w:cs="Arial" w:eastAsia="Arial" w:hAnsi="Arial"/>
                <w:sz w:val="11"/>
                <w:szCs w:val="11"/>
                <w:color w:val="auto"/>
                <w:w w:val="97"/>
              </w:rPr>
              <w:t>(in</w:t>
            </w: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80" w:type="dxa"/>
            <w:vAlign w:val="bottom"/>
          </w:tcPr>
          <w:p>
            <w:pPr>
              <w:spacing w:after="0"/>
              <w:rPr>
                <w:sz w:val="12"/>
                <w:szCs w:val="12"/>
                <w:color w:val="auto"/>
              </w:rPr>
            </w:pPr>
          </w:p>
        </w:tc>
      </w:tr>
      <w:tr>
        <w:trPr>
          <w:trHeight w:val="136"/>
        </w:trPr>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color w:val="auto"/>
                <w:w w:val="91"/>
              </w:rPr>
              <w:t>(in thousands)</w:t>
            </w: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color w:val="auto"/>
                <w:w w:val="84"/>
              </w:rPr>
              <w:t>thousands)</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80" w:type="dxa"/>
            <w:vAlign w:val="bottom"/>
          </w:tcPr>
          <w:p>
            <w:pPr>
              <w:spacing w:after="0"/>
              <w:rPr>
                <w:sz w:val="11"/>
                <w:szCs w:val="11"/>
                <w:color w:val="auto"/>
              </w:rPr>
            </w:pPr>
          </w:p>
        </w:tc>
      </w:tr>
      <w:tr>
        <w:trPr>
          <w:trHeight w:val="22"/>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gridSpan w:val="4"/>
            <w:shd w:val="clear" w:color="auto" w:fill="CCEEFF"/>
          </w:tcPr>
          <w:p>
            <w:pPr>
              <w:ind w:left="60"/>
              <w:spacing w:after="0"/>
              <w:rPr>
                <w:sz w:val="20"/>
                <w:szCs w:val="20"/>
                <w:color w:val="auto"/>
              </w:rPr>
            </w:pPr>
            <w:r>
              <w:rPr>
                <w:rFonts w:ascii="Arial" w:cs="Arial" w:eastAsia="Arial" w:hAnsi="Arial"/>
                <w:sz w:val="13"/>
                <w:szCs w:val="13"/>
                <w:b w:val="1"/>
                <w:bCs w:val="1"/>
                <w:color w:val="auto"/>
                <w:w w:val="88"/>
              </w:rPr>
              <w:t>Washington Metropolitan Area</w:t>
            </w:r>
          </w:p>
        </w:tc>
        <w:tc>
          <w:tcPr>
            <w:tcW w:w="2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1"/>
                <w:szCs w:val="21"/>
                <w:color w:val="auto"/>
              </w:rPr>
            </w:pPr>
          </w:p>
        </w:tc>
      </w:tr>
      <w:tr>
        <w:trPr>
          <w:trHeight w:val="262"/>
        </w:trPr>
        <w:tc>
          <w:tcPr>
            <w:tcW w:w="1580" w:type="dxa"/>
            <w:vAlign w:val="bottom"/>
            <w:gridSpan w:val="4"/>
          </w:tcPr>
          <w:p>
            <w:pPr>
              <w:ind w:left="40"/>
              <w:spacing w:after="0"/>
              <w:rPr>
                <w:sz w:val="20"/>
                <w:szCs w:val="20"/>
                <w:color w:val="auto"/>
              </w:rPr>
            </w:pPr>
            <w:r>
              <w:rPr>
                <w:rFonts w:ascii="Arial" w:cs="Arial" w:eastAsia="Arial" w:hAnsi="Arial"/>
                <w:sz w:val="13"/>
                <w:szCs w:val="13"/>
                <w:color w:val="auto"/>
              </w:rPr>
              <w:t>Barcroft Plaza</w:t>
            </w: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Pr>
          <w:p>
            <w:pPr>
              <w:jc w:val="right"/>
              <w:spacing w:after="0"/>
              <w:rPr>
                <w:sz w:val="20"/>
                <w:szCs w:val="20"/>
                <w:color w:val="auto"/>
              </w:rPr>
            </w:pPr>
            <w:r>
              <w:rPr>
                <w:rFonts w:ascii="Arial" w:cs="Arial" w:eastAsia="Arial" w:hAnsi="Arial"/>
                <w:sz w:val="13"/>
                <w:szCs w:val="13"/>
                <w:color w:val="auto"/>
              </w:rPr>
              <w:t>2006-2007</w:t>
            </w:r>
          </w:p>
        </w:tc>
        <w:tc>
          <w:tcPr>
            <w:tcW w:w="120" w:type="dxa"/>
            <w:vAlign w:val="bottom"/>
          </w:tcPr>
          <w:p>
            <w:pPr>
              <w:ind w:left="4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34,983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41"/>
              <w:spacing w:after="0"/>
              <w:rPr>
                <w:sz w:val="20"/>
                <w:szCs w:val="20"/>
                <w:color w:val="auto"/>
              </w:rPr>
            </w:pPr>
            <w:r>
              <w:rPr>
                <w:rFonts w:ascii="Arial" w:cs="Arial" w:eastAsia="Arial" w:hAnsi="Arial"/>
                <w:sz w:val="13"/>
                <w:szCs w:val="13"/>
                <w:color w:val="auto"/>
              </w:rPr>
              <w:t>20,785</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100,000</w:t>
            </w:r>
          </w:p>
        </w:tc>
        <w:tc>
          <w:tcPr>
            <w:tcW w:w="520" w:type="dxa"/>
            <w:vAlign w:val="bottom"/>
          </w:tcPr>
          <w:p>
            <w:pPr>
              <w:jc w:val="right"/>
              <w:spacing w:after="0"/>
              <w:rPr>
                <w:sz w:val="20"/>
                <w:szCs w:val="20"/>
                <w:color w:val="auto"/>
              </w:rPr>
            </w:pPr>
            <w:r>
              <w:rPr>
                <w:rFonts w:ascii="Arial" w:cs="Arial" w:eastAsia="Arial" w:hAnsi="Arial"/>
                <w:sz w:val="13"/>
                <w:szCs w:val="13"/>
                <w:color w:val="auto"/>
              </w:rPr>
              <w:t>81%</w:t>
            </w:r>
          </w:p>
        </w:tc>
        <w:tc>
          <w:tcPr>
            <w:tcW w:w="600" w:type="dxa"/>
            <w:vAlign w:val="bottom"/>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tcPr>
          <w:p>
            <w:pPr>
              <w:ind w:left="80"/>
              <w:spacing w:after="0"/>
              <w:rPr>
                <w:sz w:val="20"/>
                <w:szCs w:val="20"/>
                <w:color w:val="auto"/>
              </w:rPr>
            </w:pPr>
            <w:r>
              <w:rPr>
                <w:rFonts w:ascii="Arial" w:cs="Arial" w:eastAsia="Arial" w:hAnsi="Arial"/>
                <w:sz w:val="13"/>
                <w:szCs w:val="13"/>
                <w:color w:val="auto"/>
              </w:rPr>
              <w:t>Harris Teeter</w:t>
            </w:r>
          </w:p>
        </w:tc>
        <w:tc>
          <w:tcPr>
            <w:tcW w:w="2480" w:type="dxa"/>
            <w:vAlign w:val="bottom"/>
          </w:tcPr>
          <w:p>
            <w:pPr>
              <w:ind w:left="120"/>
              <w:spacing w:after="0"/>
              <w:rPr>
                <w:sz w:val="20"/>
                <w:szCs w:val="20"/>
                <w:color w:val="auto"/>
              </w:rPr>
            </w:pPr>
            <w:r>
              <w:rPr>
                <w:rFonts w:ascii="Arial" w:cs="Arial" w:eastAsia="Arial" w:hAnsi="Arial"/>
                <w:sz w:val="13"/>
                <w:szCs w:val="13"/>
                <w:color w:val="auto"/>
              </w:rPr>
              <w:t>Bank of America</w:t>
            </w: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w w:val="93"/>
              </w:rPr>
              <w:t>Free State Shopping Center</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67,089</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73,000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Giant Food</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TJ Maxx / Ross Dress For Less / Office</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Depot</w:t>
            </w:r>
          </w:p>
        </w:tc>
      </w:tr>
      <w:tr>
        <w:trPr>
          <w:trHeight w:val="264"/>
        </w:trPr>
        <w:tc>
          <w:tcPr>
            <w:tcW w:w="1580" w:type="dxa"/>
            <w:vAlign w:val="bottom"/>
            <w:tcBorders>
              <w:bottom w:val="single" w:sz="8" w:color="CCEEFF"/>
            </w:tcBorders>
            <w:gridSpan w:val="4"/>
          </w:tcPr>
          <w:p>
            <w:pPr>
              <w:ind w:left="40"/>
              <w:spacing w:after="0"/>
              <w:rPr>
                <w:sz w:val="20"/>
                <w:szCs w:val="20"/>
                <w:color w:val="auto"/>
              </w:rPr>
            </w:pPr>
            <w:r>
              <w:rPr>
                <w:rFonts w:ascii="Arial" w:cs="Arial" w:eastAsia="Arial" w:hAnsi="Arial"/>
                <w:sz w:val="13"/>
                <w:szCs w:val="13"/>
                <w:color w:val="auto"/>
              </w:rPr>
              <w:t>Plaza del Mercado</w:t>
            </w:r>
          </w:p>
        </w:tc>
        <w:tc>
          <w:tcPr>
            <w:tcW w:w="2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3"/>
                <w:szCs w:val="13"/>
                <w:color w:val="auto"/>
              </w:rPr>
              <w:t>Washington, DC-MD-VA</w:t>
            </w:r>
          </w:p>
        </w:tc>
        <w:tc>
          <w:tcPr>
            <w:tcW w:w="800" w:type="dxa"/>
            <w:vAlign w:val="bottom"/>
            <w:tcBorders>
              <w:bottom w:val="single" w:sz="8" w:color="CCEEFF"/>
            </w:tcBorders>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22,058</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96,000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w:t>
            </w:r>
          </w:p>
        </w:tc>
        <w:tc>
          <w:tcPr>
            <w:tcW w:w="6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24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CVS</w:t>
            </w: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w w:val="94"/>
              </w:rPr>
              <w:t>Total Washington Metropolitan Area</w:t>
            </w: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93"/>
              </w:rPr>
              <w:t>124,130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475,000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w:t>
            </w:r>
          </w:p>
        </w:tc>
        <w:tc>
          <w:tcPr>
            <w:tcW w:w="6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480" w:type="dxa"/>
            <w:vAlign w:val="bottom"/>
            <w:shd w:val="clear" w:color="auto" w:fill="CCEEFF"/>
          </w:tcPr>
          <w:p>
            <w:pPr>
              <w:spacing w:after="0"/>
              <w:rPr>
                <w:sz w:val="22"/>
                <w:szCs w:val="22"/>
                <w:color w:val="auto"/>
              </w:rPr>
            </w:pPr>
          </w:p>
        </w:tc>
      </w:tr>
      <w:tr>
        <w:trPr>
          <w:trHeight w:val="230"/>
        </w:trPr>
        <w:tc>
          <w:tcPr>
            <w:tcW w:w="40" w:type="dxa"/>
            <w:vAlign w:val="bottom"/>
          </w:tcPr>
          <w:p>
            <w:pPr>
              <w:spacing w:after="0"/>
              <w:rPr>
                <w:sz w:val="19"/>
                <w:szCs w:val="19"/>
                <w:color w:val="auto"/>
              </w:rPr>
            </w:pPr>
          </w:p>
        </w:tc>
        <w:tc>
          <w:tcPr>
            <w:tcW w:w="1540" w:type="dxa"/>
            <w:vAlign w:val="bottom"/>
            <w:gridSpan w:val="3"/>
          </w:tcPr>
          <w:p>
            <w:pPr>
              <w:ind w:left="60"/>
              <w:spacing w:after="0"/>
              <w:rPr>
                <w:sz w:val="20"/>
                <w:szCs w:val="20"/>
                <w:color w:val="auto"/>
              </w:rPr>
            </w:pPr>
            <w:r>
              <w:rPr>
                <w:rFonts w:ascii="Arial" w:cs="Arial" w:eastAsia="Arial" w:hAnsi="Arial"/>
                <w:sz w:val="13"/>
                <w:szCs w:val="13"/>
                <w:b w:val="1"/>
                <w:bCs w:val="1"/>
                <w:color w:val="auto"/>
              </w:rPr>
              <w:t>New York / New Jersey</w:t>
            </w:r>
          </w:p>
        </w:tc>
        <w:tc>
          <w:tcPr>
            <w:tcW w:w="20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70"/>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Greenlawn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Nassau-Suffolk, NY</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2006</w:t>
            </w:r>
          </w:p>
        </w:tc>
        <w:tc>
          <w:tcPr>
            <w:tcW w:w="12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20,810</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1"/>
              <w:spacing w:after="0"/>
              <w:rPr>
                <w:sz w:val="20"/>
                <w:szCs w:val="20"/>
                <w:color w:val="auto"/>
              </w:rPr>
            </w:pPr>
            <w:r>
              <w:rPr>
                <w:rFonts w:ascii="Arial" w:cs="Arial" w:eastAsia="Arial" w:hAnsi="Arial"/>
                <w:sz w:val="13"/>
                <w:szCs w:val="13"/>
                <w:color w:val="auto"/>
              </w:rPr>
              <w:t>13,600</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Waldbaum's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Tuesday Morning</w:t>
            </w:r>
          </w:p>
        </w:tc>
      </w:tr>
      <w:tr>
        <w:trPr>
          <w:trHeight w:val="242"/>
        </w:trPr>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 New York / New Jersey</w:t>
            </w: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20,810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106,000</w:t>
            </w:r>
          </w:p>
        </w:tc>
        <w:tc>
          <w:tcPr>
            <w:tcW w:w="520" w:type="dxa"/>
            <w:vAlign w:val="bottom"/>
          </w:tcPr>
          <w:p>
            <w:pPr>
              <w:jc w:val="right"/>
              <w:spacing w:after="0"/>
              <w:rPr>
                <w:sz w:val="20"/>
                <w:szCs w:val="20"/>
                <w:color w:val="auto"/>
              </w:rPr>
            </w:pPr>
            <w:r>
              <w:rPr>
                <w:rFonts w:ascii="Arial" w:cs="Arial" w:eastAsia="Arial" w:hAnsi="Arial"/>
                <w:sz w:val="13"/>
                <w:szCs w:val="13"/>
                <w:color w:val="auto"/>
              </w:rPr>
              <w:t>95%</w:t>
            </w:r>
          </w:p>
        </w:tc>
        <w:tc>
          <w:tcPr>
            <w:tcW w:w="6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80" w:type="dxa"/>
            <w:vAlign w:val="bottom"/>
          </w:tcPr>
          <w:p>
            <w:pPr>
              <w:spacing w:after="0"/>
              <w:rPr>
                <w:sz w:val="21"/>
                <w:szCs w:val="21"/>
                <w:color w:val="auto"/>
              </w:rPr>
            </w:pPr>
          </w:p>
        </w:tc>
      </w:tr>
      <w:tr>
        <w:trPr>
          <w:trHeight w:val="258"/>
        </w:trPr>
        <w:tc>
          <w:tcPr>
            <w:tcW w:w="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New England</w:t>
            </w:r>
          </w:p>
        </w:tc>
        <w:tc>
          <w:tcPr>
            <w:tcW w:w="78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2480" w:type="dxa"/>
            <w:vAlign w:val="bottom"/>
            <w:tcBorders>
              <w:bottom w:val="single" w:sz="8" w:color="CCEEFF"/>
            </w:tcBorders>
            <w:shd w:val="clear" w:color="auto" w:fill="CCEEFF"/>
          </w:tcPr>
          <w:p>
            <w:pPr>
              <w:spacing w:after="0"/>
              <w:rPr>
                <w:sz w:val="22"/>
                <w:szCs w:val="22"/>
                <w:color w:val="auto"/>
              </w:rPr>
            </w:pPr>
          </w:p>
        </w:tc>
      </w:tr>
      <w:tr>
        <w:trPr>
          <w:trHeight w:val="148"/>
        </w:trPr>
        <w:tc>
          <w:tcPr>
            <w:tcW w:w="1580" w:type="dxa"/>
            <w:vAlign w:val="bottom"/>
            <w:gridSpan w:val="4"/>
          </w:tcPr>
          <w:p>
            <w:pPr>
              <w:ind w:left="40"/>
              <w:spacing w:after="0" w:line="148" w:lineRule="exact"/>
              <w:rPr>
                <w:sz w:val="20"/>
                <w:szCs w:val="20"/>
                <w:color w:val="auto"/>
              </w:rPr>
            </w:pPr>
            <w:r>
              <w:rPr>
                <w:rFonts w:ascii="Arial" w:cs="Arial" w:eastAsia="Arial" w:hAnsi="Arial"/>
                <w:sz w:val="13"/>
                <w:szCs w:val="13"/>
                <w:color w:val="auto"/>
              </w:rPr>
              <w:t>Atlantic Plaza</w:t>
            </w:r>
          </w:p>
        </w:tc>
        <w:tc>
          <w:tcPr>
            <w:tcW w:w="2320" w:type="dxa"/>
            <w:vAlign w:val="bottom"/>
            <w:gridSpan w:val="2"/>
          </w:tcPr>
          <w:p>
            <w:pPr>
              <w:ind w:left="180"/>
              <w:spacing w:after="0" w:line="148" w:lineRule="exact"/>
              <w:rPr>
                <w:sz w:val="20"/>
                <w:szCs w:val="20"/>
                <w:color w:val="auto"/>
              </w:rPr>
            </w:pPr>
            <w:r>
              <w:rPr>
                <w:rFonts w:ascii="Arial" w:cs="Arial" w:eastAsia="Arial" w:hAnsi="Arial"/>
                <w:sz w:val="13"/>
                <w:szCs w:val="13"/>
                <w:color w:val="auto"/>
              </w:rPr>
              <w:t>Boston-Worcester-Lawrence-Lowell-</w:t>
            </w:r>
          </w:p>
        </w:tc>
        <w:tc>
          <w:tcPr>
            <w:tcW w:w="800" w:type="dxa"/>
            <w:vAlign w:val="bottom"/>
          </w:tcPr>
          <w:p>
            <w:pPr>
              <w:jc w:val="right"/>
              <w:ind w:right="337"/>
              <w:spacing w:after="0" w:line="148" w:lineRule="exact"/>
              <w:rPr>
                <w:sz w:val="20"/>
                <w:szCs w:val="20"/>
                <w:color w:val="auto"/>
              </w:rPr>
            </w:pPr>
            <w:r>
              <w:rPr>
                <w:rFonts w:ascii="Arial" w:cs="Arial" w:eastAsia="Arial" w:hAnsi="Arial"/>
                <w:sz w:val="13"/>
                <w:szCs w:val="13"/>
                <w:color w:val="auto"/>
              </w:rPr>
              <w:t>2004</w:t>
            </w:r>
          </w:p>
        </w:tc>
        <w:tc>
          <w:tcPr>
            <w:tcW w:w="120" w:type="dxa"/>
            <w:vAlign w:val="bottom"/>
          </w:tcPr>
          <w:p>
            <w:pPr>
              <w:spacing w:after="0"/>
              <w:rPr>
                <w:sz w:val="12"/>
                <w:szCs w:val="12"/>
                <w:color w:val="auto"/>
              </w:rPr>
            </w:pPr>
          </w:p>
        </w:tc>
        <w:tc>
          <w:tcPr>
            <w:tcW w:w="580" w:type="dxa"/>
            <w:vAlign w:val="bottom"/>
          </w:tcPr>
          <w:p>
            <w:pPr>
              <w:jc w:val="right"/>
              <w:ind w:right="57"/>
              <w:spacing w:after="0" w:line="148" w:lineRule="exact"/>
              <w:rPr>
                <w:sz w:val="20"/>
                <w:szCs w:val="20"/>
                <w:color w:val="auto"/>
              </w:rPr>
            </w:pPr>
            <w:r>
              <w:rPr>
                <w:rFonts w:ascii="Arial" w:cs="Arial" w:eastAsia="Arial" w:hAnsi="Arial"/>
                <w:sz w:val="13"/>
                <w:szCs w:val="13"/>
                <w:color w:val="auto"/>
              </w:rPr>
              <w:t>20,206</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jc w:val="right"/>
              <w:ind w:right="37"/>
              <w:spacing w:after="0" w:line="148" w:lineRule="exact"/>
              <w:rPr>
                <w:sz w:val="20"/>
                <w:szCs w:val="20"/>
                <w:color w:val="auto"/>
              </w:rPr>
            </w:pPr>
            <w:r>
              <w:rPr>
                <w:rFonts w:ascii="Arial" w:cs="Arial" w:eastAsia="Arial" w:hAnsi="Arial"/>
                <w:sz w:val="13"/>
                <w:szCs w:val="13"/>
                <w:color w:val="auto"/>
              </w:rPr>
              <w:t>123,000</w:t>
            </w:r>
          </w:p>
        </w:tc>
        <w:tc>
          <w:tcPr>
            <w:tcW w:w="520" w:type="dxa"/>
            <w:vAlign w:val="bottom"/>
          </w:tcPr>
          <w:p>
            <w:pPr>
              <w:jc w:val="right"/>
              <w:spacing w:after="0" w:line="148" w:lineRule="exact"/>
              <w:rPr>
                <w:sz w:val="20"/>
                <w:szCs w:val="20"/>
                <w:color w:val="auto"/>
              </w:rPr>
            </w:pPr>
            <w:r>
              <w:rPr>
                <w:rFonts w:ascii="Arial" w:cs="Arial" w:eastAsia="Arial" w:hAnsi="Arial"/>
                <w:sz w:val="13"/>
                <w:szCs w:val="13"/>
                <w:color w:val="auto"/>
              </w:rPr>
              <w:t>90%</w:t>
            </w:r>
          </w:p>
        </w:tc>
        <w:tc>
          <w:tcPr>
            <w:tcW w:w="600" w:type="dxa"/>
            <w:vAlign w:val="bottom"/>
          </w:tcPr>
          <w:p>
            <w:pPr>
              <w:jc w:val="center"/>
              <w:spacing w:after="0" w:line="148" w:lineRule="exact"/>
              <w:rPr>
                <w:sz w:val="20"/>
                <w:szCs w:val="20"/>
                <w:color w:val="auto"/>
              </w:rPr>
            </w:pPr>
            <w:r>
              <w:rPr>
                <w:rFonts w:ascii="Arial" w:cs="Arial" w:eastAsia="Arial" w:hAnsi="Arial"/>
                <w:sz w:val="13"/>
                <w:szCs w:val="13"/>
                <w:color w:val="auto"/>
                <w:w w:val="85"/>
              </w:rPr>
              <w:t>64,000</w:t>
            </w:r>
          </w:p>
        </w:tc>
        <w:tc>
          <w:tcPr>
            <w:tcW w:w="1100" w:type="dxa"/>
            <w:vAlign w:val="bottom"/>
          </w:tcPr>
          <w:p>
            <w:pPr>
              <w:ind w:left="80"/>
              <w:spacing w:after="0" w:line="148" w:lineRule="exact"/>
              <w:rPr>
                <w:sz w:val="20"/>
                <w:szCs w:val="20"/>
                <w:color w:val="auto"/>
              </w:rPr>
            </w:pPr>
            <w:r>
              <w:rPr>
                <w:rFonts w:ascii="Arial" w:cs="Arial" w:eastAsia="Arial" w:hAnsi="Arial"/>
                <w:sz w:val="13"/>
                <w:szCs w:val="13"/>
                <w:color w:val="auto"/>
              </w:rPr>
              <w:t>Stop &amp; Shop</w:t>
            </w:r>
          </w:p>
        </w:tc>
        <w:tc>
          <w:tcPr>
            <w:tcW w:w="2480" w:type="dxa"/>
            <w:vAlign w:val="bottom"/>
          </w:tcPr>
          <w:p>
            <w:pPr>
              <w:spacing w:after="0"/>
              <w:rPr>
                <w:sz w:val="12"/>
                <w:szCs w:val="12"/>
                <w:color w:val="auto"/>
              </w:rPr>
            </w:pPr>
          </w:p>
        </w:tc>
      </w:tr>
      <w:tr>
        <w:trPr>
          <w:trHeight w:val="168"/>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2"/>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80" w:type="dxa"/>
            <w:vAlign w:val="bottom"/>
          </w:tcPr>
          <w:p>
            <w:pPr>
              <w:spacing w:after="0"/>
              <w:rPr>
                <w:sz w:val="14"/>
                <w:szCs w:val="14"/>
                <w:color w:val="auto"/>
              </w:rPr>
            </w:pPr>
          </w:p>
        </w:tc>
      </w:tr>
      <w:tr>
        <w:trPr>
          <w:trHeight w:val="156"/>
        </w:trPr>
        <w:tc>
          <w:tcPr>
            <w:tcW w:w="158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Campus Plaza</w:t>
            </w: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Boston-Worcester-Lawrence-Lowell-</w:t>
            </w:r>
          </w:p>
        </w:tc>
        <w:tc>
          <w:tcPr>
            <w:tcW w:w="800" w:type="dxa"/>
            <w:vAlign w:val="bottom"/>
            <w:shd w:val="clear" w:color="auto" w:fill="CCEEFF"/>
          </w:tcPr>
          <w:p>
            <w:pPr>
              <w:jc w:val="right"/>
              <w:ind w:right="337"/>
              <w:spacing w:after="0"/>
              <w:rPr>
                <w:sz w:val="20"/>
                <w:szCs w:val="20"/>
                <w:color w:val="auto"/>
              </w:rPr>
            </w:pPr>
            <w:r>
              <w:rPr>
                <w:rFonts w:ascii="Arial" w:cs="Arial" w:eastAsia="Arial" w:hAnsi="Arial"/>
                <w:sz w:val="13"/>
                <w:szCs w:val="13"/>
                <w:color w:val="auto"/>
              </w:rPr>
              <w:t>2004</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23,033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116,000</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6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5"/>
              </w:rPr>
              <w:t>46,000</w:t>
            </w:r>
          </w:p>
        </w:tc>
        <w:tc>
          <w:tcPr>
            <w:tcW w:w="1100" w:type="dxa"/>
            <w:vAlign w:val="bottom"/>
            <w:shd w:val="clear" w:color="auto" w:fill="CCEEFF"/>
          </w:tcPr>
          <w:p>
            <w:pPr>
              <w:ind w:left="80"/>
              <w:spacing w:after="0"/>
              <w:rPr>
                <w:sz w:val="20"/>
                <w:szCs w:val="20"/>
                <w:color w:val="auto"/>
              </w:rPr>
            </w:pPr>
            <w:r>
              <w:rPr>
                <w:rFonts w:ascii="Arial" w:cs="Arial" w:eastAsia="Arial" w:hAnsi="Arial"/>
                <w:sz w:val="13"/>
                <w:szCs w:val="13"/>
                <w:color w:val="auto"/>
              </w:rPr>
              <w:t>Roche Bros.</w:t>
            </w:r>
          </w:p>
        </w:tc>
        <w:tc>
          <w:tcPr>
            <w:tcW w:w="24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Burlington Coat Factory</w:t>
            </w:r>
          </w:p>
        </w:tc>
      </w:tr>
      <w:tr>
        <w:trPr>
          <w:trHeight w:val="176"/>
        </w:trPr>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Brockton, MA</w:t>
            </w:r>
          </w:p>
        </w:tc>
        <w:tc>
          <w:tcPr>
            <w:tcW w:w="8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r>
      <w:tr>
        <w:trPr>
          <w:trHeight w:val="244"/>
        </w:trPr>
        <w:tc>
          <w:tcPr>
            <w:tcW w:w="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 New England</w:t>
            </w:r>
          </w:p>
        </w:tc>
        <w:tc>
          <w:tcPr>
            <w:tcW w:w="8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43,239</w:t>
            </w: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239,000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w:t>
            </w:r>
          </w:p>
        </w:tc>
        <w:tc>
          <w:tcPr>
            <w:tcW w:w="6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r>
      <w:tr>
        <w:trPr>
          <w:trHeight w:val="264"/>
        </w:trPr>
        <w:tc>
          <w:tcPr>
            <w:tcW w:w="1580" w:type="dxa"/>
            <w:vAlign w:val="bottom"/>
            <w:tcBorders>
              <w:bottom w:val="single" w:sz="8" w:color="auto"/>
            </w:tcBorders>
            <w:gridSpan w:val="4"/>
            <w:shd w:val="clear" w:color="auto" w:fill="CCEEFF"/>
          </w:tcPr>
          <w:p>
            <w:pPr>
              <w:ind w:left="40"/>
              <w:spacing w:after="0"/>
              <w:rPr>
                <w:sz w:val="20"/>
                <w:szCs w:val="20"/>
                <w:color w:val="auto"/>
              </w:rPr>
            </w:pPr>
            <w:r>
              <w:rPr>
                <w:rFonts w:ascii="Arial" w:cs="Arial" w:eastAsia="Arial" w:hAnsi="Arial"/>
                <w:sz w:val="13"/>
                <w:szCs w:val="13"/>
                <w:b w:val="1"/>
                <w:bCs w:val="1"/>
                <w:color w:val="auto"/>
              </w:rPr>
              <w:t>Grand Totals</w:t>
            </w:r>
          </w:p>
        </w:tc>
        <w:tc>
          <w:tcPr>
            <w:tcW w:w="20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93"/>
              </w:rPr>
              <w:t>188,179</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3"/>
                <w:szCs w:val="13"/>
                <w:b w:val="1"/>
                <w:bCs w:val="1"/>
                <w:color w:val="auto"/>
              </w:rPr>
              <w:t>34,385</w:t>
            </w: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820,000</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93%</w:t>
            </w:r>
          </w:p>
        </w:tc>
        <w:tc>
          <w:tcPr>
            <w:tcW w:w="60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95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Glossary of Terms</w:t>
      </w:r>
    </w:p>
    <w:p>
      <w:pPr>
        <w:spacing w:after="0" w:line="225"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plus depreciation and amortization, net interest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to EBITDA and Adjusted EBITDA for the three and six months ended June 30, 2015 and 2014 is as follows: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40" w:type="dxa"/>
            <w:vAlign w:val="bottom"/>
            <w:gridSpan w:val="5"/>
          </w:tcPr>
          <w:p>
            <w:pPr>
              <w:ind w:left="46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24"/>
                <w:szCs w:val="24"/>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9"/>
              </w:rPr>
              <w:t>2014</w:t>
            </w:r>
          </w:p>
        </w:tc>
      </w:tr>
      <w:tr>
        <w:trPr>
          <w:trHeight w:val="250"/>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45,416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93,876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85,961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42,671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40,893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84,655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84,743</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23,445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23,213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47,613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46,350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19,072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interest income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EBITDA</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130,787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109,504</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245,113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217,011</w:t>
            </w: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 of real estate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57"/>
        </w:trPr>
        <w:tc>
          <w:tcPr>
            <w:tcW w:w="5620" w:type="dxa"/>
            <w:vAlign w:val="bottom"/>
          </w:tcPr>
          <w:p>
            <w:pPr>
              <w:ind w:left="380"/>
              <w:spacing w:after="0"/>
              <w:rPr>
                <w:sz w:val="20"/>
                <w:szCs w:val="20"/>
                <w:color w:val="auto"/>
              </w:rPr>
            </w:pPr>
            <w:r>
              <w:rPr>
                <w:rFonts w:ascii="Arial" w:cs="Arial" w:eastAsia="Arial" w:hAnsi="Arial"/>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119,278</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109,504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233,604</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217,011</w:t>
            </w: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b w:val="1"/>
          <w:bCs w:val="1"/>
          <w:color w:val="auto"/>
        </w:rPr>
        <w:t xml:space="preserve">Funds From Operations (FFO): </w:t>
      </w:r>
      <w:r>
        <w:rPr>
          <w:rFonts w:ascii="Arial" w:cs="Arial" w:eastAsia="Arial" w:hAnsi="Arial"/>
          <w:sz w:val="17"/>
          <w:szCs w:val="17"/>
          <w:color w:val="auto"/>
        </w:rPr>
        <w:t>FFO is a supplemental measure of real estate companies' operating performances. The National Association of Real Estate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Trusts (“NAREIT”) defines FFO as follows: net income, computed in accordance with GAAP plus real estate related depreciation and amortization and excluding extraordinary items,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FFO, we have also included FFO excluding the "early extinguishment of debt" charge which relates to the early redemption of our 6.20% senior notes in 2015. We believe the unusual nature of this charge, being a make-whole payment on the remaining principal and interest on the redeemed notes, is worthy of separate evaluation and consequently have provided both relevant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76"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b w:val="1"/>
          <w:bCs w:val="1"/>
          <w:color w:val="auto"/>
        </w:rPr>
        <w:t xml:space="preserve">Tenant Improvements and Incentives: </w:t>
      </w:r>
      <w:r>
        <w:rPr>
          <w:rFonts w:ascii="Arial" w:cs="Arial" w:eastAsia="Arial" w:hAnsi="Arial"/>
          <w:sz w:val="17"/>
          <w:szCs w:val="17"/>
          <w:color w:val="auto"/>
        </w:rPr>
        <w:t>Represents not only the total dollars committed for the improvement (fit-out) of a space as it relates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lease and, except for redevelopments,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2019-12-29T16:22:49Z</dcterms:created>
  <dcterms:modified xsi:type="dcterms:W3CDTF">2019-12-29T16:22:49Z</dcterms:modified>
</cp:coreProperties>
</file>