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193675</wp:posOffset>
            </wp:positionV>
            <wp:extent cx="1547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211455</wp:posOffset>
            </wp:positionV>
            <wp:extent cx="1547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1160" w:hanging="194"/>
        <w:spacing w:after="0"/>
        <w:tabs>
          <w:tab w:leader="none" w:pos="11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the Section 13 or 15(d) of the Securities Exchange Act of 1934 For the fiscal year ended December 31, 2006</w:t>
      </w:r>
    </w:p>
    <w:p>
      <w:pPr>
        <w:spacing w:after="0" w:line="30" w:lineRule="exact"/>
        <w:rPr>
          <w:rFonts w:ascii="MS PGothic" w:cs="MS PGothic" w:eastAsia="MS PGothic" w:hAnsi="MS PGothic"/>
          <w:sz w:val="17"/>
          <w:szCs w:val="17"/>
          <w:color w:val="auto"/>
        </w:rPr>
      </w:pPr>
    </w:p>
    <w:p>
      <w:pPr>
        <w:ind w:left="5620"/>
        <w:spacing w:after="0"/>
        <w:rPr>
          <w:rFonts w:ascii="MS PGothic" w:cs="MS PGothic" w:eastAsia="MS PGothic" w:hAnsi="MS PGothic"/>
          <w:sz w:val="17"/>
          <w:szCs w:val="17"/>
          <w:color w:val="auto"/>
        </w:rPr>
      </w:pPr>
      <w:r>
        <w:rPr>
          <w:rFonts w:ascii="Arial" w:cs="Arial" w:eastAsia="Arial" w:hAnsi="Arial"/>
          <w:sz w:val="17"/>
          <w:szCs w:val="17"/>
          <w:color w:val="auto"/>
        </w:rPr>
        <w:t>Or</w:t>
      </w:r>
    </w:p>
    <w:p>
      <w:pPr>
        <w:spacing w:after="0" w:line="8" w:lineRule="exact"/>
        <w:rPr>
          <w:sz w:val="24"/>
          <w:szCs w:val="24"/>
          <w:color w:val="auto"/>
        </w:rPr>
      </w:pPr>
    </w:p>
    <w:p>
      <w:pPr>
        <w:ind w:left="880"/>
        <w:spacing w:after="0" w:line="196" w:lineRule="exact"/>
        <w:tabs>
          <w:tab w:leader="none" w:pos="984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Transition report pursuant to Section 13 or 15(d) of the Securities Exchange Act of 1934 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5906770</wp:posOffset>
            </wp:positionH>
            <wp:positionV relativeFrom="paragraph">
              <wp:posOffset>-12065</wp:posOffset>
            </wp:positionV>
            <wp:extent cx="795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1-07533</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FEDERAL REALTY INVESTMENT TRUST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Declaration of Trust)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6620" w:type="dxa"/>
            <w:vAlign w:val="bottom"/>
            <w:gridSpan w:val="3"/>
          </w:tcPr>
          <w:p>
            <w:pPr>
              <w:jc w:val="center"/>
              <w:ind w:right="1000"/>
              <w:spacing w:after="0"/>
              <w:rPr>
                <w:sz w:val="20"/>
                <w:szCs w:val="20"/>
                <w:color w:val="auto"/>
              </w:rPr>
            </w:pPr>
            <w:r>
              <w:rPr>
                <w:rFonts w:ascii="Arial" w:cs="Arial" w:eastAsia="Arial" w:hAnsi="Arial"/>
                <w:sz w:val="17"/>
                <w:szCs w:val="17"/>
                <w:color w:val="auto"/>
                <w:w w:val="94"/>
              </w:rPr>
              <w:t>Maryland</w:t>
            </w:r>
          </w:p>
        </w:tc>
        <w:tc>
          <w:tcPr>
            <w:tcW w:w="4800" w:type="dxa"/>
            <w:vAlign w:val="bottom"/>
            <w:gridSpan w:val="2"/>
          </w:tcPr>
          <w:p>
            <w:pPr>
              <w:jc w:val="right"/>
              <w:ind w:right="2174"/>
              <w:spacing w:after="0"/>
              <w:rPr>
                <w:sz w:val="20"/>
                <w:szCs w:val="20"/>
                <w:color w:val="auto"/>
              </w:rPr>
            </w:pPr>
            <w:r>
              <w:rPr>
                <w:rFonts w:ascii="Arial" w:cs="Arial" w:eastAsia="Arial" w:hAnsi="Arial"/>
                <w:sz w:val="17"/>
                <w:szCs w:val="17"/>
                <w:color w:val="auto"/>
              </w:rPr>
              <w:t>52-0782497</w:t>
            </w:r>
          </w:p>
        </w:tc>
      </w:tr>
      <w:tr>
        <w:trPr>
          <w:trHeight w:val="170"/>
        </w:trPr>
        <w:tc>
          <w:tcPr>
            <w:tcW w:w="662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93"/>
              </w:rPr>
              <w:t>(State of Organization)</w:t>
            </w:r>
          </w:p>
        </w:tc>
        <w:tc>
          <w:tcPr>
            <w:tcW w:w="4800" w:type="dxa"/>
            <w:vAlign w:val="bottom"/>
            <w:gridSpan w:val="2"/>
          </w:tcPr>
          <w:p>
            <w:pPr>
              <w:jc w:val="center"/>
              <w:ind w:right="474"/>
              <w:spacing w:after="0"/>
              <w:rPr>
                <w:sz w:val="20"/>
                <w:szCs w:val="20"/>
                <w:color w:val="auto"/>
              </w:rPr>
            </w:pPr>
            <w:r>
              <w:rPr>
                <w:rFonts w:ascii="Arial" w:cs="Arial" w:eastAsia="Arial" w:hAnsi="Arial"/>
                <w:sz w:val="13"/>
                <w:szCs w:val="13"/>
                <w:b w:val="1"/>
                <w:bCs w:val="1"/>
                <w:color w:val="auto"/>
                <w:w w:val="94"/>
              </w:rPr>
              <w:t>(IRS Employer Identification No.)</w:t>
            </w:r>
          </w:p>
        </w:tc>
      </w:tr>
      <w:tr>
        <w:trPr>
          <w:trHeight w:val="399"/>
        </w:trPr>
        <w:tc>
          <w:tcPr>
            <w:tcW w:w="6620" w:type="dxa"/>
            <w:vAlign w:val="bottom"/>
            <w:gridSpan w:val="3"/>
          </w:tcPr>
          <w:p>
            <w:pPr>
              <w:jc w:val="center"/>
              <w:ind w:right="1000"/>
              <w:spacing w:after="0"/>
              <w:rPr>
                <w:sz w:val="20"/>
                <w:szCs w:val="20"/>
                <w:color w:val="auto"/>
              </w:rPr>
            </w:pPr>
            <w:r>
              <w:rPr>
                <w:rFonts w:ascii="Arial" w:cs="Arial" w:eastAsia="Arial" w:hAnsi="Arial"/>
                <w:sz w:val="17"/>
                <w:szCs w:val="17"/>
                <w:color w:val="auto"/>
                <w:w w:val="92"/>
              </w:rPr>
              <w:t>1626 East Jefferson Street, Rockville, Maryland</w:t>
            </w:r>
          </w:p>
        </w:tc>
        <w:tc>
          <w:tcPr>
            <w:tcW w:w="4800" w:type="dxa"/>
            <w:vAlign w:val="bottom"/>
            <w:gridSpan w:val="2"/>
          </w:tcPr>
          <w:p>
            <w:pPr>
              <w:jc w:val="right"/>
              <w:ind w:right="2374"/>
              <w:spacing w:after="0"/>
              <w:rPr>
                <w:sz w:val="20"/>
                <w:szCs w:val="20"/>
                <w:color w:val="auto"/>
              </w:rPr>
            </w:pPr>
            <w:r>
              <w:rPr>
                <w:rFonts w:ascii="Arial" w:cs="Arial" w:eastAsia="Arial" w:hAnsi="Arial"/>
                <w:sz w:val="17"/>
                <w:szCs w:val="17"/>
                <w:color w:val="auto"/>
              </w:rPr>
              <w:t>20852</w:t>
            </w:r>
          </w:p>
        </w:tc>
      </w:tr>
      <w:tr>
        <w:trPr>
          <w:trHeight w:val="170"/>
        </w:trPr>
        <w:tc>
          <w:tcPr>
            <w:tcW w:w="662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4800" w:type="dxa"/>
            <w:vAlign w:val="bottom"/>
            <w:gridSpan w:val="2"/>
          </w:tcPr>
          <w:p>
            <w:pPr>
              <w:jc w:val="center"/>
              <w:ind w:right="474"/>
              <w:spacing w:after="0"/>
              <w:rPr>
                <w:sz w:val="20"/>
                <w:szCs w:val="20"/>
                <w:color w:val="auto"/>
              </w:rPr>
            </w:pPr>
            <w:r>
              <w:rPr>
                <w:rFonts w:ascii="Arial" w:cs="Arial" w:eastAsia="Arial" w:hAnsi="Arial"/>
                <w:sz w:val="13"/>
                <w:szCs w:val="13"/>
                <w:b w:val="1"/>
                <w:bCs w:val="1"/>
                <w:color w:val="auto"/>
                <w:w w:val="93"/>
              </w:rPr>
              <w:t>(Zip Code)</w:t>
            </w:r>
          </w:p>
        </w:tc>
      </w:tr>
      <w:tr>
        <w:trPr>
          <w:trHeight w:val="347"/>
        </w:trPr>
        <w:tc>
          <w:tcPr>
            <w:tcW w:w="6620" w:type="dxa"/>
            <w:vAlign w:val="bottom"/>
            <w:gridSpan w:val="3"/>
          </w:tcPr>
          <w:p>
            <w:pPr>
              <w:ind w:left="5180"/>
              <w:spacing w:after="0"/>
              <w:rPr>
                <w:sz w:val="20"/>
                <w:szCs w:val="20"/>
                <w:color w:val="auto"/>
              </w:rPr>
            </w:pPr>
            <w:r>
              <w:rPr>
                <w:rFonts w:ascii="Arial" w:cs="Arial" w:eastAsia="Arial" w:hAnsi="Arial"/>
                <w:sz w:val="17"/>
                <w:szCs w:val="17"/>
                <w:color w:val="auto"/>
              </w:rPr>
              <w:t>(301) 998-8100</w:t>
            </w:r>
          </w:p>
        </w:tc>
        <w:tc>
          <w:tcPr>
            <w:tcW w:w="21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70"/>
        </w:trPr>
        <w:tc>
          <w:tcPr>
            <w:tcW w:w="8800" w:type="dxa"/>
            <w:vAlign w:val="bottom"/>
            <w:gridSpan w:val="4"/>
          </w:tcPr>
          <w:p>
            <w:pPr>
              <w:ind w:left="4160"/>
              <w:spacing w:after="0"/>
              <w:rPr>
                <w:sz w:val="20"/>
                <w:szCs w:val="20"/>
                <w:color w:val="auto"/>
              </w:rPr>
            </w:pPr>
            <w:r>
              <w:rPr>
                <w:rFonts w:ascii="Arial" w:cs="Arial" w:eastAsia="Arial" w:hAnsi="Arial"/>
                <w:sz w:val="13"/>
                <w:szCs w:val="13"/>
                <w:b w:val="1"/>
                <w:bCs w:val="1"/>
                <w:color w:val="auto"/>
              </w:rPr>
              <w:t>(Registrant’s Telephone Number, Including Area Code)</w:t>
            </w:r>
          </w:p>
        </w:tc>
        <w:tc>
          <w:tcPr>
            <w:tcW w:w="2620" w:type="dxa"/>
            <w:vAlign w:val="bottom"/>
          </w:tcPr>
          <w:p>
            <w:pPr>
              <w:spacing w:after="0"/>
              <w:rPr>
                <w:sz w:val="14"/>
                <w:szCs w:val="14"/>
                <w:color w:val="auto"/>
              </w:rPr>
            </w:pPr>
          </w:p>
        </w:tc>
      </w:tr>
      <w:tr>
        <w:trPr>
          <w:trHeight w:val="356"/>
        </w:trPr>
        <w:tc>
          <w:tcPr>
            <w:tcW w:w="6620" w:type="dxa"/>
            <w:vAlign w:val="bottom"/>
            <w:gridSpan w:val="3"/>
          </w:tcPr>
          <w:p>
            <w:pPr>
              <w:ind w:left="20"/>
              <w:spacing w:after="0"/>
              <w:rPr>
                <w:sz w:val="20"/>
                <w:szCs w:val="20"/>
                <w:color w:val="auto"/>
              </w:rPr>
            </w:pPr>
            <w:r>
              <w:rPr>
                <w:rFonts w:ascii="Arial" w:cs="Arial" w:eastAsia="Arial" w:hAnsi="Arial"/>
                <w:sz w:val="17"/>
                <w:szCs w:val="17"/>
                <w:color w:val="auto"/>
              </w:rPr>
              <w:t>Securities registered pursuant to Section 12(b) of the Act:</w:t>
            </w:r>
          </w:p>
        </w:tc>
        <w:tc>
          <w:tcPr>
            <w:tcW w:w="21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Title of Each Class</w:t>
            </w:r>
          </w:p>
        </w:tc>
        <w:tc>
          <w:tcPr>
            <w:tcW w:w="1020" w:type="dxa"/>
            <w:vAlign w:val="bottom"/>
            <w:gridSpan w:val="2"/>
          </w:tcPr>
          <w:p>
            <w:pPr>
              <w:spacing w:after="0"/>
              <w:rPr>
                <w:sz w:val="24"/>
                <w:szCs w:val="24"/>
                <w:color w:val="auto"/>
              </w:rPr>
            </w:pPr>
          </w:p>
        </w:tc>
        <w:tc>
          <w:tcPr>
            <w:tcW w:w="4800" w:type="dxa"/>
            <w:vAlign w:val="bottom"/>
            <w:gridSpan w:val="2"/>
          </w:tcPr>
          <w:p>
            <w:pPr>
              <w:jc w:val="center"/>
              <w:ind w:right="474"/>
              <w:spacing w:after="0"/>
              <w:rPr>
                <w:sz w:val="20"/>
                <w:szCs w:val="20"/>
                <w:color w:val="auto"/>
              </w:rPr>
            </w:pPr>
            <w:r>
              <w:rPr>
                <w:rFonts w:ascii="Arial" w:cs="Arial" w:eastAsia="Arial" w:hAnsi="Arial"/>
                <w:sz w:val="17"/>
                <w:szCs w:val="17"/>
                <w:b w:val="1"/>
                <w:bCs w:val="1"/>
                <w:color w:val="auto"/>
                <w:w w:val="92"/>
              </w:rPr>
              <w:t>Name Of Each Exchange On Which Registered</w:t>
            </w:r>
          </w:p>
        </w:tc>
      </w:tr>
      <w:tr>
        <w:trPr>
          <w:trHeight w:val="191"/>
        </w:trPr>
        <w:tc>
          <w:tcPr>
            <w:tcW w:w="6060" w:type="dxa"/>
            <w:vAlign w:val="bottom"/>
            <w:gridSpan w:val="2"/>
          </w:tcPr>
          <w:p>
            <w:pPr>
              <w:spacing w:after="0" w:line="191" w:lineRule="exact"/>
              <w:rPr>
                <w:sz w:val="20"/>
                <w:szCs w:val="20"/>
                <w:color w:val="auto"/>
              </w:rPr>
            </w:pPr>
            <w:r>
              <w:rPr>
                <w:rFonts w:ascii="Arial" w:cs="Arial" w:eastAsia="Arial" w:hAnsi="Arial"/>
                <w:sz w:val="17"/>
                <w:szCs w:val="17"/>
                <w:color w:val="auto"/>
                <w:w w:val="99"/>
              </w:rPr>
              <w:t>Common Shares of Beneficial Interest, $.01 par value per share, with associated</w:t>
            </w:r>
          </w:p>
        </w:tc>
        <w:tc>
          <w:tcPr>
            <w:tcW w:w="56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gridSpan w:val="2"/>
          </w:tcPr>
          <w:p>
            <w:pPr>
              <w:jc w:val="center"/>
              <w:ind w:right="474"/>
              <w:spacing w:after="0" w:line="191" w:lineRule="exact"/>
              <w:rPr>
                <w:sz w:val="20"/>
                <w:szCs w:val="20"/>
                <w:color w:val="auto"/>
              </w:rPr>
            </w:pPr>
            <w:r>
              <w:rPr>
                <w:rFonts w:ascii="Arial" w:cs="Arial" w:eastAsia="Arial" w:hAnsi="Arial"/>
                <w:sz w:val="17"/>
                <w:szCs w:val="17"/>
                <w:color w:val="auto"/>
                <w:w w:val="93"/>
              </w:rPr>
              <w:t>New York Stock Exchange</w:t>
            </w:r>
          </w:p>
        </w:tc>
      </w:tr>
      <w:tr>
        <w:trPr>
          <w:trHeight w:val="217"/>
        </w:trPr>
        <w:tc>
          <w:tcPr>
            <w:tcW w:w="6620" w:type="dxa"/>
            <w:vAlign w:val="bottom"/>
            <w:gridSpan w:val="3"/>
          </w:tcPr>
          <w:p>
            <w:pPr>
              <w:ind w:left="220"/>
              <w:spacing w:after="0"/>
              <w:rPr>
                <w:sz w:val="20"/>
                <w:szCs w:val="20"/>
                <w:color w:val="auto"/>
              </w:rPr>
            </w:pPr>
            <w:r>
              <w:rPr>
                <w:rFonts w:ascii="Arial" w:cs="Arial" w:eastAsia="Arial" w:hAnsi="Arial"/>
                <w:sz w:val="17"/>
                <w:szCs w:val="17"/>
                <w:color w:val="auto"/>
              </w:rPr>
              <w:t>Common Share Purchase Rights</w:t>
            </w:r>
          </w:p>
        </w:tc>
        <w:tc>
          <w:tcPr>
            <w:tcW w:w="21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71"/>
        </w:trPr>
        <w:tc>
          <w:tcPr>
            <w:tcW w:w="662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12(g) of the Act: None</w:t>
            </w:r>
          </w:p>
        </w:tc>
        <w:tc>
          <w:tcPr>
            <w:tcW w:w="21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91"/>
        </w:trPr>
        <w:tc>
          <w:tcPr>
            <w:tcW w:w="8800" w:type="dxa"/>
            <w:vAlign w:val="bottom"/>
            <w:gridSpan w:val="4"/>
          </w:tcPr>
          <w:p>
            <w:pPr>
              <w:spacing w:after="0" w:line="196" w:lineRule="exact"/>
              <w:rPr>
                <w:sz w:val="20"/>
                <w:szCs w:val="20"/>
                <w:color w:val="auto"/>
              </w:rPr>
            </w:pPr>
            <w:r>
              <w:rPr>
                <w:rFonts w:ascii="Arial" w:cs="Arial" w:eastAsia="Arial" w:hAnsi="Arial"/>
                <w:sz w:val="17"/>
                <w:szCs w:val="17"/>
                <w:color w:val="auto"/>
                <w:w w:val="93"/>
              </w:rPr>
              <w:t xml:space="preserve">Indicate by check mark if the Registrant is a well-known seasoned issuer, as defined in Rule 405 of the Securities Act. </w:t>
            </w:r>
            <w:r>
              <w:rPr>
                <w:rFonts w:ascii="MS PGothic" w:cs="MS PGothic" w:eastAsia="MS PGothic" w:hAnsi="MS PGothic"/>
                <w:sz w:val="17"/>
                <w:szCs w:val="17"/>
                <w:color w:val="auto"/>
                <w:w w:val="93"/>
              </w:rPr>
              <w:t>☑</w:t>
            </w:r>
            <w:r>
              <w:rPr>
                <w:rFonts w:ascii="Arial" w:cs="Arial" w:eastAsia="Arial" w:hAnsi="Arial"/>
                <w:sz w:val="17"/>
                <w:szCs w:val="17"/>
                <w:color w:val="auto"/>
                <w:w w:val="93"/>
              </w:rPr>
              <w:t xml:space="preserve"> Yes</w:t>
            </w:r>
          </w:p>
        </w:tc>
        <w:tc>
          <w:tcPr>
            <w:tcW w:w="262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r>
        <w:trPr>
          <w:trHeight w:val="371"/>
        </w:trPr>
        <w:tc>
          <w:tcPr>
            <w:tcW w:w="8800" w:type="dxa"/>
            <w:vAlign w:val="bottom"/>
            <w:gridSpan w:val="4"/>
          </w:tcPr>
          <w:p>
            <w:pPr>
              <w:spacing w:after="0" w:line="196" w:lineRule="exact"/>
              <w:rPr>
                <w:sz w:val="20"/>
                <w:szCs w:val="20"/>
                <w:color w:val="auto"/>
              </w:rPr>
            </w:pPr>
            <w:r>
              <w:rPr>
                <w:rFonts w:ascii="Arial" w:cs="Arial" w:eastAsia="Arial" w:hAnsi="Arial"/>
                <w:sz w:val="17"/>
                <w:szCs w:val="17"/>
                <w:color w:val="auto"/>
                <w:w w:val="92"/>
              </w:rPr>
              <w:t xml:space="preserve">Indicate by check mark if the Registrant is not required to file reports pursuant to Section 13 or Section 15(d) of the Act. </w:t>
            </w:r>
            <w:r>
              <w:rPr>
                <w:rFonts w:ascii="MS PGothic" w:cs="MS PGothic" w:eastAsia="MS PGothic" w:hAnsi="MS PGothic"/>
                <w:sz w:val="17"/>
                <w:szCs w:val="17"/>
                <w:color w:val="auto"/>
                <w:w w:val="92"/>
              </w:rPr>
              <w:t>☐</w:t>
            </w:r>
            <w:r>
              <w:rPr>
                <w:rFonts w:ascii="Arial" w:cs="Arial" w:eastAsia="Arial" w:hAnsi="Arial"/>
                <w:sz w:val="17"/>
                <w:szCs w:val="17"/>
                <w:color w:val="auto"/>
                <w:w w:val="92"/>
              </w:rPr>
              <w:t xml:space="preserve"> Yes</w:t>
            </w:r>
          </w:p>
        </w:tc>
        <w:tc>
          <w:tcPr>
            <w:tcW w:w="262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bl>
    <w:p>
      <w:pPr>
        <w:spacing w:after="0" w:line="133" w:lineRule="exact"/>
        <w:rPr>
          <w:sz w:val="24"/>
          <w:szCs w:val="24"/>
          <w:color w:val="auto"/>
        </w:rPr>
      </w:pPr>
    </w:p>
    <w:p>
      <w:pPr>
        <w:ind w:right="4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35" w:lineRule="exact"/>
        <w:rPr>
          <w:sz w:val="24"/>
          <w:szCs w:val="24"/>
          <w:color w:val="auto"/>
        </w:rPr>
      </w:pPr>
    </w:p>
    <w:p>
      <w:pPr>
        <w:ind w:right="140"/>
        <w:spacing w:after="0" w:line="298"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95" w:lineRule="exact"/>
        <w:rPr>
          <w:sz w:val="24"/>
          <w:szCs w:val="24"/>
          <w:color w:val="auto"/>
        </w:rPr>
      </w:pPr>
    </w:p>
    <w:p>
      <w:pPr>
        <w:ind w:right="80"/>
        <w:spacing w:after="0" w:line="22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101" w:lineRule="exact"/>
        <w:rPr>
          <w:sz w:val="24"/>
          <w:szCs w:val="24"/>
          <w:color w:val="auto"/>
        </w:rPr>
      </w:pPr>
    </w:p>
    <w:p>
      <w:pPr>
        <w:spacing w:after="0" w:line="184" w:lineRule="exact"/>
        <w:tabs>
          <w:tab w:leader="none" w:pos="7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19" w:lineRule="exact"/>
        <w:rPr>
          <w:sz w:val="24"/>
          <w:szCs w:val="24"/>
          <w:color w:val="auto"/>
        </w:rPr>
      </w:pPr>
    </w:p>
    <w:p>
      <w:pPr>
        <w:ind w:right="640"/>
        <w:spacing w:after="0" w:line="287" w:lineRule="auto"/>
        <w:rPr>
          <w:sz w:val="20"/>
          <w:szCs w:val="20"/>
          <w:color w:val="auto"/>
        </w:rPr>
      </w:pPr>
      <w:r>
        <w:rPr>
          <w:rFonts w:ascii="Arial" w:cs="Arial" w:eastAsia="Arial" w:hAnsi="Arial"/>
          <w:sz w:val="17"/>
          <w:szCs w:val="17"/>
          <w:color w:val="auto"/>
        </w:rPr>
        <w:t>The aggregate market value of the Registrant’s common shares held by non-affiliates of the Registrant, based upon the closing sales price of the Registrant’s common shares on June 30, 2006 was $3.7 billion.</w:t>
      </w:r>
    </w:p>
    <w:p>
      <w:pPr>
        <w:spacing w:after="0" w:line="36" w:lineRule="exact"/>
        <w:rPr>
          <w:sz w:val="24"/>
          <w:szCs w:val="24"/>
          <w:color w:val="auto"/>
        </w:rPr>
      </w:pPr>
    </w:p>
    <w:p>
      <w:pPr>
        <w:ind w:left="20"/>
        <w:spacing w:after="0"/>
        <w:rPr>
          <w:sz w:val="20"/>
          <w:szCs w:val="20"/>
          <w:color w:val="auto"/>
        </w:rPr>
      </w:pPr>
      <w:r>
        <w:rPr>
          <w:rFonts w:ascii="Arial" w:cs="Arial" w:eastAsia="Arial" w:hAnsi="Arial"/>
          <w:sz w:val="17"/>
          <w:szCs w:val="17"/>
          <w:color w:val="auto"/>
        </w:rPr>
        <w:t>The number of Registrant’s common shares outstanding on February 23, 2007 was 55,428,896.</w:t>
      </w:r>
    </w:p>
    <w:p>
      <w:pPr>
        <w:sectPr>
          <w:pgSz w:w="11900" w:h="16838" w:orient="portrait"/>
          <w:cols w:equalWidth="0" w:num="1">
            <w:col w:w="11420"/>
          </w:cols>
          <w:pgMar w:left="240" w:top="228"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2006</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1"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for Registrant’s 2007 annual meeting of shareholders to be held in May 2007 will be incorporated by reference into Part III hereof.</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gridSpan w:val="8"/>
          </w:tcPr>
          <w:p>
            <w:pPr>
              <w:ind w:left="320"/>
              <w:spacing w:after="0"/>
              <w:rPr>
                <w:sz w:val="20"/>
                <w:szCs w:val="20"/>
                <w:color w:val="auto"/>
              </w:rPr>
            </w:pPr>
            <w:r>
              <w:rPr>
                <w:rFonts w:ascii="Arial" w:cs="Arial" w:eastAsia="Arial" w:hAnsi="Arial"/>
                <w:sz w:val="17"/>
                <w:szCs w:val="17"/>
                <w:b w:val="1"/>
                <w:bCs w:val="1"/>
                <w:color w:val="auto"/>
              </w:rPr>
              <w:t>TABLE OF CONTENTS</w:t>
            </w:r>
          </w:p>
        </w:tc>
        <w:tc>
          <w:tcPr>
            <w:tcW w:w="1520" w:type="dxa"/>
            <w:vAlign w:val="bottom"/>
          </w:tcPr>
          <w:p>
            <w:pPr>
              <w:spacing w:after="0"/>
              <w:rPr>
                <w:sz w:val="19"/>
                <w:szCs w:val="19"/>
                <w:color w:val="auto"/>
              </w:rPr>
            </w:pPr>
          </w:p>
        </w:tc>
      </w:tr>
      <w:tr>
        <w:trPr>
          <w:trHeight w:val="374"/>
        </w:trPr>
        <w:tc>
          <w:tcPr>
            <w:tcW w:w="520" w:type="dxa"/>
            <w:vAlign w:val="bottom"/>
            <w:tcBorders>
              <w:bottom w:val="single" w:sz="8" w:color="0000EE"/>
            </w:tcBorders>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PART I</w:t>
              </w:r>
            </w:hyperlink>
          </w:p>
        </w:tc>
        <w:tc>
          <w:tcPr>
            <w:tcW w:w="6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w:t>
            </w:r>
          </w:p>
        </w:tc>
        <w:tc>
          <w:tcPr>
            <w:tcW w:w="8760" w:type="dxa"/>
            <w:vAlign w:val="bottom"/>
            <w:gridSpan w:val="20"/>
          </w:tcPr>
          <w:p>
            <w:pPr>
              <w:spacing w:after="0" w:line="192" w:lineRule="exact"/>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3"/>
          </w:tcPr>
          <w:p>
            <w:pPr>
              <w:spacing w:after="0" w:line="192" w:lineRule="exact"/>
              <w:rPr>
                <w:rFonts w:ascii="Arial" w:cs="Arial" w:eastAsia="Arial" w:hAnsi="Arial"/>
                <w:sz w:val="17"/>
                <w:szCs w:val="17"/>
                <w:color w:val="0000EE"/>
                <w:w w:val="88"/>
              </w:rPr>
            </w:pPr>
            <w:hyperlink w:anchor="page7">
              <w:r>
                <w:rPr>
                  <w:rFonts w:ascii="Arial" w:cs="Arial" w:eastAsia="Arial" w:hAnsi="Arial"/>
                  <w:sz w:val="17"/>
                  <w:szCs w:val="17"/>
                  <w:color w:val="0000EE"/>
                  <w:w w:val="88"/>
                </w:rPr>
                <w:t>Risk Factors</w:t>
              </w:r>
            </w:hyperlink>
          </w:p>
        </w:tc>
        <w:tc>
          <w:tcPr>
            <w:tcW w:w="7900" w:type="dxa"/>
            <w:vAlign w:val="bottom"/>
            <w:gridSpan w:val="17"/>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7</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1B.</w:t>
            </w:r>
          </w:p>
        </w:tc>
        <w:tc>
          <w:tcPr>
            <w:tcW w:w="8760" w:type="dxa"/>
            <w:vAlign w:val="bottom"/>
            <w:gridSpan w:val="20"/>
          </w:tcPr>
          <w:p>
            <w:pPr>
              <w:spacing w:after="0" w:line="192" w:lineRule="exact"/>
              <w:rPr>
                <w:rFonts w:ascii="Arial" w:cs="Arial" w:eastAsia="Arial" w:hAnsi="Arial"/>
                <w:sz w:val="17"/>
                <w:szCs w:val="17"/>
                <w:color w:val="0000EE"/>
              </w:rPr>
            </w:pPr>
            <w:hyperlink w:anchor="page17">
              <w:r>
                <w:rPr>
                  <w:rFonts w:ascii="Arial" w:cs="Arial" w:eastAsia="Arial" w:hAnsi="Arial"/>
                  <w:sz w:val="17"/>
                  <w:szCs w:val="17"/>
                  <w:color w:val="0000EE"/>
                </w:rPr>
                <w:t>Unresolved Staff Comments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17</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2.</w:t>
            </w:r>
          </w:p>
        </w:tc>
        <w:tc>
          <w:tcPr>
            <w:tcW w:w="1940" w:type="dxa"/>
            <w:vAlign w:val="bottom"/>
            <w:tcBorders>
              <w:top w:val="single" w:sz="8" w:color="0000EE"/>
            </w:tcBorders>
            <w:gridSpan w:val="8"/>
          </w:tcPr>
          <w:p>
            <w:pPr>
              <w:spacing w:after="0" w:line="192" w:lineRule="exact"/>
              <w:rPr>
                <w:rFonts w:ascii="Arial" w:cs="Arial" w:eastAsia="Arial" w:hAnsi="Arial"/>
                <w:sz w:val="17"/>
                <w:szCs w:val="17"/>
                <w:color w:val="0000EE"/>
              </w:rPr>
            </w:pPr>
            <w:hyperlink w:anchor="page17">
              <w:r>
                <w:rPr>
                  <w:rFonts w:ascii="Arial" w:cs="Arial" w:eastAsia="Arial" w:hAnsi="Arial"/>
                  <w:sz w:val="17"/>
                  <w:szCs w:val="17"/>
                  <w:color w:val="0000EE"/>
                </w:rPr>
                <w:t>Properties</w:t>
              </w:r>
            </w:hyperlink>
          </w:p>
        </w:tc>
        <w:tc>
          <w:tcPr>
            <w:tcW w:w="6820" w:type="dxa"/>
            <w:vAlign w:val="bottom"/>
            <w:gridSpan w:val="12"/>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17</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3.</w:t>
            </w:r>
          </w:p>
        </w:tc>
        <w:tc>
          <w:tcPr>
            <w:tcW w:w="8760" w:type="dxa"/>
            <w:vAlign w:val="bottom"/>
            <w:gridSpan w:val="20"/>
          </w:tcPr>
          <w:p>
            <w:pPr>
              <w:spacing w:after="0" w:line="192" w:lineRule="exact"/>
              <w:rPr>
                <w:rFonts w:ascii="Arial" w:cs="Arial" w:eastAsia="Arial" w:hAnsi="Arial"/>
                <w:sz w:val="17"/>
                <w:szCs w:val="17"/>
                <w:color w:val="0000EE"/>
              </w:rPr>
            </w:pPr>
            <w:hyperlink w:anchor="page26">
              <w:r>
                <w:rPr>
                  <w:rFonts w:ascii="Arial" w:cs="Arial" w:eastAsia="Arial" w:hAnsi="Arial"/>
                  <w:sz w:val="17"/>
                  <w:szCs w:val="17"/>
                  <w:color w:val="0000EE"/>
                </w:rPr>
                <w:t>Legal Proceedings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26</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4.</w:t>
            </w:r>
          </w:p>
        </w:tc>
        <w:tc>
          <w:tcPr>
            <w:tcW w:w="8760" w:type="dxa"/>
            <w:vAlign w:val="bottom"/>
            <w:gridSpan w:val="20"/>
          </w:tcPr>
          <w:p>
            <w:pPr>
              <w:spacing w:after="0" w:line="192" w:lineRule="exact"/>
              <w:rPr>
                <w:rFonts w:ascii="Arial" w:cs="Arial" w:eastAsia="Arial" w:hAnsi="Arial"/>
                <w:sz w:val="17"/>
                <w:szCs w:val="17"/>
                <w:color w:val="0000EE"/>
              </w:rPr>
            </w:pPr>
            <w:hyperlink w:anchor="page26">
              <w:r>
                <w:rPr>
                  <w:rFonts w:ascii="Arial" w:cs="Arial" w:eastAsia="Arial" w:hAnsi="Arial"/>
                  <w:sz w:val="17"/>
                  <w:szCs w:val="17"/>
                  <w:color w:val="0000EE"/>
                </w:rPr>
                <w:t>Submission of Matters to a Vote of Shareholders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26</w:t>
            </w:r>
          </w:p>
        </w:tc>
      </w:tr>
      <w:tr>
        <w:trPr>
          <w:trHeight w:val="298"/>
        </w:trPr>
        <w:tc>
          <w:tcPr>
            <w:tcW w:w="58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27">
              <w:r>
                <w:rPr>
                  <w:rFonts w:ascii="Arial" w:cs="Arial" w:eastAsia="Arial" w:hAnsi="Arial"/>
                  <w:sz w:val="17"/>
                  <w:szCs w:val="17"/>
                  <w:color w:val="0000EE"/>
                  <w:w w:val="94"/>
                </w:rPr>
                <w:t>PART II</w:t>
              </w:r>
            </w:hyperlink>
          </w:p>
        </w:tc>
        <w:tc>
          <w:tcPr>
            <w:tcW w:w="56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5.</w:t>
            </w:r>
          </w:p>
        </w:tc>
        <w:tc>
          <w:tcPr>
            <w:tcW w:w="8760" w:type="dxa"/>
            <w:vAlign w:val="bottom"/>
            <w:gridSpan w:val="20"/>
          </w:tcPr>
          <w:p>
            <w:pPr>
              <w:spacing w:after="0" w:line="192" w:lineRule="exact"/>
              <w:rPr>
                <w:rFonts w:ascii="Arial" w:cs="Arial" w:eastAsia="Arial" w:hAnsi="Arial"/>
                <w:sz w:val="17"/>
                <w:szCs w:val="17"/>
                <w:color w:val="0000EE"/>
              </w:rPr>
            </w:pPr>
            <w:hyperlink w:anchor="page27">
              <w:r>
                <w:rPr>
                  <w:rFonts w:ascii="Arial" w:cs="Arial" w:eastAsia="Arial" w:hAnsi="Arial"/>
                  <w:sz w:val="17"/>
                  <w:szCs w:val="17"/>
                  <w:color w:val="0000EE"/>
                </w:rPr>
                <w:t>Market for Our Common Equity and Related Shareholder Matters and Issuer Purchases of Equity Securities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27</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6.</w:t>
            </w:r>
          </w:p>
        </w:tc>
        <w:tc>
          <w:tcPr>
            <w:tcW w:w="7420" w:type="dxa"/>
            <w:vAlign w:val="bottom"/>
            <w:tcBorders>
              <w:top w:val="single" w:sz="8" w:color="0000EE"/>
            </w:tcBorders>
            <w:gridSpan w:val="19"/>
          </w:tcPr>
          <w:p>
            <w:pPr>
              <w:spacing w:after="0" w:line="192" w:lineRule="exact"/>
              <w:rPr>
                <w:rFonts w:ascii="Arial" w:cs="Arial" w:eastAsia="Arial" w:hAnsi="Arial"/>
                <w:sz w:val="17"/>
                <w:szCs w:val="17"/>
                <w:color w:val="0000EE"/>
              </w:rPr>
            </w:pPr>
            <w:hyperlink w:anchor="page29">
              <w:r>
                <w:rPr>
                  <w:rFonts w:ascii="Arial" w:cs="Arial" w:eastAsia="Arial" w:hAnsi="Arial"/>
                  <w:sz w:val="17"/>
                  <w:szCs w:val="17"/>
                  <w:color w:val="0000EE"/>
                </w:rPr>
                <w:t>Selected Financial Data</w:t>
              </w:r>
            </w:hyperlink>
          </w:p>
        </w:tc>
        <w:tc>
          <w:tcPr>
            <w:tcW w:w="1340" w:type="dxa"/>
            <w:vAlign w:val="bottom"/>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29</w:t>
            </w:r>
          </w:p>
        </w:tc>
      </w:tr>
      <w:tr>
        <w:trPr>
          <w:trHeight w:val="20"/>
        </w:trPr>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7.</w:t>
            </w:r>
          </w:p>
        </w:tc>
        <w:tc>
          <w:tcPr>
            <w:tcW w:w="8760" w:type="dxa"/>
            <w:vAlign w:val="bottom"/>
            <w:gridSpan w:val="20"/>
          </w:tcPr>
          <w:p>
            <w:pPr>
              <w:spacing w:after="0" w:line="192" w:lineRule="exact"/>
              <w:rPr>
                <w:rFonts w:ascii="Arial" w:cs="Arial" w:eastAsia="Arial" w:hAnsi="Arial"/>
                <w:sz w:val="17"/>
                <w:szCs w:val="17"/>
                <w:color w:val="0000EE"/>
              </w:rPr>
            </w:pPr>
            <w:hyperlink w:anchor="page31">
              <w:r>
                <w:rPr>
                  <w:rFonts w:ascii="Arial" w:cs="Arial" w:eastAsia="Arial" w:hAnsi="Arial"/>
                  <w:sz w:val="17"/>
                  <w:szCs w:val="17"/>
                  <w:color w:val="0000EE"/>
                </w:rPr>
                <w:t>Management’s Discussion and Analysis of Financial Condition and Results of Operations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31</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7A.</w:t>
            </w:r>
          </w:p>
        </w:tc>
        <w:tc>
          <w:tcPr>
            <w:tcW w:w="4120" w:type="dxa"/>
            <w:vAlign w:val="bottom"/>
            <w:tcBorders>
              <w:top w:val="single" w:sz="8" w:color="0000EE"/>
              <w:bottom w:val="single" w:sz="8" w:color="0000EE"/>
            </w:tcBorders>
            <w:gridSpan w:val="14"/>
          </w:tcPr>
          <w:p>
            <w:pPr>
              <w:spacing w:after="0" w:line="192" w:lineRule="exact"/>
              <w:rPr>
                <w:rFonts w:ascii="Arial" w:cs="Arial" w:eastAsia="Arial" w:hAnsi="Arial"/>
                <w:sz w:val="17"/>
                <w:szCs w:val="17"/>
                <w:color w:val="0000EE"/>
                <w:w w:val="92"/>
              </w:rPr>
            </w:pPr>
            <w:hyperlink w:anchor="page57">
              <w:r>
                <w:rPr>
                  <w:rFonts w:ascii="Arial" w:cs="Arial" w:eastAsia="Arial" w:hAnsi="Arial"/>
                  <w:sz w:val="17"/>
                  <w:szCs w:val="17"/>
                  <w:color w:val="0000EE"/>
                  <w:w w:val="92"/>
                </w:rPr>
                <w:t>Quantitative and Qualitative Disclosures about Market Risk</w:t>
              </w:r>
            </w:hyperlink>
          </w:p>
        </w:tc>
        <w:tc>
          <w:tcPr>
            <w:tcW w:w="2040" w:type="dxa"/>
            <w:vAlign w:val="bottom"/>
            <w:tcBorders>
              <w:top w:val="single" w:sz="8" w:color="0000EE"/>
            </w:tcBorders>
            <w:gridSpan w:val="2"/>
          </w:tcPr>
          <w:p>
            <w:pPr>
              <w:spacing w:after="0"/>
              <w:rPr>
                <w:sz w:val="16"/>
                <w:szCs w:val="16"/>
                <w:color w:val="auto"/>
              </w:rPr>
            </w:pPr>
          </w:p>
        </w:tc>
        <w:tc>
          <w:tcPr>
            <w:tcW w:w="2600" w:type="dxa"/>
            <w:vAlign w:val="bottom"/>
            <w:gridSpan w:val="4"/>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57</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8.</w:t>
            </w:r>
          </w:p>
        </w:tc>
        <w:tc>
          <w:tcPr>
            <w:tcW w:w="3180" w:type="dxa"/>
            <w:vAlign w:val="bottom"/>
            <w:tcBorders>
              <w:bottom w:val="single" w:sz="8" w:color="0000EE"/>
            </w:tcBorders>
            <w:gridSpan w:val="11"/>
          </w:tcPr>
          <w:p>
            <w:pPr>
              <w:spacing w:after="0" w:line="192" w:lineRule="exact"/>
              <w:rPr>
                <w:rFonts w:ascii="Arial" w:cs="Arial" w:eastAsia="Arial" w:hAnsi="Arial"/>
                <w:sz w:val="17"/>
                <w:szCs w:val="17"/>
                <w:color w:val="0000EE"/>
                <w:w w:val="89"/>
              </w:rPr>
            </w:pPr>
            <w:hyperlink w:anchor="page58">
              <w:r>
                <w:rPr>
                  <w:rFonts w:ascii="Arial" w:cs="Arial" w:eastAsia="Arial" w:hAnsi="Arial"/>
                  <w:sz w:val="17"/>
                  <w:szCs w:val="17"/>
                  <w:color w:val="0000EE"/>
                  <w:w w:val="89"/>
                </w:rPr>
                <w:t>Financial Statements and Supplementary Data</w:t>
              </w:r>
            </w:hyperlink>
          </w:p>
        </w:tc>
        <w:tc>
          <w:tcPr>
            <w:tcW w:w="5580" w:type="dxa"/>
            <w:vAlign w:val="bottom"/>
            <w:gridSpan w:val="9"/>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58</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9.</w:t>
            </w:r>
          </w:p>
        </w:tc>
        <w:tc>
          <w:tcPr>
            <w:tcW w:w="6200" w:type="dxa"/>
            <w:vAlign w:val="bottom"/>
            <w:tcBorders>
              <w:bottom w:val="single" w:sz="8" w:color="0000EE"/>
            </w:tcBorders>
            <w:gridSpan w:val="17"/>
          </w:tcPr>
          <w:p>
            <w:pPr>
              <w:spacing w:after="0" w:line="192" w:lineRule="exact"/>
              <w:rPr>
                <w:rFonts w:ascii="Arial" w:cs="Arial" w:eastAsia="Arial" w:hAnsi="Arial"/>
                <w:sz w:val="17"/>
                <w:szCs w:val="17"/>
                <w:color w:val="0000EE"/>
                <w:w w:val="91"/>
              </w:rPr>
            </w:pPr>
            <w:hyperlink w:anchor="page58">
              <w:r>
                <w:rPr>
                  <w:rFonts w:ascii="Arial" w:cs="Arial" w:eastAsia="Arial" w:hAnsi="Arial"/>
                  <w:sz w:val="17"/>
                  <w:szCs w:val="17"/>
                  <w:color w:val="0000EE"/>
                  <w:w w:val="91"/>
                </w:rPr>
                <w:t>Changes In and Disagreements with Accountants on Accounting and Financial Disclosure</w:t>
              </w:r>
            </w:hyperlink>
          </w:p>
        </w:tc>
        <w:tc>
          <w:tcPr>
            <w:tcW w:w="2560" w:type="dxa"/>
            <w:vAlign w:val="bottom"/>
            <w:gridSpan w:val="3"/>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58</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9A.</w:t>
            </w:r>
          </w:p>
        </w:tc>
        <w:tc>
          <w:tcPr>
            <w:tcW w:w="8760" w:type="dxa"/>
            <w:vAlign w:val="bottom"/>
            <w:gridSpan w:val="20"/>
          </w:tcPr>
          <w:p>
            <w:pPr>
              <w:spacing w:after="0" w:line="192" w:lineRule="exact"/>
              <w:rPr>
                <w:rFonts w:ascii="Arial" w:cs="Arial" w:eastAsia="Arial" w:hAnsi="Arial"/>
                <w:sz w:val="17"/>
                <w:szCs w:val="17"/>
                <w:color w:val="0000EE"/>
              </w:rPr>
            </w:pPr>
            <w:hyperlink w:anchor="page58">
              <w:r>
                <w:rPr>
                  <w:rFonts w:ascii="Arial" w:cs="Arial" w:eastAsia="Arial" w:hAnsi="Arial"/>
                  <w:sz w:val="17"/>
                  <w:szCs w:val="17"/>
                  <w:color w:val="0000EE"/>
                </w:rPr>
                <w:t>Controls and Procedures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58</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9B.</w:t>
            </w:r>
          </w:p>
        </w:tc>
        <w:tc>
          <w:tcPr>
            <w:tcW w:w="1680" w:type="dxa"/>
            <w:vAlign w:val="bottom"/>
            <w:tcBorders>
              <w:top w:val="single" w:sz="8" w:color="0000EE"/>
            </w:tcBorders>
            <w:gridSpan w:val="6"/>
          </w:tcPr>
          <w:p>
            <w:pPr>
              <w:spacing w:after="0" w:line="192" w:lineRule="exact"/>
              <w:rPr>
                <w:rFonts w:ascii="Arial" w:cs="Arial" w:eastAsia="Arial" w:hAnsi="Arial"/>
                <w:sz w:val="17"/>
                <w:szCs w:val="17"/>
                <w:color w:val="0000EE"/>
              </w:rPr>
            </w:pPr>
            <w:hyperlink w:anchor="page60">
              <w:r>
                <w:rPr>
                  <w:rFonts w:ascii="Arial" w:cs="Arial" w:eastAsia="Arial" w:hAnsi="Arial"/>
                  <w:sz w:val="17"/>
                  <w:szCs w:val="17"/>
                  <w:color w:val="0000EE"/>
                </w:rPr>
                <w:t>Other Information</w:t>
              </w:r>
            </w:hyperlink>
          </w:p>
        </w:tc>
        <w:tc>
          <w:tcPr>
            <w:tcW w:w="7080" w:type="dxa"/>
            <w:vAlign w:val="bottom"/>
            <w:gridSpan w:val="14"/>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60</w:t>
            </w:r>
          </w:p>
        </w:tc>
      </w:tr>
      <w:tr>
        <w:trPr>
          <w:trHeight w:val="298"/>
        </w:trPr>
        <w:tc>
          <w:tcPr>
            <w:tcW w:w="640" w:type="dxa"/>
            <w:vAlign w:val="bottom"/>
            <w:tcBorders>
              <w:bottom w:val="single" w:sz="8" w:color="0000EE"/>
            </w:tcBorders>
            <w:gridSpan w:val="3"/>
          </w:tcPr>
          <w:p>
            <w:pPr>
              <w:spacing w:after="0"/>
              <w:rPr>
                <w:rFonts w:ascii="Arial" w:cs="Arial" w:eastAsia="Arial" w:hAnsi="Arial"/>
                <w:sz w:val="17"/>
                <w:szCs w:val="17"/>
                <w:color w:val="0000EE"/>
                <w:w w:val="96"/>
              </w:rPr>
            </w:pPr>
            <w:hyperlink w:anchor="page61">
              <w:r>
                <w:rPr>
                  <w:rFonts w:ascii="Arial" w:cs="Arial" w:eastAsia="Arial" w:hAnsi="Arial"/>
                  <w:sz w:val="17"/>
                  <w:szCs w:val="17"/>
                  <w:color w:val="0000EE"/>
                  <w:w w:val="96"/>
                </w:rPr>
                <w:t>PART III</w:t>
              </w:r>
            </w:hyperlink>
          </w:p>
        </w:tc>
        <w:tc>
          <w:tcPr>
            <w:tcW w:w="50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10.</w:t>
            </w:r>
          </w:p>
        </w:tc>
        <w:tc>
          <w:tcPr>
            <w:tcW w:w="8760" w:type="dxa"/>
            <w:vAlign w:val="bottom"/>
            <w:gridSpan w:val="20"/>
          </w:tcPr>
          <w:p>
            <w:pPr>
              <w:spacing w:after="0" w:line="192" w:lineRule="exact"/>
              <w:rPr>
                <w:rFonts w:ascii="Arial" w:cs="Arial" w:eastAsia="Arial" w:hAnsi="Arial"/>
                <w:sz w:val="17"/>
                <w:szCs w:val="17"/>
                <w:color w:val="0000EE"/>
              </w:rPr>
            </w:pPr>
            <w:hyperlink w:anchor="page61">
              <w:r>
                <w:rPr>
                  <w:rFonts w:ascii="Arial" w:cs="Arial" w:eastAsia="Arial" w:hAnsi="Arial"/>
                  <w:sz w:val="17"/>
                  <w:szCs w:val="17"/>
                  <w:color w:val="0000EE"/>
                </w:rPr>
                <w:t>Trustees, Executive Officers and Corporate Governance</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61</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11.</w:t>
            </w:r>
          </w:p>
        </w:tc>
        <w:tc>
          <w:tcPr>
            <w:tcW w:w="1720" w:type="dxa"/>
            <w:vAlign w:val="bottom"/>
            <w:tcBorders>
              <w:top w:val="single" w:sz="8" w:color="0000EE"/>
              <w:bottom w:val="single" w:sz="8" w:color="0000EE"/>
            </w:tcBorders>
            <w:gridSpan w:val="7"/>
          </w:tcPr>
          <w:p>
            <w:pPr>
              <w:spacing w:after="0" w:line="192" w:lineRule="exact"/>
              <w:rPr>
                <w:rFonts w:ascii="Arial" w:cs="Arial" w:eastAsia="Arial" w:hAnsi="Arial"/>
                <w:sz w:val="17"/>
                <w:szCs w:val="17"/>
                <w:color w:val="0000EE"/>
                <w:w w:val="90"/>
              </w:rPr>
            </w:pPr>
            <w:hyperlink w:anchor="page61">
              <w:r>
                <w:rPr>
                  <w:rFonts w:ascii="Arial" w:cs="Arial" w:eastAsia="Arial" w:hAnsi="Arial"/>
                  <w:sz w:val="17"/>
                  <w:szCs w:val="17"/>
                  <w:color w:val="0000EE"/>
                  <w:w w:val="90"/>
                </w:rPr>
                <w:t>Executive Compensation</w:t>
              </w:r>
            </w:hyperlink>
          </w:p>
        </w:tc>
        <w:tc>
          <w:tcPr>
            <w:tcW w:w="2120" w:type="dxa"/>
            <w:vAlign w:val="bottom"/>
            <w:tcBorders>
              <w:top w:val="single" w:sz="8" w:color="0000EE"/>
            </w:tcBorders>
            <w:gridSpan w:val="6"/>
          </w:tcPr>
          <w:p>
            <w:pPr>
              <w:spacing w:after="0"/>
              <w:rPr>
                <w:sz w:val="16"/>
                <w:szCs w:val="16"/>
                <w:color w:val="auto"/>
              </w:rPr>
            </w:pPr>
          </w:p>
        </w:tc>
        <w:tc>
          <w:tcPr>
            <w:tcW w:w="4920" w:type="dxa"/>
            <w:vAlign w:val="bottom"/>
            <w:gridSpan w:val="7"/>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61</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12.</w:t>
            </w:r>
          </w:p>
        </w:tc>
        <w:tc>
          <w:tcPr>
            <w:tcW w:w="8760" w:type="dxa"/>
            <w:vAlign w:val="bottom"/>
            <w:gridSpan w:val="20"/>
          </w:tcPr>
          <w:p>
            <w:pPr>
              <w:spacing w:after="0" w:line="192" w:lineRule="exact"/>
              <w:rPr>
                <w:rFonts w:ascii="Arial" w:cs="Arial" w:eastAsia="Arial" w:hAnsi="Arial"/>
                <w:sz w:val="17"/>
                <w:szCs w:val="17"/>
                <w:color w:val="0000EE"/>
              </w:rPr>
            </w:pPr>
            <w:hyperlink w:anchor="page61">
              <w:r>
                <w:rPr>
                  <w:rFonts w:ascii="Arial" w:cs="Arial" w:eastAsia="Arial" w:hAnsi="Arial"/>
                  <w:sz w:val="17"/>
                  <w:szCs w:val="17"/>
                  <w:color w:val="0000EE"/>
                </w:rPr>
                <w:t>Security Ownership of Certain Beneficial Owners and Management and Related Shareholder Matters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61</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13.</w:t>
            </w:r>
          </w:p>
        </w:tc>
        <w:tc>
          <w:tcPr>
            <w:tcW w:w="6960" w:type="dxa"/>
            <w:vAlign w:val="bottom"/>
            <w:tcBorders>
              <w:top w:val="single" w:sz="8" w:color="0000EE"/>
            </w:tcBorders>
            <w:gridSpan w:val="18"/>
          </w:tcPr>
          <w:p>
            <w:pPr>
              <w:spacing w:after="0" w:line="192" w:lineRule="exact"/>
              <w:rPr>
                <w:rFonts w:ascii="Arial" w:cs="Arial" w:eastAsia="Arial" w:hAnsi="Arial"/>
                <w:sz w:val="17"/>
                <w:szCs w:val="17"/>
                <w:color w:val="0000EE"/>
              </w:rPr>
            </w:pPr>
            <w:hyperlink w:anchor="page61">
              <w:r>
                <w:rPr>
                  <w:rFonts w:ascii="Arial" w:cs="Arial" w:eastAsia="Arial" w:hAnsi="Arial"/>
                  <w:sz w:val="17"/>
                  <w:szCs w:val="17"/>
                  <w:color w:val="0000EE"/>
                </w:rPr>
                <w:t>Certain Relationships and Related Transactions, and Trustee Independence</w:t>
              </w:r>
            </w:hyperlink>
          </w:p>
        </w:tc>
        <w:tc>
          <w:tcPr>
            <w:tcW w:w="1800" w:type="dxa"/>
            <w:vAlign w:val="bottom"/>
            <w:gridSpan w:val="2"/>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61</w:t>
            </w:r>
          </w:p>
        </w:tc>
      </w:tr>
      <w:tr>
        <w:trPr>
          <w:trHeight w:val="192"/>
        </w:trPr>
        <w:tc>
          <w:tcPr>
            <w:tcW w:w="1140" w:type="dxa"/>
            <w:vAlign w:val="bottom"/>
            <w:gridSpan w:val="5"/>
          </w:tcPr>
          <w:p>
            <w:pPr>
              <w:spacing w:after="0" w:line="192" w:lineRule="exact"/>
              <w:rPr>
                <w:sz w:val="20"/>
                <w:szCs w:val="20"/>
                <w:color w:val="auto"/>
              </w:rPr>
            </w:pPr>
            <w:r>
              <w:rPr>
                <w:rFonts w:ascii="Arial" w:cs="Arial" w:eastAsia="Arial" w:hAnsi="Arial"/>
                <w:sz w:val="17"/>
                <w:szCs w:val="17"/>
                <w:color w:val="auto"/>
              </w:rPr>
              <w:t>Item 14.</w:t>
            </w:r>
          </w:p>
        </w:tc>
        <w:tc>
          <w:tcPr>
            <w:tcW w:w="5140" w:type="dxa"/>
            <w:vAlign w:val="bottom"/>
            <w:tcBorders>
              <w:top w:val="single" w:sz="8" w:color="0000EE"/>
            </w:tcBorders>
            <w:gridSpan w:val="15"/>
          </w:tcPr>
          <w:p>
            <w:pPr>
              <w:spacing w:after="0" w:line="192" w:lineRule="exact"/>
              <w:rPr>
                <w:rFonts w:ascii="Arial" w:cs="Arial" w:eastAsia="Arial" w:hAnsi="Arial"/>
                <w:sz w:val="17"/>
                <w:szCs w:val="17"/>
                <w:color w:val="0000EE"/>
              </w:rPr>
            </w:pPr>
            <w:hyperlink w:anchor="page61">
              <w:r>
                <w:rPr>
                  <w:rFonts w:ascii="Arial" w:cs="Arial" w:eastAsia="Arial" w:hAnsi="Arial"/>
                  <w:sz w:val="17"/>
                  <w:szCs w:val="17"/>
                  <w:color w:val="0000EE"/>
                </w:rPr>
                <w:t>Principal Accountant Fees and Services</w:t>
              </w:r>
            </w:hyperlink>
          </w:p>
        </w:tc>
        <w:tc>
          <w:tcPr>
            <w:tcW w:w="3620" w:type="dxa"/>
            <w:vAlign w:val="bottom"/>
            <w:gridSpan w:val="5"/>
          </w:tcPr>
          <w:p>
            <w:pPr>
              <w:spacing w:after="0"/>
              <w:rPr>
                <w:sz w:val="16"/>
                <w:szCs w:val="16"/>
                <w:color w:val="auto"/>
              </w:rPr>
            </w:pPr>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61</w:t>
            </w:r>
          </w:p>
        </w:tc>
      </w:tr>
      <w:tr>
        <w:trPr>
          <w:trHeight w:val="298"/>
        </w:trPr>
        <w:tc>
          <w:tcPr>
            <w:tcW w:w="1140" w:type="dxa"/>
            <w:vAlign w:val="bottom"/>
            <w:gridSpan w:val="5"/>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PART IV</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2"/>
        </w:trPr>
        <w:tc>
          <w:tcPr>
            <w:tcW w:w="640" w:type="dxa"/>
            <w:vAlign w:val="bottom"/>
            <w:tcBorders>
              <w:top w:val="single" w:sz="8" w:color="0000EE"/>
            </w:tcBorders>
            <w:gridSpan w:val="3"/>
          </w:tcPr>
          <w:p>
            <w:pPr>
              <w:spacing w:after="0" w:line="192" w:lineRule="exact"/>
              <w:rPr>
                <w:sz w:val="20"/>
                <w:szCs w:val="20"/>
                <w:color w:val="auto"/>
              </w:rPr>
            </w:pPr>
            <w:r>
              <w:rPr>
                <w:rFonts w:ascii="Arial" w:cs="Arial" w:eastAsia="Arial" w:hAnsi="Arial"/>
                <w:sz w:val="17"/>
                <w:szCs w:val="17"/>
                <w:color w:val="auto"/>
              </w:rPr>
              <w:t>Item 15.</w:t>
            </w:r>
          </w:p>
        </w:tc>
        <w:tc>
          <w:tcPr>
            <w:tcW w:w="500" w:type="dxa"/>
            <w:vAlign w:val="bottom"/>
            <w:gridSpan w:val="2"/>
          </w:tcPr>
          <w:p>
            <w:pPr>
              <w:spacing w:after="0"/>
              <w:rPr>
                <w:sz w:val="16"/>
                <w:szCs w:val="16"/>
                <w:color w:val="auto"/>
              </w:rPr>
            </w:pPr>
          </w:p>
        </w:tc>
        <w:tc>
          <w:tcPr>
            <w:tcW w:w="8760" w:type="dxa"/>
            <w:vAlign w:val="bottom"/>
            <w:gridSpan w:val="20"/>
          </w:tcPr>
          <w:p>
            <w:pPr>
              <w:spacing w:after="0" w:line="192" w:lineRule="exact"/>
              <w:rPr>
                <w:rFonts w:ascii="Arial" w:cs="Arial" w:eastAsia="Arial" w:hAnsi="Arial"/>
                <w:sz w:val="17"/>
                <w:szCs w:val="17"/>
                <w:color w:val="0000EE"/>
              </w:rPr>
            </w:pPr>
            <w:hyperlink w:anchor="page62">
              <w:r>
                <w:rPr>
                  <w:rFonts w:ascii="Arial" w:cs="Arial" w:eastAsia="Arial" w:hAnsi="Arial"/>
                  <w:sz w:val="17"/>
                  <w:szCs w:val="17"/>
                  <w:color w:val="0000EE"/>
                </w:rPr>
                <w:t>Exhibits and Financial Statement Schedules</w:t>
              </w:r>
            </w:hyperlink>
          </w:p>
        </w:tc>
        <w:tc>
          <w:tcPr>
            <w:tcW w:w="1520" w:type="dxa"/>
            <w:vAlign w:val="bottom"/>
          </w:tcPr>
          <w:p>
            <w:pPr>
              <w:jc w:val="right"/>
              <w:spacing w:after="0" w:line="192" w:lineRule="exact"/>
              <w:rPr>
                <w:sz w:val="20"/>
                <w:szCs w:val="20"/>
                <w:color w:val="auto"/>
              </w:rPr>
            </w:pPr>
            <w:r>
              <w:rPr>
                <w:rFonts w:ascii="Arial" w:cs="Arial" w:eastAsia="Arial" w:hAnsi="Arial"/>
                <w:sz w:val="17"/>
                <w:szCs w:val="17"/>
                <w:color w:val="auto"/>
              </w:rPr>
              <w:t>62</w:t>
            </w:r>
          </w:p>
        </w:tc>
      </w:tr>
      <w:tr>
        <w:trPr>
          <w:trHeight w:val="298"/>
        </w:trPr>
        <w:tc>
          <w:tcPr>
            <w:tcW w:w="1140" w:type="dxa"/>
            <w:vAlign w:val="bottom"/>
            <w:gridSpan w:val="5"/>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SIGNATURES</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74"/>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15"/>
          </w:tcPr>
          <w:p>
            <w:pPr>
              <w:ind w:left="4540"/>
              <w:spacing w:after="0"/>
              <w:rPr>
                <w:sz w:val="20"/>
                <w:szCs w:val="20"/>
                <w:color w:val="auto"/>
              </w:rPr>
            </w:pPr>
            <w:r>
              <w:rPr>
                <w:rFonts w:ascii="Arial" w:cs="Arial" w:eastAsia="Arial" w:hAnsi="Arial"/>
                <w:sz w:val="17"/>
                <w:szCs w:val="17"/>
                <w:color w:val="auto"/>
              </w:rPr>
              <w:t>2</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02"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i w:val="1"/>
          <w:iCs w:val="1"/>
          <w:color w:val="auto"/>
        </w:rPr>
        <w:t>References to “we,” “us,” “our” or the “Trust” refer to Federal Realty Investment Trust and our business and operations conducted through our directly or indirectly owned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2"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We are an equity real estate investment trust (“REIT”) specializing in the ownership, management, development and redevelopment of high quality retail and mixed-use properties. As of December 31, 2006, we owned, had a majority interest in, or controlled 111 community and neighborhood shopping centers and mixed-use properties comprising approximately 18.8 million square feet, located primarily in densely populated and affluent communities with relatively high barriers to entry throughout the Northeast and Mid-Atlantic United States, as well as in California. In total, these 111 commercial properties were 96.5% leased at December 31, 2006. A joint venture in which we own a 30% interest owned six neighborhood shopping centers totaling approximately 0.7 million square feet as of December 31,</w:t>
      </w:r>
    </w:p>
    <w:p>
      <w:pPr>
        <w:spacing w:after="0" w:line="1" w:lineRule="exact"/>
        <w:rPr>
          <w:sz w:val="20"/>
          <w:szCs w:val="20"/>
          <w:color w:val="auto"/>
        </w:rPr>
      </w:pPr>
    </w:p>
    <w:p>
      <w:pPr>
        <w:ind w:right="280"/>
        <w:spacing w:after="0" w:line="313" w:lineRule="auto"/>
        <w:rPr>
          <w:sz w:val="20"/>
          <w:szCs w:val="20"/>
          <w:color w:val="auto"/>
        </w:rPr>
      </w:pPr>
      <w:r>
        <w:rPr>
          <w:rFonts w:ascii="Arial" w:cs="Arial" w:eastAsia="Arial" w:hAnsi="Arial"/>
          <w:sz w:val="15"/>
          <w:szCs w:val="15"/>
          <w:color w:val="auto"/>
        </w:rPr>
        <w:t>2006. In total, the joint venture properties in which we own an interest were 98.7% leased at December 31, 2006. We have paid quarterly dividends to our shareholders continuously since our founding in 1962 and have increased our dividends per common share for 39 consecutive years. Revenue, property operating income, total assets and other financial information of each reportable segment are described in “Item 7. Management’s Discussion and Analysis of Financial Condition and Results of Operations” and in the financial statements contained in “Item 8. Financial Statements and Supplementary Data” of this Form 10-K.</w:t>
      </w:r>
    </w:p>
    <w:p>
      <w:pPr>
        <w:spacing w:after="0" w:line="1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and our telephone number is (301) 998-8100. Our Web site address is </w:t>
      </w:r>
      <w:r>
        <w:rPr>
          <w:rFonts w:ascii="Arial" w:cs="Arial" w:eastAsia="Arial" w:hAnsi="Arial"/>
          <w:sz w:val="17"/>
          <w:szCs w:val="17"/>
          <w:i w:val="1"/>
          <w:iCs w:val="1"/>
          <w:color w:val="auto"/>
        </w:rPr>
        <w:t>www.federalrealty.com</w:t>
      </w:r>
      <w:r>
        <w:rPr>
          <w:rFonts w:ascii="Arial" w:cs="Arial" w:eastAsia="Arial" w:hAnsi="Arial"/>
          <w:sz w:val="17"/>
          <w:szCs w:val="17"/>
          <w:color w:val="auto"/>
        </w:rPr>
        <w:t>. The information contained on our Web site is not a part of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Objectives and Strategies</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Our primary business objective is to own, manage, acquire and redevelop a portfolio of high quality retail properties, with the dominant property type being grocery anchored community and neighborhood shopping centers, that will:</w:t>
      </w:r>
    </w:p>
    <w:p>
      <w:pPr>
        <w:spacing w:after="0" w:line="36" w:lineRule="exact"/>
        <w:rPr>
          <w:sz w:val="20"/>
          <w:szCs w:val="20"/>
          <w:color w:val="auto"/>
        </w:rPr>
      </w:pPr>
    </w:p>
    <w:p>
      <w:pPr>
        <w:ind w:left="780" w:hanging="324"/>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generate higher internal growth than our peers;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protect investor capital;</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increasing cash flow for distributions to shareholders;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potential for capital appreciation.</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traditional focus has been and remains on grocery anchored community and neighborhood shopping centers. Late in 1994, recognizing a trend of increased consumer acceptance of retailer expansion to main streets, we expanded our investment strategy to include “street retail” and “mixed-use” properties. The mixed-use properties are typically centered around a retail component but also include office, residential and/or hotel components.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Strategies</w:t>
      </w:r>
    </w:p>
    <w:p>
      <w:pPr>
        <w:spacing w:after="0" w:line="9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Our core operating strategy is to actively manage our properties to maximize rents and maintain high occupancy levels by attracting and retaining a strong and diverse base of tenants and replacing weaker, underperforming tenants with stronger ones. Our properties are generally located in some of the most densely populated and affluent areas of the country. In addition, because of the in-fill nature of our locations, our properties generally face less competition per capita than properties owned by our peers. These strong demographics help our tenants generate higher sales, which has enabled us to maintain high occupancy rates, charge higher rental rates, and maintain steady rent growth, all of which increase the value of our portfolio. Our operating strategies also include:</w:t>
      </w:r>
    </w:p>
    <w:p>
      <w:pPr>
        <w:spacing w:after="0" w:line="25" w:lineRule="exact"/>
        <w:rPr>
          <w:sz w:val="20"/>
          <w:szCs w:val="20"/>
          <w:color w:val="auto"/>
        </w:rPr>
      </w:pPr>
    </w:p>
    <w:p>
      <w:pPr>
        <w:ind w:left="780" w:right="320" w:hanging="324"/>
        <w:spacing w:after="0" w:line="287"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increasing rental rates through the renewal of expiring leases or the leasing of space to new tenants at higher rental rates while limiting vacancy and down-time;</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maintaining a diversified tenant base, thereby limiting exposure to any one tenant’s financial difficulties;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107" w:lineRule="exact"/>
        <w:rPr>
          <w:rFonts w:ascii="Arial" w:cs="Arial" w:eastAsia="Arial" w:hAnsi="Arial"/>
          <w:sz w:val="16"/>
          <w:szCs w:val="16"/>
          <w:color w:val="auto"/>
        </w:rPr>
      </w:pPr>
    </w:p>
    <w:p>
      <w:pPr>
        <w:ind w:left="780" w:hanging="324"/>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minimizing overhead and operating costs;</w:t>
      </w:r>
    </w:p>
    <w:p>
      <w:pPr>
        <w:spacing w:after="0" w:line="95" w:lineRule="exact"/>
        <w:rPr>
          <w:rFonts w:ascii="Arial" w:cs="Arial" w:eastAsia="Arial" w:hAnsi="Arial"/>
          <w:sz w:val="17"/>
          <w:szCs w:val="17"/>
          <w:color w:val="auto"/>
        </w:rPr>
      </w:pPr>
    </w:p>
    <w:p>
      <w:pPr>
        <w:ind w:left="780" w:hanging="324"/>
        <w:spacing w:after="0" w:line="320"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2" w:lineRule="exact"/>
        <w:rPr>
          <w:rFonts w:ascii="Arial" w:cs="Arial" w:eastAsia="Arial" w:hAnsi="Arial"/>
          <w:sz w:val="16"/>
          <w:szCs w:val="16"/>
          <w:color w:val="auto"/>
        </w:rPr>
      </w:pPr>
    </w:p>
    <w:p>
      <w:pPr>
        <w:ind w:left="780" w:hanging="324"/>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developing local and regional market expertise in order to capitalize on market and retailing trends;</w:t>
      </w:r>
    </w:p>
    <w:p>
      <w:pPr>
        <w:spacing w:after="0" w:line="95" w:lineRule="exact"/>
        <w:rPr>
          <w:rFonts w:ascii="Arial" w:cs="Arial" w:eastAsia="Arial" w:hAnsi="Arial"/>
          <w:sz w:val="17"/>
          <w:szCs w:val="17"/>
          <w:color w:val="auto"/>
        </w:rPr>
      </w:pPr>
    </w:p>
    <w:p>
      <w:pPr>
        <w:ind w:left="780" w:right="340" w:hanging="324"/>
        <w:spacing w:after="0" w:line="287"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leveraging the contacts and experience of our management team to build and maintain long-term relationships with tenants, investors and financing sources; and</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providing exceptional customer service.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Strategies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Our investment strategy is to deploy capital at risk-adjusted rates of return that exceed our weighted average cost of capital in projects that have potential for future income growth.</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investments primarily fall into one of the following four categories:</w:t>
      </w:r>
    </w:p>
    <w:p>
      <w:pPr>
        <w:spacing w:after="0" w:line="96" w:lineRule="exact"/>
        <w:rPr>
          <w:sz w:val="20"/>
          <w:szCs w:val="20"/>
          <w:color w:val="auto"/>
        </w:rPr>
      </w:pPr>
    </w:p>
    <w:p>
      <w:pPr>
        <w:ind w:left="780" w:right="260" w:hanging="324"/>
        <w:spacing w:after="0" w:line="287"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renovating, expanding, reconfiguring and/or retenanting our existing properties to take advantage of under-utilized land or existing square footage to increase revenue;</w:t>
      </w:r>
    </w:p>
    <w:p>
      <w:pPr>
        <w:spacing w:after="0" w:line="35" w:lineRule="exact"/>
        <w:rPr>
          <w:rFonts w:ascii="Arial" w:cs="Arial" w:eastAsia="Arial" w:hAnsi="Arial"/>
          <w:sz w:val="17"/>
          <w:szCs w:val="17"/>
          <w:color w:val="auto"/>
        </w:rPr>
      </w:pPr>
    </w:p>
    <w:p>
      <w:pPr>
        <w:ind w:left="780" w:right="20" w:hanging="324"/>
        <w:spacing w:after="0" w:line="350"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acquiring community and neighborhood shopping centers, located in densely populated or affluent areas where barriers to entry for further development are high, and that have possibilities for enhancing operating performance through renovation, expansion, reconfiguration and/or retenanting;</w:t>
      </w:r>
    </w:p>
    <w:p>
      <w:pPr>
        <w:ind w:left="780" w:right="380" w:hanging="324"/>
        <w:spacing w:after="0" w:line="320"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 and</w:t>
      </w:r>
    </w:p>
    <w:p>
      <w:pPr>
        <w:spacing w:after="0" w:line="12" w:lineRule="exact"/>
        <w:rPr>
          <w:rFonts w:ascii="Arial" w:cs="Arial" w:eastAsia="Arial" w:hAnsi="Arial"/>
          <w:sz w:val="16"/>
          <w:szCs w:val="16"/>
          <w:color w:val="auto"/>
        </w:rPr>
      </w:pPr>
    </w:p>
    <w:p>
      <w:pPr>
        <w:ind w:left="780" w:right="60" w:hanging="324"/>
        <w:spacing w:after="0" w:line="357"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acquiring, in partnership with longer term investors who contribute a substantial portion of the equity needed to acquire those properties, stabilized community and neighborhood shopping centers, located in densely populated or affluent areas where barriers to entry for further development are high.</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Criteria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When we evaluate potential redevelopment, retenanting, expansion and acquisition opportunities, we consider such factors as:</w:t>
      </w:r>
    </w:p>
    <w:p>
      <w:pPr>
        <w:spacing w:after="0" w:line="96" w:lineRule="exact"/>
        <w:rPr>
          <w:sz w:val="20"/>
          <w:szCs w:val="20"/>
          <w:color w:val="auto"/>
        </w:rPr>
      </w:pPr>
    </w:p>
    <w:p>
      <w:pPr>
        <w:ind w:left="5680" w:right="1580" w:hanging="5224"/>
        <w:spacing w:after="0" w:line="465" w:lineRule="auto"/>
        <w:tabs>
          <w:tab w:leader="none" w:pos="7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expected returns in relation to our cost of capital as well as the anticipated risk we will face in achieving the expected returns; 4</w:t>
      </w:r>
    </w:p>
    <w:p>
      <w:pPr>
        <w:sectPr>
          <w:pgSz w:w="11900" w:h="16838" w:orient="portrait"/>
          <w:cols w:equalWidth="0" w:num="1">
            <w:col w:w="11280"/>
          </w:cols>
          <w:pgMar w:left="240" w:top="453"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80" w:hanging="324"/>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anticipated growth rate of operating income generated by the property;</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tenant mix at the property, tenant sales performance and the creditworthiness of those tenants;</w:t>
      </w:r>
    </w:p>
    <w:p>
      <w:pPr>
        <w:spacing w:after="0" w:line="95" w:lineRule="exact"/>
        <w:rPr>
          <w:rFonts w:ascii="Arial" w:cs="Arial" w:eastAsia="Arial" w:hAnsi="Arial"/>
          <w:sz w:val="17"/>
          <w:szCs w:val="17"/>
          <w:color w:val="auto"/>
        </w:rPr>
      </w:pPr>
    </w:p>
    <w:p>
      <w:pPr>
        <w:ind w:left="780" w:hanging="324"/>
        <w:spacing w:after="0" w:line="287"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and household incomes, as well as the population and income trends in that geographic area;</w:t>
      </w:r>
    </w:p>
    <w:p>
      <w:pPr>
        <w:spacing w:after="0" w:line="35" w:lineRule="exact"/>
        <w:rPr>
          <w:rFonts w:ascii="Arial" w:cs="Arial" w:eastAsia="Arial" w:hAnsi="Arial"/>
          <w:sz w:val="17"/>
          <w:szCs w:val="17"/>
          <w:color w:val="auto"/>
        </w:rPr>
      </w:pPr>
    </w:p>
    <w:p>
      <w:pPr>
        <w:ind w:left="780" w:right="880" w:hanging="324"/>
        <w:spacing w:after="0" w:line="287"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conditions in the vicinity of the property, including competition for tenants and the ability to create competing properties through redevelopment, new construction or renovation;</w:t>
      </w:r>
    </w:p>
    <w:p>
      <w:pPr>
        <w:spacing w:after="0" w:line="35" w:lineRule="exact"/>
        <w:rPr>
          <w:rFonts w:ascii="Arial" w:cs="Arial" w:eastAsia="Arial" w:hAnsi="Arial"/>
          <w:sz w:val="17"/>
          <w:szCs w:val="17"/>
          <w:color w:val="auto"/>
        </w:rPr>
      </w:pPr>
    </w:p>
    <w:p>
      <w:pPr>
        <w:ind w:left="780" w:right="60" w:hanging="324"/>
        <w:spacing w:after="0" w:line="287"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access to and visibility of the property from existing roadways and the potential for new, widened or realigned, roadways within the property’s trade area, which may affect access and commuting and shopping patterns;</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level and success of our existing investments in the market area;</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current market value of the land, buildings and other improvements and the potential for increasing those market values;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physical condition of the land, buildings and other improvements, including the structural and environmental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Strategies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financing strategy is designed to enable us to maintain a strong balance sheet while retaining sufficient flexibility to fund our operating and investing activities in the most cost-efficient way possible. Our financing strategy includes:</w:t>
      </w:r>
    </w:p>
    <w:p>
      <w:pPr>
        <w:spacing w:after="0" w:line="36" w:lineRule="exact"/>
        <w:rPr>
          <w:sz w:val="20"/>
          <w:szCs w:val="20"/>
          <w:color w:val="auto"/>
        </w:rPr>
      </w:pPr>
    </w:p>
    <w:p>
      <w:pPr>
        <w:ind w:left="780" w:right="860" w:hanging="324"/>
        <w:spacing w:after="0" w:line="287"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maintaining a prudent level of overall leverage and an appropriate pool of unencumbered properties that is sufficient to support our unsecured borrowings;</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managing our exposure to variable-rate debt;</w:t>
      </w:r>
    </w:p>
    <w:p>
      <w:pPr>
        <w:spacing w:after="0" w:line="95" w:lineRule="exact"/>
        <w:rPr>
          <w:rFonts w:ascii="Arial" w:cs="Arial" w:eastAsia="Arial" w:hAnsi="Arial"/>
          <w:sz w:val="17"/>
          <w:szCs w:val="17"/>
          <w:color w:val="auto"/>
        </w:rPr>
      </w:pPr>
    </w:p>
    <w:p>
      <w:pPr>
        <w:ind w:left="780" w:right="400" w:hanging="324"/>
        <w:spacing w:after="0" w:line="287"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taking advantage of market opportunities to refinance existing debt, reduce interest costs and manage our debt maturity schedule so that a significant portion of our debt does not mature in any one year;</w:t>
      </w:r>
    </w:p>
    <w:p>
      <w:pPr>
        <w:spacing w:after="0" w:line="35" w:lineRule="exact"/>
        <w:rPr>
          <w:rFonts w:ascii="Arial" w:cs="Arial" w:eastAsia="Arial" w:hAnsi="Arial"/>
          <w:sz w:val="17"/>
          <w:szCs w:val="17"/>
          <w:color w:val="auto"/>
        </w:rPr>
      </w:pPr>
    </w:p>
    <w:p>
      <w:pPr>
        <w:ind w:left="780" w:right="500" w:hanging="324"/>
        <w:spacing w:after="0" w:line="287"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107" w:lineRule="exact"/>
        <w:rPr>
          <w:rFonts w:ascii="Arial" w:cs="Arial" w:eastAsia="Arial" w:hAnsi="Arial"/>
          <w:sz w:val="16"/>
          <w:szCs w:val="16"/>
          <w:color w:val="auto"/>
        </w:rPr>
      </w:pPr>
    </w:p>
    <w:p>
      <w:pPr>
        <w:ind w:left="1240" w:hanging="439"/>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or private placements,</w:t>
      </w:r>
    </w:p>
    <w:p>
      <w:pPr>
        <w:spacing w:after="0" w:line="95" w:lineRule="exact"/>
        <w:rPr>
          <w:rFonts w:ascii="Arial" w:cs="Arial" w:eastAsia="Arial" w:hAnsi="Arial"/>
          <w:sz w:val="17"/>
          <w:szCs w:val="17"/>
          <w:color w:val="auto"/>
        </w:rPr>
      </w:pPr>
    </w:p>
    <w:p>
      <w:pPr>
        <w:ind w:left="1240" w:hanging="439"/>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incurrence of indebtedness through secured or unsecured borrowings,</w:t>
      </w:r>
    </w:p>
    <w:p>
      <w:pPr>
        <w:spacing w:after="0" w:line="95" w:lineRule="exact"/>
        <w:rPr>
          <w:rFonts w:ascii="Arial" w:cs="Arial" w:eastAsia="Arial" w:hAnsi="Arial"/>
          <w:sz w:val="17"/>
          <w:szCs w:val="17"/>
          <w:color w:val="auto"/>
        </w:rPr>
      </w:pPr>
    </w:p>
    <w:p>
      <w:pPr>
        <w:ind w:left="1240" w:right="100" w:hanging="439"/>
        <w:spacing w:after="0" w:line="269" w:lineRule="auto"/>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issuance of operating units in a new or existing “downREIT partnership” that is controlled and consolidated by us (generally operating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50" w:lineRule="exact"/>
        <w:rPr>
          <w:rFonts w:ascii="Arial" w:cs="Arial" w:eastAsia="Arial" w:hAnsi="Arial"/>
          <w:sz w:val="17"/>
          <w:szCs w:val="17"/>
          <w:color w:val="auto"/>
        </w:rPr>
      </w:pPr>
    </w:p>
    <w:p>
      <w:pPr>
        <w:ind w:left="1240" w:hanging="439"/>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use of joint venture arrangements.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02"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At December 31, 2006, we had 221 full-time employees and 114 part-time employees. None of our employees is represented by a collective bargaining unit. We believe that our relationship with our employees is good.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10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elected to be taxed as a real estate investment trust for federal income tax purposes beginning with our taxable year ended December 31, 1962. As a REIT, we are generally not subject to federal income tax on REIT taxable income that we distribute to our shareholders. Under the internal revenue Code of 1986, as amended, which we refer to as the Code, REITs are subject to numerous organizational and operational requirements, including the requirement to generally distribute at least 90% of REIT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REIT taxable income.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w:t>
      </w:r>
    </w:p>
    <w:p>
      <w:pPr>
        <w:spacing w:after="0" w:line="13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have elected to treat certain of our subsidiaries as taxable REIT subsidiaries, each of which we refer to as a TRS. In general, a TRS may engage in any real estate business and certain non-real estate businesses, subject to certain limitations under the Code. A TRS is subject to federal and state income taxes. The sales of condominiums at Santana Row, which occurred between August 2005 and August 2006, were conducted through a TRS. As a result of these condominium sales, our TRS incurred approximately $2.4 million and $3.5 million of income taxes in 2006 and 2005, respectively. Other than the condominium sales, our TRS activities have been limited and they did not incur any significant 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 Affecting Our Properties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w:t>
      </w:r>
    </w:p>
    <w:p>
      <w:pPr>
        <w:spacing w:after="0" w:line="96" w:lineRule="exact"/>
        <w:rPr>
          <w:sz w:val="20"/>
          <w:szCs w:val="20"/>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which we refer to as CERCLA;</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Resource Conservation &amp; Recovery Act;</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Clean Water Act;</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Clean Air Act;</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Toxic Substances Control Act;</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Occupational Safety &amp; Health Act;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Americans with Disabilities Act.</w:t>
      </w:r>
    </w:p>
    <w:p>
      <w:pPr>
        <w:spacing w:after="0" w:line="17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the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w:t>
      </w:r>
    </w:p>
    <w:p>
      <w:pPr>
        <w:spacing w:after="0" w:line="1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2"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48" w:lineRule="exact"/>
        <w:rPr>
          <w:sz w:val="20"/>
          <w:szCs w:val="20"/>
          <w:color w:val="auto"/>
        </w:rPr>
      </w:pPr>
    </w:p>
    <w:p>
      <w:pPr>
        <w:ind w:left="780" w:hanging="324"/>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 the number of properties available for acquisition;</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 leading to increased vacancy rates and/or reduced rents,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75"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Retailers at our properties also face increasing competition from outlet stores, discount shopping clubs, and other forms of marketing of goods and services, such as direct mail, electronic commerce and telemarketing. This competition could contribute to lease defaults and insolvency of tenants.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2"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 xml:space="preserve">Copies of our Annual Report on Form 10-K, Quarterly Reports on Form 10-Q, Current Reports on Form 8-K, and amendments to those reports filed or furnished pursuant to Section 13(a) or 15(d) of the Securities Exchange Act of 1934 are available free of charge through the Investor Information section of our website at </w:t>
      </w:r>
      <w:r>
        <w:rPr>
          <w:rFonts w:ascii="Arial" w:cs="Arial" w:eastAsia="Arial" w:hAnsi="Arial"/>
          <w:sz w:val="17"/>
          <w:szCs w:val="17"/>
          <w:i w:val="1"/>
          <w:iCs w:val="1"/>
          <w:color w:val="auto"/>
        </w:rPr>
        <w:t xml:space="preserve">www.federalrealty.com </w:t>
      </w:r>
      <w:r>
        <w:rPr>
          <w:rFonts w:ascii="Arial" w:cs="Arial" w:eastAsia="Arial" w:hAnsi="Arial"/>
          <w:sz w:val="17"/>
          <w:szCs w:val="17"/>
          <w:color w:val="auto"/>
        </w:rPr>
        <w:t>as soon as reasonably practicable after we electronically file the material with, or furnish the material to, the Securities and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or the SEC.</w:t>
      </w:r>
    </w:p>
    <w:p>
      <w:pPr>
        <w:spacing w:after="0" w:line="130"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Amendments to the Code of Ethics or Code of Business Conduct or waivers that apply to any of our executive officers or our senior financial officers will be disclosed in that section of our website as well.</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You may obtain a printed copy of any of the foregoing materials from us by writing to us at Investor Relations, Federal Realty Investment Trust, 1626 East Jefferson Street, Rockville, Maryland 20852.</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2"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refer to as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our properties may be reduced or limited if the retail operations of our tenants are not successful.</w:t>
      </w:r>
    </w:p>
    <w:p>
      <w:pPr>
        <w:spacing w:after="0" w:line="10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General economic downturns and other conditions affecting the retail industry may affect the success of our tenants’ retail operations and therefore the amount of rent and expense reimbursements we receive from our tenants. Any reduction in our tenants’ ability to pay base rent, percentage rent or other charges, including the filing by any of our tenants for bankruptcy protection, may adversely affect our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income depends on the success and continued presence of our “anchor” tenants.</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difficulty or delay in renewing leases or re-leasing space.</w:t>
      </w:r>
    </w:p>
    <w:p>
      <w:pPr>
        <w:spacing w:after="0" w:line="102"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amount of debt we have and the restrictions imposed by that debt could adversely affect our business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We have a substantial amount of debt. As of December 31, 2006, we had approximately $1.7 billion of debt outstanding. Of that outstanding debt, approximately</w:t>
      </w:r>
    </w:p>
    <w:p>
      <w:pPr>
        <w:spacing w:after="0" w:line="3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$285 million was secured by 15 of our properties and approximately $149 million represented capital lease obligations on 12 of our properties. In addition, we own a 30% interest in a joint venture that had $77.4 million of debt secured by six properties as of December 31, 2006. In total, approximately $1.6 billion of our debt as of December 31, 2006, which includes all of our property secured debt (including the property secured debt of the joint venture) and our capital lease obligations, is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27" w:lineRule="exact"/>
        <w:rPr>
          <w:sz w:val="20"/>
          <w:szCs w:val="20"/>
          <w:color w:val="auto"/>
        </w:rPr>
      </w:pPr>
    </w:p>
    <w:p>
      <w:pPr>
        <w:ind w:left="780" w:right="300" w:hanging="324"/>
        <w:spacing w:after="0" w:line="287"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80" w:hanging="324"/>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ability to make distributions on our outstanding common shares and preferred shares;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it difficult to satisfy our debt service requirements;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107" w:lineRule="exact"/>
        <w:rPr>
          <w:rFonts w:ascii="Arial" w:cs="Arial" w:eastAsia="Arial" w:hAnsi="Arial"/>
          <w:sz w:val="16"/>
          <w:szCs w:val="16"/>
          <w:color w:val="auto"/>
        </w:rPr>
      </w:pPr>
    </w:p>
    <w:p>
      <w:pPr>
        <w:ind w:left="780" w:hanging="324"/>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factors that affect the profitability of our business;</w:t>
      </w:r>
    </w:p>
    <w:p>
      <w:pPr>
        <w:spacing w:after="0" w:line="95" w:lineRule="exact"/>
        <w:rPr>
          <w:rFonts w:ascii="Arial" w:cs="Arial" w:eastAsia="Arial" w:hAnsi="Arial"/>
          <w:sz w:val="17"/>
          <w:szCs w:val="17"/>
          <w:color w:val="auto"/>
        </w:rPr>
      </w:pPr>
    </w:p>
    <w:p>
      <w:pPr>
        <w:ind w:left="780" w:right="260" w:hanging="324"/>
        <w:spacing w:after="0" w:line="287"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35" w:lineRule="exact"/>
        <w:rPr>
          <w:rFonts w:ascii="Arial" w:cs="Arial" w:eastAsia="Arial" w:hAnsi="Arial"/>
          <w:sz w:val="17"/>
          <w:szCs w:val="17"/>
          <w:color w:val="auto"/>
        </w:rPr>
      </w:pPr>
    </w:p>
    <w:p>
      <w:pPr>
        <w:ind w:left="780" w:right="100" w:hanging="324"/>
        <w:spacing w:after="0" w:line="287"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flexibility in conducting our business, which may place us at a disadvantage compared to competitors with less debt or debt with less restrictive terms.</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3"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b w:val="1"/>
          <w:bCs w:val="1"/>
          <w:color w:val="auto"/>
        </w:rPr>
        <w:t>We are obligated to comply with financial and other covenants in our debt that could restrict our operating activities, and the failure to comply with such covenants could result in defaults that accelerate payment under our debt.</w:t>
      </w:r>
    </w:p>
    <w:p>
      <w:pPr>
        <w:spacing w:after="0" w:line="30"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Our credit facility and term loans include financial covenants that may limit our operating activities in the future. We are also required to comply with additional covenants that include, among other things, provisions:</w:t>
      </w:r>
    </w:p>
    <w:p>
      <w:pPr>
        <w:spacing w:after="0" w:line="36" w:lineRule="exact"/>
        <w:rPr>
          <w:sz w:val="20"/>
          <w:szCs w:val="20"/>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relating to the maintenance of property securing a mortgage;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pledge assets or create liens;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incur additional debt;</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amend or modify existing leases at properties securing a mortgage;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enter into transactions with affiliates;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consolidate, merge or sell all or substantially all of our assets.</w:t>
      </w:r>
    </w:p>
    <w:p>
      <w:pPr>
        <w:spacing w:after="0" w:line="17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As of December 31, 2006,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development activities have inherent risks.</w:t>
      </w:r>
    </w:p>
    <w:p>
      <w:pPr>
        <w:spacing w:after="0" w:line="10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ground-up development of improvements on real property, as opposed to the renovation and redevelopment of existing improvements, presents substantial risks. We generally do not intend to undertake on our own construction of any new large-scale mixed-use, ground-up development projects; however, we do intend to complete the development and construction of remaining phases of projects we already have started, such as Bethesda Row in Bethesda, Maryland, Santana Row in San Jose, California, and Assembly Square in Somerville, Massachusetts. We may undertake development of these and other projects if it is justifiable on a risk-adjusted return basis. If additional phases of any of our existing projects or if any new projects are not successful, it may adversely affect our financial condition and results of operations.</w:t>
      </w:r>
    </w:p>
    <w:p>
      <w:pPr>
        <w:spacing w:after="0" w:line="135"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color w:val="auto"/>
        </w:rPr>
        <w:t>In addition to the risks associated with real estate investment in general as described elsewhere, the risks associated with our remaining development activities include:</w:t>
      </w:r>
    </w:p>
    <w:p>
      <w:pPr>
        <w:spacing w:after="0" w:line="36" w:lineRule="exact"/>
        <w:rPr>
          <w:sz w:val="20"/>
          <w:szCs w:val="20"/>
          <w:color w:val="auto"/>
        </w:rPr>
      </w:pPr>
    </w:p>
    <w:p>
      <w:pPr>
        <w:ind w:left="780" w:hanging="324"/>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time lag between commencement and completion subjects us to greater risks due to fluctuation in the general economy;</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or inability to obtain construction or permanent financing on favorable terms;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expenditure of money and time on projects that may never be completed;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achieve projected rental rates or anticipated pace of lease-up;</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than estimated construction costs, including labor and material costs; and</w:t>
      </w:r>
    </w:p>
    <w:p>
      <w:pPr>
        <w:spacing w:after="0" w:line="95" w:lineRule="exact"/>
        <w:rPr>
          <w:rFonts w:ascii="Arial" w:cs="Arial" w:eastAsia="Arial" w:hAnsi="Arial"/>
          <w:sz w:val="17"/>
          <w:szCs w:val="17"/>
          <w:color w:val="auto"/>
        </w:rPr>
      </w:pPr>
    </w:p>
    <w:p>
      <w:pPr>
        <w:ind w:left="780" w:right="100" w:hanging="324"/>
        <w:spacing w:after="0" w:line="287"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possible delay in completion of a project because of a number of factors, including weather, labor disruptions, construction delays or delays in receipt of zoning or other regulatory approvals, or acts of God (such as fires, earthquakes or floods).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Redevelopments and acquisitions may fail to perform as expected.</w:t>
      </w:r>
    </w:p>
    <w:p>
      <w:pPr>
        <w:spacing w:after="0" w:line="1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48" w:lineRule="exact"/>
        <w:rPr>
          <w:sz w:val="20"/>
          <w:szCs w:val="20"/>
          <w:color w:val="auto"/>
        </w:rPr>
      </w:pPr>
    </w:p>
    <w:p>
      <w:pPr>
        <w:jc w:val="both"/>
        <w:ind w:left="780" w:right="180" w:hanging="324"/>
        <w:spacing w:after="0" w:line="273"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48" w:lineRule="exact"/>
        <w:rPr>
          <w:rFonts w:ascii="Arial" w:cs="Arial" w:eastAsia="Arial" w:hAnsi="Arial"/>
          <w:sz w:val="17"/>
          <w:szCs w:val="17"/>
          <w:color w:val="auto"/>
        </w:rPr>
      </w:pPr>
    </w:p>
    <w:p>
      <w:pPr>
        <w:ind w:left="780" w:hanging="324"/>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integrate an acquisition into our existing operations successfully;</w:t>
      </w:r>
    </w:p>
    <w:p>
      <w:pPr>
        <w:spacing w:after="0" w:line="95" w:lineRule="exact"/>
        <w:rPr>
          <w:rFonts w:ascii="Arial" w:cs="Arial" w:eastAsia="Arial" w:hAnsi="Arial"/>
          <w:sz w:val="17"/>
          <w:szCs w:val="17"/>
          <w:color w:val="auto"/>
        </w:rPr>
      </w:pPr>
    </w:p>
    <w:p>
      <w:pPr>
        <w:ind w:left="780" w:right="200" w:hanging="324"/>
        <w:spacing w:after="0" w:line="287"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properties we redevelop or acquire may, within the time frames we project, fail to achieve the occupancy or rental rates we project at the time we make the decision to invest, which may result in the properties’ failure to achieve the returns we projected;</w:t>
      </w:r>
    </w:p>
    <w:p>
      <w:pPr>
        <w:spacing w:after="0" w:line="35" w:lineRule="exact"/>
        <w:rPr>
          <w:rFonts w:ascii="Arial" w:cs="Arial" w:eastAsia="Arial" w:hAnsi="Arial"/>
          <w:sz w:val="17"/>
          <w:szCs w:val="17"/>
          <w:color w:val="auto"/>
        </w:rPr>
      </w:pPr>
    </w:p>
    <w:p>
      <w:pPr>
        <w:ind w:left="780" w:right="40" w:hanging="324"/>
        <w:spacing w:after="0" w:line="287"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35" w:lineRule="exact"/>
        <w:rPr>
          <w:rFonts w:ascii="Arial" w:cs="Arial" w:eastAsia="Arial" w:hAnsi="Arial"/>
          <w:sz w:val="17"/>
          <w:szCs w:val="17"/>
          <w:color w:val="auto"/>
        </w:rPr>
      </w:pPr>
    </w:p>
    <w:p>
      <w:pPr>
        <w:ind w:left="780" w:right="180" w:hanging="324"/>
        <w:spacing w:after="0" w:line="287"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453"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grow will be limited if we cannot obtain additional capital.</w:t>
      </w:r>
    </w:p>
    <w:p>
      <w:pPr>
        <w:spacing w:after="0" w:line="102"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interest rates could adversely affect our cash flow and the market price of our outstanding debt and preferred shares.</w:t>
      </w:r>
    </w:p>
    <w:p>
      <w:pPr>
        <w:spacing w:after="0" w:line="10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Of our approximately $1.7 billion of debt outstanding as of December 31, 2006, approximately $107 million bears interest at variable rates and was unhedged.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of issuing additional debt securities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and value are subject to general risks associated with the real estate industry.</w:t>
      </w:r>
    </w:p>
    <w:p>
      <w:pPr>
        <w:spacing w:after="0" w:line="10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30" w:lineRule="exact"/>
        <w:rPr>
          <w:sz w:val="20"/>
          <w:szCs w:val="20"/>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economic downturns in the areas where our properties are located;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changes in local real estate market conditions, such as an oversupply or reduction in demand;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tenant preferences that reduce the attractiveness of our properties to tenants;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zoning or regulatory restrictions;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decreases in market rental rates;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weather conditions that may increase or decrease energy costs and other weather-related expenses;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associated with the need to periodically repair, renovate and re-lease space; and</w:t>
      </w:r>
    </w:p>
    <w:p>
      <w:pPr>
        <w:spacing w:after="0" w:line="95" w:lineRule="exact"/>
        <w:rPr>
          <w:rFonts w:ascii="Arial" w:cs="Arial" w:eastAsia="Arial" w:hAnsi="Arial"/>
          <w:sz w:val="17"/>
          <w:szCs w:val="17"/>
          <w:color w:val="auto"/>
        </w:rPr>
      </w:pPr>
    </w:p>
    <w:p>
      <w:pPr>
        <w:ind w:left="780" w:right="140" w:hanging="324"/>
        <w:spacing w:after="0" w:line="273"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53"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Many real estate costs are fixed, even if income from our properties decreases.</w:t>
      </w:r>
    </w:p>
    <w:p>
      <w:pPr>
        <w:spacing w:after="0" w:line="102"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such new properties until they are fully leased.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may limit our ability to purchase new properties and generate sufficient income from tenants.</w:t>
      </w:r>
    </w:p>
    <w:p>
      <w:pPr>
        <w:spacing w:after="0" w:line="102"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color w:val="auto"/>
        </w:rPr>
        <w:t>Numerous commercial developers and real estate companies compete with us in seeking tenants for our existing properties and properties for acquisition. This competition may:</w:t>
      </w:r>
    </w:p>
    <w:p>
      <w:pPr>
        <w:spacing w:after="0" w:line="36" w:lineRule="exact"/>
        <w:rPr>
          <w:sz w:val="20"/>
          <w:szCs w:val="20"/>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properties available for acquisition;</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rents payable to us;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lead to increased vacancy rates at our properties;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sell properties when appropriate because real estate investments are illiquid.</w:t>
      </w:r>
    </w:p>
    <w:p>
      <w:pPr>
        <w:spacing w:after="0" w:line="10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insurance coverage on our properties may be inadequate.</w:t>
      </w:r>
    </w:p>
    <w:p>
      <w:pPr>
        <w:spacing w:after="0" w:line="10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currently carry comprehensive insurance on all of our properties, including insurance for liability, fire, flood, rental loss and acts of terrorism. We also currently carry earthquake insurance on all of our properties in California and environmental insurance on most of our properties.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17" w:lineRule="exact"/>
        <w:rPr>
          <w:sz w:val="20"/>
          <w:szCs w:val="20"/>
          <w:color w:val="auto"/>
        </w:rPr>
      </w:pPr>
    </w:p>
    <w:p>
      <w:pPr>
        <w:ind w:right="400"/>
        <w:spacing w:after="0" w:line="357" w:lineRule="auto"/>
        <w:rPr>
          <w:sz w:val="20"/>
          <w:szCs w:val="20"/>
          <w:color w:val="auto"/>
        </w:rPr>
      </w:pPr>
      <w:r>
        <w:rPr>
          <w:rFonts w:ascii="Arial" w:cs="Arial" w:eastAsia="Arial" w:hAnsi="Arial"/>
          <w:sz w:val="15"/>
          <w:szCs w:val="15"/>
          <w:color w:val="auto"/>
        </w:rPr>
        <w:t>The availability of insurance coverage may decrease and the prices for insurance may increase as a consequence of significant losses incurred by the insurance industry. As a result, we may be unable to renew or duplicate our current insurance coverage in adequate amounts or at reasonable prices. In addition, insurance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5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limited flexibility in dealing with our jointly owned investments.</w:t>
      </w:r>
    </w:p>
    <w:p>
      <w:pPr>
        <w:spacing w:after="0" w:line="10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February 23, 2007, excluding our joint venture with Clarion Lion Properties Fund, we hold eight shopping centers and five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of our existing co-investments as of February 23, 2007, we must obtain the consent of the co-investor or meet defined criteria to sell or to finance five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27"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In addition, on July 1, 2004, we entered into a new joint venture with affiliates of Clarion Lion Properties Fund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22" w:lineRule="exact"/>
        <w:rPr>
          <w:sz w:val="20"/>
          <w:szCs w:val="20"/>
          <w:color w:val="auto"/>
        </w:rPr>
      </w:pPr>
    </w:p>
    <w:p>
      <w:pPr>
        <w:ind w:left="780" w:hanging="3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enter into new anchor tenant leases, modify existing anchor tenant leases or enforce remedies against anchor tenants;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certain repairs, renovations or other changes or improvements to properties;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sell or finance the property with secured debt.</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terms of our partnership require that certain acquisition opportunities be presented first to the joint venture, which limits our ability to acquire properties for our own account which could, in turn, limit our ability to grow. Our investment in this joint venture is also subject to the risks described above for jointly owned investments. As of December 31, 2006, this joint venture owned six properties.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and regulations could reduce the value or profitability of our properties.</w:t>
      </w:r>
    </w:p>
    <w:p>
      <w:pPr>
        <w:spacing w:after="0" w:line="102"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53"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12"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0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also may change in the future and restrict further renovations of our properties with respect to access for disabled persons. Future compliance with this Act may require expensive changes to the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53"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color w:val="auto"/>
        </w:rPr>
        <w:t>Failure to qualify as a REIT for federal income tax purposes would cause us to be taxed as a corporation, which would substantially reduce funds available for payment of distributions.</w:t>
      </w:r>
    </w:p>
    <w:p>
      <w:pPr>
        <w:spacing w:after="0" w:line="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Internal Revenue Code of 1986, as amended (the “Code”). However, we cannot assure you that we will remain qualified as such in the future.</w:t>
      </w:r>
    </w:p>
    <w:p>
      <w:pPr>
        <w:spacing w:after="0" w:line="12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As a REIT, we must generally make annual distributions to shareholders of at least 90% of our REIT taxable income.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If we fail to qualify as a REIT:</w:t>
      </w:r>
    </w:p>
    <w:p>
      <w:pPr>
        <w:spacing w:after="0" w:line="96" w:lineRule="exact"/>
        <w:rPr>
          <w:sz w:val="20"/>
          <w:szCs w:val="20"/>
          <w:color w:val="auto"/>
        </w:rPr>
      </w:pPr>
    </w:p>
    <w:p>
      <w:pPr>
        <w:ind w:left="780" w:hanging="324"/>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shareholders in computing taxable income;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would be subject to federal income tax at regular corporate rates;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could be subject to the federal alternative minimum tax;</w:t>
      </w:r>
    </w:p>
    <w:p>
      <w:pPr>
        <w:spacing w:after="0" w:line="95" w:lineRule="exact"/>
        <w:rPr>
          <w:rFonts w:ascii="Arial" w:cs="Arial" w:eastAsia="Arial" w:hAnsi="Arial"/>
          <w:sz w:val="17"/>
          <w:szCs w:val="17"/>
          <w:color w:val="auto"/>
        </w:rPr>
      </w:pPr>
    </w:p>
    <w:p>
      <w:pPr>
        <w:ind w:left="780" w:right="420" w:hanging="324"/>
        <w:spacing w:after="0" w:line="287"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unless we are entitled to relief under specific statutory provisions, we could not elect to be taxed as a REIT for four taxable years following the year during which we were disqualified;</w:t>
      </w:r>
    </w:p>
    <w:p>
      <w:pPr>
        <w:spacing w:after="0" w:line="35" w:lineRule="exact"/>
        <w:rPr>
          <w:rFonts w:ascii="Arial" w:cs="Arial" w:eastAsia="Arial" w:hAnsi="Arial"/>
          <w:sz w:val="17"/>
          <w:szCs w:val="17"/>
          <w:color w:val="auto"/>
        </w:rPr>
      </w:pPr>
    </w:p>
    <w:p>
      <w:pPr>
        <w:ind w:left="780" w:right="480" w:hanging="324"/>
        <w:spacing w:after="0" w:line="287"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would no longer be required by law to make any distributions to our shareholders.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incur additional debt to qualify as a REIT.</w:t>
      </w:r>
    </w:p>
    <w:p>
      <w:pPr>
        <w:spacing w:after="0" w:line="102"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As a REIT, we must make generally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56" w:lineRule="exact"/>
        <w:rPr>
          <w:sz w:val="20"/>
          <w:szCs w:val="20"/>
          <w:color w:val="auto"/>
        </w:rPr>
      </w:pPr>
    </w:p>
    <w:p>
      <w:pPr>
        <w:ind w:left="780" w:hanging="324"/>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18" w:lineRule="exact"/>
        <w:rPr>
          <w:rFonts w:ascii="Arial" w:cs="Arial" w:eastAsia="Arial" w:hAnsi="Arial"/>
          <w:sz w:val="15"/>
          <w:szCs w:val="15"/>
          <w:color w:val="auto"/>
        </w:rPr>
      </w:pPr>
    </w:p>
    <w:p>
      <w:pPr>
        <w:ind w:left="780" w:hanging="324"/>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75"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In these circumstances, we might have to borrow funds on unfavorable terms and we may have to borrow funds even if our management believes the market conditions make borrowing financially unattractive.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53"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maintain our status as a REIT, we limit the amount of shares any one shareholder can own.</w:t>
      </w:r>
    </w:p>
    <w:p>
      <w:pPr>
        <w:spacing w:after="0" w:line="10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we will continue to pay dividends at historical rates.</w:t>
      </w:r>
    </w:p>
    <w:p>
      <w:pPr>
        <w:spacing w:after="0" w:line="102"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36" w:lineRule="exact"/>
        <w:rPr>
          <w:sz w:val="20"/>
          <w:szCs w:val="20"/>
          <w:color w:val="auto"/>
        </w:rPr>
      </w:pPr>
    </w:p>
    <w:p>
      <w:pPr>
        <w:ind w:left="780" w:hanging="324"/>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financial condition and results of future operations;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performance of lease terms by tenants;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terms of our loan covenants;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acquire, finance, develop or redevelop and lease additional properties at attractive rates.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tax and anti-takeover provisions of our declaration of trust and bylaws may inhibit a change of our control.</w:t>
      </w:r>
    </w:p>
    <w:p>
      <w:pPr>
        <w:spacing w:after="0" w:line="10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51" w:lineRule="exact"/>
        <w:rPr>
          <w:sz w:val="20"/>
          <w:szCs w:val="20"/>
          <w:color w:val="auto"/>
        </w:rPr>
      </w:pPr>
    </w:p>
    <w:p>
      <w:pPr>
        <w:ind w:left="780" w:hanging="324"/>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REIT ownership limit described above;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authorization of the issuance of our preferred shares with powers, preferences or rights to be determined by the Board of Trustees;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staggered, fixed-size Board of Trustees consisting of three classes of trustees;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53"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80" w:right="500" w:hanging="324"/>
        <w:spacing w:after="0" w:line="287"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35" w:lineRule="exact"/>
        <w:rPr>
          <w:rFonts w:ascii="Arial" w:cs="Arial" w:eastAsia="Arial" w:hAnsi="Arial"/>
          <w:sz w:val="17"/>
          <w:szCs w:val="17"/>
          <w:color w:val="auto"/>
        </w:rPr>
      </w:pPr>
    </w:p>
    <w:p>
      <w:pPr>
        <w:ind w:left="780" w:right="600" w:hanging="324"/>
        <w:spacing w:after="0" w:line="287"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Board of Trustees, without a shareholder vote, can classify or reclassify unissued shares of beneficial interest, including the reclassification of common shares into preferred shares and vice-versa;</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two-thirds shareholder vote is required to approve some amendments to the declaration of trust;</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advance-notice requirements for proposals to be presented at shareholder meetings; and</w:t>
      </w:r>
    </w:p>
    <w:p>
      <w:pPr>
        <w:spacing w:after="0" w:line="95" w:lineRule="exact"/>
        <w:rPr>
          <w:rFonts w:ascii="Arial" w:cs="Arial" w:eastAsia="Arial" w:hAnsi="Arial"/>
          <w:sz w:val="17"/>
          <w:szCs w:val="17"/>
          <w:color w:val="auto"/>
        </w:rPr>
      </w:pPr>
    </w:p>
    <w:p>
      <w:pPr>
        <w:ind w:left="780" w:right="240" w:hanging="324"/>
        <w:spacing w:after="0" w:line="357" w:lineRule="auto"/>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7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3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amend or revise our business policies without your approval.</w:t>
      </w:r>
    </w:p>
    <w:p>
      <w:pPr>
        <w:spacing w:after="0" w:line="1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0" w:lineRule="exact"/>
        <w:rPr>
          <w:sz w:val="20"/>
          <w:szCs w:val="20"/>
          <w:color w:val="auto"/>
        </w:rPr>
      </w:pPr>
    </w:p>
    <w:p>
      <w:pPr>
        <w:ind w:right="220"/>
        <w:spacing w:after="0" w:line="357" w:lineRule="auto"/>
        <w:rPr>
          <w:sz w:val="20"/>
          <w:szCs w:val="20"/>
          <w:color w:val="auto"/>
        </w:rPr>
      </w:pPr>
      <w:r>
        <w:rPr>
          <w:rFonts w:ascii="Arial" w:cs="Arial" w:eastAsia="Arial" w:hAnsi="Arial"/>
          <w:sz w:val="15"/>
          <w:szCs w:val="15"/>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70"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tab/>
        <w:t>PROPERTIES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As of December 31, 2006, we owned or had a majority ownership interest in 111 community and neighborhood shopping centers and retail mixed-used properties comprising approximately 18.8 million square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53"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feet, located primarily in densely populated and affluent communities throughout the Northeast and Mid-Atlantic United States, as well as California. In addition, we own one apartment complex in Maryland. No single property accounted for over 10% of our 2006 total revenue or net income.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operate our business on an asset management model, where small, focused teams are responsible for a portfolio of assets. We have divided our portfolio of properties into two operating regions: the East and West. Each region is operated under the direction of one or more asset managers, with dedicated leasing, property management and financial staff, and operates largely autonomously with respect to day-to-day operating decisions.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Diversification</w:t>
      </w:r>
    </w:p>
    <w:p>
      <w:pPr>
        <w:spacing w:after="0" w:line="102"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As of December 31, 2006, we had approximately 2,300 leases, ranging from sole proprietors to major national retailers. No one tenant or affiliated group of tenants accounted for more than 2.5% of our annualized base rent as of December 31, 2006. As a result of our tenant diversification, we believe our exposure to any recent and future bankruptcy filing in the retail sector has not been and will not be significant.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Diversification</w:t>
      </w:r>
    </w:p>
    <w:p>
      <w:pPr>
        <w:spacing w:after="0" w:line="1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112 properties (including our one apartment complex) are located in 14 states and the District of Columbia. The following table shows, by region and state within the region, the number of properties, the gross leasable area of commercial space and the percentage of total portfolio gross leasable area of commercial space in each state as of December 31, 2006.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3"/>
          </w:tcPr>
          <w:p>
            <w:pPr>
              <w:jc w:val="center"/>
              <w:ind w:right="540"/>
              <w:spacing w:after="0" w:line="146" w:lineRule="exact"/>
              <w:rPr>
                <w:sz w:val="20"/>
                <w:szCs w:val="20"/>
                <w:color w:val="auto"/>
              </w:rPr>
            </w:pPr>
            <w:r>
              <w:rPr>
                <w:rFonts w:ascii="Arial" w:cs="Arial" w:eastAsia="Arial" w:hAnsi="Arial"/>
                <w:sz w:val="13"/>
                <w:szCs w:val="13"/>
                <w:b w:val="1"/>
                <w:bCs w:val="1"/>
                <w:color w:val="auto"/>
                <w:w w:val="97"/>
              </w:rPr>
              <w:t>Number</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85"/>
              </w:rPr>
              <w:t>of Gross</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6340" w:type="dxa"/>
            <w:vAlign w:val="bottom"/>
            <w:vMerge w:val="restart"/>
          </w:tcPr>
          <w:p>
            <w:pPr>
              <w:ind w:left="2100"/>
              <w:spacing w:after="0"/>
              <w:rPr>
                <w:sz w:val="20"/>
                <w:szCs w:val="20"/>
                <w:color w:val="auto"/>
              </w:rPr>
            </w:pPr>
            <w:r>
              <w:rPr>
                <w:rFonts w:ascii="Arial" w:cs="Arial" w:eastAsia="Arial" w:hAnsi="Arial"/>
                <w:sz w:val="13"/>
                <w:szCs w:val="13"/>
                <w:b w:val="1"/>
                <w:bCs w:val="1"/>
                <w:color w:val="auto"/>
              </w:rPr>
              <w:t>Region and State</w:t>
            </w:r>
          </w:p>
        </w:tc>
        <w:tc>
          <w:tcPr>
            <w:tcW w:w="540" w:type="dxa"/>
            <w:vAlign w:val="bottom"/>
          </w:tcPr>
          <w:p>
            <w:pPr>
              <w:spacing w:after="0"/>
              <w:rPr>
                <w:sz w:val="12"/>
                <w:szCs w:val="12"/>
                <w:color w:val="auto"/>
              </w:rPr>
            </w:pPr>
          </w:p>
        </w:tc>
        <w:tc>
          <w:tcPr>
            <w:tcW w:w="1140" w:type="dxa"/>
            <w:vAlign w:val="bottom"/>
            <w:gridSpan w:val="3"/>
          </w:tcPr>
          <w:p>
            <w:pPr>
              <w:jc w:val="center"/>
              <w:ind w:right="540"/>
              <w:spacing w:after="0" w:line="146" w:lineRule="exact"/>
              <w:rPr>
                <w:sz w:val="20"/>
                <w:szCs w:val="20"/>
                <w:color w:val="auto"/>
              </w:rPr>
            </w:pPr>
            <w:r>
              <w:rPr>
                <w:rFonts w:ascii="Arial" w:cs="Arial" w:eastAsia="Arial" w:hAnsi="Arial"/>
                <w:sz w:val="13"/>
                <w:szCs w:val="13"/>
                <w:b w:val="1"/>
                <w:bCs w:val="1"/>
                <w:color w:val="auto"/>
                <w:w w:val="97"/>
              </w:rPr>
              <w:t>of</w:t>
            </w:r>
          </w:p>
        </w:tc>
        <w:tc>
          <w:tcPr>
            <w:tcW w:w="1420" w:type="dxa"/>
            <w:vAlign w:val="bottom"/>
            <w:gridSpan w:val="2"/>
          </w:tcPr>
          <w:p>
            <w:pPr>
              <w:jc w:val="center"/>
              <w:ind w:right="560"/>
              <w:spacing w:after="0" w:line="146" w:lineRule="exact"/>
              <w:rPr>
                <w:sz w:val="20"/>
                <w:szCs w:val="20"/>
                <w:color w:val="auto"/>
              </w:rPr>
            </w:pPr>
            <w:r>
              <w:rPr>
                <w:rFonts w:ascii="Arial" w:cs="Arial" w:eastAsia="Arial" w:hAnsi="Arial"/>
                <w:sz w:val="13"/>
                <w:szCs w:val="13"/>
                <w:b w:val="1"/>
                <w:bCs w:val="1"/>
                <w:color w:val="auto"/>
                <w:w w:val="88"/>
              </w:rPr>
              <w:t>Gross Leasable</w:t>
            </w:r>
          </w:p>
        </w:tc>
        <w:tc>
          <w:tcPr>
            <w:tcW w:w="8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89"/>
              </w:rPr>
              <w:t>Leasable</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3"/>
          </w:tcPr>
          <w:p>
            <w:pPr>
              <w:jc w:val="center"/>
              <w:ind w:right="560"/>
              <w:spacing w:after="0" w:line="146" w:lineRule="exact"/>
              <w:rPr>
                <w:sz w:val="20"/>
                <w:szCs w:val="20"/>
                <w:color w:val="auto"/>
              </w:rPr>
            </w:pPr>
            <w:r>
              <w:rPr>
                <w:rFonts w:ascii="Arial" w:cs="Arial" w:eastAsia="Arial" w:hAnsi="Arial"/>
                <w:sz w:val="13"/>
                <w:szCs w:val="13"/>
                <w:b w:val="1"/>
                <w:bCs w:val="1"/>
                <w:color w:val="auto"/>
                <w:w w:val="90"/>
              </w:rPr>
              <w:t>Properties</w:t>
            </w:r>
          </w:p>
        </w:tc>
        <w:tc>
          <w:tcPr>
            <w:tcW w:w="1420" w:type="dxa"/>
            <w:vAlign w:val="bottom"/>
            <w:gridSpan w:val="2"/>
          </w:tcPr>
          <w:p>
            <w:pPr>
              <w:jc w:val="center"/>
              <w:ind w:right="540"/>
              <w:spacing w:after="0" w:line="146" w:lineRule="exact"/>
              <w:rPr>
                <w:sz w:val="20"/>
                <w:szCs w:val="20"/>
                <w:color w:val="auto"/>
              </w:rPr>
            </w:pPr>
            <w:r>
              <w:rPr>
                <w:rFonts w:ascii="Arial" w:cs="Arial" w:eastAsia="Arial" w:hAnsi="Arial"/>
                <w:sz w:val="13"/>
                <w:szCs w:val="13"/>
                <w:b w:val="1"/>
                <w:bCs w:val="1"/>
                <w:color w:val="auto"/>
                <w:w w:val="96"/>
              </w:rPr>
              <w:t>Area</w:t>
            </w:r>
          </w:p>
        </w:tc>
        <w:tc>
          <w:tcPr>
            <w:tcW w:w="80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Area</w:t>
            </w:r>
          </w:p>
        </w:tc>
        <w:tc>
          <w:tcPr>
            <w:tcW w:w="0" w:type="dxa"/>
            <w:vAlign w:val="bottom"/>
          </w:tcPr>
          <w:p>
            <w:pPr>
              <w:spacing w:after="0"/>
              <w:rPr>
                <w:sz w:val="1"/>
                <w:szCs w:val="1"/>
                <w:color w:val="auto"/>
              </w:rPr>
            </w:pPr>
          </w:p>
        </w:tc>
      </w:tr>
      <w:tr>
        <w:trPr>
          <w:trHeight w:val="146"/>
        </w:trPr>
        <w:tc>
          <w:tcPr>
            <w:tcW w:w="1180" w:type="dxa"/>
            <w:vAlign w:val="bottom"/>
            <w:tcBorders>
              <w:top w:val="single" w:sz="8" w:color="auto"/>
            </w:tcBorders>
          </w:tcPr>
          <w:p>
            <w:pPr>
              <w:spacing w:after="0"/>
              <w:rPr>
                <w:sz w:val="12"/>
                <w:szCs w:val="12"/>
                <w:color w:val="auto"/>
              </w:rPr>
            </w:pPr>
          </w:p>
        </w:tc>
        <w:tc>
          <w:tcPr>
            <w:tcW w:w="63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2"/>
              </w:rPr>
              <w:t>(In square feet)</w:t>
            </w: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East region</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Virginia</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17</w:t>
            </w:r>
          </w:p>
        </w:tc>
        <w:tc>
          <w:tcPr>
            <w:tcW w:w="5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3,348,000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Maryland</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3,033,000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New Jersey</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10</w:t>
            </w:r>
          </w:p>
        </w:tc>
        <w:tc>
          <w:tcPr>
            <w:tcW w:w="5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2,679,000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Pennsylvania(1)</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2,397,000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Massachusetts</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1,577,000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New York</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1,148,000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Illinois</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5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757,000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Connecticut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317,000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New Hampshire</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2</w:t>
            </w:r>
          </w:p>
        </w:tc>
        <w:tc>
          <w:tcPr>
            <w:tcW w:w="5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294,000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Michigan</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217,000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District of Columbia</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2</w:t>
            </w:r>
          </w:p>
        </w:tc>
        <w:tc>
          <w:tcPr>
            <w:tcW w:w="5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168,000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2"/>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North Carolina</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159,000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Maine</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101,000</w:t>
            </w: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5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Total East region</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16,195,000</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17"/>
        </w:trPr>
        <w:tc>
          <w:tcPr>
            <w:tcW w:w="7520" w:type="dxa"/>
            <w:vAlign w:val="bottom"/>
            <w:gridSpan w:val="2"/>
          </w:tcPr>
          <w:p>
            <w:pPr>
              <w:spacing w:after="0"/>
              <w:rPr>
                <w:sz w:val="20"/>
                <w:szCs w:val="20"/>
                <w:color w:val="auto"/>
              </w:rPr>
            </w:pPr>
            <w:r>
              <w:rPr>
                <w:rFonts w:ascii="Arial" w:cs="Arial" w:eastAsia="Arial" w:hAnsi="Arial"/>
                <w:sz w:val="17"/>
                <w:szCs w:val="17"/>
                <w:b w:val="1"/>
                <w:bCs w:val="1"/>
                <w:color w:val="auto"/>
              </w:rPr>
              <w:t>West region</w:t>
            </w:r>
          </w:p>
        </w:tc>
        <w:tc>
          <w:tcPr>
            <w:tcW w:w="5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California</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2,434,000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2"/>
        </w:trPr>
        <w:tc>
          <w:tcPr>
            <w:tcW w:w="7520" w:type="dxa"/>
            <w:vAlign w:val="bottom"/>
            <w:gridSpan w:val="2"/>
          </w:tcPr>
          <w:p>
            <w:pPr>
              <w:ind w:left="420"/>
              <w:spacing w:after="0"/>
              <w:rPr>
                <w:sz w:val="20"/>
                <w:szCs w:val="20"/>
                <w:color w:val="auto"/>
              </w:rPr>
            </w:pPr>
            <w:r>
              <w:rPr>
                <w:rFonts w:ascii="Arial" w:cs="Arial" w:eastAsia="Arial" w:hAnsi="Arial"/>
                <w:sz w:val="17"/>
                <w:szCs w:val="17"/>
                <w:color w:val="auto"/>
              </w:rPr>
              <w:t>Texas</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171,000</w:t>
            </w: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5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Total West region</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2,605,000</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all regions</w:t>
            </w:r>
            <w:r>
              <w:rPr>
                <w:rFonts w:ascii="Arial" w:cs="Arial" w:eastAsia="Arial" w:hAnsi="Arial"/>
                <w:sz w:val="17"/>
                <w:szCs w:val="17"/>
                <w:color w:val="auto"/>
              </w:rPr>
              <w:t>(2)</w:t>
            </w:r>
          </w:p>
        </w:tc>
        <w:tc>
          <w:tcPr>
            <w:tcW w:w="5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18,800,000</w:t>
            </w:r>
          </w:p>
        </w:tc>
        <w:tc>
          <w:tcPr>
            <w:tcW w:w="54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also own two participating mortgages totaling approximately $28.3 million secured by multiple buildings in Manayunk, Pennsylvania.</w:t>
      </w:r>
    </w:p>
    <w:p>
      <w:pPr>
        <w:spacing w:after="0" w:line="95" w:lineRule="exact"/>
        <w:rPr>
          <w:rFonts w:ascii="Arial" w:cs="Arial" w:eastAsia="Arial" w:hAnsi="Arial"/>
          <w:sz w:val="17"/>
          <w:szCs w:val="17"/>
          <w:color w:val="auto"/>
        </w:rPr>
      </w:pPr>
    </w:p>
    <w:p>
      <w:pPr>
        <w:ind w:left="460" w:hanging="454"/>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These 112 properties are operated as 86 real estate projects.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Lease Terms and Lease Expirations</w:t>
      </w:r>
    </w:p>
    <w:p>
      <w:pPr>
        <w:spacing w:after="0" w:line="102"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reduce our exposure to higher costs caused by inflation and allow us to participate in improved tenant sales.</w:t>
      </w:r>
    </w:p>
    <w:p>
      <w:pPr>
        <w:spacing w:after="0" w:line="9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Commercial property leases generally range from 3 to 10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2006, represented approximately 2.8% of total revenues.</w:t>
      </w:r>
    </w:p>
    <w:p>
      <w:pPr>
        <w:spacing w:after="0" w:line="13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following table sets forth the schedule of lease expirations for our commercial leases in place as of December 31, 2006 for each of the 10 years beginning with 2007 and after 2016 in the aggregate, in both cases, assuming that none of the tenants exercise future renewal options. Annualized base rents reflect in-place contractual rents as of December 31, 2006.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89"/>
              </w:rPr>
              <w:t>Leased</w:t>
            </w: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Percentage of</w:t>
            </w:r>
          </w:p>
        </w:tc>
        <w:tc>
          <w:tcPr>
            <w:tcW w:w="380" w:type="dxa"/>
            <w:vAlign w:val="bottom"/>
          </w:tcPr>
          <w:p>
            <w:pPr>
              <w:spacing w:after="0"/>
              <w:rPr>
                <w:sz w:val="13"/>
                <w:szCs w:val="13"/>
                <w:color w:val="auto"/>
              </w:rPr>
            </w:pPr>
          </w:p>
        </w:tc>
        <w:tc>
          <w:tcPr>
            <w:tcW w:w="168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5"/>
              </w:rPr>
              <w:t>Annualized</w:t>
            </w: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3"/>
          </w:tcPr>
          <w:p>
            <w:pPr>
              <w:jc w:val="center"/>
              <w:ind w:right="740"/>
              <w:spacing w:after="0" w:line="146" w:lineRule="exact"/>
              <w:rPr>
                <w:sz w:val="20"/>
                <w:szCs w:val="20"/>
                <w:color w:val="auto"/>
              </w:rPr>
            </w:pPr>
            <w:r>
              <w:rPr>
                <w:rFonts w:ascii="Arial" w:cs="Arial" w:eastAsia="Arial" w:hAnsi="Arial"/>
                <w:sz w:val="13"/>
                <w:szCs w:val="13"/>
                <w:b w:val="1"/>
                <w:bCs w:val="1"/>
                <w:color w:val="auto"/>
                <w:w w:val="90"/>
              </w:rPr>
              <w:t>Square</w:t>
            </w:r>
          </w:p>
        </w:tc>
        <w:tc>
          <w:tcPr>
            <w:tcW w:w="1340" w:type="dxa"/>
            <w:vAlign w:val="bottom"/>
            <w:gridSpan w:val="2"/>
          </w:tcPr>
          <w:p>
            <w:pPr>
              <w:jc w:val="center"/>
              <w:ind w:right="500"/>
              <w:spacing w:after="0" w:line="146" w:lineRule="exact"/>
              <w:rPr>
                <w:sz w:val="20"/>
                <w:szCs w:val="20"/>
                <w:color w:val="auto"/>
              </w:rPr>
            </w:pPr>
            <w:r>
              <w:rPr>
                <w:rFonts w:ascii="Arial" w:cs="Arial" w:eastAsia="Arial" w:hAnsi="Arial"/>
                <w:sz w:val="13"/>
                <w:szCs w:val="13"/>
                <w:b w:val="1"/>
                <w:bCs w:val="1"/>
                <w:color w:val="auto"/>
                <w:w w:val="90"/>
              </w:rPr>
              <w:t>Leased Square</w:t>
            </w:r>
          </w:p>
        </w:tc>
        <w:tc>
          <w:tcPr>
            <w:tcW w:w="380" w:type="dxa"/>
            <w:vAlign w:val="bottom"/>
          </w:tcPr>
          <w:p>
            <w:pPr>
              <w:spacing w:after="0"/>
              <w:rPr>
                <w:sz w:val="12"/>
                <w:szCs w:val="12"/>
                <w:color w:val="auto"/>
              </w:rPr>
            </w:pPr>
          </w:p>
        </w:tc>
        <w:tc>
          <w:tcPr>
            <w:tcW w:w="1680" w:type="dxa"/>
            <w:vAlign w:val="bottom"/>
            <w:gridSpan w:val="2"/>
          </w:tcPr>
          <w:p>
            <w:pPr>
              <w:jc w:val="center"/>
              <w:ind w:right="740"/>
              <w:spacing w:after="0" w:line="146" w:lineRule="exact"/>
              <w:rPr>
                <w:sz w:val="20"/>
                <w:szCs w:val="20"/>
                <w:color w:val="auto"/>
              </w:rPr>
            </w:pPr>
            <w:r>
              <w:rPr>
                <w:rFonts w:ascii="Arial" w:cs="Arial" w:eastAsia="Arial" w:hAnsi="Arial"/>
                <w:sz w:val="13"/>
                <w:szCs w:val="13"/>
                <w:b w:val="1"/>
                <w:bCs w:val="1"/>
                <w:color w:val="auto"/>
                <w:w w:val="91"/>
              </w:rPr>
              <w:t>Base Rent</w:t>
            </w:r>
          </w:p>
        </w:tc>
        <w:tc>
          <w:tcPr>
            <w:tcW w:w="15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Percentage of Annualized</w:t>
            </w:r>
          </w:p>
        </w:tc>
        <w:tc>
          <w:tcPr>
            <w:tcW w:w="0" w:type="dxa"/>
            <w:vAlign w:val="bottom"/>
          </w:tcPr>
          <w:p>
            <w:pPr>
              <w:spacing w:after="0"/>
              <w:rPr>
                <w:sz w:val="1"/>
                <w:szCs w:val="1"/>
                <w:color w:val="auto"/>
              </w:rPr>
            </w:pPr>
          </w:p>
        </w:tc>
      </w:tr>
      <w:tr>
        <w:trPr>
          <w:trHeight w:val="146"/>
        </w:trPr>
        <w:tc>
          <w:tcPr>
            <w:tcW w:w="4200" w:type="dxa"/>
            <w:vAlign w:val="bottom"/>
          </w:tcPr>
          <w:p>
            <w:pPr>
              <w:spacing w:after="0" w:line="146" w:lineRule="exact"/>
              <w:rPr>
                <w:sz w:val="20"/>
                <w:szCs w:val="20"/>
                <w:color w:val="auto"/>
              </w:rPr>
            </w:pPr>
            <w:r>
              <w:rPr>
                <w:rFonts w:ascii="Arial" w:cs="Arial" w:eastAsia="Arial" w:hAnsi="Arial"/>
                <w:sz w:val="13"/>
                <w:szCs w:val="13"/>
                <w:b w:val="1"/>
                <w:bCs w:val="1"/>
                <w:color w:val="auto"/>
              </w:rPr>
              <w:t>Year of Lease</w:t>
            </w:r>
          </w:p>
        </w:tc>
        <w:tc>
          <w:tcPr>
            <w:tcW w:w="740" w:type="dxa"/>
            <w:vAlign w:val="bottom"/>
          </w:tcPr>
          <w:p>
            <w:pPr>
              <w:spacing w:after="0"/>
              <w:rPr>
                <w:sz w:val="12"/>
                <w:szCs w:val="12"/>
                <w:color w:val="auto"/>
              </w:rPr>
            </w:pPr>
          </w:p>
        </w:tc>
        <w:tc>
          <w:tcPr>
            <w:tcW w:w="1500" w:type="dxa"/>
            <w:vAlign w:val="bottom"/>
            <w:gridSpan w:val="3"/>
          </w:tcPr>
          <w:p>
            <w:pPr>
              <w:jc w:val="center"/>
              <w:ind w:right="740"/>
              <w:spacing w:after="0" w:line="146" w:lineRule="exact"/>
              <w:rPr>
                <w:sz w:val="20"/>
                <w:szCs w:val="20"/>
                <w:color w:val="auto"/>
              </w:rPr>
            </w:pPr>
            <w:r>
              <w:rPr>
                <w:rFonts w:ascii="Arial" w:cs="Arial" w:eastAsia="Arial" w:hAnsi="Arial"/>
                <w:sz w:val="13"/>
                <w:szCs w:val="13"/>
                <w:b w:val="1"/>
                <w:bCs w:val="1"/>
                <w:color w:val="auto"/>
                <w:w w:val="86"/>
              </w:rPr>
              <w:t>Footage</w:t>
            </w:r>
          </w:p>
        </w:tc>
        <w:tc>
          <w:tcPr>
            <w:tcW w:w="1340" w:type="dxa"/>
            <w:vAlign w:val="bottom"/>
            <w:gridSpan w:val="2"/>
          </w:tcPr>
          <w:p>
            <w:pPr>
              <w:jc w:val="center"/>
              <w:ind w:right="500"/>
              <w:spacing w:after="0" w:line="146" w:lineRule="exact"/>
              <w:rPr>
                <w:sz w:val="20"/>
                <w:szCs w:val="20"/>
                <w:color w:val="auto"/>
              </w:rPr>
            </w:pPr>
            <w:r>
              <w:rPr>
                <w:rFonts w:ascii="Arial" w:cs="Arial" w:eastAsia="Arial" w:hAnsi="Arial"/>
                <w:sz w:val="13"/>
                <w:szCs w:val="13"/>
                <w:b w:val="1"/>
                <w:bCs w:val="1"/>
                <w:color w:val="auto"/>
                <w:w w:val="86"/>
              </w:rPr>
              <w:t>Footage</w:t>
            </w:r>
          </w:p>
        </w:tc>
        <w:tc>
          <w:tcPr>
            <w:tcW w:w="380" w:type="dxa"/>
            <w:vAlign w:val="bottom"/>
          </w:tcPr>
          <w:p>
            <w:pPr>
              <w:spacing w:after="0"/>
              <w:rPr>
                <w:sz w:val="12"/>
                <w:szCs w:val="12"/>
                <w:color w:val="auto"/>
              </w:rPr>
            </w:pPr>
          </w:p>
        </w:tc>
        <w:tc>
          <w:tcPr>
            <w:tcW w:w="1680" w:type="dxa"/>
            <w:vAlign w:val="bottom"/>
            <w:gridSpan w:val="2"/>
          </w:tcPr>
          <w:p>
            <w:pPr>
              <w:jc w:val="center"/>
              <w:ind w:right="760"/>
              <w:spacing w:after="0" w:line="146" w:lineRule="exact"/>
              <w:rPr>
                <w:sz w:val="20"/>
                <w:szCs w:val="20"/>
                <w:color w:val="auto"/>
              </w:rPr>
            </w:pPr>
            <w:r>
              <w:rPr>
                <w:rFonts w:ascii="Arial" w:cs="Arial" w:eastAsia="Arial" w:hAnsi="Arial"/>
                <w:sz w:val="13"/>
                <w:szCs w:val="13"/>
                <w:b w:val="1"/>
                <w:bCs w:val="1"/>
                <w:color w:val="auto"/>
                <w:w w:val="90"/>
              </w:rPr>
              <w:t>Represented by</w:t>
            </w:r>
          </w:p>
        </w:tc>
        <w:tc>
          <w:tcPr>
            <w:tcW w:w="15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9"/>
              </w:rPr>
              <w:t>Base Rent Represented</w:t>
            </w:r>
          </w:p>
        </w:tc>
        <w:tc>
          <w:tcPr>
            <w:tcW w:w="0" w:type="dxa"/>
            <w:vAlign w:val="bottom"/>
          </w:tcPr>
          <w:p>
            <w:pPr>
              <w:spacing w:after="0"/>
              <w:rPr>
                <w:sz w:val="1"/>
                <w:szCs w:val="1"/>
                <w:color w:val="auto"/>
              </w:rPr>
            </w:pPr>
          </w:p>
        </w:tc>
      </w:tr>
      <w:tr>
        <w:trPr>
          <w:trHeight w:val="165"/>
        </w:trPr>
        <w:tc>
          <w:tcPr>
            <w:tcW w:w="4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Expiration</w:t>
            </w:r>
          </w:p>
        </w:tc>
        <w:tc>
          <w:tcPr>
            <w:tcW w:w="7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Expiring</w:t>
            </w:r>
          </w:p>
        </w:tc>
        <w:tc>
          <w:tcPr>
            <w:tcW w:w="72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Expiring</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Expiring Leases</w:t>
            </w:r>
          </w:p>
        </w:tc>
        <w:tc>
          <w:tcPr>
            <w:tcW w:w="7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by Expiring Leases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1,219,000</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23,325,000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Arial" w:cs="Arial" w:eastAsia="Arial" w:hAnsi="Arial"/>
                <w:sz w:val="17"/>
                <w:szCs w:val="17"/>
                <w:color w:val="auto"/>
              </w:rPr>
              <w:t>2008</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1,910,000</w:t>
            </w:r>
          </w:p>
        </w:tc>
        <w:tc>
          <w:tcPr>
            <w:tcW w:w="7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11%</w:t>
            </w:r>
          </w:p>
        </w:tc>
        <w:tc>
          <w:tcPr>
            <w:tcW w:w="2060" w:type="dxa"/>
            <w:vAlign w:val="bottom"/>
            <w:gridSpan w:val="3"/>
          </w:tcPr>
          <w:p>
            <w:pPr>
              <w:jc w:val="right"/>
              <w:ind w:right="740"/>
              <w:spacing w:after="0"/>
              <w:rPr>
                <w:sz w:val="20"/>
                <w:szCs w:val="20"/>
                <w:color w:val="auto"/>
              </w:rPr>
            </w:pPr>
            <w:r>
              <w:rPr>
                <w:rFonts w:ascii="Arial" w:cs="Arial" w:eastAsia="Arial" w:hAnsi="Arial"/>
                <w:sz w:val="17"/>
                <w:szCs w:val="17"/>
                <w:color w:val="auto"/>
              </w:rPr>
              <w:t>30,702,000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2,270,000</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40,989,000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Arial" w:cs="Arial" w:eastAsia="Arial" w:hAnsi="Arial"/>
                <w:sz w:val="17"/>
                <w:szCs w:val="17"/>
                <w:color w:val="auto"/>
              </w:rPr>
              <w:t>2010</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1,586,000</w:t>
            </w:r>
          </w:p>
        </w:tc>
        <w:tc>
          <w:tcPr>
            <w:tcW w:w="7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9%</w:t>
            </w:r>
          </w:p>
        </w:tc>
        <w:tc>
          <w:tcPr>
            <w:tcW w:w="2060" w:type="dxa"/>
            <w:vAlign w:val="bottom"/>
            <w:gridSpan w:val="3"/>
          </w:tcPr>
          <w:p>
            <w:pPr>
              <w:jc w:val="right"/>
              <w:ind w:right="740"/>
              <w:spacing w:after="0"/>
              <w:rPr>
                <w:sz w:val="20"/>
                <w:szCs w:val="20"/>
                <w:color w:val="auto"/>
              </w:rPr>
            </w:pPr>
            <w:r>
              <w:rPr>
                <w:rFonts w:ascii="Arial" w:cs="Arial" w:eastAsia="Arial" w:hAnsi="Arial"/>
                <w:sz w:val="17"/>
                <w:szCs w:val="17"/>
                <w:color w:val="auto"/>
              </w:rPr>
              <w:t>32,106,000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1,761,000</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42,903,000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Arial" w:cs="Arial" w:eastAsia="Arial" w:hAnsi="Arial"/>
                <w:sz w:val="17"/>
                <w:szCs w:val="17"/>
                <w:color w:val="auto"/>
              </w:rPr>
              <w:t>2012</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1,734,000</w:t>
            </w:r>
          </w:p>
        </w:tc>
        <w:tc>
          <w:tcPr>
            <w:tcW w:w="7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10%</w:t>
            </w:r>
          </w:p>
        </w:tc>
        <w:tc>
          <w:tcPr>
            <w:tcW w:w="2060" w:type="dxa"/>
            <w:vAlign w:val="bottom"/>
            <w:gridSpan w:val="3"/>
          </w:tcPr>
          <w:p>
            <w:pPr>
              <w:jc w:val="right"/>
              <w:ind w:right="740"/>
              <w:spacing w:after="0"/>
              <w:rPr>
                <w:sz w:val="20"/>
                <w:szCs w:val="20"/>
                <w:color w:val="auto"/>
              </w:rPr>
            </w:pPr>
            <w:r>
              <w:rPr>
                <w:rFonts w:ascii="Arial" w:cs="Arial" w:eastAsia="Arial" w:hAnsi="Arial"/>
                <w:sz w:val="17"/>
                <w:szCs w:val="17"/>
                <w:color w:val="auto"/>
              </w:rPr>
              <w:t>29,966,000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995,000</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19,772,000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Arial" w:cs="Arial" w:eastAsia="Arial" w:hAnsi="Arial"/>
                <w:sz w:val="17"/>
                <w:szCs w:val="17"/>
                <w:color w:val="auto"/>
              </w:rPr>
              <w:t>2014</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1,112,000</w:t>
            </w:r>
          </w:p>
        </w:tc>
        <w:tc>
          <w:tcPr>
            <w:tcW w:w="7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6%</w:t>
            </w:r>
          </w:p>
        </w:tc>
        <w:tc>
          <w:tcPr>
            <w:tcW w:w="2060" w:type="dxa"/>
            <w:vAlign w:val="bottom"/>
            <w:gridSpan w:val="3"/>
          </w:tcPr>
          <w:p>
            <w:pPr>
              <w:jc w:val="right"/>
              <w:ind w:right="740"/>
              <w:spacing w:after="0"/>
              <w:rPr>
                <w:sz w:val="20"/>
                <w:szCs w:val="20"/>
                <w:color w:val="auto"/>
              </w:rPr>
            </w:pPr>
            <w:r>
              <w:rPr>
                <w:rFonts w:ascii="Arial" w:cs="Arial" w:eastAsia="Arial" w:hAnsi="Arial"/>
                <w:sz w:val="17"/>
                <w:szCs w:val="17"/>
                <w:color w:val="auto"/>
              </w:rPr>
              <w:t>24,893,000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840,000</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16,360,000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Arial" w:cs="Arial" w:eastAsia="Arial" w:hAnsi="Arial"/>
                <w:sz w:val="17"/>
                <w:szCs w:val="17"/>
                <w:color w:val="auto"/>
              </w:rPr>
              <w:t>2016</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922,000</w:t>
            </w:r>
          </w:p>
        </w:tc>
        <w:tc>
          <w:tcPr>
            <w:tcW w:w="7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5%</w:t>
            </w:r>
          </w:p>
        </w:tc>
        <w:tc>
          <w:tcPr>
            <w:tcW w:w="2060" w:type="dxa"/>
            <w:vAlign w:val="bottom"/>
            <w:gridSpan w:val="3"/>
          </w:tcPr>
          <w:p>
            <w:pPr>
              <w:jc w:val="right"/>
              <w:ind w:right="740"/>
              <w:spacing w:after="0"/>
              <w:rPr>
                <w:sz w:val="20"/>
                <w:szCs w:val="20"/>
                <w:color w:val="auto"/>
              </w:rPr>
            </w:pPr>
            <w:r>
              <w:rPr>
                <w:rFonts w:ascii="Arial" w:cs="Arial" w:eastAsia="Arial" w:hAnsi="Arial"/>
                <w:sz w:val="17"/>
                <w:szCs w:val="17"/>
                <w:color w:val="auto"/>
              </w:rPr>
              <w:t>19,617,000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3,518,000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19%</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58,220,000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17,867,000</w:t>
            </w:r>
          </w:p>
        </w:tc>
        <w:tc>
          <w:tcPr>
            <w:tcW w:w="7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100%</w:t>
            </w:r>
          </w:p>
        </w:tc>
        <w:tc>
          <w:tcPr>
            <w:tcW w:w="2060" w:type="dxa"/>
            <w:vAlign w:val="bottom"/>
            <w:gridSpan w:val="3"/>
          </w:tcPr>
          <w:p>
            <w:pPr>
              <w:jc w:val="right"/>
              <w:ind w:right="7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338,853,000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200" w:type="dxa"/>
            <w:vAlign w:val="bottom"/>
          </w:tcPr>
          <w:p>
            <w:pPr>
              <w:spacing w:after="0"/>
              <w:rPr>
                <w:sz w:val="24"/>
                <w:szCs w:val="24"/>
                <w:color w:val="auto"/>
              </w:rPr>
            </w:pPr>
          </w:p>
        </w:tc>
        <w:tc>
          <w:tcPr>
            <w:tcW w:w="2240" w:type="dxa"/>
            <w:vAlign w:val="bottom"/>
            <w:gridSpan w:val="4"/>
          </w:tcPr>
          <w:p>
            <w:pPr>
              <w:jc w:val="right"/>
              <w:ind w:right="640"/>
              <w:spacing w:after="0"/>
              <w:rPr>
                <w:sz w:val="20"/>
                <w:szCs w:val="20"/>
                <w:color w:val="auto"/>
              </w:rPr>
            </w:pPr>
            <w:r>
              <w:rPr>
                <w:rFonts w:ascii="Arial" w:cs="Arial" w:eastAsia="Arial" w:hAnsi="Arial"/>
                <w:sz w:val="17"/>
                <w:szCs w:val="17"/>
                <w:color w:val="auto"/>
              </w:rPr>
              <w:t>19</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and Residential Properties</w:t>
      </w:r>
    </w:p>
    <w:p>
      <w:pPr>
        <w:spacing w:after="0" w:line="1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table sets forth information concerning all properties in which we owned an equity interest, had a leasehold interest, or controlled and are consolidated as of December 31, 2006. Except as otherwise noted, we are the sole owner of our retail properties. Principal tenants are the largest tenants in the property based on square feet leased or are tenants important to a property’s success due to their ability to attract retail customers.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Square Feet(1)</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60" w:type="dxa"/>
            <w:vAlign w:val="bottom"/>
          </w:tcPr>
          <w:p>
            <w:pPr>
              <w:spacing w:after="0"/>
              <w:rPr>
                <w:sz w:val="12"/>
                <w:szCs w:val="12"/>
                <w:color w:val="auto"/>
              </w:rPr>
            </w:pPr>
          </w:p>
        </w:tc>
        <w:tc>
          <w:tcPr>
            <w:tcW w:w="5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440" w:type="dxa"/>
            <w:vAlign w:val="bottom"/>
          </w:tcPr>
          <w:p>
            <w:pPr>
              <w:spacing w:after="0"/>
              <w:rPr>
                <w:sz w:val="12"/>
                <w:szCs w:val="12"/>
                <w:color w:val="auto"/>
              </w:rPr>
            </w:pPr>
          </w:p>
        </w:tc>
        <w:tc>
          <w:tcPr>
            <w:tcW w:w="660" w:type="dxa"/>
            <w:vAlign w:val="bottom"/>
          </w:tcPr>
          <w:p>
            <w:pPr>
              <w:ind w:left="20"/>
              <w:spacing w:after="0" w:line="146" w:lineRule="exact"/>
              <w:rPr>
                <w:sz w:val="20"/>
                <w:szCs w:val="20"/>
                <w:color w:val="auto"/>
              </w:rPr>
            </w:pPr>
            <w:r>
              <w:rPr>
                <w:rFonts w:ascii="Arial" w:cs="Arial" w:eastAsia="Arial" w:hAnsi="Arial"/>
                <w:sz w:val="13"/>
                <w:szCs w:val="13"/>
                <w:b w:val="1"/>
                <w:bCs w:val="1"/>
                <w:color w:val="auto"/>
                <w:w w:val="88"/>
              </w:rPr>
              <w:t>Percentage</w:t>
            </w: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EAST REGION</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440" w:type="dxa"/>
            <w:vAlign w:val="bottom"/>
          </w:tcPr>
          <w:p>
            <w:pPr>
              <w:spacing w:after="0"/>
              <w:rPr>
                <w:sz w:val="14"/>
                <w:szCs w:val="14"/>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Principal Tenant(s)</w:t>
            </w: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7770 Richmond Highway</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1974</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2006</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5"/>
              </w:rPr>
              <w:t>61,000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Gold’s Gym</w:t>
            </w:r>
          </w:p>
        </w:tc>
      </w:tr>
      <w:tr>
        <w:trPr>
          <w:trHeight w:val="154"/>
        </w:trPr>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Alexandria, VA 22036</w:t>
            </w: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3"/>
                <w:szCs w:val="13"/>
                <w:color w:val="auto"/>
              </w:rPr>
              <w:t>Allwood</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1958</w:t>
            </w:r>
          </w:p>
        </w:tc>
        <w:tc>
          <w:tcPr>
            <w:tcW w:w="104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89"/>
              </w:rPr>
              <w:t>1988</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5"/>
              </w:rPr>
              <w:t>50,000</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Stop &amp; Shop</w:t>
            </w:r>
          </w:p>
        </w:tc>
      </w:tr>
      <w:tr>
        <w:trPr>
          <w:trHeight w:val="154"/>
        </w:trPr>
        <w:tc>
          <w:tcPr>
            <w:tcW w:w="5140" w:type="dxa"/>
            <w:vAlign w:val="bottom"/>
          </w:tcPr>
          <w:p>
            <w:pPr>
              <w:ind w:left="220"/>
              <w:spacing w:after="0"/>
              <w:rPr>
                <w:sz w:val="20"/>
                <w:szCs w:val="20"/>
                <w:color w:val="auto"/>
              </w:rPr>
            </w:pPr>
            <w:r>
              <w:rPr>
                <w:rFonts w:ascii="Arial" w:cs="Arial" w:eastAsia="Arial" w:hAnsi="Arial"/>
                <w:sz w:val="13"/>
                <w:szCs w:val="13"/>
                <w:color w:val="auto"/>
              </w:rPr>
              <w:t>Clifton, NJ 07013(3)</w:t>
            </w: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Andorra</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1953</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1988</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267,000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Acme Markets</w:t>
            </w:r>
          </w:p>
        </w:tc>
      </w:tr>
      <w:tr>
        <w:trPr>
          <w:trHeight w:val="146"/>
        </w:trPr>
        <w:tc>
          <w:tcPr>
            <w:tcW w:w="51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Philadelphia, PA 19128</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Kohl’s</w:t>
            </w:r>
          </w:p>
        </w:tc>
      </w:tr>
      <w:tr>
        <w:trPr>
          <w:trHeight w:val="146"/>
        </w:trPr>
        <w:tc>
          <w:tcPr>
            <w:tcW w:w="5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Staples</w:t>
            </w:r>
          </w:p>
        </w:tc>
      </w:tr>
      <w:tr>
        <w:trPr>
          <w:trHeight w:val="154"/>
        </w:trPr>
        <w:tc>
          <w:tcPr>
            <w:tcW w:w="5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L.A. Fitness</w:t>
            </w: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3"/>
                <w:szCs w:val="13"/>
                <w:color w:val="auto"/>
              </w:rPr>
              <w:t>Assembly Square/Sturtevant</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2005</w:t>
            </w:r>
          </w:p>
        </w:tc>
        <w:tc>
          <w:tcPr>
            <w:tcW w:w="104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89"/>
              </w:rPr>
              <w:t>2005</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554,000</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Bed, Bath &amp; Beyond</w:t>
            </w:r>
          </w:p>
        </w:tc>
      </w:tr>
      <w:tr>
        <w:trPr>
          <w:trHeight w:val="146"/>
        </w:trPr>
        <w:tc>
          <w:tcPr>
            <w:tcW w:w="5140" w:type="dxa"/>
            <w:vAlign w:val="bottom"/>
          </w:tcPr>
          <w:p>
            <w:pPr>
              <w:ind w:left="220"/>
              <w:spacing w:after="0" w:line="146" w:lineRule="exact"/>
              <w:rPr>
                <w:sz w:val="20"/>
                <w:szCs w:val="20"/>
                <w:color w:val="auto"/>
              </w:rPr>
            </w:pPr>
            <w:r>
              <w:rPr>
                <w:rFonts w:ascii="Arial" w:cs="Arial" w:eastAsia="Arial" w:hAnsi="Arial"/>
                <w:sz w:val="13"/>
                <w:szCs w:val="13"/>
                <w:color w:val="auto"/>
              </w:rPr>
              <w:t>Somerville, MA 02145</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Christmas Tree Shops</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Kmart</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Staples</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TJ Maxx</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A.C. Moore</w:t>
            </w:r>
          </w:p>
        </w:tc>
      </w:tr>
      <w:tr>
        <w:trPr>
          <w:trHeight w:val="154"/>
        </w:trPr>
        <w:tc>
          <w:tcPr>
            <w:tcW w:w="5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gridSpan w:val="2"/>
          </w:tcPr>
          <w:p>
            <w:pPr>
              <w:ind w:left="440"/>
              <w:spacing w:after="0"/>
              <w:rPr>
                <w:sz w:val="20"/>
                <w:szCs w:val="20"/>
                <w:color w:val="auto"/>
              </w:rPr>
            </w:pPr>
            <w:r>
              <w:rPr>
                <w:rFonts w:ascii="Arial" w:cs="Arial" w:eastAsia="Arial" w:hAnsi="Arial"/>
                <w:sz w:val="13"/>
                <w:szCs w:val="13"/>
                <w:color w:val="auto"/>
              </w:rPr>
              <w:t>Sports Authority</w:t>
            </w: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Bala Cynwyd</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1955</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1993</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280,000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Acme Markets</w:t>
            </w:r>
          </w:p>
        </w:tc>
      </w:tr>
      <w:tr>
        <w:trPr>
          <w:trHeight w:val="146"/>
        </w:trPr>
        <w:tc>
          <w:tcPr>
            <w:tcW w:w="51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 Cynwyd, PA 19004</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Lord &amp; Taylor</w:t>
            </w:r>
          </w:p>
        </w:tc>
      </w:tr>
      <w:tr>
        <w:trPr>
          <w:trHeight w:val="154"/>
        </w:trPr>
        <w:tc>
          <w:tcPr>
            <w:tcW w:w="5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L.A. Fitness</w:t>
            </w: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3"/>
                <w:szCs w:val="13"/>
                <w:color w:val="auto"/>
              </w:rPr>
              <w:t>Barracks Road</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1958</w:t>
            </w:r>
          </w:p>
        </w:tc>
        <w:tc>
          <w:tcPr>
            <w:tcW w:w="104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89"/>
              </w:rPr>
              <w:t>1985</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488,000</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Bed, Bath &amp; Beyond</w:t>
            </w:r>
          </w:p>
        </w:tc>
      </w:tr>
      <w:tr>
        <w:trPr>
          <w:trHeight w:val="146"/>
        </w:trPr>
        <w:tc>
          <w:tcPr>
            <w:tcW w:w="5140" w:type="dxa"/>
            <w:vAlign w:val="bottom"/>
          </w:tcPr>
          <w:p>
            <w:pPr>
              <w:ind w:left="220"/>
              <w:spacing w:after="0" w:line="146" w:lineRule="exact"/>
              <w:rPr>
                <w:sz w:val="20"/>
                <w:szCs w:val="20"/>
                <w:color w:val="auto"/>
              </w:rPr>
            </w:pPr>
            <w:r>
              <w:rPr>
                <w:rFonts w:ascii="Arial" w:cs="Arial" w:eastAsia="Arial" w:hAnsi="Arial"/>
                <w:sz w:val="13"/>
                <w:szCs w:val="13"/>
                <w:color w:val="auto"/>
              </w:rPr>
              <w:t>Charlottesville, VA 22905</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Harris Teeter</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Kroger</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Barnes &amp; Noble</w:t>
            </w:r>
          </w:p>
        </w:tc>
      </w:tr>
      <w:tr>
        <w:trPr>
          <w:trHeight w:val="154"/>
        </w:trPr>
        <w:tc>
          <w:tcPr>
            <w:tcW w:w="5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gridSpan w:val="2"/>
          </w:tcPr>
          <w:p>
            <w:pPr>
              <w:ind w:left="440"/>
              <w:spacing w:after="0"/>
              <w:rPr>
                <w:sz w:val="20"/>
                <w:szCs w:val="20"/>
                <w:color w:val="auto"/>
              </w:rPr>
            </w:pPr>
            <w:r>
              <w:rPr>
                <w:rFonts w:ascii="Arial" w:cs="Arial" w:eastAsia="Arial" w:hAnsi="Arial"/>
                <w:sz w:val="13"/>
                <w:szCs w:val="13"/>
                <w:color w:val="auto"/>
              </w:rPr>
              <w:t>Old Navy</w:t>
            </w: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Bath Shopping Center</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1978</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2006</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101,000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9"/>
              </w:rPr>
              <w:t>96%</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Shaw’s Supermarket</w:t>
            </w:r>
          </w:p>
        </w:tc>
      </w:tr>
      <w:tr>
        <w:trPr>
          <w:trHeight w:val="154"/>
        </w:trPr>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Bath, ME 04530</w:t>
            </w: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CVS</w:t>
            </w: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3"/>
                <w:szCs w:val="13"/>
                <w:color w:val="auto"/>
              </w:rPr>
              <w:t>Bethesda Row</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3"/>
              </w:rPr>
              <w:t>1945-1991</w:t>
            </w:r>
          </w:p>
        </w:tc>
        <w:tc>
          <w:tcPr>
            <w:tcW w:w="104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3"/>
              </w:rPr>
              <w:t>1993-2006</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477,000</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9"/>
              </w:rPr>
              <w:t>94%</w:t>
            </w:r>
          </w:p>
        </w:tc>
        <w:tc>
          <w:tcPr>
            <w:tcW w:w="178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Barnes &amp; Noble</w:t>
            </w:r>
          </w:p>
        </w:tc>
      </w:tr>
      <w:tr>
        <w:trPr>
          <w:trHeight w:val="146"/>
        </w:trPr>
        <w:tc>
          <w:tcPr>
            <w:tcW w:w="5140" w:type="dxa"/>
            <w:vAlign w:val="bottom"/>
          </w:tcPr>
          <w:p>
            <w:pPr>
              <w:ind w:left="220"/>
              <w:spacing w:after="0" w:line="146" w:lineRule="exact"/>
              <w:rPr>
                <w:sz w:val="20"/>
                <w:szCs w:val="20"/>
                <w:color w:val="auto"/>
              </w:rPr>
            </w:pPr>
            <w:r>
              <w:rPr>
                <w:rFonts w:ascii="Arial" w:cs="Arial" w:eastAsia="Arial" w:hAnsi="Arial"/>
                <w:sz w:val="13"/>
                <w:szCs w:val="13"/>
                <w:color w:val="auto"/>
              </w:rPr>
              <w:t>Bethesda, MD 20814(7)</w:t>
            </w:r>
          </w:p>
        </w:tc>
        <w:tc>
          <w:tcPr>
            <w:tcW w:w="106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2001</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Giant Food</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Landmark Theater</w:t>
            </w:r>
          </w:p>
        </w:tc>
      </w:tr>
      <w:tr>
        <w:trPr>
          <w:trHeight w:val="154"/>
        </w:trPr>
        <w:tc>
          <w:tcPr>
            <w:tcW w:w="5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gridSpan w:val="2"/>
          </w:tcPr>
          <w:p>
            <w:pPr>
              <w:ind w:left="440"/>
              <w:spacing w:after="0"/>
              <w:rPr>
                <w:sz w:val="20"/>
                <w:szCs w:val="20"/>
                <w:color w:val="auto"/>
              </w:rPr>
            </w:pPr>
            <w:r>
              <w:rPr>
                <w:rFonts w:ascii="Arial" w:cs="Arial" w:eastAsia="Arial" w:hAnsi="Arial"/>
                <w:sz w:val="13"/>
                <w:szCs w:val="13"/>
                <w:color w:val="auto"/>
                <w:w w:val="94"/>
              </w:rPr>
              <w:t>Washington Sports Club</w:t>
            </w: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Blue Star</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1959</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1988</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410,000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9"/>
              </w:rPr>
              <w:t>99%</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Shop Rite</w:t>
            </w:r>
          </w:p>
        </w:tc>
      </w:tr>
      <w:tr>
        <w:trPr>
          <w:trHeight w:val="146"/>
        </w:trPr>
        <w:tc>
          <w:tcPr>
            <w:tcW w:w="51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Watchung, NJ 07060(3)</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Kohl’s</w:t>
            </w:r>
          </w:p>
        </w:tc>
      </w:tr>
      <w:tr>
        <w:trPr>
          <w:trHeight w:val="146"/>
        </w:trPr>
        <w:tc>
          <w:tcPr>
            <w:tcW w:w="5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Michaels</w:t>
            </w:r>
          </w:p>
        </w:tc>
      </w:tr>
      <w:tr>
        <w:trPr>
          <w:trHeight w:val="146"/>
        </w:trPr>
        <w:tc>
          <w:tcPr>
            <w:tcW w:w="5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Toys R Us</w:t>
            </w:r>
          </w:p>
        </w:tc>
      </w:tr>
      <w:tr>
        <w:trPr>
          <w:trHeight w:val="154"/>
        </w:trPr>
        <w:tc>
          <w:tcPr>
            <w:tcW w:w="5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Marshalls</w:t>
            </w: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3"/>
                <w:szCs w:val="13"/>
                <w:color w:val="auto"/>
              </w:rPr>
              <w:t>Brick Plaza</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1958</w:t>
            </w:r>
          </w:p>
        </w:tc>
        <w:tc>
          <w:tcPr>
            <w:tcW w:w="104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89"/>
              </w:rPr>
              <w:t>1989</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409,000</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0"/>
              </w:rPr>
              <w:t>100%</w:t>
            </w:r>
          </w:p>
        </w:tc>
        <w:tc>
          <w:tcPr>
            <w:tcW w:w="178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A&amp;P Supermarket</w:t>
            </w:r>
          </w:p>
        </w:tc>
      </w:tr>
      <w:tr>
        <w:trPr>
          <w:trHeight w:val="146"/>
        </w:trPr>
        <w:tc>
          <w:tcPr>
            <w:tcW w:w="5140" w:type="dxa"/>
            <w:vAlign w:val="bottom"/>
          </w:tcPr>
          <w:p>
            <w:pPr>
              <w:ind w:left="220"/>
              <w:spacing w:after="0" w:line="146" w:lineRule="exact"/>
              <w:rPr>
                <w:sz w:val="20"/>
                <w:szCs w:val="20"/>
                <w:color w:val="auto"/>
              </w:rPr>
            </w:pPr>
            <w:r>
              <w:rPr>
                <w:rFonts w:ascii="Arial" w:cs="Arial" w:eastAsia="Arial" w:hAnsi="Arial"/>
                <w:sz w:val="13"/>
                <w:szCs w:val="13"/>
                <w:color w:val="auto"/>
              </w:rPr>
              <w:t>Brick Township, NJ 08723(6)</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Barnes &amp; Noble</w:t>
            </w:r>
          </w:p>
        </w:tc>
      </w:tr>
      <w:tr>
        <w:trPr>
          <w:trHeight w:val="146"/>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Loews Theatres</w:t>
            </w:r>
          </w:p>
        </w:tc>
      </w:tr>
      <w:tr>
        <w:trPr>
          <w:trHeight w:val="154"/>
        </w:trPr>
        <w:tc>
          <w:tcPr>
            <w:tcW w:w="5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gridSpan w:val="2"/>
          </w:tcPr>
          <w:p>
            <w:pPr>
              <w:ind w:left="440"/>
              <w:spacing w:after="0"/>
              <w:rPr>
                <w:sz w:val="20"/>
                <w:szCs w:val="20"/>
                <w:color w:val="auto"/>
              </w:rPr>
            </w:pPr>
            <w:r>
              <w:rPr>
                <w:rFonts w:ascii="Arial" w:cs="Arial" w:eastAsia="Arial" w:hAnsi="Arial"/>
                <w:sz w:val="13"/>
                <w:szCs w:val="13"/>
                <w:color w:val="auto"/>
              </w:rPr>
              <w:t>Sports Authority</w:t>
            </w: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Bristol</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1959</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1995</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275,000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9"/>
              </w:rPr>
              <w:t>97%</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Stop &amp; Shop</w:t>
            </w:r>
          </w:p>
        </w:tc>
      </w:tr>
      <w:tr>
        <w:trPr>
          <w:trHeight w:val="154"/>
        </w:trPr>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Bristol, CT 06010</w:t>
            </w: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TJ Maxx</w:t>
            </w: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3"/>
                <w:szCs w:val="13"/>
                <w:color w:val="auto"/>
              </w:rPr>
              <w:t>Brunswick</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1957</w:t>
            </w:r>
          </w:p>
        </w:tc>
        <w:tc>
          <w:tcPr>
            <w:tcW w:w="104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89"/>
              </w:rPr>
              <w:t>1988</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303,000</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9"/>
              </w:rPr>
              <w:t>99%</w:t>
            </w:r>
          </w:p>
        </w:tc>
        <w:tc>
          <w:tcPr>
            <w:tcW w:w="178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A&amp;P Supermarket</w:t>
            </w:r>
          </w:p>
        </w:tc>
      </w:tr>
      <w:tr>
        <w:trPr>
          <w:trHeight w:val="146"/>
        </w:trPr>
        <w:tc>
          <w:tcPr>
            <w:tcW w:w="5140" w:type="dxa"/>
            <w:vAlign w:val="bottom"/>
          </w:tcPr>
          <w:p>
            <w:pPr>
              <w:ind w:left="220"/>
              <w:spacing w:after="0" w:line="146" w:lineRule="exact"/>
              <w:rPr>
                <w:sz w:val="20"/>
                <w:szCs w:val="20"/>
                <w:color w:val="auto"/>
              </w:rPr>
            </w:pPr>
            <w:r>
              <w:rPr>
                <w:rFonts w:ascii="Arial" w:cs="Arial" w:eastAsia="Arial" w:hAnsi="Arial"/>
                <w:sz w:val="13"/>
                <w:szCs w:val="13"/>
                <w:color w:val="auto"/>
              </w:rPr>
              <w:t>North Brunswick, NJ 08902(3)</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A.J.Wright</w:t>
            </w:r>
          </w:p>
        </w:tc>
      </w:tr>
      <w:tr>
        <w:trPr>
          <w:trHeight w:val="154"/>
        </w:trPr>
        <w:tc>
          <w:tcPr>
            <w:tcW w:w="5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gridSpan w:val="2"/>
          </w:tcPr>
          <w:p>
            <w:pPr>
              <w:ind w:left="440"/>
              <w:spacing w:after="0"/>
              <w:rPr>
                <w:sz w:val="20"/>
                <w:szCs w:val="20"/>
                <w:color w:val="auto"/>
              </w:rPr>
            </w:pPr>
            <w:r>
              <w:rPr>
                <w:rFonts w:ascii="Arial" w:cs="Arial" w:eastAsia="Arial" w:hAnsi="Arial"/>
                <w:sz w:val="13"/>
                <w:szCs w:val="13"/>
                <w:color w:val="auto"/>
              </w:rPr>
              <w:t>L.A. Fitness</w:t>
            </w:r>
          </w:p>
        </w:tc>
      </w:tr>
      <w:tr>
        <w:trPr>
          <w:trHeight w:val="137"/>
        </w:trPr>
        <w:tc>
          <w:tcPr>
            <w:tcW w:w="5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Chelsea Commons I &amp; II</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1962</w:t>
            </w:r>
          </w:p>
        </w:tc>
        <w:tc>
          <w:tcPr>
            <w:tcW w:w="104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89"/>
              </w:rPr>
              <w:t>2006</w:t>
            </w:r>
          </w:p>
        </w:tc>
        <w:tc>
          <w:tcPr>
            <w:tcW w:w="13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179,000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99"/>
              </w:rPr>
              <w:t>99%</w:t>
            </w:r>
          </w:p>
        </w:tc>
        <w:tc>
          <w:tcPr>
            <w:tcW w:w="178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Sav-A-Lot</w:t>
            </w:r>
          </w:p>
        </w:tc>
      </w:tr>
      <w:tr>
        <w:trPr>
          <w:trHeight w:val="154"/>
        </w:trPr>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Chelsea, MA 02150</w:t>
            </w: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Home Depot</w:t>
            </w: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5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Retail and Residential Properties—continued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6"/>
        </w:trPr>
        <w:tc>
          <w:tcPr>
            <w:tcW w:w="4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Year</w:t>
            </w:r>
          </w:p>
        </w:tc>
        <w:tc>
          <w:tcPr>
            <w:tcW w:w="56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5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560" w:type="dxa"/>
            <w:vAlign w:val="bottom"/>
          </w:tcPr>
          <w:p>
            <w:pPr>
              <w:spacing w:after="0"/>
              <w:rPr>
                <w:sz w:val="12"/>
                <w:szCs w:val="12"/>
                <w:color w:val="auto"/>
              </w:rPr>
            </w:pPr>
          </w:p>
        </w:tc>
        <w:tc>
          <w:tcPr>
            <w:tcW w:w="640" w:type="dxa"/>
            <w:vAlign w:val="bottom"/>
          </w:tcPr>
          <w:p>
            <w:pPr>
              <w:spacing w:after="0" w:line="146" w:lineRule="exact"/>
              <w:rPr>
                <w:sz w:val="20"/>
                <w:szCs w:val="20"/>
                <w:color w:val="auto"/>
              </w:rPr>
            </w:pPr>
            <w:r>
              <w:rPr>
                <w:rFonts w:ascii="Arial" w:cs="Arial" w:eastAsia="Arial" w:hAnsi="Arial"/>
                <w:sz w:val="13"/>
                <w:szCs w:val="13"/>
                <w:b w:val="1"/>
                <w:bCs w:val="1"/>
                <w:color w:val="auto"/>
                <w:w w:val="88"/>
              </w:rPr>
              <w:t>Percentage</w:t>
            </w: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5"/>
        </w:trPr>
        <w:tc>
          <w:tcPr>
            <w:tcW w:w="4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EAST REGION</w:t>
            </w:r>
          </w:p>
        </w:tc>
        <w:tc>
          <w:tcPr>
            <w:tcW w:w="5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Completed</w:t>
            </w:r>
          </w:p>
        </w:tc>
        <w:tc>
          <w:tcPr>
            <w:tcW w:w="5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5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540" w:type="dxa"/>
            <w:vAlign w:val="bottom"/>
          </w:tcPr>
          <w:p>
            <w:pPr>
              <w:spacing w:after="0"/>
              <w:rPr>
                <w:sz w:val="14"/>
                <w:szCs w:val="1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Principal Tenant(s)</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Congressional Plaza</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1965</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1965</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3"/>
              </w:rPr>
              <w:t>338,000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91%</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Buy Buy Baby</w:t>
            </w:r>
          </w:p>
        </w:tc>
      </w:tr>
      <w:tr>
        <w:trPr>
          <w:trHeight w:val="146"/>
        </w:trPr>
        <w:tc>
          <w:tcPr>
            <w:tcW w:w="49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Rockville, MD 20852(4)</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Whole Foods</w:t>
            </w:r>
          </w:p>
        </w:tc>
      </w:tr>
      <w:tr>
        <w:trPr>
          <w:trHeight w:val="154"/>
        </w:trPr>
        <w:tc>
          <w:tcPr>
            <w:tcW w:w="4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Container Store</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Congressional Plaza Residential</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2003</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1965</w:t>
            </w:r>
          </w:p>
        </w:tc>
        <w:tc>
          <w:tcPr>
            <w:tcW w:w="54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Arial" w:cs="Arial" w:eastAsia="Arial" w:hAnsi="Arial"/>
                <w:sz w:val="13"/>
                <w:szCs w:val="13"/>
                <w:color w:val="auto"/>
                <w:w w:val="90"/>
              </w:rPr>
              <w:t>146 units</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96%</w:t>
            </w: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4"/>
        </w:trPr>
        <w:tc>
          <w:tcPr>
            <w:tcW w:w="4900" w:type="dxa"/>
            <w:vAlign w:val="bottom"/>
          </w:tcPr>
          <w:p>
            <w:pPr>
              <w:ind w:left="220"/>
              <w:spacing w:after="0"/>
              <w:rPr>
                <w:sz w:val="20"/>
                <w:szCs w:val="20"/>
                <w:color w:val="auto"/>
              </w:rPr>
            </w:pPr>
            <w:r>
              <w:rPr>
                <w:rFonts w:ascii="Arial" w:cs="Arial" w:eastAsia="Arial" w:hAnsi="Arial"/>
                <w:sz w:val="13"/>
                <w:szCs w:val="13"/>
                <w:color w:val="auto"/>
              </w:rPr>
              <w:t>Rockville, MD 20852(4)</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Courthouse Center</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1970</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1997</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0"/>
              </w:rPr>
              <w:t>38,000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97%</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4"/>
        </w:trPr>
        <w:tc>
          <w:tcPr>
            <w:tcW w:w="4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Rockville, MD 20852(5)</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Clifton</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1959</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1988</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0"/>
              </w:rPr>
              <w:t>80,000</w:t>
            </w:r>
          </w:p>
        </w:tc>
        <w:tc>
          <w:tcPr>
            <w:tcW w:w="120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Drug Fair</w:t>
            </w:r>
          </w:p>
        </w:tc>
      </w:tr>
      <w:tr>
        <w:trPr>
          <w:trHeight w:val="154"/>
        </w:trPr>
        <w:tc>
          <w:tcPr>
            <w:tcW w:w="4900" w:type="dxa"/>
            <w:vAlign w:val="bottom"/>
          </w:tcPr>
          <w:p>
            <w:pPr>
              <w:ind w:left="220"/>
              <w:spacing w:after="0"/>
              <w:rPr>
                <w:sz w:val="20"/>
                <w:szCs w:val="20"/>
                <w:color w:val="auto"/>
              </w:rPr>
            </w:pPr>
            <w:r>
              <w:rPr>
                <w:rFonts w:ascii="Arial" w:cs="Arial" w:eastAsia="Arial" w:hAnsi="Arial"/>
                <w:sz w:val="13"/>
                <w:szCs w:val="13"/>
                <w:color w:val="auto"/>
              </w:rPr>
              <w:t>Clifton, NJ 07013(3)</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Dollar Express</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Crossroads</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1959</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1993</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3"/>
              </w:rPr>
              <w:t>173,000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95%</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Comp USA</w:t>
            </w:r>
          </w:p>
        </w:tc>
      </w:tr>
      <w:tr>
        <w:trPr>
          <w:trHeight w:val="146"/>
        </w:trPr>
        <w:tc>
          <w:tcPr>
            <w:tcW w:w="49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Highland Park, IL 60035</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Golfsmith</w:t>
            </w:r>
          </w:p>
        </w:tc>
      </w:tr>
      <w:tr>
        <w:trPr>
          <w:trHeight w:val="154"/>
        </w:trPr>
        <w:tc>
          <w:tcPr>
            <w:tcW w:w="4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Guitar Center</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Dedham</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1959</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1993</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3"/>
              </w:rPr>
              <w:t>241,000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94%</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Pier 1 Imports</w:t>
            </w:r>
          </w:p>
        </w:tc>
      </w:tr>
      <w:tr>
        <w:trPr>
          <w:trHeight w:val="154"/>
        </w:trPr>
        <w:tc>
          <w:tcPr>
            <w:tcW w:w="4900" w:type="dxa"/>
            <w:vAlign w:val="bottom"/>
          </w:tcPr>
          <w:p>
            <w:pPr>
              <w:ind w:left="220"/>
              <w:spacing w:after="0"/>
              <w:rPr>
                <w:sz w:val="20"/>
                <w:szCs w:val="20"/>
                <w:color w:val="auto"/>
              </w:rPr>
            </w:pPr>
            <w:r>
              <w:rPr>
                <w:rFonts w:ascii="Arial" w:cs="Arial" w:eastAsia="Arial" w:hAnsi="Arial"/>
                <w:sz w:val="13"/>
                <w:szCs w:val="13"/>
                <w:color w:val="auto"/>
              </w:rPr>
              <w:t>Dedham, MA 02026</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Star Market</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Eastgate</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1963</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1986</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3"/>
              </w:rPr>
              <w:t>159,000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90%</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Earth Fare</w:t>
            </w:r>
          </w:p>
        </w:tc>
      </w:tr>
      <w:tr>
        <w:trPr>
          <w:trHeight w:val="154"/>
        </w:trPr>
        <w:tc>
          <w:tcPr>
            <w:tcW w:w="4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Chapel Hill, NC 27514</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Stein Mart</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Ellisburg Circle</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1959</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1992</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3"/>
              </w:rPr>
              <w:t>267,000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89%</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Genuardi’s</w:t>
            </w:r>
          </w:p>
        </w:tc>
      </w:tr>
      <w:tr>
        <w:trPr>
          <w:trHeight w:val="154"/>
        </w:trPr>
        <w:tc>
          <w:tcPr>
            <w:tcW w:w="4900" w:type="dxa"/>
            <w:vAlign w:val="bottom"/>
          </w:tcPr>
          <w:p>
            <w:pPr>
              <w:ind w:left="220"/>
              <w:spacing w:after="0"/>
              <w:rPr>
                <w:sz w:val="20"/>
                <w:szCs w:val="20"/>
                <w:color w:val="auto"/>
              </w:rPr>
            </w:pPr>
            <w:r>
              <w:rPr>
                <w:rFonts w:ascii="Arial" w:cs="Arial" w:eastAsia="Arial" w:hAnsi="Arial"/>
                <w:sz w:val="13"/>
                <w:szCs w:val="13"/>
                <w:color w:val="auto"/>
              </w:rPr>
              <w:t>Cherry Hill, NJ 08034</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Stein Mart</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Falls Plaza</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1962</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1967</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0"/>
              </w:rPr>
              <w:t>73,000</w:t>
            </w:r>
          </w:p>
        </w:tc>
        <w:tc>
          <w:tcPr>
            <w:tcW w:w="120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Giant Food</w:t>
            </w:r>
          </w:p>
        </w:tc>
      </w:tr>
      <w:tr>
        <w:trPr>
          <w:trHeight w:val="154"/>
        </w:trPr>
        <w:tc>
          <w:tcPr>
            <w:tcW w:w="4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Falls Church, VA 22046</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Falls Plaza – East</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1960</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1972</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0"/>
              </w:rPr>
              <w:t>71,000</w:t>
            </w:r>
          </w:p>
        </w:tc>
        <w:tc>
          <w:tcPr>
            <w:tcW w:w="120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CVS</w:t>
            </w:r>
          </w:p>
        </w:tc>
      </w:tr>
      <w:tr>
        <w:trPr>
          <w:trHeight w:val="154"/>
        </w:trPr>
        <w:tc>
          <w:tcPr>
            <w:tcW w:w="4900" w:type="dxa"/>
            <w:vAlign w:val="bottom"/>
          </w:tcPr>
          <w:p>
            <w:pPr>
              <w:ind w:left="220"/>
              <w:spacing w:after="0"/>
              <w:rPr>
                <w:sz w:val="20"/>
                <w:szCs w:val="20"/>
                <w:color w:val="auto"/>
              </w:rPr>
            </w:pPr>
            <w:r>
              <w:rPr>
                <w:rFonts w:ascii="Arial" w:cs="Arial" w:eastAsia="Arial" w:hAnsi="Arial"/>
                <w:sz w:val="13"/>
                <w:szCs w:val="13"/>
                <w:color w:val="auto"/>
              </w:rPr>
              <w:t>Falls Church, VA 22046</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Staples</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Feasterville</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1958</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1980</w:t>
            </w:r>
          </w:p>
        </w:tc>
        <w:tc>
          <w:tcPr>
            <w:tcW w:w="13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111,000</w:t>
            </w:r>
          </w:p>
        </w:tc>
        <w:tc>
          <w:tcPr>
            <w:tcW w:w="120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Genuardi’s</w:t>
            </w:r>
          </w:p>
        </w:tc>
      </w:tr>
      <w:tr>
        <w:trPr>
          <w:trHeight w:val="154"/>
        </w:trPr>
        <w:tc>
          <w:tcPr>
            <w:tcW w:w="4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Feasterville, PA 19047</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OfficeMax</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Federal Plaza</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1970</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1989</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3"/>
              </w:rPr>
              <w:t>247,000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99%</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Comp USA</w:t>
            </w:r>
          </w:p>
        </w:tc>
      </w:tr>
      <w:tr>
        <w:trPr>
          <w:trHeight w:val="146"/>
        </w:trPr>
        <w:tc>
          <w:tcPr>
            <w:tcW w:w="4900" w:type="dxa"/>
            <w:vAlign w:val="bottom"/>
          </w:tcPr>
          <w:p>
            <w:pPr>
              <w:ind w:left="220"/>
              <w:spacing w:after="0" w:line="146" w:lineRule="exact"/>
              <w:rPr>
                <w:sz w:val="20"/>
                <w:szCs w:val="20"/>
                <w:color w:val="auto"/>
              </w:rPr>
            </w:pPr>
            <w:r>
              <w:rPr>
                <w:rFonts w:ascii="Arial" w:cs="Arial" w:eastAsia="Arial" w:hAnsi="Arial"/>
                <w:sz w:val="13"/>
                <w:szCs w:val="13"/>
                <w:color w:val="auto"/>
              </w:rPr>
              <w:t>Rockville, MD 20852</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line="146" w:lineRule="exact"/>
              <w:rPr>
                <w:sz w:val="20"/>
                <w:szCs w:val="20"/>
                <w:color w:val="auto"/>
              </w:rPr>
            </w:pPr>
            <w:r>
              <w:rPr>
                <w:rFonts w:ascii="Arial" w:cs="Arial" w:eastAsia="Arial" w:hAnsi="Arial"/>
                <w:sz w:val="13"/>
                <w:szCs w:val="13"/>
                <w:color w:val="auto"/>
                <w:w w:val="90"/>
              </w:rPr>
              <w:t>Ross Dress For Less</w:t>
            </w:r>
          </w:p>
        </w:tc>
      </w:tr>
      <w:tr>
        <w:trPr>
          <w:trHeight w:val="154"/>
        </w:trPr>
        <w:tc>
          <w:tcPr>
            <w:tcW w:w="4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TJ Maxx</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Finley Square</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1974</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1995</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3"/>
              </w:rPr>
              <w:t>315,000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97%</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w w:val="93"/>
              </w:rPr>
              <w:t>Bed, Bath &amp; Beyond</w:t>
            </w:r>
          </w:p>
        </w:tc>
      </w:tr>
      <w:tr>
        <w:trPr>
          <w:trHeight w:val="154"/>
        </w:trPr>
        <w:tc>
          <w:tcPr>
            <w:tcW w:w="4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Downers Grove, IL 60515</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Sports Authority</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Flourtown</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1957</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1980</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3"/>
              </w:rPr>
              <w:t>181,000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96%</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Genuardi’s</w:t>
            </w:r>
          </w:p>
        </w:tc>
      </w:tr>
      <w:tr>
        <w:trPr>
          <w:trHeight w:val="154"/>
        </w:trPr>
        <w:tc>
          <w:tcPr>
            <w:tcW w:w="4900" w:type="dxa"/>
            <w:vAlign w:val="bottom"/>
          </w:tcPr>
          <w:p>
            <w:pPr>
              <w:ind w:left="220"/>
              <w:spacing w:after="0"/>
              <w:rPr>
                <w:sz w:val="20"/>
                <w:szCs w:val="20"/>
                <w:color w:val="auto"/>
              </w:rPr>
            </w:pPr>
            <w:r>
              <w:rPr>
                <w:rFonts w:ascii="Arial" w:cs="Arial" w:eastAsia="Arial" w:hAnsi="Arial"/>
                <w:sz w:val="13"/>
                <w:szCs w:val="13"/>
                <w:color w:val="auto"/>
              </w:rPr>
              <w:t>Flourtown, PA 19031</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Forest Hills</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93"/>
              </w:rPr>
              <w:t>1937-1987</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1997</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0"/>
              </w:rPr>
              <w:t>85,000</w:t>
            </w:r>
          </w:p>
        </w:tc>
        <w:tc>
          <w:tcPr>
            <w:tcW w:w="120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Midway Theatre</w:t>
            </w:r>
          </w:p>
        </w:tc>
      </w:tr>
      <w:tr>
        <w:trPr>
          <w:trHeight w:val="146"/>
        </w:trPr>
        <w:tc>
          <w:tcPr>
            <w:tcW w:w="49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Forest Hills, NY</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Duane Reade</w:t>
            </w:r>
          </w:p>
        </w:tc>
      </w:tr>
      <w:tr>
        <w:trPr>
          <w:trHeight w:val="154"/>
        </w:trPr>
        <w:tc>
          <w:tcPr>
            <w:tcW w:w="4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Gap</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Friendship Center</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1998</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2001</w:t>
            </w:r>
          </w:p>
        </w:tc>
        <w:tc>
          <w:tcPr>
            <w:tcW w:w="13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119,000</w:t>
            </w:r>
          </w:p>
        </w:tc>
        <w:tc>
          <w:tcPr>
            <w:tcW w:w="120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Maggiano’s</w:t>
            </w:r>
          </w:p>
        </w:tc>
      </w:tr>
      <w:tr>
        <w:trPr>
          <w:trHeight w:val="146"/>
        </w:trPr>
        <w:tc>
          <w:tcPr>
            <w:tcW w:w="4900" w:type="dxa"/>
            <w:vAlign w:val="bottom"/>
          </w:tcPr>
          <w:p>
            <w:pPr>
              <w:ind w:left="220"/>
              <w:spacing w:after="0" w:line="146" w:lineRule="exact"/>
              <w:rPr>
                <w:sz w:val="20"/>
                <w:szCs w:val="20"/>
                <w:color w:val="auto"/>
              </w:rPr>
            </w:pPr>
            <w:r>
              <w:rPr>
                <w:rFonts w:ascii="Arial" w:cs="Arial" w:eastAsia="Arial" w:hAnsi="Arial"/>
                <w:sz w:val="13"/>
                <w:szCs w:val="13"/>
                <w:color w:val="auto"/>
              </w:rPr>
              <w:t>Washington, D.C 20015</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line="146" w:lineRule="exact"/>
              <w:rPr>
                <w:sz w:val="20"/>
                <w:szCs w:val="20"/>
                <w:color w:val="auto"/>
              </w:rPr>
            </w:pPr>
            <w:r>
              <w:rPr>
                <w:rFonts w:ascii="Arial" w:cs="Arial" w:eastAsia="Arial" w:hAnsi="Arial"/>
                <w:sz w:val="13"/>
                <w:szCs w:val="13"/>
                <w:color w:val="auto"/>
              </w:rPr>
              <w:t>Borders Books</w:t>
            </w:r>
          </w:p>
        </w:tc>
      </w:tr>
      <w:tr>
        <w:trPr>
          <w:trHeight w:val="154"/>
        </w:trPr>
        <w:tc>
          <w:tcPr>
            <w:tcW w:w="4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Linens ‘n Things</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Fresh Meadows</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1949</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1997</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3"/>
              </w:rPr>
              <w:t>403,000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95%</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Cineplex Odeon</w:t>
            </w:r>
          </w:p>
        </w:tc>
      </w:tr>
      <w:tr>
        <w:trPr>
          <w:trHeight w:val="146"/>
        </w:trPr>
        <w:tc>
          <w:tcPr>
            <w:tcW w:w="49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Queens, NY 11365</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Filene’s Basement</w:t>
            </w:r>
          </w:p>
        </w:tc>
      </w:tr>
      <w:tr>
        <w:trPr>
          <w:trHeight w:val="146"/>
        </w:trPr>
        <w:tc>
          <w:tcPr>
            <w:tcW w:w="4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Kohl’s</w:t>
            </w:r>
          </w:p>
        </w:tc>
      </w:tr>
      <w:tr>
        <w:trPr>
          <w:trHeight w:val="146"/>
        </w:trPr>
        <w:tc>
          <w:tcPr>
            <w:tcW w:w="4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Associated Food</w:t>
            </w:r>
          </w:p>
        </w:tc>
      </w:tr>
      <w:tr>
        <w:trPr>
          <w:trHeight w:val="154"/>
        </w:trPr>
        <w:tc>
          <w:tcPr>
            <w:tcW w:w="4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Stores</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Gaithersburg Square</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1966</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1993</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3"/>
              </w:rPr>
              <w:t>198,000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99%</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w w:val="93"/>
              </w:rPr>
              <w:t>Bed, Bath &amp; Beyond</w:t>
            </w:r>
          </w:p>
        </w:tc>
      </w:tr>
      <w:tr>
        <w:trPr>
          <w:trHeight w:val="146"/>
        </w:trPr>
        <w:tc>
          <w:tcPr>
            <w:tcW w:w="4900" w:type="dxa"/>
            <w:vAlign w:val="bottom"/>
          </w:tcPr>
          <w:p>
            <w:pPr>
              <w:ind w:left="220"/>
              <w:spacing w:after="0" w:line="146" w:lineRule="exact"/>
              <w:rPr>
                <w:sz w:val="20"/>
                <w:szCs w:val="20"/>
                <w:color w:val="auto"/>
              </w:rPr>
            </w:pPr>
            <w:r>
              <w:rPr>
                <w:rFonts w:ascii="Arial" w:cs="Arial" w:eastAsia="Arial" w:hAnsi="Arial"/>
                <w:sz w:val="13"/>
                <w:szCs w:val="13"/>
                <w:color w:val="auto"/>
              </w:rPr>
              <w:t>Gaithersburg, MD 20878</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line="146" w:lineRule="exact"/>
              <w:rPr>
                <w:sz w:val="20"/>
                <w:szCs w:val="20"/>
                <w:color w:val="auto"/>
              </w:rPr>
            </w:pPr>
            <w:r>
              <w:rPr>
                <w:rFonts w:ascii="Arial" w:cs="Arial" w:eastAsia="Arial" w:hAnsi="Arial"/>
                <w:sz w:val="13"/>
                <w:szCs w:val="13"/>
                <w:color w:val="auto"/>
                <w:w w:val="99"/>
              </w:rPr>
              <w:t>Borders Books and</w:t>
            </w:r>
          </w:p>
        </w:tc>
      </w:tr>
      <w:tr>
        <w:trPr>
          <w:trHeight w:val="146"/>
        </w:trPr>
        <w:tc>
          <w:tcPr>
            <w:tcW w:w="4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line="146" w:lineRule="exact"/>
              <w:rPr>
                <w:sz w:val="20"/>
                <w:szCs w:val="20"/>
                <w:color w:val="auto"/>
              </w:rPr>
            </w:pPr>
            <w:r>
              <w:rPr>
                <w:rFonts w:ascii="Arial" w:cs="Arial" w:eastAsia="Arial" w:hAnsi="Arial"/>
                <w:sz w:val="13"/>
                <w:szCs w:val="13"/>
                <w:color w:val="auto"/>
              </w:rPr>
              <w:t>Music</w:t>
            </w:r>
          </w:p>
        </w:tc>
      </w:tr>
      <w:tr>
        <w:trPr>
          <w:trHeight w:val="154"/>
        </w:trPr>
        <w:tc>
          <w:tcPr>
            <w:tcW w:w="4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w w:val="90"/>
              </w:rPr>
              <w:t>Ross Dress For Less</w:t>
            </w:r>
          </w:p>
        </w:tc>
      </w:tr>
      <w:tr>
        <w:trPr>
          <w:trHeight w:val="137"/>
        </w:trPr>
        <w:tc>
          <w:tcPr>
            <w:tcW w:w="4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Garden Market</w:t>
            </w:r>
          </w:p>
        </w:tc>
        <w:tc>
          <w:tcPr>
            <w:tcW w:w="118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1958</w:t>
            </w:r>
          </w:p>
        </w:tc>
        <w:tc>
          <w:tcPr>
            <w:tcW w:w="11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1994</w:t>
            </w:r>
          </w:p>
        </w:tc>
        <w:tc>
          <w:tcPr>
            <w:tcW w:w="1380" w:type="dxa"/>
            <w:vAlign w:val="bottom"/>
            <w:gridSpan w:val="2"/>
            <w:shd w:val="clear" w:color="auto" w:fill="CCEEFF"/>
          </w:tcPr>
          <w:p>
            <w:pPr>
              <w:jc w:val="center"/>
              <w:ind w:left="474"/>
              <w:spacing w:after="0" w:line="137" w:lineRule="exact"/>
              <w:rPr>
                <w:sz w:val="20"/>
                <w:szCs w:val="20"/>
                <w:color w:val="auto"/>
              </w:rPr>
            </w:pPr>
            <w:r>
              <w:rPr>
                <w:rFonts w:ascii="Arial" w:cs="Arial" w:eastAsia="Arial" w:hAnsi="Arial"/>
                <w:sz w:val="13"/>
                <w:szCs w:val="13"/>
                <w:color w:val="auto"/>
                <w:w w:val="93"/>
              </w:rPr>
              <w:t>140,000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96%</w:t>
            </w: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Dominick’s</w:t>
            </w:r>
          </w:p>
        </w:tc>
      </w:tr>
      <w:tr>
        <w:trPr>
          <w:trHeight w:val="154"/>
        </w:trPr>
        <w:tc>
          <w:tcPr>
            <w:tcW w:w="4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Western Springs, IL 60558</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Walgreens</w:t>
            </w:r>
          </w:p>
        </w:tc>
      </w:tr>
      <w:tr>
        <w:trPr>
          <w:trHeight w:val="137"/>
        </w:trPr>
        <w:tc>
          <w:tcPr>
            <w:tcW w:w="4900" w:type="dxa"/>
            <w:vAlign w:val="bottom"/>
          </w:tcPr>
          <w:p>
            <w:pPr>
              <w:spacing w:after="0" w:line="137" w:lineRule="exact"/>
              <w:rPr>
                <w:sz w:val="20"/>
                <w:szCs w:val="20"/>
                <w:color w:val="auto"/>
              </w:rPr>
            </w:pPr>
            <w:r>
              <w:rPr>
                <w:rFonts w:ascii="Arial" w:cs="Arial" w:eastAsia="Arial" w:hAnsi="Arial"/>
                <w:sz w:val="13"/>
                <w:szCs w:val="13"/>
                <w:color w:val="auto"/>
              </w:rPr>
              <w:t>Governor Plaza</w:t>
            </w:r>
          </w:p>
        </w:tc>
        <w:tc>
          <w:tcPr>
            <w:tcW w:w="118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1963</w:t>
            </w:r>
          </w:p>
        </w:tc>
        <w:tc>
          <w:tcPr>
            <w:tcW w:w="11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1985</w:t>
            </w:r>
          </w:p>
        </w:tc>
        <w:tc>
          <w:tcPr>
            <w:tcW w:w="138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3"/>
              </w:rPr>
              <w:t>269,000</w:t>
            </w:r>
          </w:p>
        </w:tc>
        <w:tc>
          <w:tcPr>
            <w:tcW w:w="1200" w:type="dxa"/>
            <w:vAlign w:val="bottom"/>
            <w:gridSpan w:val="2"/>
          </w:tcPr>
          <w:p>
            <w:pPr>
              <w:jc w:val="center"/>
              <w:ind w:left="474"/>
              <w:spacing w:after="0" w:line="137" w:lineRule="exact"/>
              <w:rPr>
                <w:sz w:val="20"/>
                <w:szCs w:val="20"/>
                <w:color w:val="auto"/>
              </w:rPr>
            </w:pPr>
            <w:r>
              <w:rPr>
                <w:rFonts w:ascii="Arial" w:cs="Arial" w:eastAsia="Arial" w:hAnsi="Arial"/>
                <w:sz w:val="13"/>
                <w:szCs w:val="13"/>
                <w:color w:val="auto"/>
                <w:w w:val="90"/>
              </w:rPr>
              <w:t>100%</w:t>
            </w:r>
          </w:p>
        </w:tc>
        <w:tc>
          <w:tcPr>
            <w:tcW w:w="540" w:type="dxa"/>
            <w:vAlign w:val="bottom"/>
          </w:tcPr>
          <w:p>
            <w:pPr>
              <w:spacing w:after="0"/>
              <w:rPr>
                <w:sz w:val="11"/>
                <w:szCs w:val="11"/>
                <w:color w:val="auto"/>
              </w:rPr>
            </w:pPr>
          </w:p>
        </w:tc>
        <w:tc>
          <w:tcPr>
            <w:tcW w:w="1120" w:type="dxa"/>
            <w:vAlign w:val="bottom"/>
          </w:tcPr>
          <w:p>
            <w:pPr>
              <w:spacing w:after="0" w:line="137" w:lineRule="exact"/>
              <w:rPr>
                <w:sz w:val="20"/>
                <w:szCs w:val="20"/>
                <w:color w:val="auto"/>
              </w:rPr>
            </w:pPr>
            <w:r>
              <w:rPr>
                <w:rFonts w:ascii="Arial" w:cs="Arial" w:eastAsia="Arial" w:hAnsi="Arial"/>
                <w:sz w:val="13"/>
                <w:szCs w:val="13"/>
                <w:color w:val="auto"/>
              </w:rPr>
              <w:t>Office Depot</w:t>
            </w:r>
          </w:p>
        </w:tc>
      </w:tr>
      <w:tr>
        <w:trPr>
          <w:trHeight w:val="146"/>
        </w:trPr>
        <w:tc>
          <w:tcPr>
            <w:tcW w:w="4900" w:type="dxa"/>
            <w:vAlign w:val="bottom"/>
          </w:tcPr>
          <w:p>
            <w:pPr>
              <w:ind w:left="220"/>
              <w:spacing w:after="0" w:line="146" w:lineRule="exact"/>
              <w:rPr>
                <w:sz w:val="20"/>
                <w:szCs w:val="20"/>
                <w:color w:val="auto"/>
              </w:rPr>
            </w:pPr>
            <w:r>
              <w:rPr>
                <w:rFonts w:ascii="Arial" w:cs="Arial" w:eastAsia="Arial" w:hAnsi="Arial"/>
                <w:sz w:val="13"/>
                <w:szCs w:val="13"/>
                <w:color w:val="auto"/>
              </w:rPr>
              <w:t>Glen Burnie, MD 21961</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line="146" w:lineRule="exact"/>
              <w:rPr>
                <w:sz w:val="20"/>
                <w:szCs w:val="20"/>
                <w:color w:val="auto"/>
              </w:rPr>
            </w:pPr>
            <w:r>
              <w:rPr>
                <w:rFonts w:ascii="Arial" w:cs="Arial" w:eastAsia="Arial" w:hAnsi="Arial"/>
                <w:sz w:val="13"/>
                <w:szCs w:val="13"/>
                <w:color w:val="auto"/>
              </w:rPr>
              <w:t>Comp USA</w:t>
            </w:r>
          </w:p>
        </w:tc>
      </w:tr>
      <w:tr>
        <w:trPr>
          <w:trHeight w:val="146"/>
        </w:trPr>
        <w:tc>
          <w:tcPr>
            <w:tcW w:w="4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line="146" w:lineRule="exact"/>
              <w:rPr>
                <w:sz w:val="20"/>
                <w:szCs w:val="20"/>
                <w:color w:val="auto"/>
              </w:rPr>
            </w:pPr>
            <w:r>
              <w:rPr>
                <w:rFonts w:ascii="Arial" w:cs="Arial" w:eastAsia="Arial" w:hAnsi="Arial"/>
                <w:sz w:val="13"/>
                <w:szCs w:val="13"/>
                <w:color w:val="auto"/>
                <w:w w:val="95"/>
              </w:rPr>
              <w:t>Bally’s Total Fitness</w:t>
            </w:r>
          </w:p>
        </w:tc>
      </w:tr>
      <w:tr>
        <w:trPr>
          <w:trHeight w:val="166"/>
        </w:trPr>
        <w:tc>
          <w:tcPr>
            <w:tcW w:w="4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Aldi</w:t>
            </w:r>
          </w:p>
        </w:tc>
      </w:tr>
      <w:tr>
        <w:trPr>
          <w:trHeight w:val="343"/>
        </w:trPr>
        <w:tc>
          <w:tcPr>
            <w:tcW w:w="490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17"/>
                <w:szCs w:val="17"/>
                <w:color w:val="auto"/>
              </w:rPr>
              <w:t>21</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Retail and Residential Properties—continued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46"/>
        </w:trPr>
        <w:tc>
          <w:tcPr>
            <w:tcW w:w="4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58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5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/Apartment</w:t>
            </w:r>
          </w:p>
        </w:tc>
        <w:tc>
          <w:tcPr>
            <w:tcW w:w="560" w:type="dxa"/>
            <w:vAlign w:val="bottom"/>
          </w:tcPr>
          <w:p>
            <w:pPr>
              <w:spacing w:after="0"/>
              <w:rPr>
                <w:sz w:val="12"/>
                <w:szCs w:val="12"/>
                <w:color w:val="auto"/>
              </w:rPr>
            </w:pPr>
          </w:p>
        </w:tc>
        <w:tc>
          <w:tcPr>
            <w:tcW w:w="640" w:type="dxa"/>
            <w:vAlign w:val="bottom"/>
          </w:tcPr>
          <w:p>
            <w:pPr>
              <w:ind w:left="20"/>
              <w:spacing w:after="0" w:line="146" w:lineRule="exact"/>
              <w:rPr>
                <w:sz w:val="20"/>
                <w:szCs w:val="20"/>
                <w:color w:val="auto"/>
              </w:rPr>
            </w:pPr>
            <w:r>
              <w:rPr>
                <w:rFonts w:ascii="Arial" w:cs="Arial" w:eastAsia="Arial" w:hAnsi="Arial"/>
                <w:sz w:val="13"/>
                <w:szCs w:val="13"/>
                <w:b w:val="1"/>
                <w:bCs w:val="1"/>
                <w:color w:val="auto"/>
                <w:w w:val="85"/>
              </w:rPr>
              <w:t>Percentage</w:t>
            </w:r>
          </w:p>
        </w:tc>
        <w:tc>
          <w:tcPr>
            <w:tcW w:w="5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65"/>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EAST REGION</w:t>
            </w:r>
          </w:p>
        </w:tc>
        <w:tc>
          <w:tcPr>
            <w:tcW w:w="5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580" w:type="dxa"/>
            <w:vAlign w:val="bottom"/>
          </w:tcPr>
          <w:p>
            <w:pPr>
              <w:spacing w:after="0"/>
              <w:rPr>
                <w:sz w:val="14"/>
                <w:szCs w:val="14"/>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Principal Tenant(s)</w:t>
            </w: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Gratiot Plaza</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1964</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1973</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217,000</w:t>
            </w:r>
          </w:p>
        </w:tc>
        <w:tc>
          <w:tcPr>
            <w:tcW w:w="1200" w:type="dxa"/>
            <w:vAlign w:val="bottom"/>
            <w:gridSpan w:val="2"/>
            <w:shd w:val="clear" w:color="auto" w:fill="CCEEFF"/>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Bed, Bath &amp; Beyond</w:t>
            </w:r>
          </w:p>
        </w:tc>
      </w:tr>
      <w:tr>
        <w:trPr>
          <w:trHeight w:val="146"/>
        </w:trPr>
        <w:tc>
          <w:tcPr>
            <w:tcW w:w="4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Roseville, MI 48066</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Best Buy</w:t>
            </w:r>
          </w:p>
        </w:tc>
      </w:tr>
      <w:tr>
        <w:trPr>
          <w:trHeight w:val="146"/>
        </w:trPr>
        <w:tc>
          <w:tcPr>
            <w:tcW w:w="4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Farmer Jacks</w:t>
            </w:r>
          </w:p>
        </w:tc>
      </w:tr>
      <w:tr>
        <w:trPr>
          <w:trHeight w:val="154"/>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DSW</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Greenwich Avenue</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1995</w:t>
            </w:r>
          </w:p>
        </w:tc>
        <w:tc>
          <w:tcPr>
            <w:tcW w:w="1140" w:type="dxa"/>
            <w:vAlign w:val="bottom"/>
            <w:gridSpan w:val="2"/>
          </w:tcPr>
          <w:p>
            <w:pPr>
              <w:jc w:val="center"/>
              <w:ind w:left="513"/>
              <w:spacing w:after="0" w:line="137" w:lineRule="exact"/>
              <w:rPr>
                <w:sz w:val="20"/>
                <w:szCs w:val="20"/>
                <w:color w:val="auto"/>
              </w:rPr>
            </w:pPr>
            <w:r>
              <w:rPr>
                <w:rFonts w:ascii="Arial" w:cs="Arial" w:eastAsia="Arial" w:hAnsi="Arial"/>
                <w:sz w:val="13"/>
                <w:szCs w:val="13"/>
                <w:color w:val="auto"/>
                <w:w w:val="96"/>
              </w:rPr>
              <w:t>1994-</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0"/>
              </w:rPr>
              <w:t>42,000</w:t>
            </w:r>
          </w:p>
        </w:tc>
        <w:tc>
          <w:tcPr>
            <w:tcW w:w="1200" w:type="dxa"/>
            <w:vAlign w:val="bottom"/>
            <w:gridSpan w:val="2"/>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Saks Fifth Avenue</w:t>
            </w:r>
          </w:p>
        </w:tc>
      </w:tr>
      <w:tr>
        <w:trPr>
          <w:trHeight w:val="154"/>
        </w:trPr>
        <w:tc>
          <w:tcPr>
            <w:tcW w:w="4340" w:type="dxa"/>
            <w:vAlign w:val="bottom"/>
          </w:tcPr>
          <w:p>
            <w:pPr>
              <w:ind w:left="220"/>
              <w:spacing w:after="0"/>
              <w:rPr>
                <w:sz w:val="20"/>
                <w:szCs w:val="20"/>
                <w:color w:val="auto"/>
              </w:rPr>
            </w:pPr>
            <w:r>
              <w:rPr>
                <w:rFonts w:ascii="Arial" w:cs="Arial" w:eastAsia="Arial" w:hAnsi="Arial"/>
                <w:sz w:val="13"/>
                <w:szCs w:val="13"/>
                <w:color w:val="auto"/>
              </w:rPr>
              <w:t>Greenwich Avenue, CT</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gridSpan w:val="2"/>
          </w:tcPr>
          <w:p>
            <w:pPr>
              <w:jc w:val="center"/>
              <w:ind w:left="493"/>
              <w:spacing w:after="0"/>
              <w:rPr>
                <w:sz w:val="20"/>
                <w:szCs w:val="20"/>
                <w:color w:val="auto"/>
              </w:rPr>
            </w:pPr>
            <w:r>
              <w:rPr>
                <w:rFonts w:ascii="Arial" w:cs="Arial" w:eastAsia="Arial" w:hAnsi="Arial"/>
                <w:sz w:val="13"/>
                <w:szCs w:val="13"/>
                <w:color w:val="auto"/>
                <w:w w:val="89"/>
              </w:rPr>
              <w:t>1996</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Hamilton</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1961</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1988</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190,000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93%</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Shop Rite</w:t>
            </w:r>
          </w:p>
        </w:tc>
      </w:tr>
      <w:tr>
        <w:trPr>
          <w:trHeight w:val="146"/>
        </w:trPr>
        <w:tc>
          <w:tcPr>
            <w:tcW w:w="4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Hamilton, NJ 08690(3)</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Stevens Furniture</w:t>
            </w:r>
          </w:p>
        </w:tc>
      </w:tr>
      <w:tr>
        <w:trPr>
          <w:trHeight w:val="154"/>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A.C. Moore</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Hauppauge</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1963</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1998</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3"/>
              </w:rPr>
              <w:t>133,000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98%</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Shop Rite</w:t>
            </w:r>
          </w:p>
        </w:tc>
      </w:tr>
      <w:tr>
        <w:trPr>
          <w:trHeight w:val="154"/>
        </w:trPr>
        <w:tc>
          <w:tcPr>
            <w:tcW w:w="4340" w:type="dxa"/>
            <w:vAlign w:val="bottom"/>
          </w:tcPr>
          <w:p>
            <w:pPr>
              <w:ind w:left="220"/>
              <w:spacing w:after="0"/>
              <w:rPr>
                <w:sz w:val="20"/>
                <w:szCs w:val="20"/>
                <w:color w:val="auto"/>
              </w:rPr>
            </w:pPr>
            <w:r>
              <w:rPr>
                <w:rFonts w:ascii="Arial" w:cs="Arial" w:eastAsia="Arial" w:hAnsi="Arial"/>
                <w:sz w:val="13"/>
                <w:szCs w:val="13"/>
                <w:color w:val="auto"/>
              </w:rPr>
              <w:t>Hauppauge, NY 11788</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gridSpan w:val="2"/>
          </w:tcPr>
          <w:p>
            <w:pPr>
              <w:ind w:left="580"/>
              <w:spacing w:after="0"/>
              <w:rPr>
                <w:sz w:val="20"/>
                <w:szCs w:val="20"/>
                <w:color w:val="auto"/>
              </w:rPr>
            </w:pPr>
            <w:r>
              <w:rPr>
                <w:rFonts w:ascii="Arial" w:cs="Arial" w:eastAsia="Arial" w:hAnsi="Arial"/>
                <w:sz w:val="13"/>
                <w:szCs w:val="13"/>
                <w:color w:val="auto"/>
              </w:rPr>
              <w:t>A.C. Moore</w:t>
            </w: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Huntington</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1962</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1988</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279,000</w:t>
            </w:r>
          </w:p>
        </w:tc>
        <w:tc>
          <w:tcPr>
            <w:tcW w:w="1200" w:type="dxa"/>
            <w:vAlign w:val="bottom"/>
            <w:gridSpan w:val="2"/>
            <w:shd w:val="clear" w:color="auto" w:fill="CCEEFF"/>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Barnes &amp; Noble</w:t>
            </w:r>
          </w:p>
        </w:tc>
      </w:tr>
      <w:tr>
        <w:trPr>
          <w:trHeight w:val="146"/>
        </w:trPr>
        <w:tc>
          <w:tcPr>
            <w:tcW w:w="4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Huntington, NY 11746(3)</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Bed, Bath &amp; Beyond</w:t>
            </w:r>
          </w:p>
        </w:tc>
      </w:tr>
      <w:tr>
        <w:trPr>
          <w:trHeight w:val="146"/>
        </w:trPr>
        <w:tc>
          <w:tcPr>
            <w:tcW w:w="4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Buy Buy Baby</w:t>
            </w:r>
          </w:p>
        </w:tc>
      </w:tr>
      <w:tr>
        <w:trPr>
          <w:trHeight w:val="154"/>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Toys R Us</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Idylwood Plaza</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1991</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1994</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0"/>
              </w:rPr>
              <w:t>73,000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85%</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Whole Foods</w:t>
            </w:r>
          </w:p>
        </w:tc>
      </w:tr>
      <w:tr>
        <w:trPr>
          <w:trHeight w:val="154"/>
        </w:trPr>
        <w:tc>
          <w:tcPr>
            <w:tcW w:w="4340" w:type="dxa"/>
            <w:vAlign w:val="bottom"/>
          </w:tcPr>
          <w:p>
            <w:pPr>
              <w:ind w:left="220"/>
              <w:spacing w:after="0"/>
              <w:rPr>
                <w:sz w:val="20"/>
                <w:szCs w:val="20"/>
                <w:color w:val="auto"/>
              </w:rPr>
            </w:pPr>
            <w:r>
              <w:rPr>
                <w:rFonts w:ascii="Arial" w:cs="Arial" w:eastAsia="Arial" w:hAnsi="Arial"/>
                <w:sz w:val="13"/>
                <w:szCs w:val="13"/>
                <w:color w:val="auto"/>
              </w:rPr>
              <w:t>Falls Church, VA 22030</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Key Road</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1968</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2006</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0"/>
              </w:rPr>
              <w:t>76,000</w:t>
            </w:r>
          </w:p>
        </w:tc>
        <w:tc>
          <w:tcPr>
            <w:tcW w:w="1200" w:type="dxa"/>
            <w:vAlign w:val="bottom"/>
            <w:gridSpan w:val="2"/>
            <w:shd w:val="clear" w:color="auto" w:fill="CCEEFF"/>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Petco</w:t>
            </w:r>
          </w:p>
        </w:tc>
      </w:tr>
      <w:tr>
        <w:trPr>
          <w:trHeight w:val="154"/>
        </w:trPr>
        <w:tc>
          <w:tcPr>
            <w:tcW w:w="4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Keene, NH 03431</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Lancaster</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1958</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1980</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3"/>
              </w:rPr>
              <w:t>107,000</w:t>
            </w:r>
          </w:p>
        </w:tc>
        <w:tc>
          <w:tcPr>
            <w:tcW w:w="1200" w:type="dxa"/>
            <w:vAlign w:val="bottom"/>
            <w:gridSpan w:val="2"/>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Giant Food</w:t>
            </w:r>
          </w:p>
        </w:tc>
      </w:tr>
      <w:tr>
        <w:trPr>
          <w:trHeight w:val="154"/>
        </w:trPr>
        <w:tc>
          <w:tcPr>
            <w:tcW w:w="4340" w:type="dxa"/>
            <w:vAlign w:val="bottom"/>
          </w:tcPr>
          <w:p>
            <w:pPr>
              <w:ind w:left="220"/>
              <w:spacing w:after="0"/>
              <w:rPr>
                <w:sz w:val="20"/>
                <w:szCs w:val="20"/>
                <w:color w:val="auto"/>
              </w:rPr>
            </w:pPr>
            <w:r>
              <w:rPr>
                <w:rFonts w:ascii="Arial" w:cs="Arial" w:eastAsia="Arial" w:hAnsi="Arial"/>
                <w:sz w:val="13"/>
                <w:szCs w:val="13"/>
                <w:color w:val="auto"/>
              </w:rPr>
              <w:t>Lancaster, PA 17601(3)</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gridSpan w:val="2"/>
          </w:tcPr>
          <w:p>
            <w:pPr>
              <w:ind w:left="580"/>
              <w:spacing w:after="0"/>
              <w:rPr>
                <w:sz w:val="20"/>
                <w:szCs w:val="20"/>
                <w:color w:val="auto"/>
              </w:rPr>
            </w:pPr>
            <w:r>
              <w:rPr>
                <w:rFonts w:ascii="Arial" w:cs="Arial" w:eastAsia="Arial" w:hAnsi="Arial"/>
                <w:sz w:val="13"/>
                <w:szCs w:val="13"/>
                <w:color w:val="auto"/>
              </w:rPr>
              <w:t>Michaels</w:t>
            </w: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Langhorne Square</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1966</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1985</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216,000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98%</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Marshalls</w:t>
            </w:r>
          </w:p>
        </w:tc>
      </w:tr>
      <w:tr>
        <w:trPr>
          <w:trHeight w:val="154"/>
        </w:trPr>
        <w:tc>
          <w:tcPr>
            <w:tcW w:w="4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Levittown, PA 19056</w:t>
            </w: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Redner’s Market</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Laurel Centre</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1956</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1986</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3"/>
              </w:rPr>
              <w:t>386,000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98%</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Giant Food</w:t>
            </w:r>
          </w:p>
        </w:tc>
      </w:tr>
      <w:tr>
        <w:trPr>
          <w:trHeight w:val="146"/>
        </w:trPr>
        <w:tc>
          <w:tcPr>
            <w:tcW w:w="4340" w:type="dxa"/>
            <w:vAlign w:val="bottom"/>
          </w:tcPr>
          <w:p>
            <w:pPr>
              <w:ind w:left="220"/>
              <w:spacing w:after="0" w:line="146" w:lineRule="exact"/>
              <w:rPr>
                <w:sz w:val="20"/>
                <w:szCs w:val="20"/>
                <w:color w:val="auto"/>
              </w:rPr>
            </w:pPr>
            <w:r>
              <w:rPr>
                <w:rFonts w:ascii="Arial" w:cs="Arial" w:eastAsia="Arial" w:hAnsi="Arial"/>
                <w:sz w:val="13"/>
                <w:szCs w:val="13"/>
                <w:color w:val="auto"/>
              </w:rPr>
              <w:t>Laurel, MD 20707</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Marshalls</w:t>
            </w:r>
          </w:p>
        </w:tc>
      </w:tr>
      <w:tr>
        <w:trPr>
          <w:trHeight w:val="154"/>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gridSpan w:val="2"/>
          </w:tcPr>
          <w:p>
            <w:pPr>
              <w:ind w:left="580"/>
              <w:spacing w:after="0"/>
              <w:rPr>
                <w:sz w:val="20"/>
                <w:szCs w:val="20"/>
                <w:color w:val="auto"/>
              </w:rPr>
            </w:pPr>
            <w:r>
              <w:rPr>
                <w:rFonts w:ascii="Arial" w:cs="Arial" w:eastAsia="Arial" w:hAnsi="Arial"/>
                <w:sz w:val="13"/>
                <w:szCs w:val="13"/>
                <w:color w:val="auto"/>
              </w:rPr>
              <w:t>Toys R Us</w:t>
            </w: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Lawrence Park</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1972</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1980</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353,000</w:t>
            </w:r>
          </w:p>
        </w:tc>
        <w:tc>
          <w:tcPr>
            <w:tcW w:w="1200" w:type="dxa"/>
            <w:vAlign w:val="bottom"/>
            <w:gridSpan w:val="2"/>
            <w:shd w:val="clear" w:color="auto" w:fill="CCEEFF"/>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Acme Markets</w:t>
            </w:r>
          </w:p>
        </w:tc>
      </w:tr>
      <w:tr>
        <w:trPr>
          <w:trHeight w:val="146"/>
        </w:trPr>
        <w:tc>
          <w:tcPr>
            <w:tcW w:w="4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Broomall, PA 19008</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TJ Maxx</w:t>
            </w:r>
          </w:p>
        </w:tc>
      </w:tr>
      <w:tr>
        <w:trPr>
          <w:trHeight w:val="146"/>
        </w:trPr>
        <w:tc>
          <w:tcPr>
            <w:tcW w:w="4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CHI</w:t>
            </w:r>
          </w:p>
        </w:tc>
      </w:tr>
      <w:tr>
        <w:trPr>
          <w:trHeight w:val="146"/>
        </w:trPr>
        <w:tc>
          <w:tcPr>
            <w:tcW w:w="4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CVS</w:t>
            </w:r>
          </w:p>
        </w:tc>
      </w:tr>
      <w:tr>
        <w:trPr>
          <w:trHeight w:val="154"/>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Home Goods</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Leesburg Plaza</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1967</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1998</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3"/>
              </w:rPr>
              <w:t>236,000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99%</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Giant Food</w:t>
            </w:r>
          </w:p>
        </w:tc>
      </w:tr>
      <w:tr>
        <w:trPr>
          <w:trHeight w:val="146"/>
        </w:trPr>
        <w:tc>
          <w:tcPr>
            <w:tcW w:w="4340" w:type="dxa"/>
            <w:vAlign w:val="bottom"/>
          </w:tcPr>
          <w:p>
            <w:pPr>
              <w:ind w:left="220"/>
              <w:spacing w:after="0" w:line="146" w:lineRule="exact"/>
              <w:rPr>
                <w:sz w:val="20"/>
                <w:szCs w:val="20"/>
                <w:color w:val="auto"/>
              </w:rPr>
            </w:pPr>
            <w:r>
              <w:rPr>
                <w:rFonts w:ascii="Arial" w:cs="Arial" w:eastAsia="Arial" w:hAnsi="Arial"/>
                <w:sz w:val="13"/>
                <w:szCs w:val="13"/>
                <w:color w:val="auto"/>
              </w:rPr>
              <w:t>Leesburg, VA 20176(5)</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Pier 1 Imports</w:t>
            </w:r>
          </w:p>
        </w:tc>
      </w:tr>
      <w:tr>
        <w:trPr>
          <w:trHeight w:val="146"/>
        </w:trPr>
        <w:tc>
          <w:tcPr>
            <w:tcW w:w="4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Office Depot</w:t>
            </w:r>
          </w:p>
        </w:tc>
      </w:tr>
      <w:tr>
        <w:trPr>
          <w:trHeight w:val="146"/>
        </w:trPr>
        <w:tc>
          <w:tcPr>
            <w:tcW w:w="4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Champion Billiards</w:t>
            </w:r>
          </w:p>
        </w:tc>
      </w:tr>
      <w:tr>
        <w:trPr>
          <w:trHeight w:val="154"/>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gridSpan w:val="2"/>
          </w:tcPr>
          <w:p>
            <w:pPr>
              <w:ind w:left="580"/>
              <w:spacing w:after="0"/>
              <w:rPr>
                <w:sz w:val="20"/>
                <w:szCs w:val="20"/>
                <w:color w:val="auto"/>
              </w:rPr>
            </w:pPr>
            <w:r>
              <w:rPr>
                <w:rFonts w:ascii="Arial" w:cs="Arial" w:eastAsia="Arial" w:hAnsi="Arial"/>
                <w:sz w:val="13"/>
                <w:szCs w:val="13"/>
                <w:color w:val="auto"/>
              </w:rPr>
              <w:t>Petsmart</w:t>
            </w: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Linden Square</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1960</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2006</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100,000</w:t>
            </w:r>
          </w:p>
        </w:tc>
        <w:tc>
          <w:tcPr>
            <w:tcW w:w="12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2"/>
              </w:rPr>
              <w:t>95%</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w w:val="92"/>
              </w:rPr>
              <w:t>Roche Brothers Supermarket</w:t>
            </w:r>
          </w:p>
        </w:tc>
      </w:tr>
      <w:tr>
        <w:trPr>
          <w:trHeight w:val="146"/>
        </w:trPr>
        <w:tc>
          <w:tcPr>
            <w:tcW w:w="4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Wellesley, MA 02481</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Fitness Club for Women</w:t>
            </w:r>
          </w:p>
        </w:tc>
      </w:tr>
      <w:tr>
        <w:trPr>
          <w:trHeight w:val="154"/>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2"/>
              </w:rPr>
              <w:t>Wellesley Volkswagen, Buick</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Loehmann’s Plaza</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1971</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1983</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3"/>
              </w:rPr>
              <w:t>250,000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98%</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Bally’s Total Fitness</w:t>
            </w:r>
          </w:p>
        </w:tc>
      </w:tr>
      <w:tr>
        <w:trPr>
          <w:trHeight w:val="146"/>
        </w:trPr>
        <w:tc>
          <w:tcPr>
            <w:tcW w:w="4340" w:type="dxa"/>
            <w:vAlign w:val="bottom"/>
          </w:tcPr>
          <w:p>
            <w:pPr>
              <w:ind w:left="220"/>
              <w:spacing w:after="0" w:line="146" w:lineRule="exact"/>
              <w:rPr>
                <w:sz w:val="20"/>
                <w:szCs w:val="20"/>
                <w:color w:val="auto"/>
              </w:rPr>
            </w:pPr>
            <w:r>
              <w:rPr>
                <w:rFonts w:ascii="Arial" w:cs="Arial" w:eastAsia="Arial" w:hAnsi="Arial"/>
                <w:sz w:val="13"/>
                <w:szCs w:val="13"/>
                <w:color w:val="auto"/>
              </w:rPr>
              <w:t>Fairfax, VA 22042</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Loehmann’s</w:t>
            </w:r>
          </w:p>
        </w:tc>
      </w:tr>
      <w:tr>
        <w:trPr>
          <w:trHeight w:val="154"/>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gridSpan w:val="2"/>
          </w:tcPr>
          <w:p>
            <w:pPr>
              <w:ind w:left="580"/>
              <w:spacing w:after="0"/>
              <w:rPr>
                <w:sz w:val="20"/>
                <w:szCs w:val="20"/>
                <w:color w:val="auto"/>
              </w:rPr>
            </w:pPr>
            <w:r>
              <w:rPr>
                <w:rFonts w:ascii="Arial" w:cs="Arial" w:eastAsia="Arial" w:hAnsi="Arial"/>
                <w:sz w:val="13"/>
                <w:szCs w:val="13"/>
                <w:color w:val="auto"/>
              </w:rPr>
              <w:t>Dress Shop</w:t>
            </w:r>
          </w:p>
        </w:tc>
      </w:tr>
      <w:tr>
        <w:trPr>
          <w:trHeight w:val="137"/>
        </w:trPr>
        <w:tc>
          <w:tcPr>
            <w:tcW w:w="4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Melville Mall</w:t>
            </w:r>
          </w:p>
        </w:tc>
        <w:tc>
          <w:tcPr>
            <w:tcW w:w="118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89"/>
              </w:rPr>
              <w:t>1974</w:t>
            </w:r>
          </w:p>
        </w:tc>
        <w:tc>
          <w:tcPr>
            <w:tcW w:w="1140" w:type="dxa"/>
            <w:vAlign w:val="bottom"/>
            <w:gridSpan w:val="2"/>
            <w:shd w:val="clear" w:color="auto" w:fill="CCEEFF"/>
          </w:tcPr>
          <w:p>
            <w:pPr>
              <w:jc w:val="center"/>
              <w:ind w:left="493"/>
              <w:spacing w:after="0" w:line="137" w:lineRule="exact"/>
              <w:rPr>
                <w:sz w:val="20"/>
                <w:szCs w:val="20"/>
                <w:color w:val="auto"/>
              </w:rPr>
            </w:pPr>
            <w:r>
              <w:rPr>
                <w:rFonts w:ascii="Arial" w:cs="Arial" w:eastAsia="Arial" w:hAnsi="Arial"/>
                <w:sz w:val="13"/>
                <w:szCs w:val="13"/>
                <w:color w:val="auto"/>
                <w:w w:val="89"/>
              </w:rPr>
              <w:t>2006</w:t>
            </w:r>
          </w:p>
        </w:tc>
        <w:tc>
          <w:tcPr>
            <w:tcW w:w="1400" w:type="dxa"/>
            <w:vAlign w:val="bottom"/>
            <w:gridSpan w:val="2"/>
            <w:shd w:val="clear" w:color="auto" w:fill="CCEEFF"/>
          </w:tcPr>
          <w:p>
            <w:pPr>
              <w:jc w:val="center"/>
              <w:ind w:left="494"/>
              <w:spacing w:after="0" w:line="137" w:lineRule="exact"/>
              <w:rPr>
                <w:sz w:val="20"/>
                <w:szCs w:val="20"/>
                <w:color w:val="auto"/>
              </w:rPr>
            </w:pPr>
            <w:r>
              <w:rPr>
                <w:rFonts w:ascii="Arial" w:cs="Arial" w:eastAsia="Arial" w:hAnsi="Arial"/>
                <w:sz w:val="13"/>
                <w:szCs w:val="13"/>
                <w:color w:val="auto"/>
                <w:w w:val="93"/>
              </w:rPr>
              <w:t>248,000</w:t>
            </w:r>
          </w:p>
        </w:tc>
        <w:tc>
          <w:tcPr>
            <w:tcW w:w="1200" w:type="dxa"/>
            <w:vAlign w:val="bottom"/>
            <w:gridSpan w:val="2"/>
            <w:shd w:val="clear" w:color="auto" w:fill="CCEEFF"/>
          </w:tcPr>
          <w:p>
            <w:pPr>
              <w:jc w:val="center"/>
              <w:ind w:left="514"/>
              <w:spacing w:after="0" w:line="137"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580"/>
              <w:spacing w:after="0" w:line="137" w:lineRule="exact"/>
              <w:rPr>
                <w:sz w:val="20"/>
                <w:szCs w:val="20"/>
                <w:color w:val="auto"/>
              </w:rPr>
            </w:pPr>
            <w:r>
              <w:rPr>
                <w:rFonts w:ascii="Arial" w:cs="Arial" w:eastAsia="Arial" w:hAnsi="Arial"/>
                <w:sz w:val="13"/>
                <w:szCs w:val="13"/>
                <w:color w:val="auto"/>
              </w:rPr>
              <w:t>Waldbaum’s</w:t>
            </w:r>
          </w:p>
        </w:tc>
      </w:tr>
      <w:tr>
        <w:trPr>
          <w:trHeight w:val="146"/>
        </w:trPr>
        <w:tc>
          <w:tcPr>
            <w:tcW w:w="4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Huntington, NY 11747(12)</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Marshalls</w:t>
            </w:r>
          </w:p>
        </w:tc>
      </w:tr>
      <w:tr>
        <w:trPr>
          <w:trHeight w:val="154"/>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Kohl’s</w:t>
            </w:r>
          </w:p>
        </w:tc>
      </w:tr>
      <w:tr>
        <w:trPr>
          <w:trHeight w:val="137"/>
        </w:trPr>
        <w:tc>
          <w:tcPr>
            <w:tcW w:w="4340" w:type="dxa"/>
            <w:vAlign w:val="bottom"/>
          </w:tcPr>
          <w:p>
            <w:pPr>
              <w:spacing w:after="0" w:line="137" w:lineRule="exact"/>
              <w:rPr>
                <w:sz w:val="20"/>
                <w:szCs w:val="20"/>
                <w:color w:val="auto"/>
              </w:rPr>
            </w:pPr>
            <w:r>
              <w:rPr>
                <w:rFonts w:ascii="Arial" w:cs="Arial" w:eastAsia="Arial" w:hAnsi="Arial"/>
                <w:sz w:val="13"/>
                <w:szCs w:val="13"/>
                <w:color w:val="auto"/>
              </w:rPr>
              <w:t>Mercer Mall</w:t>
            </w:r>
          </w:p>
        </w:tc>
        <w:tc>
          <w:tcPr>
            <w:tcW w:w="118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89"/>
              </w:rPr>
              <w:t>1975</w:t>
            </w:r>
          </w:p>
        </w:tc>
        <w:tc>
          <w:tcPr>
            <w:tcW w:w="1140" w:type="dxa"/>
            <w:vAlign w:val="bottom"/>
            <w:gridSpan w:val="2"/>
          </w:tcPr>
          <w:p>
            <w:pPr>
              <w:jc w:val="center"/>
              <w:ind w:left="493"/>
              <w:spacing w:after="0" w:line="137" w:lineRule="exact"/>
              <w:rPr>
                <w:sz w:val="20"/>
                <w:szCs w:val="20"/>
                <w:color w:val="auto"/>
              </w:rPr>
            </w:pPr>
            <w:r>
              <w:rPr>
                <w:rFonts w:ascii="Arial" w:cs="Arial" w:eastAsia="Arial" w:hAnsi="Arial"/>
                <w:sz w:val="13"/>
                <w:szCs w:val="13"/>
                <w:color w:val="auto"/>
                <w:w w:val="89"/>
              </w:rPr>
              <w:t>2003</w:t>
            </w:r>
          </w:p>
        </w:tc>
        <w:tc>
          <w:tcPr>
            <w:tcW w:w="14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3"/>
              </w:rPr>
              <w:t>501,000</w:t>
            </w:r>
          </w:p>
        </w:tc>
        <w:tc>
          <w:tcPr>
            <w:tcW w:w="1200" w:type="dxa"/>
            <w:vAlign w:val="bottom"/>
            <w:gridSpan w:val="2"/>
          </w:tcPr>
          <w:p>
            <w:pPr>
              <w:jc w:val="center"/>
              <w:ind w:left="494"/>
              <w:spacing w:after="0" w:line="137" w:lineRule="exact"/>
              <w:rPr>
                <w:sz w:val="20"/>
                <w:szCs w:val="20"/>
                <w:color w:val="auto"/>
              </w:rPr>
            </w:pPr>
            <w:r>
              <w:rPr>
                <w:rFonts w:ascii="Arial" w:cs="Arial" w:eastAsia="Arial" w:hAnsi="Arial"/>
                <w:sz w:val="13"/>
                <w:szCs w:val="13"/>
                <w:color w:val="auto"/>
                <w:w w:val="92"/>
              </w:rPr>
              <w:t>94%</w:t>
            </w:r>
          </w:p>
        </w:tc>
        <w:tc>
          <w:tcPr>
            <w:tcW w:w="2160" w:type="dxa"/>
            <w:vAlign w:val="bottom"/>
            <w:gridSpan w:val="2"/>
          </w:tcPr>
          <w:p>
            <w:pPr>
              <w:ind w:left="580"/>
              <w:spacing w:after="0" w:line="137" w:lineRule="exact"/>
              <w:rPr>
                <w:sz w:val="20"/>
                <w:szCs w:val="20"/>
                <w:color w:val="auto"/>
              </w:rPr>
            </w:pPr>
            <w:r>
              <w:rPr>
                <w:rFonts w:ascii="Arial" w:cs="Arial" w:eastAsia="Arial" w:hAnsi="Arial"/>
                <w:sz w:val="13"/>
                <w:szCs w:val="13"/>
                <w:color w:val="auto"/>
              </w:rPr>
              <w:t>Raymour &amp; Flanigan</w:t>
            </w:r>
          </w:p>
        </w:tc>
      </w:tr>
      <w:tr>
        <w:trPr>
          <w:trHeight w:val="146"/>
        </w:trPr>
        <w:tc>
          <w:tcPr>
            <w:tcW w:w="4340" w:type="dxa"/>
            <w:vAlign w:val="bottom"/>
          </w:tcPr>
          <w:p>
            <w:pPr>
              <w:ind w:left="220"/>
              <w:spacing w:after="0" w:line="146" w:lineRule="exact"/>
              <w:rPr>
                <w:sz w:val="20"/>
                <w:szCs w:val="20"/>
                <w:color w:val="auto"/>
              </w:rPr>
            </w:pPr>
            <w:r>
              <w:rPr>
                <w:rFonts w:ascii="Arial" w:cs="Arial" w:eastAsia="Arial" w:hAnsi="Arial"/>
                <w:sz w:val="13"/>
                <w:szCs w:val="13"/>
                <w:color w:val="auto"/>
              </w:rPr>
              <w:t>Lawrenceville, NJ 08648(3)</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Bed, Bath &amp; Beyond</w:t>
            </w:r>
          </w:p>
        </w:tc>
      </w:tr>
      <w:tr>
        <w:trPr>
          <w:trHeight w:val="146"/>
        </w:trPr>
        <w:tc>
          <w:tcPr>
            <w:tcW w:w="4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DSW</w:t>
            </w:r>
          </w:p>
        </w:tc>
      </w:tr>
      <w:tr>
        <w:trPr>
          <w:trHeight w:val="146"/>
        </w:trPr>
        <w:tc>
          <w:tcPr>
            <w:tcW w:w="4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gridSpan w:val="2"/>
          </w:tcPr>
          <w:p>
            <w:pPr>
              <w:ind w:left="580"/>
              <w:spacing w:after="0" w:line="146" w:lineRule="exact"/>
              <w:rPr>
                <w:sz w:val="20"/>
                <w:szCs w:val="20"/>
                <w:color w:val="auto"/>
              </w:rPr>
            </w:pPr>
            <w:r>
              <w:rPr>
                <w:rFonts w:ascii="Arial" w:cs="Arial" w:eastAsia="Arial" w:hAnsi="Arial"/>
                <w:sz w:val="13"/>
                <w:szCs w:val="13"/>
                <w:color w:val="auto"/>
              </w:rPr>
              <w:t>TJ Maxx</w:t>
            </w:r>
          </w:p>
        </w:tc>
      </w:tr>
      <w:tr>
        <w:trPr>
          <w:trHeight w:val="166"/>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ind w:left="580"/>
              <w:spacing w:after="0"/>
              <w:rPr>
                <w:sz w:val="20"/>
                <w:szCs w:val="20"/>
                <w:color w:val="auto"/>
              </w:rPr>
            </w:pPr>
            <w:r>
              <w:rPr>
                <w:rFonts w:ascii="Arial" w:cs="Arial" w:eastAsia="Arial" w:hAnsi="Arial"/>
                <w:sz w:val="13"/>
                <w:szCs w:val="13"/>
                <w:color w:val="auto"/>
              </w:rPr>
              <w:t>Shop Rite</w:t>
            </w:r>
          </w:p>
        </w:tc>
      </w:tr>
      <w:tr>
        <w:trPr>
          <w:trHeight w:val="343"/>
        </w:trPr>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jc w:val="right"/>
              <w:ind w:right="233"/>
              <w:spacing w:after="0"/>
              <w:rPr>
                <w:sz w:val="20"/>
                <w:szCs w:val="20"/>
                <w:color w:val="auto"/>
              </w:rPr>
            </w:pPr>
            <w:r>
              <w:rPr>
                <w:rFonts w:ascii="Arial" w:cs="Arial" w:eastAsia="Arial" w:hAnsi="Arial"/>
                <w:sz w:val="17"/>
                <w:szCs w:val="17"/>
                <w:color w:val="auto"/>
              </w:rPr>
              <w:t>22</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Retail and Residential Properties—continued</w:t>
      </w:r>
    </w:p>
    <w:p>
      <w:pPr>
        <w:sectPr>
          <w:pgSz w:w="11900" w:h="16838" w:orient="portrait"/>
          <w:cols w:equalWidth="0" w:num="1">
            <w:col w:w="11420"/>
          </w:cols>
          <w:pgMar w:left="240" w:top="453"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EAST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543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43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Mid-Pike Plaza</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Rockville, MD 20852(3)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Mount Vernon Plaza</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Alexandria, VA 22306(5)(6)</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Northeast</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Philadelphia, PA 19114</w:t>
      </w:r>
    </w:p>
    <w:p>
      <w:pPr>
        <w:spacing w:after="0" w:line="233" w:lineRule="auto"/>
        <w:rPr>
          <w:sz w:val="20"/>
          <w:szCs w:val="20"/>
          <w:color w:val="auto"/>
        </w:rPr>
      </w:pPr>
      <w:r>
        <w:rPr>
          <w:rFonts w:ascii="Arial" w:cs="Arial" w:eastAsia="Arial" w:hAnsi="Arial"/>
          <w:sz w:val="13"/>
          <w:szCs w:val="13"/>
          <w:color w:val="auto"/>
        </w:rPr>
        <w:t>North Dartmouth</w:t>
      </w:r>
    </w:p>
    <w:p>
      <w:pPr>
        <w:jc w:val="right"/>
        <w:ind w:right="3080"/>
        <w:spacing w:after="0" w:line="234" w:lineRule="auto"/>
        <w:rPr>
          <w:sz w:val="20"/>
          <w:szCs w:val="20"/>
          <w:color w:val="auto"/>
        </w:rPr>
      </w:pPr>
      <w:r>
        <w:rPr>
          <w:rFonts w:ascii="Arial" w:cs="Arial" w:eastAsia="Arial" w:hAnsi="Arial"/>
          <w:sz w:val="13"/>
          <w:szCs w:val="13"/>
          <w:color w:val="auto"/>
        </w:rPr>
        <w:t>North Dartmouth, MA 02747</w:t>
      </w:r>
    </w:p>
    <w:p>
      <w:pPr>
        <w:spacing w:after="0" w:line="234" w:lineRule="auto"/>
        <w:rPr>
          <w:sz w:val="20"/>
          <w:szCs w:val="20"/>
          <w:color w:val="auto"/>
        </w:rPr>
      </w:pPr>
      <w:r>
        <w:rPr>
          <w:rFonts w:ascii="Arial" w:cs="Arial" w:eastAsia="Arial" w:hAnsi="Arial"/>
          <w:sz w:val="13"/>
          <w:szCs w:val="13"/>
          <w:color w:val="auto"/>
        </w:rPr>
        <w:t>North Lake Commons</w:t>
      </w:r>
    </w:p>
    <w:p>
      <w:pPr>
        <w:ind w:left="220"/>
        <w:spacing w:after="0" w:line="234" w:lineRule="auto"/>
        <w:rPr>
          <w:sz w:val="20"/>
          <w:szCs w:val="20"/>
          <w:color w:val="auto"/>
        </w:rPr>
      </w:pPr>
      <w:r>
        <w:rPr>
          <w:rFonts w:ascii="Arial" w:cs="Arial" w:eastAsia="Arial" w:hAnsi="Arial"/>
          <w:sz w:val="13"/>
          <w:szCs w:val="13"/>
          <w:color w:val="auto"/>
        </w:rPr>
        <w:t>Lake Zurich, IL 60047</w:t>
      </w:r>
    </w:p>
    <w:p>
      <w:pPr>
        <w:spacing w:after="0" w:line="234" w:lineRule="auto"/>
        <w:rPr>
          <w:sz w:val="20"/>
          <w:szCs w:val="20"/>
          <w:color w:val="auto"/>
        </w:rPr>
      </w:pPr>
      <w:r>
        <w:rPr>
          <w:rFonts w:ascii="Arial" w:cs="Arial" w:eastAsia="Arial" w:hAnsi="Arial"/>
          <w:sz w:val="13"/>
          <w:szCs w:val="13"/>
          <w:color w:val="auto"/>
        </w:rPr>
        <w:t>Old Keene Mill</w:t>
      </w:r>
    </w:p>
    <w:p>
      <w:pPr>
        <w:ind w:left="220"/>
        <w:spacing w:after="0" w:line="234" w:lineRule="auto"/>
        <w:rPr>
          <w:sz w:val="20"/>
          <w:szCs w:val="20"/>
          <w:color w:val="auto"/>
        </w:rPr>
      </w:pPr>
      <w:r>
        <w:rPr>
          <w:rFonts w:ascii="Arial" w:cs="Arial" w:eastAsia="Arial" w:hAnsi="Arial"/>
          <w:sz w:val="13"/>
          <w:szCs w:val="13"/>
          <w:color w:val="auto"/>
        </w:rPr>
        <w:t>Springfield, VA 22152</w:t>
      </w:r>
    </w:p>
    <w:p>
      <w:pPr>
        <w:spacing w:after="0" w:line="234" w:lineRule="auto"/>
        <w:rPr>
          <w:sz w:val="20"/>
          <w:szCs w:val="20"/>
          <w:color w:val="auto"/>
        </w:rPr>
      </w:pPr>
      <w:r>
        <w:rPr>
          <w:rFonts w:ascii="Arial" w:cs="Arial" w:eastAsia="Arial" w:hAnsi="Arial"/>
          <w:sz w:val="13"/>
          <w:szCs w:val="13"/>
          <w:color w:val="auto"/>
        </w:rPr>
        <w:t>Pan Am</w:t>
      </w:r>
    </w:p>
    <w:p>
      <w:pPr>
        <w:ind w:left="220"/>
        <w:spacing w:after="0"/>
        <w:rPr>
          <w:sz w:val="20"/>
          <w:szCs w:val="20"/>
          <w:color w:val="auto"/>
        </w:rPr>
      </w:pPr>
      <w:r>
        <w:rPr>
          <w:rFonts w:ascii="Arial" w:cs="Arial" w:eastAsia="Arial" w:hAnsi="Arial"/>
          <w:sz w:val="13"/>
          <w:szCs w:val="13"/>
          <w:color w:val="auto"/>
        </w:rPr>
        <w:t>Fairfax, VA 22031</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Pentagon Row</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Arlington, VA 22202(6)</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Perring Plaza</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Baltimore, MD 21134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Pike 7 Plaza</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Vienna, VA 22180(5)</w:t>
      </w:r>
    </w:p>
    <w:p>
      <w:pPr>
        <w:spacing w:after="0" w:line="233" w:lineRule="auto"/>
        <w:rPr>
          <w:sz w:val="20"/>
          <w:szCs w:val="20"/>
          <w:color w:val="auto"/>
        </w:rPr>
      </w:pPr>
      <w:r>
        <w:rPr>
          <w:rFonts w:ascii="Arial" w:cs="Arial" w:eastAsia="Arial" w:hAnsi="Arial"/>
          <w:sz w:val="13"/>
          <w:szCs w:val="13"/>
          <w:color w:val="auto"/>
        </w:rPr>
        <w:t>Queen Anne Plaza</w:t>
      </w:r>
    </w:p>
    <w:p>
      <w:pPr>
        <w:ind w:left="220"/>
        <w:spacing w:after="0" w:line="234" w:lineRule="auto"/>
        <w:rPr>
          <w:sz w:val="20"/>
          <w:szCs w:val="20"/>
          <w:color w:val="auto"/>
        </w:rPr>
      </w:pPr>
      <w:r>
        <w:rPr>
          <w:rFonts w:ascii="Arial" w:cs="Arial" w:eastAsia="Arial" w:hAnsi="Arial"/>
          <w:sz w:val="13"/>
          <w:szCs w:val="13"/>
          <w:color w:val="auto"/>
        </w:rPr>
        <w:t>Norwell, MA 02061</w:t>
      </w:r>
    </w:p>
    <w:p>
      <w:pPr>
        <w:spacing w:after="0" w:line="234" w:lineRule="auto"/>
        <w:rPr>
          <w:sz w:val="20"/>
          <w:szCs w:val="20"/>
          <w:color w:val="auto"/>
        </w:rPr>
      </w:pPr>
      <w:r>
        <w:rPr>
          <w:rFonts w:ascii="Arial" w:cs="Arial" w:eastAsia="Arial" w:hAnsi="Arial"/>
          <w:sz w:val="13"/>
          <w:szCs w:val="13"/>
          <w:color w:val="auto"/>
        </w:rPr>
        <w:t>Quince Orchard</w:t>
      </w:r>
    </w:p>
    <w:p>
      <w:pPr>
        <w:ind w:left="220"/>
        <w:spacing w:after="0"/>
        <w:rPr>
          <w:sz w:val="20"/>
          <w:szCs w:val="20"/>
          <w:color w:val="auto"/>
        </w:rPr>
      </w:pPr>
      <w:r>
        <w:rPr>
          <w:rFonts w:ascii="Arial" w:cs="Arial" w:eastAsia="Arial" w:hAnsi="Arial"/>
          <w:sz w:val="12"/>
          <w:szCs w:val="12"/>
          <w:color w:val="auto"/>
        </w:rPr>
        <w:t>Gaithersburg, MD 20877(6)</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Riverside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Keene, NH 03431</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Rockville Town Square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Rockville, MD 20852(13)</w:t>
      </w:r>
    </w:p>
    <w:p>
      <w:pPr>
        <w:spacing w:after="0" w:line="233" w:lineRule="auto"/>
        <w:rPr>
          <w:sz w:val="20"/>
          <w:szCs w:val="20"/>
          <w:color w:val="auto"/>
        </w:rPr>
      </w:pPr>
      <w:r>
        <w:rPr>
          <w:rFonts w:ascii="Arial" w:cs="Arial" w:eastAsia="Arial" w:hAnsi="Arial"/>
          <w:sz w:val="13"/>
          <w:szCs w:val="13"/>
          <w:color w:val="auto"/>
        </w:rPr>
        <w:t>Rollingwood Apartments</w:t>
      </w:r>
    </w:p>
    <w:p>
      <w:pPr>
        <w:ind w:left="220"/>
        <w:spacing w:after="0" w:line="234" w:lineRule="auto"/>
        <w:rPr>
          <w:sz w:val="20"/>
          <w:szCs w:val="20"/>
          <w:color w:val="auto"/>
        </w:rPr>
      </w:pPr>
      <w:r>
        <w:rPr>
          <w:rFonts w:ascii="Arial" w:cs="Arial" w:eastAsia="Arial" w:hAnsi="Arial"/>
          <w:sz w:val="13"/>
          <w:szCs w:val="13"/>
          <w:color w:val="auto"/>
        </w:rPr>
        <w:t>Silver Spring, MD 20910</w:t>
      </w:r>
    </w:p>
    <w:p>
      <w:pPr>
        <w:ind w:left="220"/>
        <w:spacing w:after="0"/>
        <w:rPr>
          <w:sz w:val="20"/>
          <w:szCs w:val="20"/>
          <w:color w:val="auto"/>
        </w:rPr>
      </w:pPr>
      <w:r>
        <w:rPr>
          <w:rFonts w:ascii="Arial" w:cs="Arial" w:eastAsia="Arial" w:hAnsi="Arial"/>
          <w:sz w:val="13"/>
          <w:szCs w:val="13"/>
          <w:color w:val="auto"/>
        </w:rPr>
        <w:t>9 three-story buildings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Square Feet(1)</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Year</w:t>
            </w:r>
          </w:p>
        </w:tc>
        <w:tc>
          <w:tcPr>
            <w:tcW w:w="44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Year</w:t>
            </w:r>
          </w:p>
        </w:tc>
        <w:tc>
          <w:tcPr>
            <w:tcW w:w="4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46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w:t>
            </w: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60" w:type="dxa"/>
            <w:vAlign w:val="bottom"/>
          </w:tcPr>
          <w:p>
            <w:pPr>
              <w:spacing w:after="0"/>
              <w:rPr>
                <w:sz w:val="14"/>
                <w:szCs w:val="14"/>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Principal Tenant(s)</w:t>
            </w:r>
          </w:p>
        </w:tc>
        <w:tc>
          <w:tcPr>
            <w:tcW w:w="0" w:type="dxa"/>
            <w:vAlign w:val="bottom"/>
          </w:tcPr>
          <w:p>
            <w:pPr>
              <w:spacing w:after="0"/>
              <w:rPr>
                <w:sz w:val="1"/>
                <w:szCs w:val="1"/>
                <w:color w:val="auto"/>
              </w:rPr>
            </w:pPr>
          </w:p>
        </w:tc>
      </w:tr>
      <w:tr>
        <w:trPr>
          <w:trHeight w:val="130"/>
        </w:trPr>
        <w:tc>
          <w:tcPr>
            <w:tcW w:w="640" w:type="dxa"/>
            <w:vAlign w:val="bottom"/>
          </w:tcPr>
          <w:p>
            <w:pPr>
              <w:jc w:val="center"/>
              <w:spacing w:after="0" w:line="130" w:lineRule="exact"/>
              <w:rPr>
                <w:sz w:val="20"/>
                <w:szCs w:val="20"/>
                <w:color w:val="auto"/>
              </w:rPr>
            </w:pPr>
            <w:r>
              <w:rPr>
                <w:rFonts w:ascii="Arial" w:cs="Arial" w:eastAsia="Arial" w:hAnsi="Arial"/>
                <w:sz w:val="13"/>
                <w:szCs w:val="13"/>
                <w:color w:val="auto"/>
                <w:w w:val="96"/>
              </w:rPr>
              <w:t>1963</w:t>
            </w:r>
          </w:p>
        </w:tc>
        <w:tc>
          <w:tcPr>
            <w:tcW w:w="44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3"/>
                <w:szCs w:val="13"/>
                <w:color w:val="auto"/>
                <w:w w:val="96"/>
              </w:rPr>
              <w:t>1982</w:t>
            </w:r>
          </w:p>
        </w:tc>
        <w:tc>
          <w:tcPr>
            <w:tcW w:w="44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3"/>
                <w:szCs w:val="13"/>
                <w:color w:val="auto"/>
                <w:w w:val="89"/>
              </w:rPr>
              <w:t>309,000</w:t>
            </w:r>
          </w:p>
        </w:tc>
        <w:tc>
          <w:tcPr>
            <w:tcW w:w="460" w:type="dxa"/>
            <w:vAlign w:val="bottom"/>
          </w:tcPr>
          <w:p>
            <w:pPr>
              <w:spacing w:after="0"/>
              <w:rPr>
                <w:sz w:val="11"/>
                <w:szCs w:val="11"/>
                <w:color w:val="auto"/>
              </w:rPr>
            </w:pPr>
          </w:p>
        </w:tc>
        <w:tc>
          <w:tcPr>
            <w:tcW w:w="640" w:type="dxa"/>
            <w:vAlign w:val="bottom"/>
          </w:tcPr>
          <w:p>
            <w:pPr>
              <w:jc w:val="center"/>
              <w:spacing w:after="0" w:line="130"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1"/>
                <w:szCs w:val="11"/>
                <w:color w:val="auto"/>
              </w:rPr>
            </w:pPr>
          </w:p>
        </w:tc>
        <w:tc>
          <w:tcPr>
            <w:tcW w:w="1340" w:type="dxa"/>
            <w:vAlign w:val="bottom"/>
          </w:tcPr>
          <w:p>
            <w:pPr>
              <w:spacing w:after="0" w:line="130" w:lineRule="exact"/>
              <w:rPr>
                <w:sz w:val="20"/>
                <w:szCs w:val="20"/>
                <w:color w:val="auto"/>
              </w:rPr>
            </w:pPr>
            <w:r>
              <w:rPr>
                <w:rFonts w:ascii="Arial" w:cs="Arial" w:eastAsia="Arial" w:hAnsi="Arial"/>
                <w:sz w:val="13"/>
                <w:szCs w:val="13"/>
                <w:color w:val="auto"/>
              </w:rPr>
              <w:t>Bally’s Total Fitness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Linens ‘n Things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Filene’s Basement</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1972</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2003</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284,000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2"/>
              </w:rPr>
              <w:t>94%</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Shoppers Food</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Warehouse</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Bed, Bath &amp; Beyond</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1959</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1983</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287,000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2"/>
              </w:rPr>
              <w:t>85%</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w w:val="96"/>
              </w:rPr>
              <w:t>Burlington Coat Factory</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2004</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2006</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183,000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Stop &amp; Shop</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66"/>
        </w:trPr>
        <w:tc>
          <w:tcPr>
            <w:tcW w:w="640" w:type="dxa"/>
            <w:vAlign w:val="bottom"/>
          </w:tcPr>
          <w:p>
            <w:pPr>
              <w:jc w:val="center"/>
              <w:spacing w:after="0"/>
              <w:rPr>
                <w:sz w:val="20"/>
                <w:szCs w:val="20"/>
                <w:color w:val="auto"/>
              </w:rPr>
            </w:pPr>
            <w:r>
              <w:rPr>
                <w:rFonts w:ascii="Arial" w:cs="Arial" w:eastAsia="Arial" w:hAnsi="Arial"/>
                <w:sz w:val="13"/>
                <w:szCs w:val="13"/>
                <w:color w:val="auto"/>
                <w:w w:val="96"/>
              </w:rPr>
              <w:t>1989</w:t>
            </w:r>
          </w:p>
        </w:tc>
        <w:tc>
          <w:tcPr>
            <w:tcW w:w="1000" w:type="dxa"/>
            <w:vAlign w:val="bottom"/>
            <w:gridSpan w:val="2"/>
          </w:tcPr>
          <w:p>
            <w:pPr>
              <w:jc w:val="center"/>
              <w:ind w:left="374"/>
              <w:spacing w:after="0"/>
              <w:rPr>
                <w:sz w:val="20"/>
                <w:szCs w:val="20"/>
                <w:color w:val="auto"/>
              </w:rPr>
            </w:pPr>
            <w:r>
              <w:rPr>
                <w:rFonts w:ascii="Arial" w:cs="Arial" w:eastAsia="Arial" w:hAnsi="Arial"/>
                <w:sz w:val="13"/>
                <w:szCs w:val="13"/>
                <w:color w:val="auto"/>
                <w:w w:val="96"/>
              </w:rPr>
              <w:t>1994</w:t>
            </w:r>
          </w:p>
        </w:tc>
        <w:tc>
          <w:tcPr>
            <w:tcW w:w="1300" w:type="dxa"/>
            <w:vAlign w:val="bottom"/>
            <w:gridSpan w:val="2"/>
          </w:tcPr>
          <w:p>
            <w:pPr>
              <w:jc w:val="center"/>
              <w:ind w:left="374"/>
              <w:spacing w:after="0"/>
              <w:rPr>
                <w:sz w:val="20"/>
                <w:szCs w:val="20"/>
                <w:color w:val="auto"/>
              </w:rPr>
            </w:pPr>
            <w:r>
              <w:rPr>
                <w:rFonts w:ascii="Arial" w:cs="Arial" w:eastAsia="Arial" w:hAnsi="Arial"/>
                <w:sz w:val="13"/>
                <w:szCs w:val="13"/>
                <w:color w:val="auto"/>
                <w:w w:val="89"/>
              </w:rPr>
              <w:t>129,000</w:t>
            </w:r>
          </w:p>
        </w:tc>
        <w:tc>
          <w:tcPr>
            <w:tcW w:w="1100" w:type="dxa"/>
            <w:vAlign w:val="bottom"/>
            <w:gridSpan w:val="2"/>
          </w:tcPr>
          <w:p>
            <w:pPr>
              <w:jc w:val="center"/>
              <w:ind w:left="394"/>
              <w:spacing w:after="0"/>
              <w:rPr>
                <w:sz w:val="20"/>
                <w:szCs w:val="20"/>
                <w:color w:val="auto"/>
              </w:rPr>
            </w:pPr>
            <w:r>
              <w:rPr>
                <w:rFonts w:ascii="Arial" w:cs="Arial" w:eastAsia="Arial" w:hAnsi="Arial"/>
                <w:sz w:val="13"/>
                <w:szCs w:val="13"/>
                <w:color w:val="auto"/>
                <w:w w:val="92"/>
              </w:rPr>
              <w:t>96%</w:t>
            </w:r>
          </w:p>
        </w:tc>
        <w:tc>
          <w:tcPr>
            <w:tcW w:w="46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Dominick’s</w:t>
            </w:r>
          </w:p>
        </w:tc>
        <w:tc>
          <w:tcPr>
            <w:tcW w:w="0" w:type="dxa"/>
            <w:vAlign w:val="bottom"/>
          </w:tcPr>
          <w:p>
            <w:pPr>
              <w:spacing w:after="0"/>
              <w:rPr>
                <w:sz w:val="1"/>
                <w:szCs w:val="1"/>
                <w:color w:val="auto"/>
              </w:rPr>
            </w:pPr>
          </w:p>
        </w:tc>
      </w:tr>
      <w:tr>
        <w:trPr>
          <w:trHeight w:val="291"/>
        </w:trPr>
        <w:tc>
          <w:tcPr>
            <w:tcW w:w="640" w:type="dxa"/>
            <w:vAlign w:val="bottom"/>
          </w:tcPr>
          <w:p>
            <w:pPr>
              <w:jc w:val="center"/>
              <w:spacing w:after="0"/>
              <w:rPr>
                <w:sz w:val="20"/>
                <w:szCs w:val="20"/>
                <w:color w:val="auto"/>
              </w:rPr>
            </w:pPr>
            <w:r>
              <w:rPr>
                <w:rFonts w:ascii="Arial" w:cs="Arial" w:eastAsia="Arial" w:hAnsi="Arial"/>
                <w:sz w:val="13"/>
                <w:szCs w:val="13"/>
                <w:color w:val="auto"/>
                <w:w w:val="96"/>
              </w:rPr>
              <w:t>1968</w:t>
            </w:r>
          </w:p>
        </w:tc>
        <w:tc>
          <w:tcPr>
            <w:tcW w:w="1000" w:type="dxa"/>
            <w:vAlign w:val="bottom"/>
            <w:gridSpan w:val="2"/>
          </w:tcPr>
          <w:p>
            <w:pPr>
              <w:jc w:val="center"/>
              <w:ind w:left="374"/>
              <w:spacing w:after="0"/>
              <w:rPr>
                <w:sz w:val="20"/>
                <w:szCs w:val="20"/>
                <w:color w:val="auto"/>
              </w:rPr>
            </w:pPr>
            <w:r>
              <w:rPr>
                <w:rFonts w:ascii="Arial" w:cs="Arial" w:eastAsia="Arial" w:hAnsi="Arial"/>
                <w:sz w:val="13"/>
                <w:szCs w:val="13"/>
                <w:color w:val="auto"/>
                <w:w w:val="96"/>
              </w:rPr>
              <w:t>1976</w:t>
            </w:r>
          </w:p>
        </w:tc>
        <w:tc>
          <w:tcPr>
            <w:tcW w:w="1300" w:type="dxa"/>
            <w:vAlign w:val="bottom"/>
            <w:gridSpan w:val="2"/>
          </w:tcPr>
          <w:p>
            <w:pPr>
              <w:jc w:val="center"/>
              <w:ind w:left="374"/>
              <w:spacing w:after="0"/>
              <w:rPr>
                <w:sz w:val="20"/>
                <w:szCs w:val="20"/>
                <w:color w:val="auto"/>
              </w:rPr>
            </w:pPr>
            <w:r>
              <w:rPr>
                <w:rFonts w:ascii="Arial" w:cs="Arial" w:eastAsia="Arial" w:hAnsi="Arial"/>
                <w:sz w:val="13"/>
                <w:szCs w:val="13"/>
                <w:color w:val="auto"/>
                <w:w w:val="95"/>
              </w:rPr>
              <w:t>92,000</w:t>
            </w:r>
          </w:p>
        </w:tc>
        <w:tc>
          <w:tcPr>
            <w:tcW w:w="1100" w:type="dxa"/>
            <w:vAlign w:val="bottom"/>
            <w:gridSpan w:val="2"/>
          </w:tcPr>
          <w:p>
            <w:pPr>
              <w:jc w:val="center"/>
              <w:ind w:left="394"/>
              <w:spacing w:after="0"/>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Whole Foods</w:t>
            </w:r>
          </w:p>
        </w:tc>
        <w:tc>
          <w:tcPr>
            <w:tcW w:w="0" w:type="dxa"/>
            <w:vAlign w:val="bottom"/>
          </w:tcPr>
          <w:p>
            <w:pPr>
              <w:spacing w:after="0"/>
              <w:rPr>
                <w:sz w:val="1"/>
                <w:szCs w:val="1"/>
                <w:color w:val="auto"/>
              </w:rPr>
            </w:pPr>
          </w:p>
        </w:tc>
      </w:tr>
      <w:tr>
        <w:trPr>
          <w:trHeight w:val="271"/>
        </w:trPr>
        <w:tc>
          <w:tcPr>
            <w:tcW w:w="640" w:type="dxa"/>
            <w:vAlign w:val="bottom"/>
          </w:tcPr>
          <w:p>
            <w:pPr>
              <w:jc w:val="center"/>
              <w:spacing w:after="0"/>
              <w:rPr>
                <w:sz w:val="20"/>
                <w:szCs w:val="20"/>
                <w:color w:val="auto"/>
              </w:rPr>
            </w:pPr>
            <w:r>
              <w:rPr>
                <w:rFonts w:ascii="Arial" w:cs="Arial" w:eastAsia="Arial" w:hAnsi="Arial"/>
                <w:sz w:val="13"/>
                <w:szCs w:val="13"/>
                <w:color w:val="auto"/>
                <w:w w:val="96"/>
              </w:rPr>
              <w:t>1979</w:t>
            </w:r>
          </w:p>
        </w:tc>
        <w:tc>
          <w:tcPr>
            <w:tcW w:w="1000" w:type="dxa"/>
            <w:vAlign w:val="bottom"/>
            <w:gridSpan w:val="2"/>
          </w:tcPr>
          <w:p>
            <w:pPr>
              <w:jc w:val="center"/>
              <w:ind w:left="374"/>
              <w:spacing w:after="0"/>
              <w:rPr>
                <w:sz w:val="20"/>
                <w:szCs w:val="20"/>
                <w:color w:val="auto"/>
              </w:rPr>
            </w:pPr>
            <w:r>
              <w:rPr>
                <w:rFonts w:ascii="Arial" w:cs="Arial" w:eastAsia="Arial" w:hAnsi="Arial"/>
                <w:sz w:val="13"/>
                <w:szCs w:val="13"/>
                <w:color w:val="auto"/>
                <w:w w:val="96"/>
              </w:rPr>
              <w:t>1993</w:t>
            </w:r>
          </w:p>
        </w:tc>
        <w:tc>
          <w:tcPr>
            <w:tcW w:w="1300" w:type="dxa"/>
            <w:vAlign w:val="bottom"/>
            <w:gridSpan w:val="2"/>
          </w:tcPr>
          <w:p>
            <w:pPr>
              <w:jc w:val="center"/>
              <w:ind w:left="374"/>
              <w:spacing w:after="0"/>
              <w:rPr>
                <w:sz w:val="20"/>
                <w:szCs w:val="20"/>
                <w:color w:val="auto"/>
              </w:rPr>
            </w:pPr>
            <w:r>
              <w:rPr>
                <w:rFonts w:ascii="Arial" w:cs="Arial" w:eastAsia="Arial" w:hAnsi="Arial"/>
                <w:sz w:val="13"/>
                <w:szCs w:val="13"/>
                <w:color w:val="auto"/>
                <w:w w:val="89"/>
              </w:rPr>
              <w:t>227,000</w:t>
            </w:r>
          </w:p>
        </w:tc>
        <w:tc>
          <w:tcPr>
            <w:tcW w:w="1100" w:type="dxa"/>
            <w:vAlign w:val="bottom"/>
            <w:gridSpan w:val="2"/>
          </w:tcPr>
          <w:p>
            <w:pPr>
              <w:jc w:val="center"/>
              <w:ind w:left="394"/>
              <w:spacing w:after="0"/>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Micro Center</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Safeway</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0"/>
              </w:rPr>
              <w:t>2001-2002</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1999</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296,000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2"/>
              </w:rPr>
              <w:t>98%</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Harris Teeter</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Bed, Bath &amp; Beyond</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Cost Plus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World Market</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Bally’s Total Fitness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1963</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1985</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402,000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2"/>
              </w:rPr>
              <w:t>98%</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w w:val="96"/>
              </w:rPr>
              <w:t>Burlington Coat Factory</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Shoppers Food</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Warehouse</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Jo-Ann Stores</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1968</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1997</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164,000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2"/>
              </w:rPr>
              <w:t>90%</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1967</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1994</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149,000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Victory Supermarket</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1975</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1993</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253,000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Circuit City</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Magruders</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46"/>
        </w:trPr>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6"/>
              </w:rPr>
              <w:t>1966</w:t>
            </w:r>
          </w:p>
        </w:tc>
        <w:tc>
          <w:tcPr>
            <w:tcW w:w="10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96"/>
              </w:rPr>
              <w:t>2006</w:t>
            </w:r>
          </w:p>
        </w:tc>
        <w:tc>
          <w:tcPr>
            <w:tcW w:w="1300" w:type="dxa"/>
            <w:vAlign w:val="bottom"/>
            <w:gridSpan w:val="2"/>
          </w:tcPr>
          <w:p>
            <w:pPr>
              <w:jc w:val="center"/>
              <w:ind w:left="374"/>
              <w:spacing w:after="0" w:line="146" w:lineRule="exact"/>
              <w:rPr>
                <w:sz w:val="20"/>
                <w:szCs w:val="20"/>
                <w:color w:val="auto"/>
              </w:rPr>
            </w:pPr>
            <w:r>
              <w:rPr>
                <w:rFonts w:ascii="Arial" w:cs="Arial" w:eastAsia="Arial" w:hAnsi="Arial"/>
                <w:sz w:val="13"/>
                <w:szCs w:val="13"/>
                <w:color w:val="auto"/>
                <w:w w:val="89"/>
              </w:rPr>
              <w:t>218,000</w:t>
            </w:r>
          </w:p>
        </w:tc>
        <w:tc>
          <w:tcPr>
            <w:tcW w:w="1100" w:type="dxa"/>
            <w:vAlign w:val="bottom"/>
            <w:gridSpan w:val="2"/>
          </w:tcPr>
          <w:p>
            <w:pPr>
              <w:jc w:val="center"/>
              <w:ind w:left="394"/>
              <w:spacing w:after="0" w:line="146"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Shaw’s Supermarket</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line="146" w:lineRule="exact"/>
              <w:rPr>
                <w:sz w:val="20"/>
                <w:szCs w:val="20"/>
                <w:color w:val="auto"/>
              </w:rPr>
            </w:pPr>
            <w:r>
              <w:rPr>
                <w:rFonts w:ascii="Arial" w:cs="Arial" w:eastAsia="Arial" w:hAnsi="Arial"/>
                <w:sz w:val="13"/>
                <w:szCs w:val="13"/>
                <w:color w:val="auto"/>
              </w:rPr>
              <w:t>Brooks Pharmacy</w:t>
            </w:r>
          </w:p>
        </w:tc>
        <w:tc>
          <w:tcPr>
            <w:tcW w:w="0" w:type="dxa"/>
            <w:vAlign w:val="bottom"/>
          </w:tcPr>
          <w:p>
            <w:pPr>
              <w:spacing w:after="0"/>
              <w:rPr>
                <w:sz w:val="1"/>
                <w:szCs w:val="1"/>
                <w:color w:val="auto"/>
              </w:rPr>
            </w:pPr>
          </w:p>
        </w:tc>
      </w:tr>
      <w:tr>
        <w:trPr>
          <w:trHeight w:val="166"/>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6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Walmart</w:t>
            </w:r>
          </w:p>
        </w:tc>
        <w:tc>
          <w:tcPr>
            <w:tcW w:w="0" w:type="dxa"/>
            <w:vAlign w:val="bottom"/>
          </w:tcPr>
          <w:p>
            <w:pPr>
              <w:spacing w:after="0"/>
              <w:rPr>
                <w:sz w:val="1"/>
                <w:szCs w:val="1"/>
                <w:color w:val="auto"/>
              </w:rPr>
            </w:pPr>
          </w:p>
        </w:tc>
      </w:tr>
      <w:tr>
        <w:trPr>
          <w:trHeight w:val="146"/>
        </w:trPr>
        <w:tc>
          <w:tcPr>
            <w:tcW w:w="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640" w:type="dxa"/>
            <w:vAlign w:val="bottom"/>
          </w:tcPr>
          <w:p>
            <w:pPr>
              <w:jc w:val="center"/>
              <w:spacing w:after="0"/>
              <w:rPr>
                <w:sz w:val="20"/>
                <w:szCs w:val="20"/>
                <w:color w:val="auto"/>
              </w:rPr>
            </w:pPr>
            <w:r>
              <w:rPr>
                <w:rFonts w:ascii="Arial" w:cs="Arial" w:eastAsia="Arial" w:hAnsi="Arial"/>
                <w:sz w:val="13"/>
                <w:szCs w:val="13"/>
                <w:color w:val="auto"/>
                <w:w w:val="96"/>
              </w:rPr>
              <w:t>1960</w:t>
            </w:r>
          </w:p>
        </w:tc>
        <w:tc>
          <w:tcPr>
            <w:tcW w:w="1000" w:type="dxa"/>
            <w:vAlign w:val="bottom"/>
            <w:gridSpan w:val="2"/>
          </w:tcPr>
          <w:p>
            <w:pPr>
              <w:jc w:val="center"/>
              <w:ind w:left="374"/>
              <w:spacing w:after="0"/>
              <w:rPr>
                <w:sz w:val="20"/>
                <w:szCs w:val="20"/>
                <w:color w:val="auto"/>
              </w:rPr>
            </w:pPr>
            <w:r>
              <w:rPr>
                <w:rFonts w:ascii="Arial" w:cs="Arial" w:eastAsia="Arial" w:hAnsi="Arial"/>
                <w:sz w:val="13"/>
                <w:szCs w:val="13"/>
                <w:color w:val="auto"/>
                <w:w w:val="96"/>
              </w:rPr>
              <w:t>1971</w:t>
            </w:r>
          </w:p>
        </w:tc>
        <w:tc>
          <w:tcPr>
            <w:tcW w:w="4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282 units</w:t>
            </w:r>
          </w:p>
        </w:tc>
        <w:tc>
          <w:tcPr>
            <w:tcW w:w="1100" w:type="dxa"/>
            <w:vAlign w:val="bottom"/>
            <w:gridSpan w:val="2"/>
          </w:tcPr>
          <w:p>
            <w:pPr>
              <w:jc w:val="center"/>
              <w:ind w:left="394"/>
              <w:spacing w:after="0"/>
              <w:rPr>
                <w:sz w:val="20"/>
                <w:szCs w:val="20"/>
                <w:color w:val="auto"/>
              </w:rPr>
            </w:pPr>
            <w:r>
              <w:rPr>
                <w:rFonts w:ascii="Arial" w:cs="Arial" w:eastAsia="Arial" w:hAnsi="Arial"/>
                <w:sz w:val="13"/>
                <w:szCs w:val="13"/>
                <w:color w:val="auto"/>
                <w:w w:val="92"/>
              </w:rPr>
              <w:t>95%</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-4076700</wp:posOffset>
            </wp:positionV>
            <wp:extent cx="7249160" cy="462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46228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-3244215</wp:posOffset>
            </wp:positionV>
            <wp:extent cx="7249160" cy="184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18478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-2874645</wp:posOffset>
            </wp:positionV>
            <wp:extent cx="7249160" cy="184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18478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-2504440</wp:posOffset>
            </wp:positionV>
            <wp:extent cx="7249160" cy="277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27749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-1671955</wp:posOffset>
            </wp:positionV>
            <wp:extent cx="7249160" cy="462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46228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-1024255</wp:posOffset>
            </wp:positionV>
            <wp:extent cx="7249160" cy="184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18478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-561975</wp:posOffset>
            </wp:positionV>
            <wp:extent cx="7249160" cy="277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27749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-99060</wp:posOffset>
            </wp:positionV>
            <wp:extent cx="7249160" cy="285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28575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4860" w:space="720"/>
            <w:col w:w="5840"/>
          </w:cols>
          <w:pgMar w:left="240" w:top="453"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3620" w:type="dxa"/>
            <w:vAlign w:val="bottom"/>
          </w:tcPr>
          <w:p>
            <w:pPr>
              <w:spacing w:after="0" w:line="145" w:lineRule="exact"/>
              <w:rPr>
                <w:sz w:val="20"/>
                <w:szCs w:val="20"/>
                <w:color w:val="auto"/>
              </w:rPr>
            </w:pPr>
            <w:r>
              <w:rPr>
                <w:rFonts w:ascii="Arial" w:cs="Arial" w:eastAsia="Arial" w:hAnsi="Arial"/>
                <w:sz w:val="13"/>
                <w:szCs w:val="13"/>
                <w:color w:val="auto"/>
              </w:rPr>
              <w:t>Rutgers</w:t>
            </w:r>
          </w:p>
        </w:tc>
        <w:tc>
          <w:tcPr>
            <w:tcW w:w="2800" w:type="dxa"/>
            <w:vAlign w:val="bottom"/>
          </w:tcPr>
          <w:p>
            <w:pPr>
              <w:jc w:val="right"/>
              <w:ind w:right="314"/>
              <w:spacing w:after="0" w:line="145" w:lineRule="exact"/>
              <w:rPr>
                <w:sz w:val="20"/>
                <w:szCs w:val="20"/>
                <w:color w:val="auto"/>
              </w:rPr>
            </w:pPr>
            <w:r>
              <w:rPr>
                <w:rFonts w:ascii="Arial" w:cs="Arial" w:eastAsia="Arial" w:hAnsi="Arial"/>
                <w:sz w:val="13"/>
                <w:szCs w:val="13"/>
                <w:color w:val="auto"/>
              </w:rPr>
              <w:t>1973</w:t>
            </w:r>
          </w:p>
        </w:tc>
        <w:tc>
          <w:tcPr>
            <w:tcW w:w="1060" w:type="dxa"/>
            <w:vAlign w:val="bottom"/>
          </w:tcPr>
          <w:p>
            <w:pPr>
              <w:jc w:val="right"/>
              <w:ind w:right="334"/>
              <w:spacing w:after="0" w:line="145" w:lineRule="exact"/>
              <w:rPr>
                <w:sz w:val="20"/>
                <w:szCs w:val="20"/>
                <w:color w:val="auto"/>
              </w:rPr>
            </w:pPr>
            <w:r>
              <w:rPr>
                <w:rFonts w:ascii="Arial" w:cs="Arial" w:eastAsia="Arial" w:hAnsi="Arial"/>
                <w:sz w:val="13"/>
                <w:szCs w:val="13"/>
                <w:color w:val="auto"/>
              </w:rPr>
              <w:t>1988</w:t>
            </w:r>
          </w:p>
        </w:tc>
        <w:tc>
          <w:tcPr>
            <w:tcW w:w="1240" w:type="dxa"/>
            <w:vAlign w:val="bottom"/>
          </w:tcPr>
          <w:p>
            <w:pPr>
              <w:jc w:val="center"/>
              <w:spacing w:after="0" w:line="145" w:lineRule="exact"/>
              <w:rPr>
                <w:sz w:val="20"/>
                <w:szCs w:val="20"/>
                <w:color w:val="auto"/>
              </w:rPr>
            </w:pPr>
            <w:r>
              <w:rPr>
                <w:rFonts w:ascii="Arial" w:cs="Arial" w:eastAsia="Arial" w:hAnsi="Arial"/>
                <w:sz w:val="13"/>
                <w:szCs w:val="13"/>
                <w:color w:val="auto"/>
                <w:w w:val="89"/>
              </w:rPr>
              <w:t>267,000</w:t>
            </w:r>
          </w:p>
        </w:tc>
        <w:tc>
          <w:tcPr>
            <w:tcW w:w="104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2"/>
              </w:rPr>
              <w:t>91%</w:t>
            </w:r>
          </w:p>
        </w:tc>
        <w:tc>
          <w:tcPr>
            <w:tcW w:w="1660" w:type="dxa"/>
            <w:vAlign w:val="bottom"/>
          </w:tcPr>
          <w:p>
            <w:pPr>
              <w:ind w:left="320"/>
              <w:spacing w:after="0" w:line="145" w:lineRule="exact"/>
              <w:rPr>
                <w:sz w:val="20"/>
                <w:szCs w:val="20"/>
                <w:color w:val="auto"/>
              </w:rPr>
            </w:pPr>
            <w:r>
              <w:rPr>
                <w:rFonts w:ascii="Arial" w:cs="Arial" w:eastAsia="Arial" w:hAnsi="Arial"/>
                <w:sz w:val="13"/>
                <w:szCs w:val="13"/>
                <w:color w:val="auto"/>
              </w:rPr>
              <w:t>Stop &amp; Shop</w:t>
            </w:r>
          </w:p>
        </w:tc>
      </w:tr>
      <w:tr>
        <w:trPr>
          <w:trHeight w:val="167"/>
        </w:trPr>
        <w:tc>
          <w:tcPr>
            <w:tcW w:w="3620" w:type="dxa"/>
            <w:vAlign w:val="bottom"/>
          </w:tcPr>
          <w:p>
            <w:pPr>
              <w:ind w:left="220"/>
              <w:spacing w:after="0"/>
              <w:rPr>
                <w:sz w:val="20"/>
                <w:szCs w:val="20"/>
                <w:color w:val="auto"/>
              </w:rPr>
            </w:pPr>
            <w:r>
              <w:rPr>
                <w:rFonts w:ascii="Arial" w:cs="Arial" w:eastAsia="Arial" w:hAnsi="Arial"/>
                <w:sz w:val="13"/>
                <w:szCs w:val="13"/>
                <w:color w:val="auto"/>
              </w:rPr>
              <w:t>Franklin, N.J. 08873(3)</w:t>
            </w:r>
          </w:p>
        </w:tc>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Arial" w:cs="Arial" w:eastAsia="Arial" w:hAnsi="Arial"/>
                <w:sz w:val="13"/>
                <w:szCs w:val="13"/>
                <w:color w:val="auto"/>
              </w:rPr>
              <w:t>Kmart</w:t>
            </w: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Sam’s Park &amp; Shop</w:t>
            </w:r>
          </w:p>
        </w:tc>
        <w:tc>
          <w:tcPr>
            <w:tcW w:w="2800" w:type="dxa"/>
            <w:vAlign w:val="bottom"/>
            <w:shd w:val="clear" w:color="auto" w:fill="CCEEFF"/>
          </w:tcPr>
          <w:p>
            <w:pPr>
              <w:jc w:val="right"/>
              <w:ind w:right="314"/>
              <w:spacing w:after="0" w:line="138" w:lineRule="exact"/>
              <w:rPr>
                <w:sz w:val="20"/>
                <w:szCs w:val="20"/>
                <w:color w:val="auto"/>
              </w:rPr>
            </w:pPr>
            <w:r>
              <w:rPr>
                <w:rFonts w:ascii="Arial" w:cs="Arial" w:eastAsia="Arial" w:hAnsi="Arial"/>
                <w:sz w:val="13"/>
                <w:szCs w:val="13"/>
                <w:color w:val="auto"/>
              </w:rPr>
              <w:t>1930</w:t>
            </w:r>
          </w:p>
        </w:tc>
        <w:tc>
          <w:tcPr>
            <w:tcW w:w="1060" w:type="dxa"/>
            <w:vAlign w:val="bottom"/>
            <w:shd w:val="clear" w:color="auto" w:fill="CCEEFF"/>
          </w:tcPr>
          <w:p>
            <w:pPr>
              <w:jc w:val="right"/>
              <w:ind w:right="334"/>
              <w:spacing w:after="0" w:line="138" w:lineRule="exact"/>
              <w:rPr>
                <w:sz w:val="20"/>
                <w:szCs w:val="20"/>
                <w:color w:val="auto"/>
              </w:rPr>
            </w:pPr>
            <w:r>
              <w:rPr>
                <w:rFonts w:ascii="Arial" w:cs="Arial" w:eastAsia="Arial" w:hAnsi="Arial"/>
                <w:sz w:val="13"/>
                <w:szCs w:val="13"/>
                <w:color w:val="auto"/>
              </w:rPr>
              <w:t>1995</w:t>
            </w:r>
          </w:p>
        </w:tc>
        <w:tc>
          <w:tcPr>
            <w:tcW w:w="12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49,000</w:t>
            </w:r>
          </w:p>
        </w:tc>
        <w:tc>
          <w:tcPr>
            <w:tcW w:w="1040" w:type="dxa"/>
            <w:vAlign w:val="bottom"/>
            <w:shd w:val="clear" w:color="auto" w:fill="CCEEFF"/>
          </w:tcPr>
          <w:p>
            <w:pPr>
              <w:jc w:val="center"/>
              <w:ind w:left="54"/>
              <w:spacing w:after="0" w:line="138" w:lineRule="exact"/>
              <w:rPr>
                <w:sz w:val="20"/>
                <w:szCs w:val="20"/>
                <w:color w:val="auto"/>
              </w:rPr>
            </w:pPr>
            <w:r>
              <w:rPr>
                <w:rFonts w:ascii="Arial" w:cs="Arial" w:eastAsia="Arial" w:hAnsi="Arial"/>
                <w:sz w:val="13"/>
                <w:szCs w:val="13"/>
                <w:color w:val="auto"/>
                <w:w w:val="96"/>
              </w:rPr>
              <w:t>100%</w:t>
            </w:r>
          </w:p>
        </w:tc>
        <w:tc>
          <w:tcPr>
            <w:tcW w:w="166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Petco</w:t>
            </w:r>
          </w:p>
        </w:tc>
      </w:tr>
      <w:tr>
        <w:trPr>
          <w:trHeight w:val="168"/>
        </w:trPr>
        <w:tc>
          <w:tcPr>
            <w:tcW w:w="3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Washington, DC 20008</w:t>
            </w:r>
          </w:p>
        </w:tc>
        <w:tc>
          <w:tcPr>
            <w:tcW w:w="28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37"/>
        </w:trPr>
        <w:tc>
          <w:tcPr>
            <w:tcW w:w="3620" w:type="dxa"/>
            <w:vAlign w:val="bottom"/>
          </w:tcPr>
          <w:p>
            <w:pPr>
              <w:spacing w:after="0" w:line="137" w:lineRule="exact"/>
              <w:rPr>
                <w:sz w:val="20"/>
                <w:szCs w:val="20"/>
                <w:color w:val="auto"/>
              </w:rPr>
            </w:pPr>
            <w:r>
              <w:rPr>
                <w:rFonts w:ascii="Arial" w:cs="Arial" w:eastAsia="Arial" w:hAnsi="Arial"/>
                <w:sz w:val="13"/>
                <w:szCs w:val="13"/>
                <w:color w:val="auto"/>
              </w:rPr>
              <w:t>Saugus Plaza</w:t>
            </w:r>
          </w:p>
        </w:tc>
        <w:tc>
          <w:tcPr>
            <w:tcW w:w="2800" w:type="dxa"/>
            <w:vAlign w:val="bottom"/>
          </w:tcPr>
          <w:p>
            <w:pPr>
              <w:jc w:val="right"/>
              <w:ind w:right="314"/>
              <w:spacing w:after="0" w:line="137" w:lineRule="exact"/>
              <w:rPr>
                <w:sz w:val="20"/>
                <w:szCs w:val="20"/>
                <w:color w:val="auto"/>
              </w:rPr>
            </w:pPr>
            <w:r>
              <w:rPr>
                <w:rFonts w:ascii="Arial" w:cs="Arial" w:eastAsia="Arial" w:hAnsi="Arial"/>
                <w:sz w:val="13"/>
                <w:szCs w:val="13"/>
                <w:color w:val="auto"/>
              </w:rPr>
              <w:t>1976</w:t>
            </w:r>
          </w:p>
        </w:tc>
        <w:tc>
          <w:tcPr>
            <w:tcW w:w="1060" w:type="dxa"/>
            <w:vAlign w:val="bottom"/>
          </w:tcPr>
          <w:p>
            <w:pPr>
              <w:jc w:val="right"/>
              <w:ind w:right="334"/>
              <w:spacing w:after="0" w:line="137" w:lineRule="exact"/>
              <w:rPr>
                <w:sz w:val="20"/>
                <w:szCs w:val="20"/>
                <w:color w:val="auto"/>
              </w:rPr>
            </w:pPr>
            <w:r>
              <w:rPr>
                <w:rFonts w:ascii="Arial" w:cs="Arial" w:eastAsia="Arial" w:hAnsi="Arial"/>
                <w:sz w:val="13"/>
                <w:szCs w:val="13"/>
                <w:color w:val="auto"/>
              </w:rPr>
              <w:t>1996</w:t>
            </w:r>
          </w:p>
        </w:tc>
        <w:tc>
          <w:tcPr>
            <w:tcW w:w="1240" w:type="dxa"/>
            <w:vAlign w:val="bottom"/>
          </w:tcPr>
          <w:p>
            <w:pPr>
              <w:jc w:val="center"/>
              <w:spacing w:after="0" w:line="137" w:lineRule="exact"/>
              <w:rPr>
                <w:sz w:val="20"/>
                <w:szCs w:val="20"/>
                <w:color w:val="auto"/>
              </w:rPr>
            </w:pPr>
            <w:r>
              <w:rPr>
                <w:rFonts w:ascii="Arial" w:cs="Arial" w:eastAsia="Arial" w:hAnsi="Arial"/>
                <w:sz w:val="13"/>
                <w:szCs w:val="13"/>
                <w:color w:val="auto"/>
                <w:w w:val="89"/>
              </w:rPr>
              <w:t>171,000</w:t>
            </w:r>
          </w:p>
        </w:tc>
        <w:tc>
          <w:tcPr>
            <w:tcW w:w="1040" w:type="dxa"/>
            <w:vAlign w:val="bottom"/>
          </w:tcPr>
          <w:p>
            <w:pPr>
              <w:jc w:val="center"/>
              <w:ind w:left="54"/>
              <w:spacing w:after="0" w:line="137" w:lineRule="exact"/>
              <w:rPr>
                <w:sz w:val="20"/>
                <w:szCs w:val="20"/>
                <w:color w:val="auto"/>
              </w:rPr>
            </w:pPr>
            <w:r>
              <w:rPr>
                <w:rFonts w:ascii="Arial" w:cs="Arial" w:eastAsia="Arial" w:hAnsi="Arial"/>
                <w:sz w:val="13"/>
                <w:szCs w:val="13"/>
                <w:color w:val="auto"/>
                <w:w w:val="96"/>
              </w:rPr>
              <w:t>100%</w:t>
            </w:r>
          </w:p>
        </w:tc>
        <w:tc>
          <w:tcPr>
            <w:tcW w:w="1660" w:type="dxa"/>
            <w:vAlign w:val="bottom"/>
          </w:tcPr>
          <w:p>
            <w:pPr>
              <w:ind w:left="320"/>
              <w:spacing w:after="0" w:line="137" w:lineRule="exact"/>
              <w:rPr>
                <w:sz w:val="20"/>
                <w:szCs w:val="20"/>
                <w:color w:val="auto"/>
              </w:rPr>
            </w:pPr>
            <w:r>
              <w:rPr>
                <w:rFonts w:ascii="Arial" w:cs="Arial" w:eastAsia="Arial" w:hAnsi="Arial"/>
                <w:sz w:val="13"/>
                <w:szCs w:val="13"/>
                <w:color w:val="auto"/>
              </w:rPr>
              <w:t>Kmart</w:t>
            </w:r>
          </w:p>
        </w:tc>
      </w:tr>
      <w:tr>
        <w:trPr>
          <w:trHeight w:val="166"/>
        </w:trPr>
        <w:tc>
          <w:tcPr>
            <w:tcW w:w="3620" w:type="dxa"/>
            <w:vAlign w:val="bottom"/>
          </w:tcPr>
          <w:p>
            <w:pPr>
              <w:ind w:left="220"/>
              <w:spacing w:after="0"/>
              <w:rPr>
                <w:sz w:val="20"/>
                <w:szCs w:val="20"/>
                <w:color w:val="auto"/>
              </w:rPr>
            </w:pPr>
            <w:r>
              <w:rPr>
                <w:rFonts w:ascii="Arial" w:cs="Arial" w:eastAsia="Arial" w:hAnsi="Arial"/>
                <w:sz w:val="13"/>
                <w:szCs w:val="13"/>
                <w:color w:val="auto"/>
              </w:rPr>
              <w:t>Saugus, MA 01906</w:t>
            </w:r>
          </w:p>
        </w:tc>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Arial" w:cs="Arial" w:eastAsia="Arial" w:hAnsi="Arial"/>
                <w:sz w:val="13"/>
                <w:szCs w:val="13"/>
                <w:color w:val="auto"/>
              </w:rPr>
              <w:t>Stop &amp; Shop</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3"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Retail and Residential Properties—continued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46"/>
        </w:trPr>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460" w:type="dxa"/>
            <w:vAlign w:val="bottom"/>
          </w:tcPr>
          <w:p>
            <w:pPr>
              <w:spacing w:after="0"/>
              <w:rPr>
                <w:sz w:val="12"/>
                <w:szCs w:val="12"/>
                <w:color w:val="auto"/>
              </w:rPr>
            </w:pPr>
          </w:p>
        </w:tc>
        <w:tc>
          <w:tcPr>
            <w:tcW w:w="720" w:type="dxa"/>
            <w:vAlign w:val="bottom"/>
          </w:tcPr>
          <w:p>
            <w:pPr>
              <w:ind w:left="40"/>
              <w:spacing w:after="0" w:line="146" w:lineRule="exact"/>
              <w:rPr>
                <w:sz w:val="20"/>
                <w:szCs w:val="20"/>
                <w:color w:val="auto"/>
              </w:rPr>
            </w:pPr>
            <w:r>
              <w:rPr>
                <w:rFonts w:ascii="Arial" w:cs="Arial" w:eastAsia="Arial" w:hAnsi="Arial"/>
                <w:sz w:val="13"/>
                <w:szCs w:val="13"/>
                <w:b w:val="1"/>
                <w:bCs w:val="1"/>
                <w:color w:val="auto"/>
                <w:w w:val="94"/>
              </w:rPr>
              <w:t>Percentage</w:t>
            </w: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5"/>
        </w:trPr>
        <w:tc>
          <w:tcPr>
            <w:tcW w:w="4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EAST REGION</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40" w:type="dxa"/>
            <w:vAlign w:val="bottom"/>
          </w:tcPr>
          <w:p>
            <w:pPr>
              <w:spacing w:after="0"/>
              <w:rPr>
                <w:sz w:val="14"/>
                <w:szCs w:val="14"/>
                <w:color w:val="auto"/>
              </w:rPr>
            </w:pPr>
          </w:p>
        </w:tc>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Principal Tenant(s)</w:t>
            </w:r>
          </w:p>
        </w:tc>
      </w:tr>
      <w:tr>
        <w:trPr>
          <w:trHeight w:val="137"/>
        </w:trPr>
        <w:tc>
          <w:tcPr>
            <w:tcW w:w="48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Shirlington</w:t>
            </w:r>
          </w:p>
        </w:tc>
        <w:tc>
          <w:tcPr>
            <w:tcW w:w="114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1940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1995</w:t>
            </w:r>
          </w:p>
        </w:tc>
        <w:tc>
          <w:tcPr>
            <w:tcW w:w="138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3"/>
              </w:rPr>
              <w:t>214,000</w:t>
            </w:r>
          </w:p>
        </w:tc>
        <w:tc>
          <w:tcPr>
            <w:tcW w:w="118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2"/>
              </w:rPr>
              <w:t>98%</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Carlyle Grand Café</w:t>
            </w:r>
          </w:p>
        </w:tc>
      </w:tr>
      <w:tr>
        <w:trPr>
          <w:trHeight w:val="168"/>
        </w:trPr>
        <w:tc>
          <w:tcPr>
            <w:tcW w:w="4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Arlington, VA 22206</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Cineplex Odeon</w:t>
            </w:r>
          </w:p>
        </w:tc>
      </w:tr>
      <w:tr>
        <w:trPr>
          <w:trHeight w:val="137"/>
        </w:trPr>
        <w:tc>
          <w:tcPr>
            <w:tcW w:w="4800" w:type="dxa"/>
            <w:vAlign w:val="bottom"/>
          </w:tcPr>
          <w:p>
            <w:pPr>
              <w:spacing w:after="0" w:line="137" w:lineRule="exact"/>
              <w:rPr>
                <w:sz w:val="20"/>
                <w:szCs w:val="20"/>
                <w:color w:val="auto"/>
              </w:rPr>
            </w:pPr>
            <w:r>
              <w:rPr>
                <w:rFonts w:ascii="Arial" w:cs="Arial" w:eastAsia="Arial" w:hAnsi="Arial"/>
                <w:sz w:val="13"/>
                <w:szCs w:val="13"/>
                <w:color w:val="auto"/>
              </w:rPr>
              <w:t>South Valley Shopping Center</w:t>
            </w:r>
          </w:p>
        </w:tc>
        <w:tc>
          <w:tcPr>
            <w:tcW w:w="114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1966</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2003</w:t>
            </w:r>
          </w:p>
        </w:tc>
        <w:tc>
          <w:tcPr>
            <w:tcW w:w="13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3"/>
              </w:rPr>
              <w:t>221,000</w:t>
            </w:r>
          </w:p>
        </w:tc>
        <w:tc>
          <w:tcPr>
            <w:tcW w:w="11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380" w:type="dxa"/>
            <w:vAlign w:val="bottom"/>
          </w:tcPr>
          <w:p>
            <w:pPr>
              <w:spacing w:after="0" w:line="137" w:lineRule="exact"/>
              <w:rPr>
                <w:sz w:val="20"/>
                <w:szCs w:val="20"/>
                <w:color w:val="auto"/>
              </w:rPr>
            </w:pPr>
            <w:r>
              <w:rPr>
                <w:rFonts w:ascii="Arial" w:cs="Arial" w:eastAsia="Arial" w:hAnsi="Arial"/>
                <w:sz w:val="13"/>
                <w:szCs w:val="13"/>
                <w:color w:val="auto"/>
              </w:rPr>
              <w:t>Home Depot</w:t>
            </w:r>
          </w:p>
        </w:tc>
      </w:tr>
      <w:tr>
        <w:trPr>
          <w:trHeight w:val="154"/>
        </w:trPr>
        <w:tc>
          <w:tcPr>
            <w:tcW w:w="4800" w:type="dxa"/>
            <w:vAlign w:val="bottom"/>
          </w:tcPr>
          <w:p>
            <w:pPr>
              <w:ind w:left="220"/>
              <w:spacing w:after="0"/>
              <w:rPr>
                <w:sz w:val="20"/>
                <w:szCs w:val="20"/>
                <w:color w:val="auto"/>
              </w:rPr>
            </w:pPr>
            <w:r>
              <w:rPr>
                <w:rFonts w:ascii="Arial" w:cs="Arial" w:eastAsia="Arial" w:hAnsi="Arial"/>
                <w:sz w:val="13"/>
                <w:szCs w:val="13"/>
                <w:color w:val="auto"/>
              </w:rPr>
              <w:t>Alexandria, VA 22306(5)</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TJ Maxx</w:t>
            </w:r>
          </w:p>
        </w:tc>
      </w:tr>
      <w:tr>
        <w:trPr>
          <w:trHeight w:val="137"/>
        </w:trPr>
        <w:tc>
          <w:tcPr>
            <w:tcW w:w="48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Tower Shopping Center</w:t>
            </w:r>
          </w:p>
        </w:tc>
        <w:tc>
          <w:tcPr>
            <w:tcW w:w="114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1960</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1998</w:t>
            </w:r>
          </w:p>
        </w:tc>
        <w:tc>
          <w:tcPr>
            <w:tcW w:w="138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3"/>
              </w:rPr>
              <w:t>112,000</w:t>
            </w:r>
          </w:p>
        </w:tc>
        <w:tc>
          <w:tcPr>
            <w:tcW w:w="118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2"/>
              </w:rPr>
              <w:t>97%</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Virginia Fine Wine</w:t>
            </w:r>
          </w:p>
        </w:tc>
      </w:tr>
      <w:tr>
        <w:trPr>
          <w:trHeight w:val="168"/>
        </w:trPr>
        <w:tc>
          <w:tcPr>
            <w:tcW w:w="4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Springfield, VA 22150</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Talbots</w:t>
            </w:r>
          </w:p>
        </w:tc>
      </w:tr>
      <w:tr>
        <w:trPr>
          <w:trHeight w:val="137"/>
        </w:trPr>
        <w:tc>
          <w:tcPr>
            <w:tcW w:w="4800" w:type="dxa"/>
            <w:vAlign w:val="bottom"/>
          </w:tcPr>
          <w:p>
            <w:pPr>
              <w:spacing w:after="0" w:line="137" w:lineRule="exact"/>
              <w:rPr>
                <w:sz w:val="20"/>
                <w:szCs w:val="20"/>
                <w:color w:val="auto"/>
              </w:rPr>
            </w:pPr>
            <w:r>
              <w:rPr>
                <w:rFonts w:ascii="Arial" w:cs="Arial" w:eastAsia="Arial" w:hAnsi="Arial"/>
                <w:sz w:val="13"/>
                <w:szCs w:val="13"/>
                <w:color w:val="auto"/>
              </w:rPr>
              <w:t>Town Center of New Britain</w:t>
            </w:r>
          </w:p>
        </w:tc>
        <w:tc>
          <w:tcPr>
            <w:tcW w:w="114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1969</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2006</w:t>
            </w:r>
          </w:p>
        </w:tc>
        <w:tc>
          <w:tcPr>
            <w:tcW w:w="13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3"/>
              </w:rPr>
              <w:t>125,000</w:t>
            </w:r>
          </w:p>
        </w:tc>
        <w:tc>
          <w:tcPr>
            <w:tcW w:w="11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2"/>
              </w:rPr>
              <w:t>87%</w:t>
            </w:r>
          </w:p>
        </w:tc>
        <w:tc>
          <w:tcPr>
            <w:tcW w:w="440" w:type="dxa"/>
            <w:vAlign w:val="bottom"/>
          </w:tcPr>
          <w:p>
            <w:pPr>
              <w:spacing w:after="0"/>
              <w:rPr>
                <w:sz w:val="11"/>
                <w:szCs w:val="11"/>
                <w:color w:val="auto"/>
              </w:rPr>
            </w:pPr>
          </w:p>
        </w:tc>
        <w:tc>
          <w:tcPr>
            <w:tcW w:w="1380" w:type="dxa"/>
            <w:vAlign w:val="bottom"/>
          </w:tcPr>
          <w:p>
            <w:pPr>
              <w:spacing w:after="0" w:line="137" w:lineRule="exact"/>
              <w:rPr>
                <w:sz w:val="20"/>
                <w:szCs w:val="20"/>
                <w:color w:val="auto"/>
              </w:rPr>
            </w:pPr>
            <w:r>
              <w:rPr>
                <w:rFonts w:ascii="Arial" w:cs="Arial" w:eastAsia="Arial" w:hAnsi="Arial"/>
                <w:sz w:val="13"/>
                <w:szCs w:val="13"/>
                <w:color w:val="auto"/>
              </w:rPr>
              <w:t>Giant Food</w:t>
            </w:r>
          </w:p>
        </w:tc>
      </w:tr>
      <w:tr>
        <w:trPr>
          <w:trHeight w:val="167"/>
        </w:trPr>
        <w:tc>
          <w:tcPr>
            <w:tcW w:w="4800" w:type="dxa"/>
            <w:vAlign w:val="bottom"/>
          </w:tcPr>
          <w:p>
            <w:pPr>
              <w:ind w:left="220"/>
              <w:spacing w:after="0"/>
              <w:rPr>
                <w:sz w:val="20"/>
                <w:szCs w:val="20"/>
                <w:color w:val="auto"/>
              </w:rPr>
            </w:pPr>
            <w:r>
              <w:rPr>
                <w:rFonts w:ascii="Arial" w:cs="Arial" w:eastAsia="Arial" w:hAnsi="Arial"/>
                <w:sz w:val="13"/>
                <w:szCs w:val="13"/>
                <w:color w:val="auto"/>
              </w:rPr>
              <w:t>New Britain, PA 18901</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Rite Aid</w:t>
            </w:r>
          </w:p>
        </w:tc>
      </w:tr>
      <w:tr>
        <w:trPr>
          <w:trHeight w:val="138"/>
        </w:trPr>
        <w:tc>
          <w:tcPr>
            <w:tcW w:w="48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Troy</w:t>
            </w:r>
          </w:p>
        </w:tc>
        <w:tc>
          <w:tcPr>
            <w:tcW w:w="1140" w:type="dxa"/>
            <w:vAlign w:val="bottom"/>
            <w:gridSpan w:val="2"/>
            <w:shd w:val="clear" w:color="auto" w:fill="CCEEFF"/>
          </w:tcPr>
          <w:p>
            <w:pPr>
              <w:jc w:val="center"/>
              <w:ind w:left="374"/>
              <w:spacing w:after="0" w:line="138" w:lineRule="exact"/>
              <w:rPr>
                <w:sz w:val="20"/>
                <w:szCs w:val="20"/>
                <w:color w:val="auto"/>
              </w:rPr>
            </w:pPr>
            <w:r>
              <w:rPr>
                <w:rFonts w:ascii="Arial" w:cs="Arial" w:eastAsia="Arial" w:hAnsi="Arial"/>
                <w:sz w:val="13"/>
                <w:szCs w:val="13"/>
                <w:color w:val="auto"/>
                <w:w w:val="89"/>
              </w:rPr>
              <w:t>1966</w:t>
            </w:r>
          </w:p>
        </w:tc>
        <w:tc>
          <w:tcPr>
            <w:tcW w:w="1100" w:type="dxa"/>
            <w:vAlign w:val="bottom"/>
            <w:gridSpan w:val="2"/>
            <w:shd w:val="clear" w:color="auto" w:fill="CCEEFF"/>
          </w:tcPr>
          <w:p>
            <w:pPr>
              <w:jc w:val="center"/>
              <w:ind w:left="374"/>
              <w:spacing w:after="0" w:line="138" w:lineRule="exact"/>
              <w:rPr>
                <w:sz w:val="20"/>
                <w:szCs w:val="20"/>
                <w:color w:val="auto"/>
              </w:rPr>
            </w:pPr>
            <w:r>
              <w:rPr>
                <w:rFonts w:ascii="Arial" w:cs="Arial" w:eastAsia="Arial" w:hAnsi="Arial"/>
                <w:sz w:val="13"/>
                <w:szCs w:val="13"/>
                <w:color w:val="auto"/>
                <w:w w:val="89"/>
              </w:rPr>
              <w:t>1980</w:t>
            </w:r>
          </w:p>
        </w:tc>
        <w:tc>
          <w:tcPr>
            <w:tcW w:w="1380" w:type="dxa"/>
            <w:vAlign w:val="bottom"/>
            <w:gridSpan w:val="2"/>
            <w:shd w:val="clear" w:color="auto" w:fill="CCEEFF"/>
          </w:tcPr>
          <w:p>
            <w:pPr>
              <w:jc w:val="center"/>
              <w:ind w:left="394"/>
              <w:spacing w:after="0" w:line="138" w:lineRule="exact"/>
              <w:rPr>
                <w:sz w:val="20"/>
                <w:szCs w:val="20"/>
                <w:color w:val="auto"/>
              </w:rPr>
            </w:pPr>
            <w:r>
              <w:rPr>
                <w:rFonts w:ascii="Arial" w:cs="Arial" w:eastAsia="Arial" w:hAnsi="Arial"/>
                <w:sz w:val="13"/>
                <w:szCs w:val="13"/>
                <w:color w:val="auto"/>
                <w:w w:val="93"/>
              </w:rPr>
              <w:t>202,000</w:t>
            </w:r>
          </w:p>
        </w:tc>
        <w:tc>
          <w:tcPr>
            <w:tcW w:w="1180" w:type="dxa"/>
            <w:vAlign w:val="bottom"/>
            <w:gridSpan w:val="2"/>
            <w:shd w:val="clear" w:color="auto" w:fill="CCEEFF"/>
          </w:tcPr>
          <w:p>
            <w:pPr>
              <w:jc w:val="center"/>
              <w:ind w:left="394"/>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 USA</w:t>
            </w:r>
          </w:p>
        </w:tc>
      </w:tr>
      <w:tr>
        <w:trPr>
          <w:trHeight w:val="146"/>
        </w:trPr>
        <w:tc>
          <w:tcPr>
            <w:tcW w:w="48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Parsippany-Troy, NJ 07054</w:t>
            </w: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Pathmark</w:t>
            </w:r>
          </w:p>
        </w:tc>
      </w:tr>
      <w:tr>
        <w:trPr>
          <w:trHeight w:val="146"/>
        </w:trPr>
        <w:tc>
          <w:tcPr>
            <w:tcW w:w="4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Toys R Us</w:t>
            </w:r>
          </w:p>
        </w:tc>
      </w:tr>
      <w:tr>
        <w:trPr>
          <w:trHeight w:val="154"/>
        </w:trPr>
        <w:tc>
          <w:tcPr>
            <w:tcW w:w="4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A. C. Moore</w:t>
            </w:r>
          </w:p>
        </w:tc>
      </w:tr>
      <w:tr>
        <w:trPr>
          <w:trHeight w:val="137"/>
        </w:trPr>
        <w:tc>
          <w:tcPr>
            <w:tcW w:w="4800" w:type="dxa"/>
            <w:vAlign w:val="bottom"/>
          </w:tcPr>
          <w:p>
            <w:pPr>
              <w:spacing w:after="0" w:line="137" w:lineRule="exact"/>
              <w:rPr>
                <w:sz w:val="20"/>
                <w:szCs w:val="20"/>
                <w:color w:val="auto"/>
              </w:rPr>
            </w:pPr>
            <w:r>
              <w:rPr>
                <w:rFonts w:ascii="Arial" w:cs="Arial" w:eastAsia="Arial" w:hAnsi="Arial"/>
                <w:sz w:val="13"/>
                <w:szCs w:val="13"/>
                <w:color w:val="auto"/>
              </w:rPr>
              <w:t>Tysons Station</w:t>
            </w:r>
          </w:p>
        </w:tc>
        <w:tc>
          <w:tcPr>
            <w:tcW w:w="114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1954</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1978</w:t>
            </w:r>
          </w:p>
        </w:tc>
        <w:tc>
          <w:tcPr>
            <w:tcW w:w="13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0"/>
              </w:rPr>
              <w:t>50,000</w:t>
            </w:r>
          </w:p>
        </w:tc>
        <w:tc>
          <w:tcPr>
            <w:tcW w:w="11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380" w:type="dxa"/>
            <w:vAlign w:val="bottom"/>
          </w:tcPr>
          <w:p>
            <w:pPr>
              <w:spacing w:after="0" w:line="137" w:lineRule="exact"/>
              <w:rPr>
                <w:sz w:val="20"/>
                <w:szCs w:val="20"/>
                <w:color w:val="auto"/>
              </w:rPr>
            </w:pPr>
            <w:r>
              <w:rPr>
                <w:rFonts w:ascii="Arial" w:cs="Arial" w:eastAsia="Arial" w:hAnsi="Arial"/>
                <w:sz w:val="13"/>
                <w:szCs w:val="13"/>
                <w:color w:val="auto"/>
              </w:rPr>
              <w:t>Trader Joes</w:t>
            </w:r>
          </w:p>
        </w:tc>
      </w:tr>
      <w:tr>
        <w:trPr>
          <w:trHeight w:val="167"/>
        </w:trPr>
        <w:tc>
          <w:tcPr>
            <w:tcW w:w="4800" w:type="dxa"/>
            <w:vAlign w:val="bottom"/>
          </w:tcPr>
          <w:p>
            <w:pPr>
              <w:ind w:left="220"/>
              <w:spacing w:after="0"/>
              <w:rPr>
                <w:sz w:val="20"/>
                <w:szCs w:val="20"/>
                <w:color w:val="auto"/>
              </w:rPr>
            </w:pPr>
            <w:r>
              <w:rPr>
                <w:rFonts w:ascii="Arial" w:cs="Arial" w:eastAsia="Arial" w:hAnsi="Arial"/>
                <w:sz w:val="13"/>
                <w:szCs w:val="13"/>
                <w:color w:val="auto"/>
              </w:rPr>
              <w:t>Falls Church, VA 22043</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38"/>
        </w:trPr>
        <w:tc>
          <w:tcPr>
            <w:tcW w:w="48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Wildwood</w:t>
            </w:r>
          </w:p>
        </w:tc>
        <w:tc>
          <w:tcPr>
            <w:tcW w:w="1140" w:type="dxa"/>
            <w:vAlign w:val="bottom"/>
            <w:gridSpan w:val="2"/>
            <w:shd w:val="clear" w:color="auto" w:fill="CCEEFF"/>
          </w:tcPr>
          <w:p>
            <w:pPr>
              <w:jc w:val="center"/>
              <w:ind w:left="374"/>
              <w:spacing w:after="0" w:line="138" w:lineRule="exact"/>
              <w:rPr>
                <w:sz w:val="20"/>
                <w:szCs w:val="20"/>
                <w:color w:val="auto"/>
              </w:rPr>
            </w:pPr>
            <w:r>
              <w:rPr>
                <w:rFonts w:ascii="Arial" w:cs="Arial" w:eastAsia="Arial" w:hAnsi="Arial"/>
                <w:sz w:val="13"/>
                <w:szCs w:val="13"/>
                <w:color w:val="auto"/>
                <w:w w:val="89"/>
              </w:rPr>
              <w:t>1958</w:t>
            </w:r>
          </w:p>
        </w:tc>
        <w:tc>
          <w:tcPr>
            <w:tcW w:w="1100" w:type="dxa"/>
            <w:vAlign w:val="bottom"/>
            <w:gridSpan w:val="2"/>
            <w:shd w:val="clear" w:color="auto" w:fill="CCEEFF"/>
          </w:tcPr>
          <w:p>
            <w:pPr>
              <w:jc w:val="center"/>
              <w:ind w:left="374"/>
              <w:spacing w:after="0" w:line="138" w:lineRule="exact"/>
              <w:rPr>
                <w:sz w:val="20"/>
                <w:szCs w:val="20"/>
                <w:color w:val="auto"/>
              </w:rPr>
            </w:pPr>
            <w:r>
              <w:rPr>
                <w:rFonts w:ascii="Arial" w:cs="Arial" w:eastAsia="Arial" w:hAnsi="Arial"/>
                <w:sz w:val="13"/>
                <w:szCs w:val="13"/>
                <w:color w:val="auto"/>
                <w:w w:val="89"/>
              </w:rPr>
              <w:t>1969</w:t>
            </w:r>
          </w:p>
        </w:tc>
        <w:tc>
          <w:tcPr>
            <w:tcW w:w="1380" w:type="dxa"/>
            <w:vAlign w:val="bottom"/>
            <w:gridSpan w:val="2"/>
            <w:shd w:val="clear" w:color="auto" w:fill="CCEEFF"/>
          </w:tcPr>
          <w:p>
            <w:pPr>
              <w:jc w:val="center"/>
              <w:ind w:left="394"/>
              <w:spacing w:after="0" w:line="138" w:lineRule="exact"/>
              <w:rPr>
                <w:sz w:val="20"/>
                <w:szCs w:val="20"/>
                <w:color w:val="auto"/>
              </w:rPr>
            </w:pPr>
            <w:r>
              <w:rPr>
                <w:rFonts w:ascii="Arial" w:cs="Arial" w:eastAsia="Arial" w:hAnsi="Arial"/>
                <w:sz w:val="13"/>
                <w:szCs w:val="13"/>
                <w:color w:val="auto"/>
                <w:w w:val="90"/>
              </w:rPr>
              <w:t>85,000</w:t>
            </w:r>
          </w:p>
        </w:tc>
        <w:tc>
          <w:tcPr>
            <w:tcW w:w="1180" w:type="dxa"/>
            <w:vAlign w:val="bottom"/>
            <w:gridSpan w:val="2"/>
            <w:shd w:val="clear" w:color="auto" w:fill="CCEEFF"/>
          </w:tcPr>
          <w:p>
            <w:pPr>
              <w:jc w:val="center"/>
              <w:ind w:left="394"/>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CVS</w:t>
            </w:r>
          </w:p>
        </w:tc>
      </w:tr>
      <w:tr>
        <w:trPr>
          <w:trHeight w:val="168"/>
        </w:trPr>
        <w:tc>
          <w:tcPr>
            <w:tcW w:w="4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Bethesda, MD 20814</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Balducci’s</w:t>
            </w:r>
          </w:p>
        </w:tc>
      </w:tr>
      <w:tr>
        <w:trPr>
          <w:trHeight w:val="137"/>
        </w:trPr>
        <w:tc>
          <w:tcPr>
            <w:tcW w:w="4800" w:type="dxa"/>
            <w:vAlign w:val="bottom"/>
          </w:tcPr>
          <w:p>
            <w:pPr>
              <w:spacing w:after="0" w:line="137" w:lineRule="exact"/>
              <w:rPr>
                <w:sz w:val="20"/>
                <w:szCs w:val="20"/>
                <w:color w:val="auto"/>
              </w:rPr>
            </w:pPr>
            <w:r>
              <w:rPr>
                <w:rFonts w:ascii="Arial" w:cs="Arial" w:eastAsia="Arial" w:hAnsi="Arial"/>
                <w:sz w:val="13"/>
                <w:szCs w:val="13"/>
                <w:color w:val="auto"/>
              </w:rPr>
              <w:t>Willow Grove</w:t>
            </w:r>
          </w:p>
        </w:tc>
        <w:tc>
          <w:tcPr>
            <w:tcW w:w="114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1953</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1984</w:t>
            </w:r>
          </w:p>
        </w:tc>
        <w:tc>
          <w:tcPr>
            <w:tcW w:w="13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3"/>
              </w:rPr>
              <w:t>215,000</w:t>
            </w:r>
          </w:p>
        </w:tc>
        <w:tc>
          <w:tcPr>
            <w:tcW w:w="11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380" w:type="dxa"/>
            <w:vAlign w:val="bottom"/>
          </w:tcPr>
          <w:p>
            <w:pPr>
              <w:spacing w:after="0" w:line="137" w:lineRule="exact"/>
              <w:rPr>
                <w:sz w:val="20"/>
                <w:szCs w:val="20"/>
                <w:color w:val="auto"/>
              </w:rPr>
            </w:pPr>
            <w:r>
              <w:rPr>
                <w:rFonts w:ascii="Arial" w:cs="Arial" w:eastAsia="Arial" w:hAnsi="Arial"/>
                <w:sz w:val="13"/>
                <w:szCs w:val="13"/>
                <w:color w:val="auto"/>
              </w:rPr>
              <w:t>Barnes &amp; Noble</w:t>
            </w:r>
          </w:p>
        </w:tc>
      </w:tr>
      <w:tr>
        <w:trPr>
          <w:trHeight w:val="146"/>
        </w:trPr>
        <w:tc>
          <w:tcPr>
            <w:tcW w:w="4800" w:type="dxa"/>
            <w:vAlign w:val="bottom"/>
          </w:tcPr>
          <w:p>
            <w:pPr>
              <w:ind w:left="220"/>
              <w:spacing w:after="0" w:line="146" w:lineRule="exact"/>
              <w:rPr>
                <w:sz w:val="20"/>
                <w:szCs w:val="20"/>
                <w:color w:val="auto"/>
              </w:rPr>
            </w:pPr>
            <w:r>
              <w:rPr>
                <w:rFonts w:ascii="Arial" w:cs="Arial" w:eastAsia="Arial" w:hAnsi="Arial"/>
                <w:sz w:val="13"/>
                <w:szCs w:val="13"/>
                <w:color w:val="auto"/>
              </w:rPr>
              <w:t>Willow Grove, PA 19090</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line="146" w:lineRule="exact"/>
              <w:rPr>
                <w:sz w:val="20"/>
                <w:szCs w:val="20"/>
                <w:color w:val="auto"/>
              </w:rPr>
            </w:pPr>
            <w:r>
              <w:rPr>
                <w:rFonts w:ascii="Arial" w:cs="Arial" w:eastAsia="Arial" w:hAnsi="Arial"/>
                <w:sz w:val="13"/>
                <w:szCs w:val="13"/>
                <w:color w:val="auto"/>
              </w:rPr>
              <w:t>Marshalls</w:t>
            </w:r>
          </w:p>
        </w:tc>
      </w:tr>
      <w:tr>
        <w:trPr>
          <w:trHeight w:val="154"/>
        </w:trPr>
        <w:tc>
          <w:tcPr>
            <w:tcW w:w="4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Toys R Us</w:t>
            </w:r>
          </w:p>
        </w:tc>
      </w:tr>
      <w:tr>
        <w:trPr>
          <w:trHeight w:val="137"/>
        </w:trPr>
        <w:tc>
          <w:tcPr>
            <w:tcW w:w="48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The Shops at Willow Lawn</w:t>
            </w:r>
          </w:p>
        </w:tc>
        <w:tc>
          <w:tcPr>
            <w:tcW w:w="114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1957</w:t>
            </w:r>
          </w:p>
        </w:tc>
        <w:tc>
          <w:tcPr>
            <w:tcW w:w="110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1983</w:t>
            </w:r>
          </w:p>
        </w:tc>
        <w:tc>
          <w:tcPr>
            <w:tcW w:w="138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3"/>
              </w:rPr>
              <w:t>467,000</w:t>
            </w:r>
          </w:p>
        </w:tc>
        <w:tc>
          <w:tcPr>
            <w:tcW w:w="118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2"/>
              </w:rPr>
              <w:t>89%</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Kroger</w:t>
            </w:r>
          </w:p>
        </w:tc>
      </w:tr>
      <w:tr>
        <w:trPr>
          <w:trHeight w:val="146"/>
        </w:trPr>
        <w:tc>
          <w:tcPr>
            <w:tcW w:w="48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Richmond, VA 23230</w:t>
            </w: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Old Navy</w:t>
            </w:r>
          </w:p>
        </w:tc>
      </w:tr>
      <w:tr>
        <w:trPr>
          <w:trHeight w:val="154"/>
        </w:trPr>
        <w:tc>
          <w:tcPr>
            <w:tcW w:w="4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Staples</w:t>
            </w:r>
          </w:p>
        </w:tc>
      </w:tr>
      <w:tr>
        <w:trPr>
          <w:trHeight w:val="137"/>
        </w:trPr>
        <w:tc>
          <w:tcPr>
            <w:tcW w:w="4800" w:type="dxa"/>
            <w:vAlign w:val="bottom"/>
          </w:tcPr>
          <w:p>
            <w:pPr>
              <w:spacing w:after="0" w:line="137" w:lineRule="exact"/>
              <w:rPr>
                <w:sz w:val="20"/>
                <w:szCs w:val="20"/>
                <w:color w:val="auto"/>
              </w:rPr>
            </w:pPr>
            <w:r>
              <w:rPr>
                <w:rFonts w:ascii="Arial" w:cs="Arial" w:eastAsia="Arial" w:hAnsi="Arial"/>
                <w:sz w:val="13"/>
                <w:szCs w:val="13"/>
                <w:color w:val="auto"/>
              </w:rPr>
              <w:t>Wynnewood</w:t>
            </w:r>
          </w:p>
        </w:tc>
        <w:tc>
          <w:tcPr>
            <w:tcW w:w="114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1948</w:t>
            </w:r>
          </w:p>
        </w:tc>
        <w:tc>
          <w:tcPr>
            <w:tcW w:w="11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1996</w:t>
            </w:r>
          </w:p>
        </w:tc>
        <w:tc>
          <w:tcPr>
            <w:tcW w:w="13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3"/>
              </w:rPr>
              <w:t>255,000</w:t>
            </w:r>
          </w:p>
        </w:tc>
        <w:tc>
          <w:tcPr>
            <w:tcW w:w="118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2"/>
              </w:rPr>
              <w:t>98%</w:t>
            </w:r>
          </w:p>
        </w:tc>
        <w:tc>
          <w:tcPr>
            <w:tcW w:w="440" w:type="dxa"/>
            <w:vAlign w:val="bottom"/>
          </w:tcPr>
          <w:p>
            <w:pPr>
              <w:spacing w:after="0"/>
              <w:rPr>
                <w:sz w:val="11"/>
                <w:szCs w:val="11"/>
                <w:color w:val="auto"/>
              </w:rPr>
            </w:pPr>
          </w:p>
        </w:tc>
        <w:tc>
          <w:tcPr>
            <w:tcW w:w="1380" w:type="dxa"/>
            <w:vAlign w:val="bottom"/>
          </w:tcPr>
          <w:p>
            <w:pPr>
              <w:spacing w:after="0" w:line="137" w:lineRule="exact"/>
              <w:rPr>
                <w:sz w:val="20"/>
                <w:szCs w:val="20"/>
                <w:color w:val="auto"/>
              </w:rPr>
            </w:pPr>
            <w:r>
              <w:rPr>
                <w:rFonts w:ascii="Arial" w:cs="Arial" w:eastAsia="Arial" w:hAnsi="Arial"/>
                <w:sz w:val="13"/>
                <w:szCs w:val="13"/>
                <w:color w:val="auto"/>
              </w:rPr>
              <w:t>Bed, Bath &amp; Beyond</w:t>
            </w:r>
          </w:p>
        </w:tc>
      </w:tr>
      <w:tr>
        <w:trPr>
          <w:trHeight w:val="146"/>
        </w:trPr>
        <w:tc>
          <w:tcPr>
            <w:tcW w:w="4800" w:type="dxa"/>
            <w:vAlign w:val="bottom"/>
          </w:tcPr>
          <w:p>
            <w:pPr>
              <w:ind w:left="220"/>
              <w:spacing w:after="0" w:line="146" w:lineRule="exact"/>
              <w:rPr>
                <w:sz w:val="20"/>
                <w:szCs w:val="20"/>
                <w:color w:val="auto"/>
              </w:rPr>
            </w:pPr>
            <w:r>
              <w:rPr>
                <w:rFonts w:ascii="Arial" w:cs="Arial" w:eastAsia="Arial" w:hAnsi="Arial"/>
                <w:sz w:val="13"/>
                <w:szCs w:val="13"/>
                <w:color w:val="auto"/>
              </w:rPr>
              <w:t>Wynnewood, PA 19096</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line="146" w:lineRule="exact"/>
              <w:rPr>
                <w:sz w:val="20"/>
                <w:szCs w:val="20"/>
                <w:color w:val="auto"/>
              </w:rPr>
            </w:pPr>
            <w:r>
              <w:rPr>
                <w:rFonts w:ascii="Arial" w:cs="Arial" w:eastAsia="Arial" w:hAnsi="Arial"/>
                <w:sz w:val="13"/>
                <w:szCs w:val="13"/>
                <w:color w:val="auto"/>
              </w:rPr>
              <w:t>Borders Books</w:t>
            </w:r>
          </w:p>
        </w:tc>
      </w:tr>
      <w:tr>
        <w:trPr>
          <w:trHeight w:val="146"/>
        </w:trPr>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line="146" w:lineRule="exact"/>
              <w:rPr>
                <w:sz w:val="20"/>
                <w:szCs w:val="20"/>
                <w:color w:val="auto"/>
              </w:rPr>
            </w:pPr>
            <w:r>
              <w:rPr>
                <w:rFonts w:ascii="Arial" w:cs="Arial" w:eastAsia="Arial" w:hAnsi="Arial"/>
                <w:sz w:val="13"/>
                <w:szCs w:val="13"/>
                <w:color w:val="auto"/>
              </w:rPr>
              <w:t>Genuardi’s</w:t>
            </w:r>
          </w:p>
        </w:tc>
      </w:tr>
      <w:tr>
        <w:trPr>
          <w:trHeight w:val="154"/>
        </w:trPr>
        <w:tc>
          <w:tcPr>
            <w:tcW w:w="4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Old Navy</w:t>
            </w: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East Region—Retail</w:t>
            </w:r>
          </w:p>
        </w:tc>
        <w:tc>
          <w:tcPr>
            <w:tcW w:w="26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4"/>
              <w:spacing w:after="0"/>
              <w:rPr>
                <w:sz w:val="20"/>
                <w:szCs w:val="20"/>
                <w:color w:val="auto"/>
              </w:rPr>
            </w:pPr>
            <w:r>
              <w:rPr>
                <w:rFonts w:ascii="Arial" w:cs="Arial" w:eastAsia="Arial" w:hAnsi="Arial"/>
                <w:sz w:val="13"/>
                <w:szCs w:val="13"/>
                <w:b w:val="1"/>
                <w:bCs w:val="1"/>
                <w:color w:val="auto"/>
                <w:w w:val="92"/>
              </w:rPr>
              <w:t>16,195,000</w:t>
            </w:r>
          </w:p>
        </w:tc>
        <w:tc>
          <w:tcPr>
            <w:tcW w:w="1060" w:type="dxa"/>
            <w:vAlign w:val="bottom"/>
            <w:shd w:val="clear" w:color="auto" w:fill="CCEEFF"/>
          </w:tcPr>
          <w:p>
            <w:pPr>
              <w:jc w:val="center"/>
              <w:ind w:left="14"/>
              <w:spacing w:after="0"/>
              <w:rPr>
                <w:sz w:val="20"/>
                <w:szCs w:val="20"/>
                <w:color w:val="auto"/>
              </w:rPr>
            </w:pPr>
            <w:r>
              <w:rPr>
                <w:rFonts w:ascii="Arial" w:cs="Arial" w:eastAsia="Arial" w:hAnsi="Arial"/>
                <w:sz w:val="13"/>
                <w:szCs w:val="13"/>
                <w:b w:val="1"/>
                <w:bCs w:val="1"/>
                <w:color w:val="auto"/>
                <w:w w:val="99"/>
              </w:rPr>
              <w:t>97%</w:t>
            </w:r>
          </w:p>
        </w:tc>
        <w:tc>
          <w:tcPr>
            <w:tcW w:w="1700" w:type="dxa"/>
            <w:vAlign w:val="bottom"/>
            <w:shd w:val="clear" w:color="auto" w:fill="CCEEFF"/>
          </w:tcPr>
          <w:p>
            <w:pPr>
              <w:spacing w:after="0"/>
              <w:rPr>
                <w:sz w:val="13"/>
                <w:szCs w:val="13"/>
                <w:color w:val="auto"/>
              </w:rPr>
            </w:pPr>
          </w:p>
        </w:tc>
      </w:tr>
      <w:tr>
        <w:trPr>
          <w:trHeight w:val="170"/>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Total East Region—Residential</w:t>
            </w: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Arial" w:cs="Arial" w:eastAsia="Arial" w:hAnsi="Arial"/>
                <w:sz w:val="13"/>
                <w:szCs w:val="13"/>
                <w:b w:val="1"/>
                <w:bCs w:val="1"/>
                <w:color w:val="auto"/>
              </w:rPr>
              <w:t>428 units</w:t>
            </w:r>
          </w:p>
        </w:tc>
        <w:tc>
          <w:tcPr>
            <w:tcW w:w="1060" w:type="dxa"/>
            <w:vAlign w:val="bottom"/>
          </w:tcPr>
          <w:p>
            <w:pPr>
              <w:jc w:val="center"/>
              <w:ind w:left="14"/>
              <w:spacing w:after="0"/>
              <w:rPr>
                <w:sz w:val="20"/>
                <w:szCs w:val="20"/>
                <w:color w:val="auto"/>
              </w:rPr>
            </w:pPr>
            <w:r>
              <w:rPr>
                <w:rFonts w:ascii="Arial" w:cs="Arial" w:eastAsia="Arial" w:hAnsi="Arial"/>
                <w:sz w:val="13"/>
                <w:szCs w:val="13"/>
                <w:b w:val="1"/>
                <w:bCs w:val="1"/>
                <w:color w:val="auto"/>
                <w:w w:val="99"/>
              </w:rPr>
              <w:t>95%</w:t>
            </w:r>
          </w:p>
        </w:tc>
        <w:tc>
          <w:tcPr>
            <w:tcW w:w="1700" w:type="dxa"/>
            <w:vAlign w:val="bottom"/>
          </w:tcPr>
          <w:p>
            <w:pPr>
              <w:spacing w:after="0"/>
              <w:rPr>
                <w:sz w:val="14"/>
                <w:szCs w:val="14"/>
                <w:color w:val="auto"/>
              </w:rPr>
            </w:pPr>
          </w:p>
        </w:tc>
      </w:tr>
      <w:tr>
        <w:trPr>
          <w:trHeight w:val="82"/>
        </w:trPr>
        <w:tc>
          <w:tcPr>
            <w:tcW w:w="9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32"/>
        </w:trPr>
        <w:tc>
          <w:tcPr>
            <w:tcW w:w="96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WEST REGION</w:t>
            </w:r>
          </w:p>
        </w:tc>
        <w:tc>
          <w:tcPr>
            <w:tcW w:w="2580" w:type="dxa"/>
            <w:vAlign w:val="bottom"/>
            <w:tcBorders>
              <w:bottom w:val="single" w:sz="8" w:color="CCEEFF"/>
            </w:tcBorders>
            <w:shd w:val="clear" w:color="auto" w:fill="CCEEFF"/>
          </w:tcPr>
          <w:p>
            <w:pPr>
              <w:spacing w:after="0"/>
              <w:rPr>
                <w:sz w:val="11"/>
                <w:szCs w:val="11"/>
                <w:color w:val="auto"/>
              </w:rPr>
            </w:pPr>
          </w:p>
        </w:tc>
        <w:tc>
          <w:tcPr>
            <w:tcW w:w="26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r>
      <w:tr>
        <w:trPr>
          <w:trHeight w:val="130"/>
        </w:trPr>
        <w:tc>
          <w:tcPr>
            <w:tcW w:w="3540" w:type="dxa"/>
            <w:vAlign w:val="bottom"/>
            <w:gridSpan w:val="2"/>
          </w:tcPr>
          <w:p>
            <w:pPr>
              <w:spacing w:after="0" w:line="130" w:lineRule="exact"/>
              <w:rPr>
                <w:sz w:val="20"/>
                <w:szCs w:val="20"/>
                <w:color w:val="auto"/>
              </w:rPr>
            </w:pPr>
            <w:r>
              <w:rPr>
                <w:rFonts w:ascii="Arial" w:cs="Arial" w:eastAsia="Arial" w:hAnsi="Arial"/>
                <w:sz w:val="13"/>
                <w:szCs w:val="13"/>
                <w:color w:val="auto"/>
              </w:rPr>
              <w:t>Colorado Blvd</w:t>
            </w:r>
          </w:p>
        </w:tc>
        <w:tc>
          <w:tcPr>
            <w:tcW w:w="2620" w:type="dxa"/>
            <w:vAlign w:val="bottom"/>
          </w:tcPr>
          <w:p>
            <w:pPr>
              <w:jc w:val="center"/>
              <w:ind w:left="1412"/>
              <w:spacing w:after="0" w:line="130" w:lineRule="exact"/>
              <w:rPr>
                <w:sz w:val="20"/>
                <w:szCs w:val="20"/>
                <w:color w:val="auto"/>
              </w:rPr>
            </w:pPr>
            <w:r>
              <w:rPr>
                <w:rFonts w:ascii="Arial" w:cs="Arial" w:eastAsia="Arial" w:hAnsi="Arial"/>
                <w:sz w:val="13"/>
                <w:szCs w:val="13"/>
                <w:color w:val="auto"/>
                <w:w w:val="89"/>
              </w:rPr>
              <w:t>1922</w:t>
            </w:r>
          </w:p>
        </w:tc>
        <w:tc>
          <w:tcPr>
            <w:tcW w:w="1180" w:type="dxa"/>
            <w:vAlign w:val="bottom"/>
          </w:tcPr>
          <w:p>
            <w:pPr>
              <w:jc w:val="center"/>
              <w:ind w:right="14"/>
              <w:spacing w:after="0" w:line="130" w:lineRule="exact"/>
              <w:rPr>
                <w:sz w:val="20"/>
                <w:szCs w:val="20"/>
                <w:color w:val="auto"/>
              </w:rPr>
            </w:pPr>
            <w:r>
              <w:rPr>
                <w:rFonts w:ascii="Arial" w:cs="Arial" w:eastAsia="Arial" w:hAnsi="Arial"/>
                <w:sz w:val="13"/>
                <w:szCs w:val="13"/>
                <w:color w:val="auto"/>
                <w:w w:val="93"/>
              </w:rPr>
              <w:t>1996-1998</w:t>
            </w:r>
          </w:p>
        </w:tc>
        <w:tc>
          <w:tcPr>
            <w:tcW w:w="1320" w:type="dxa"/>
            <w:vAlign w:val="bottom"/>
          </w:tcPr>
          <w:p>
            <w:pPr>
              <w:jc w:val="center"/>
              <w:ind w:right="14"/>
              <w:spacing w:after="0" w:line="130" w:lineRule="exact"/>
              <w:rPr>
                <w:sz w:val="20"/>
                <w:szCs w:val="20"/>
                <w:color w:val="auto"/>
              </w:rPr>
            </w:pPr>
            <w:r>
              <w:rPr>
                <w:rFonts w:ascii="Arial" w:cs="Arial" w:eastAsia="Arial" w:hAnsi="Arial"/>
                <w:sz w:val="13"/>
                <w:szCs w:val="13"/>
                <w:color w:val="auto"/>
                <w:w w:val="90"/>
              </w:rPr>
              <w:t>69,000</w:t>
            </w:r>
          </w:p>
        </w:tc>
        <w:tc>
          <w:tcPr>
            <w:tcW w:w="1060" w:type="dxa"/>
            <w:vAlign w:val="bottom"/>
          </w:tcPr>
          <w:p>
            <w:pPr>
              <w:jc w:val="center"/>
              <w:ind w:left="34"/>
              <w:spacing w:after="0" w:line="130" w:lineRule="exact"/>
              <w:rPr>
                <w:sz w:val="20"/>
                <w:szCs w:val="20"/>
                <w:color w:val="auto"/>
              </w:rPr>
            </w:pPr>
            <w:r>
              <w:rPr>
                <w:rFonts w:ascii="Arial" w:cs="Arial" w:eastAsia="Arial" w:hAnsi="Arial"/>
                <w:sz w:val="13"/>
                <w:szCs w:val="13"/>
                <w:color w:val="auto"/>
                <w:w w:val="96"/>
              </w:rPr>
              <w:t>100%</w:t>
            </w:r>
          </w:p>
        </w:tc>
        <w:tc>
          <w:tcPr>
            <w:tcW w:w="1700" w:type="dxa"/>
            <w:vAlign w:val="bottom"/>
          </w:tcPr>
          <w:p>
            <w:pPr>
              <w:ind w:left="320"/>
              <w:spacing w:after="0" w:line="130" w:lineRule="exact"/>
              <w:rPr>
                <w:sz w:val="20"/>
                <w:szCs w:val="20"/>
                <w:color w:val="auto"/>
              </w:rPr>
            </w:pPr>
            <w:r>
              <w:rPr>
                <w:rFonts w:ascii="Arial" w:cs="Arial" w:eastAsia="Arial" w:hAnsi="Arial"/>
                <w:sz w:val="13"/>
                <w:szCs w:val="13"/>
                <w:color w:val="auto"/>
              </w:rPr>
              <w:t>Pottery Barn</w:t>
            </w:r>
          </w:p>
        </w:tc>
      </w:tr>
      <w:tr>
        <w:trPr>
          <w:trHeight w:val="167"/>
        </w:trPr>
        <w:tc>
          <w:tcPr>
            <w:tcW w:w="3540" w:type="dxa"/>
            <w:vAlign w:val="bottom"/>
            <w:gridSpan w:val="2"/>
          </w:tcPr>
          <w:p>
            <w:pPr>
              <w:ind w:left="220"/>
              <w:spacing w:after="0"/>
              <w:rPr>
                <w:sz w:val="20"/>
                <w:szCs w:val="20"/>
                <w:color w:val="auto"/>
              </w:rPr>
            </w:pPr>
            <w:r>
              <w:rPr>
                <w:rFonts w:ascii="Arial" w:cs="Arial" w:eastAsia="Arial" w:hAnsi="Arial"/>
                <w:sz w:val="13"/>
                <w:szCs w:val="13"/>
                <w:color w:val="auto"/>
              </w:rPr>
              <w:t>Pasadena, CA</w:t>
            </w: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ind w:left="320"/>
              <w:spacing w:after="0"/>
              <w:rPr>
                <w:sz w:val="20"/>
                <w:szCs w:val="20"/>
                <w:color w:val="auto"/>
              </w:rPr>
            </w:pPr>
            <w:r>
              <w:rPr>
                <w:rFonts w:ascii="Arial" w:cs="Arial" w:eastAsia="Arial" w:hAnsi="Arial"/>
                <w:sz w:val="13"/>
                <w:szCs w:val="13"/>
                <w:color w:val="auto"/>
              </w:rPr>
              <w:t>Banana Republic</w:t>
            </w:r>
          </w:p>
        </w:tc>
      </w:tr>
      <w:tr>
        <w:trPr>
          <w:trHeight w:val="138"/>
        </w:trPr>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Crow Canyon Commons</w:t>
            </w:r>
          </w:p>
        </w:tc>
        <w:tc>
          <w:tcPr>
            <w:tcW w:w="2620" w:type="dxa"/>
            <w:vAlign w:val="bottom"/>
            <w:shd w:val="clear" w:color="auto" w:fill="CCEEFF"/>
          </w:tcPr>
          <w:p>
            <w:pPr>
              <w:jc w:val="center"/>
              <w:ind w:left="1412"/>
              <w:spacing w:after="0" w:line="138" w:lineRule="exact"/>
              <w:rPr>
                <w:sz w:val="20"/>
                <w:szCs w:val="20"/>
                <w:color w:val="auto"/>
              </w:rPr>
            </w:pPr>
            <w:r>
              <w:rPr>
                <w:rFonts w:ascii="Arial" w:cs="Arial" w:eastAsia="Arial" w:hAnsi="Arial"/>
                <w:sz w:val="13"/>
                <w:szCs w:val="13"/>
                <w:color w:val="auto"/>
                <w:w w:val="89"/>
              </w:rPr>
              <w:t>1980</w:t>
            </w:r>
          </w:p>
        </w:tc>
        <w:tc>
          <w:tcPr>
            <w:tcW w:w="118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89"/>
              </w:rPr>
              <w:t>2005</w:t>
            </w:r>
          </w:p>
        </w:tc>
        <w:tc>
          <w:tcPr>
            <w:tcW w:w="132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93"/>
              </w:rPr>
              <w:t>225,000</w:t>
            </w:r>
          </w:p>
        </w:tc>
        <w:tc>
          <w:tcPr>
            <w:tcW w:w="1060" w:type="dxa"/>
            <w:vAlign w:val="bottom"/>
            <w:shd w:val="clear" w:color="auto" w:fill="CCEEFF"/>
          </w:tcPr>
          <w:p>
            <w:pPr>
              <w:jc w:val="center"/>
              <w:ind w:left="34"/>
              <w:spacing w:after="0" w:line="138" w:lineRule="exact"/>
              <w:rPr>
                <w:sz w:val="20"/>
                <w:szCs w:val="20"/>
                <w:color w:val="auto"/>
              </w:rPr>
            </w:pPr>
            <w:r>
              <w:rPr>
                <w:rFonts w:ascii="Arial" w:cs="Arial" w:eastAsia="Arial" w:hAnsi="Arial"/>
                <w:sz w:val="13"/>
                <w:szCs w:val="13"/>
                <w:color w:val="auto"/>
                <w:w w:val="92"/>
              </w:rPr>
              <w:t>96%</w:t>
            </w:r>
          </w:p>
        </w:tc>
        <w:tc>
          <w:tcPr>
            <w:tcW w:w="17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Albertson’s</w:t>
            </w:r>
          </w:p>
        </w:tc>
      </w:tr>
      <w:tr>
        <w:trPr>
          <w:trHeight w:val="146"/>
        </w:trPr>
        <w:tc>
          <w:tcPr>
            <w:tcW w:w="3540" w:type="dxa"/>
            <w:vAlign w:val="bottom"/>
            <w:gridSpan w:val="2"/>
            <w:shd w:val="clear" w:color="auto" w:fill="CCEEFF"/>
          </w:tcPr>
          <w:p>
            <w:pPr>
              <w:ind w:left="220"/>
              <w:spacing w:after="0" w:line="146" w:lineRule="exact"/>
              <w:rPr>
                <w:sz w:val="20"/>
                <w:szCs w:val="20"/>
                <w:color w:val="auto"/>
              </w:rPr>
            </w:pPr>
            <w:r>
              <w:rPr>
                <w:rFonts w:ascii="Arial" w:cs="Arial" w:eastAsia="Arial" w:hAnsi="Arial"/>
                <w:sz w:val="13"/>
                <w:szCs w:val="13"/>
                <w:color w:val="auto"/>
              </w:rPr>
              <w:t>San Ramon, CA(3)</w:t>
            </w:r>
          </w:p>
        </w:tc>
        <w:tc>
          <w:tcPr>
            <w:tcW w:w="2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700" w:type="dxa"/>
            <w:vAlign w:val="bottom"/>
            <w:shd w:val="clear" w:color="auto" w:fill="CCEEFF"/>
          </w:tcPr>
          <w:p>
            <w:pPr>
              <w:ind w:left="320"/>
              <w:spacing w:after="0" w:line="146" w:lineRule="exact"/>
              <w:rPr>
                <w:sz w:val="20"/>
                <w:szCs w:val="20"/>
                <w:color w:val="auto"/>
              </w:rPr>
            </w:pPr>
            <w:r>
              <w:rPr>
                <w:rFonts w:ascii="Arial" w:cs="Arial" w:eastAsia="Arial" w:hAnsi="Arial"/>
                <w:sz w:val="13"/>
                <w:szCs w:val="13"/>
                <w:color w:val="auto"/>
              </w:rPr>
              <w:t>Loehmann’s</w:t>
            </w:r>
          </w:p>
        </w:tc>
      </w:tr>
      <w:tr>
        <w:trPr>
          <w:trHeight w:val="154"/>
        </w:trPr>
        <w:tc>
          <w:tcPr>
            <w:tcW w:w="96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Rite Aid</w:t>
            </w:r>
          </w:p>
        </w:tc>
      </w:tr>
      <w:tr>
        <w:trPr>
          <w:trHeight w:val="137"/>
        </w:trPr>
        <w:tc>
          <w:tcPr>
            <w:tcW w:w="3540" w:type="dxa"/>
            <w:vAlign w:val="bottom"/>
            <w:gridSpan w:val="2"/>
          </w:tcPr>
          <w:p>
            <w:pPr>
              <w:spacing w:after="0" w:line="137" w:lineRule="exact"/>
              <w:rPr>
                <w:sz w:val="20"/>
                <w:szCs w:val="20"/>
                <w:color w:val="auto"/>
              </w:rPr>
            </w:pPr>
            <w:r>
              <w:rPr>
                <w:rFonts w:ascii="Arial" w:cs="Arial" w:eastAsia="Arial" w:hAnsi="Arial"/>
                <w:sz w:val="13"/>
                <w:szCs w:val="13"/>
                <w:color w:val="auto"/>
              </w:rPr>
              <w:t>Escondido Promenade</w:t>
            </w:r>
          </w:p>
        </w:tc>
        <w:tc>
          <w:tcPr>
            <w:tcW w:w="2620" w:type="dxa"/>
            <w:vAlign w:val="bottom"/>
          </w:tcPr>
          <w:p>
            <w:pPr>
              <w:jc w:val="center"/>
              <w:ind w:left="1412"/>
              <w:spacing w:after="0" w:line="137" w:lineRule="exact"/>
              <w:rPr>
                <w:sz w:val="20"/>
                <w:szCs w:val="20"/>
                <w:color w:val="auto"/>
              </w:rPr>
            </w:pPr>
            <w:r>
              <w:rPr>
                <w:rFonts w:ascii="Arial" w:cs="Arial" w:eastAsia="Arial" w:hAnsi="Arial"/>
                <w:sz w:val="13"/>
                <w:szCs w:val="13"/>
                <w:color w:val="auto"/>
                <w:w w:val="89"/>
              </w:rPr>
              <w:t>1987</w:t>
            </w:r>
          </w:p>
        </w:tc>
        <w:tc>
          <w:tcPr>
            <w:tcW w:w="118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89"/>
              </w:rPr>
              <w:t>1996</w:t>
            </w:r>
          </w:p>
        </w:tc>
        <w:tc>
          <w:tcPr>
            <w:tcW w:w="132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93"/>
              </w:rPr>
              <w:t>222,000</w:t>
            </w:r>
          </w:p>
        </w:tc>
        <w:tc>
          <w:tcPr>
            <w:tcW w:w="1060" w:type="dxa"/>
            <w:vAlign w:val="bottom"/>
          </w:tcPr>
          <w:p>
            <w:pPr>
              <w:jc w:val="center"/>
              <w:ind w:left="34"/>
              <w:spacing w:after="0" w:line="137" w:lineRule="exact"/>
              <w:rPr>
                <w:sz w:val="20"/>
                <w:szCs w:val="20"/>
                <w:color w:val="auto"/>
              </w:rPr>
            </w:pPr>
            <w:r>
              <w:rPr>
                <w:rFonts w:ascii="Arial" w:cs="Arial" w:eastAsia="Arial" w:hAnsi="Arial"/>
                <w:sz w:val="13"/>
                <w:szCs w:val="13"/>
                <w:color w:val="auto"/>
                <w:w w:val="92"/>
              </w:rPr>
              <w:t>98%</w:t>
            </w:r>
          </w:p>
        </w:tc>
        <w:tc>
          <w:tcPr>
            <w:tcW w:w="1700" w:type="dxa"/>
            <w:vAlign w:val="bottom"/>
          </w:tcPr>
          <w:p>
            <w:pPr>
              <w:ind w:left="320"/>
              <w:spacing w:after="0" w:line="137" w:lineRule="exact"/>
              <w:rPr>
                <w:sz w:val="20"/>
                <w:szCs w:val="20"/>
                <w:color w:val="auto"/>
              </w:rPr>
            </w:pPr>
            <w:r>
              <w:rPr>
                <w:rFonts w:ascii="Arial" w:cs="Arial" w:eastAsia="Arial" w:hAnsi="Arial"/>
                <w:sz w:val="13"/>
                <w:szCs w:val="13"/>
                <w:color w:val="auto"/>
              </w:rPr>
              <w:t>Toys R Us</w:t>
            </w:r>
          </w:p>
        </w:tc>
      </w:tr>
      <w:tr>
        <w:trPr>
          <w:trHeight w:val="146"/>
        </w:trPr>
        <w:tc>
          <w:tcPr>
            <w:tcW w:w="3540" w:type="dxa"/>
            <w:vAlign w:val="bottom"/>
            <w:gridSpan w:val="2"/>
          </w:tcPr>
          <w:p>
            <w:pPr>
              <w:ind w:left="220"/>
              <w:spacing w:after="0" w:line="146" w:lineRule="exact"/>
              <w:rPr>
                <w:sz w:val="20"/>
                <w:szCs w:val="20"/>
                <w:color w:val="auto"/>
              </w:rPr>
            </w:pPr>
            <w:r>
              <w:rPr>
                <w:rFonts w:ascii="Arial" w:cs="Arial" w:eastAsia="Arial" w:hAnsi="Arial"/>
                <w:sz w:val="13"/>
                <w:szCs w:val="13"/>
                <w:color w:val="auto"/>
              </w:rPr>
              <w:t>Escondido, CA 92029(8)</w:t>
            </w:r>
          </w:p>
        </w:tc>
        <w:tc>
          <w:tcPr>
            <w:tcW w:w="2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ind w:left="320"/>
              <w:spacing w:after="0" w:line="146" w:lineRule="exact"/>
              <w:rPr>
                <w:sz w:val="20"/>
                <w:szCs w:val="20"/>
                <w:color w:val="auto"/>
              </w:rPr>
            </w:pPr>
            <w:r>
              <w:rPr>
                <w:rFonts w:ascii="Arial" w:cs="Arial" w:eastAsia="Arial" w:hAnsi="Arial"/>
                <w:sz w:val="13"/>
                <w:szCs w:val="13"/>
                <w:color w:val="auto"/>
              </w:rPr>
              <w:t>TJ Maxx</w:t>
            </w:r>
          </w:p>
        </w:tc>
      </w:tr>
      <w:tr>
        <w:trPr>
          <w:trHeight w:val="154"/>
        </w:trPr>
        <w:tc>
          <w:tcPr>
            <w:tcW w:w="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00" w:type="dxa"/>
            <w:vAlign w:val="bottom"/>
          </w:tcPr>
          <w:p>
            <w:pPr>
              <w:ind w:left="320"/>
              <w:spacing w:after="0"/>
              <w:rPr>
                <w:sz w:val="20"/>
                <w:szCs w:val="20"/>
                <w:color w:val="auto"/>
              </w:rPr>
            </w:pPr>
            <w:r>
              <w:rPr>
                <w:rFonts w:ascii="Arial" w:cs="Arial" w:eastAsia="Arial" w:hAnsi="Arial"/>
                <w:sz w:val="13"/>
                <w:szCs w:val="13"/>
                <w:color w:val="auto"/>
              </w:rPr>
              <w:t>Cost Plus</w:t>
            </w:r>
          </w:p>
        </w:tc>
      </w:tr>
      <w:tr>
        <w:trPr>
          <w:trHeight w:val="137"/>
        </w:trPr>
        <w:tc>
          <w:tcPr>
            <w:tcW w:w="354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rPr>
              <w:t>Fifth Avenue</w:t>
            </w:r>
          </w:p>
        </w:tc>
        <w:tc>
          <w:tcPr>
            <w:tcW w:w="2620" w:type="dxa"/>
            <w:vAlign w:val="bottom"/>
            <w:shd w:val="clear" w:color="auto" w:fill="CCEEFF"/>
          </w:tcPr>
          <w:p>
            <w:pPr>
              <w:jc w:val="center"/>
              <w:ind w:left="1412"/>
              <w:spacing w:after="0" w:line="137" w:lineRule="exact"/>
              <w:rPr>
                <w:sz w:val="20"/>
                <w:szCs w:val="20"/>
                <w:color w:val="auto"/>
              </w:rPr>
            </w:pPr>
            <w:r>
              <w:rPr>
                <w:rFonts w:ascii="Arial" w:cs="Arial" w:eastAsia="Arial" w:hAnsi="Arial"/>
                <w:sz w:val="13"/>
                <w:szCs w:val="13"/>
                <w:color w:val="auto"/>
                <w:w w:val="93"/>
              </w:rPr>
              <w:t>1888-1995</w:t>
            </w:r>
          </w:p>
        </w:tc>
        <w:tc>
          <w:tcPr>
            <w:tcW w:w="1180" w:type="dxa"/>
            <w:vAlign w:val="bottom"/>
            <w:shd w:val="clear" w:color="auto" w:fill="CCEEFF"/>
          </w:tcPr>
          <w:p>
            <w:pPr>
              <w:jc w:val="center"/>
              <w:ind w:right="14"/>
              <w:spacing w:after="0" w:line="137" w:lineRule="exact"/>
              <w:rPr>
                <w:sz w:val="20"/>
                <w:szCs w:val="20"/>
                <w:color w:val="auto"/>
              </w:rPr>
            </w:pPr>
            <w:r>
              <w:rPr>
                <w:rFonts w:ascii="Arial" w:cs="Arial" w:eastAsia="Arial" w:hAnsi="Arial"/>
                <w:sz w:val="13"/>
                <w:szCs w:val="13"/>
                <w:color w:val="auto"/>
                <w:w w:val="93"/>
              </w:rPr>
              <w:t>1996-1997</w:t>
            </w:r>
          </w:p>
        </w:tc>
        <w:tc>
          <w:tcPr>
            <w:tcW w:w="1320" w:type="dxa"/>
            <w:vAlign w:val="bottom"/>
            <w:shd w:val="clear" w:color="auto" w:fill="CCEEFF"/>
          </w:tcPr>
          <w:p>
            <w:pPr>
              <w:jc w:val="center"/>
              <w:ind w:right="14"/>
              <w:spacing w:after="0" w:line="137" w:lineRule="exact"/>
              <w:rPr>
                <w:sz w:val="20"/>
                <w:szCs w:val="20"/>
                <w:color w:val="auto"/>
              </w:rPr>
            </w:pPr>
            <w:r>
              <w:rPr>
                <w:rFonts w:ascii="Arial" w:cs="Arial" w:eastAsia="Arial" w:hAnsi="Arial"/>
                <w:sz w:val="13"/>
                <w:szCs w:val="13"/>
                <w:color w:val="auto"/>
                <w:w w:val="90"/>
              </w:rPr>
              <w:t>51,000</w:t>
            </w:r>
          </w:p>
        </w:tc>
        <w:tc>
          <w:tcPr>
            <w:tcW w:w="1060" w:type="dxa"/>
            <w:vAlign w:val="bottom"/>
            <w:shd w:val="clear" w:color="auto" w:fill="CCEEFF"/>
          </w:tcPr>
          <w:p>
            <w:pPr>
              <w:jc w:val="center"/>
              <w:ind w:left="34"/>
              <w:spacing w:after="0" w:line="137" w:lineRule="exact"/>
              <w:rPr>
                <w:sz w:val="20"/>
                <w:szCs w:val="20"/>
                <w:color w:val="auto"/>
              </w:rPr>
            </w:pPr>
            <w:r>
              <w:rPr>
                <w:rFonts w:ascii="Arial" w:cs="Arial" w:eastAsia="Arial" w:hAnsi="Arial"/>
                <w:sz w:val="13"/>
                <w:szCs w:val="13"/>
                <w:color w:val="auto"/>
                <w:w w:val="92"/>
              </w:rPr>
              <w:t>82%</w:t>
            </w:r>
          </w:p>
        </w:tc>
        <w:tc>
          <w:tcPr>
            <w:tcW w:w="1700" w:type="dxa"/>
            <w:vAlign w:val="bottom"/>
            <w:shd w:val="clear" w:color="auto" w:fill="CCEEFF"/>
          </w:tcPr>
          <w:p>
            <w:pPr>
              <w:ind w:left="320"/>
              <w:spacing w:after="0" w:line="137" w:lineRule="exact"/>
              <w:rPr>
                <w:sz w:val="20"/>
                <w:szCs w:val="20"/>
                <w:color w:val="auto"/>
              </w:rPr>
            </w:pPr>
            <w:r>
              <w:rPr>
                <w:rFonts w:ascii="Arial" w:cs="Arial" w:eastAsia="Arial" w:hAnsi="Arial"/>
                <w:sz w:val="13"/>
                <w:szCs w:val="13"/>
                <w:color w:val="auto"/>
              </w:rPr>
              <w:t>Urban Outfitters</w:t>
            </w:r>
          </w:p>
        </w:tc>
      </w:tr>
      <w:tr>
        <w:trPr>
          <w:trHeight w:val="168"/>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San Diego, CA(11)</w:t>
            </w:r>
          </w:p>
        </w:tc>
        <w:tc>
          <w:tcPr>
            <w:tcW w:w="2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137"/>
        </w:trPr>
        <w:tc>
          <w:tcPr>
            <w:tcW w:w="3540" w:type="dxa"/>
            <w:vAlign w:val="bottom"/>
            <w:gridSpan w:val="2"/>
          </w:tcPr>
          <w:p>
            <w:pPr>
              <w:spacing w:after="0" w:line="137" w:lineRule="exact"/>
              <w:rPr>
                <w:sz w:val="20"/>
                <w:szCs w:val="20"/>
                <w:color w:val="auto"/>
              </w:rPr>
            </w:pPr>
            <w:r>
              <w:rPr>
                <w:rFonts w:ascii="Arial" w:cs="Arial" w:eastAsia="Arial" w:hAnsi="Arial"/>
                <w:sz w:val="13"/>
                <w:szCs w:val="13"/>
                <w:color w:val="auto"/>
              </w:rPr>
              <w:t>Hermosa Avenue</w:t>
            </w:r>
          </w:p>
        </w:tc>
        <w:tc>
          <w:tcPr>
            <w:tcW w:w="2620" w:type="dxa"/>
            <w:vAlign w:val="bottom"/>
          </w:tcPr>
          <w:p>
            <w:pPr>
              <w:jc w:val="center"/>
              <w:ind w:left="1412"/>
              <w:spacing w:after="0" w:line="137" w:lineRule="exact"/>
              <w:rPr>
                <w:sz w:val="20"/>
                <w:szCs w:val="20"/>
                <w:color w:val="auto"/>
              </w:rPr>
            </w:pPr>
            <w:r>
              <w:rPr>
                <w:rFonts w:ascii="Arial" w:cs="Arial" w:eastAsia="Arial" w:hAnsi="Arial"/>
                <w:sz w:val="13"/>
                <w:szCs w:val="13"/>
                <w:color w:val="auto"/>
                <w:w w:val="89"/>
              </w:rPr>
              <w:t>1922</w:t>
            </w:r>
          </w:p>
        </w:tc>
        <w:tc>
          <w:tcPr>
            <w:tcW w:w="118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89"/>
              </w:rPr>
              <w:t>1997</w:t>
            </w:r>
          </w:p>
        </w:tc>
        <w:tc>
          <w:tcPr>
            <w:tcW w:w="132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90"/>
              </w:rPr>
              <w:t>23,000</w:t>
            </w:r>
          </w:p>
        </w:tc>
        <w:tc>
          <w:tcPr>
            <w:tcW w:w="1060" w:type="dxa"/>
            <w:vAlign w:val="bottom"/>
          </w:tcPr>
          <w:p>
            <w:pPr>
              <w:jc w:val="center"/>
              <w:ind w:left="34"/>
              <w:spacing w:after="0" w:line="137" w:lineRule="exact"/>
              <w:rPr>
                <w:sz w:val="20"/>
                <w:szCs w:val="20"/>
                <w:color w:val="auto"/>
              </w:rPr>
            </w:pPr>
            <w:r>
              <w:rPr>
                <w:rFonts w:ascii="Arial" w:cs="Arial" w:eastAsia="Arial" w:hAnsi="Arial"/>
                <w:sz w:val="13"/>
                <w:szCs w:val="13"/>
                <w:color w:val="auto"/>
                <w:w w:val="92"/>
              </w:rPr>
              <w:t>78%</w:t>
            </w:r>
          </w:p>
        </w:tc>
        <w:tc>
          <w:tcPr>
            <w:tcW w:w="1700" w:type="dxa"/>
            <w:vAlign w:val="bottom"/>
          </w:tcPr>
          <w:p>
            <w:pPr>
              <w:spacing w:after="0"/>
              <w:rPr>
                <w:sz w:val="11"/>
                <w:szCs w:val="11"/>
                <w:color w:val="auto"/>
              </w:rPr>
            </w:pPr>
          </w:p>
        </w:tc>
      </w:tr>
      <w:tr>
        <w:trPr>
          <w:trHeight w:val="167"/>
        </w:trPr>
        <w:tc>
          <w:tcPr>
            <w:tcW w:w="3540" w:type="dxa"/>
            <w:vAlign w:val="bottom"/>
            <w:gridSpan w:val="2"/>
          </w:tcPr>
          <w:p>
            <w:pPr>
              <w:ind w:left="220"/>
              <w:spacing w:after="0"/>
              <w:rPr>
                <w:sz w:val="20"/>
                <w:szCs w:val="20"/>
                <w:color w:val="auto"/>
              </w:rPr>
            </w:pPr>
            <w:r>
              <w:rPr>
                <w:rFonts w:ascii="Arial" w:cs="Arial" w:eastAsia="Arial" w:hAnsi="Arial"/>
                <w:sz w:val="13"/>
                <w:szCs w:val="13"/>
                <w:color w:val="auto"/>
              </w:rPr>
              <w:t>Hermosa Beach, CA(10)</w:t>
            </w: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38"/>
        </w:trPr>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Hollywood Blvd</w:t>
            </w:r>
          </w:p>
        </w:tc>
        <w:tc>
          <w:tcPr>
            <w:tcW w:w="2620" w:type="dxa"/>
            <w:vAlign w:val="bottom"/>
            <w:shd w:val="clear" w:color="auto" w:fill="CCEEFF"/>
          </w:tcPr>
          <w:p>
            <w:pPr>
              <w:jc w:val="center"/>
              <w:ind w:left="1412"/>
              <w:spacing w:after="0" w:line="138" w:lineRule="exact"/>
              <w:rPr>
                <w:sz w:val="20"/>
                <w:szCs w:val="20"/>
                <w:color w:val="auto"/>
              </w:rPr>
            </w:pPr>
            <w:r>
              <w:rPr>
                <w:rFonts w:ascii="Arial" w:cs="Arial" w:eastAsia="Arial" w:hAnsi="Arial"/>
                <w:sz w:val="13"/>
                <w:szCs w:val="13"/>
                <w:color w:val="auto"/>
                <w:w w:val="93"/>
              </w:rPr>
              <w:t>1921-1991</w:t>
            </w:r>
          </w:p>
        </w:tc>
        <w:tc>
          <w:tcPr>
            <w:tcW w:w="118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89"/>
              </w:rPr>
              <w:t>1999</w:t>
            </w:r>
          </w:p>
        </w:tc>
        <w:tc>
          <w:tcPr>
            <w:tcW w:w="132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93"/>
              </w:rPr>
              <w:t>149,000</w:t>
            </w:r>
          </w:p>
        </w:tc>
        <w:tc>
          <w:tcPr>
            <w:tcW w:w="1060" w:type="dxa"/>
            <w:vAlign w:val="bottom"/>
            <w:shd w:val="clear" w:color="auto" w:fill="CCEEFF"/>
          </w:tcPr>
          <w:p>
            <w:pPr>
              <w:jc w:val="center"/>
              <w:ind w:left="34"/>
              <w:spacing w:after="0" w:line="138" w:lineRule="exact"/>
              <w:rPr>
                <w:sz w:val="20"/>
                <w:szCs w:val="20"/>
                <w:color w:val="auto"/>
              </w:rPr>
            </w:pPr>
            <w:r>
              <w:rPr>
                <w:rFonts w:ascii="Arial" w:cs="Arial" w:eastAsia="Arial" w:hAnsi="Arial"/>
                <w:sz w:val="13"/>
                <w:szCs w:val="13"/>
                <w:color w:val="auto"/>
                <w:w w:val="92"/>
              </w:rPr>
              <w:t>72%</w:t>
            </w:r>
          </w:p>
        </w:tc>
        <w:tc>
          <w:tcPr>
            <w:tcW w:w="17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L.A. Fitness</w:t>
            </w:r>
          </w:p>
        </w:tc>
      </w:tr>
      <w:tr>
        <w:trPr>
          <w:trHeight w:val="168"/>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Hollywood, CA(10)</w:t>
            </w:r>
          </w:p>
        </w:tc>
        <w:tc>
          <w:tcPr>
            <w:tcW w:w="2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137"/>
        </w:trPr>
        <w:tc>
          <w:tcPr>
            <w:tcW w:w="3540" w:type="dxa"/>
            <w:vAlign w:val="bottom"/>
            <w:gridSpan w:val="2"/>
          </w:tcPr>
          <w:p>
            <w:pPr>
              <w:spacing w:after="0" w:line="137" w:lineRule="exact"/>
              <w:rPr>
                <w:sz w:val="20"/>
                <w:szCs w:val="20"/>
                <w:color w:val="auto"/>
              </w:rPr>
            </w:pPr>
            <w:r>
              <w:rPr>
                <w:rFonts w:ascii="Arial" w:cs="Arial" w:eastAsia="Arial" w:hAnsi="Arial"/>
                <w:sz w:val="13"/>
                <w:szCs w:val="13"/>
                <w:color w:val="auto"/>
              </w:rPr>
              <w:t>Houston Street</w:t>
            </w:r>
          </w:p>
        </w:tc>
        <w:tc>
          <w:tcPr>
            <w:tcW w:w="2620" w:type="dxa"/>
            <w:vAlign w:val="bottom"/>
          </w:tcPr>
          <w:p>
            <w:pPr>
              <w:jc w:val="center"/>
              <w:ind w:left="1412"/>
              <w:spacing w:after="0" w:line="137" w:lineRule="exact"/>
              <w:rPr>
                <w:sz w:val="20"/>
                <w:szCs w:val="20"/>
                <w:color w:val="auto"/>
              </w:rPr>
            </w:pPr>
            <w:r>
              <w:rPr>
                <w:rFonts w:ascii="Arial" w:cs="Arial" w:eastAsia="Arial" w:hAnsi="Arial"/>
                <w:sz w:val="13"/>
                <w:szCs w:val="13"/>
                <w:color w:val="auto"/>
                <w:w w:val="93"/>
              </w:rPr>
              <w:t>1890-1935</w:t>
            </w:r>
          </w:p>
        </w:tc>
        <w:tc>
          <w:tcPr>
            <w:tcW w:w="118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93"/>
              </w:rPr>
              <w:t>1998-1999</w:t>
            </w:r>
          </w:p>
        </w:tc>
        <w:tc>
          <w:tcPr>
            <w:tcW w:w="132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93"/>
              </w:rPr>
              <w:t>171,000</w:t>
            </w:r>
          </w:p>
        </w:tc>
        <w:tc>
          <w:tcPr>
            <w:tcW w:w="1060" w:type="dxa"/>
            <w:vAlign w:val="bottom"/>
          </w:tcPr>
          <w:p>
            <w:pPr>
              <w:jc w:val="center"/>
              <w:ind w:left="34"/>
              <w:spacing w:after="0" w:line="137" w:lineRule="exact"/>
              <w:rPr>
                <w:sz w:val="20"/>
                <w:szCs w:val="20"/>
                <w:color w:val="auto"/>
              </w:rPr>
            </w:pPr>
            <w:r>
              <w:rPr>
                <w:rFonts w:ascii="Arial" w:cs="Arial" w:eastAsia="Arial" w:hAnsi="Arial"/>
                <w:sz w:val="13"/>
                <w:szCs w:val="13"/>
                <w:color w:val="auto"/>
                <w:w w:val="92"/>
              </w:rPr>
              <w:t>72%</w:t>
            </w:r>
          </w:p>
        </w:tc>
        <w:tc>
          <w:tcPr>
            <w:tcW w:w="1700" w:type="dxa"/>
            <w:vAlign w:val="bottom"/>
          </w:tcPr>
          <w:p>
            <w:pPr>
              <w:ind w:left="320"/>
              <w:spacing w:after="0" w:line="137" w:lineRule="exact"/>
              <w:rPr>
                <w:sz w:val="20"/>
                <w:szCs w:val="20"/>
                <w:color w:val="auto"/>
              </w:rPr>
            </w:pPr>
            <w:r>
              <w:rPr>
                <w:rFonts w:ascii="Arial" w:cs="Arial" w:eastAsia="Arial" w:hAnsi="Arial"/>
                <w:sz w:val="13"/>
                <w:szCs w:val="13"/>
                <w:color w:val="auto"/>
              </w:rPr>
              <w:t>Hotel Valencia</w:t>
            </w:r>
          </w:p>
        </w:tc>
      </w:tr>
      <w:tr>
        <w:trPr>
          <w:trHeight w:val="167"/>
        </w:trPr>
        <w:tc>
          <w:tcPr>
            <w:tcW w:w="3540" w:type="dxa"/>
            <w:vAlign w:val="bottom"/>
            <w:gridSpan w:val="2"/>
          </w:tcPr>
          <w:p>
            <w:pPr>
              <w:ind w:left="220"/>
              <w:spacing w:after="0"/>
              <w:rPr>
                <w:sz w:val="20"/>
                <w:szCs w:val="20"/>
                <w:color w:val="auto"/>
              </w:rPr>
            </w:pPr>
            <w:r>
              <w:rPr>
                <w:rFonts w:ascii="Arial" w:cs="Arial" w:eastAsia="Arial" w:hAnsi="Arial"/>
                <w:sz w:val="13"/>
                <w:szCs w:val="13"/>
                <w:color w:val="auto"/>
              </w:rPr>
              <w:t>San Antonio, TX</w:t>
            </w: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38"/>
        </w:trPr>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King’s Court</w:t>
            </w:r>
          </w:p>
        </w:tc>
        <w:tc>
          <w:tcPr>
            <w:tcW w:w="2620" w:type="dxa"/>
            <w:vAlign w:val="bottom"/>
            <w:shd w:val="clear" w:color="auto" w:fill="CCEEFF"/>
          </w:tcPr>
          <w:p>
            <w:pPr>
              <w:jc w:val="center"/>
              <w:ind w:left="1412"/>
              <w:spacing w:after="0" w:line="138" w:lineRule="exact"/>
              <w:rPr>
                <w:sz w:val="20"/>
                <w:szCs w:val="20"/>
                <w:color w:val="auto"/>
              </w:rPr>
            </w:pPr>
            <w:r>
              <w:rPr>
                <w:rFonts w:ascii="Arial" w:cs="Arial" w:eastAsia="Arial" w:hAnsi="Arial"/>
                <w:sz w:val="13"/>
                <w:szCs w:val="13"/>
                <w:color w:val="auto"/>
                <w:w w:val="89"/>
              </w:rPr>
              <w:t>1960</w:t>
            </w:r>
          </w:p>
        </w:tc>
        <w:tc>
          <w:tcPr>
            <w:tcW w:w="118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89"/>
              </w:rPr>
              <w:t>1998</w:t>
            </w:r>
          </w:p>
        </w:tc>
        <w:tc>
          <w:tcPr>
            <w:tcW w:w="132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90"/>
              </w:rPr>
              <w:t>79,000</w:t>
            </w:r>
          </w:p>
        </w:tc>
        <w:tc>
          <w:tcPr>
            <w:tcW w:w="1060" w:type="dxa"/>
            <w:vAlign w:val="bottom"/>
            <w:shd w:val="clear" w:color="auto" w:fill="CCEEFF"/>
          </w:tcPr>
          <w:p>
            <w:pPr>
              <w:jc w:val="center"/>
              <w:ind w:left="34"/>
              <w:spacing w:after="0" w:line="138" w:lineRule="exact"/>
              <w:rPr>
                <w:sz w:val="20"/>
                <w:szCs w:val="20"/>
                <w:color w:val="auto"/>
              </w:rPr>
            </w:pPr>
            <w:r>
              <w:rPr>
                <w:rFonts w:ascii="Arial" w:cs="Arial" w:eastAsia="Arial" w:hAnsi="Arial"/>
                <w:sz w:val="13"/>
                <w:szCs w:val="13"/>
                <w:color w:val="auto"/>
                <w:w w:val="96"/>
              </w:rPr>
              <w:t>100%</w:t>
            </w:r>
          </w:p>
        </w:tc>
        <w:tc>
          <w:tcPr>
            <w:tcW w:w="17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Lunardi’s Supermarket</w:t>
            </w:r>
          </w:p>
        </w:tc>
      </w:tr>
      <w:tr>
        <w:trPr>
          <w:trHeight w:val="168"/>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Los Gatos, CA 95032(5)(6)</w:t>
            </w:r>
          </w:p>
        </w:tc>
        <w:tc>
          <w:tcPr>
            <w:tcW w:w="2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Longs Drug Store</w:t>
            </w:r>
          </w:p>
        </w:tc>
      </w:tr>
      <w:tr>
        <w:trPr>
          <w:trHeight w:val="137"/>
        </w:trPr>
        <w:tc>
          <w:tcPr>
            <w:tcW w:w="3540" w:type="dxa"/>
            <w:vAlign w:val="bottom"/>
            <w:gridSpan w:val="2"/>
          </w:tcPr>
          <w:p>
            <w:pPr>
              <w:spacing w:after="0" w:line="137" w:lineRule="exact"/>
              <w:rPr>
                <w:sz w:val="20"/>
                <w:szCs w:val="20"/>
                <w:color w:val="auto"/>
              </w:rPr>
            </w:pPr>
            <w:r>
              <w:rPr>
                <w:rFonts w:ascii="Arial" w:cs="Arial" w:eastAsia="Arial" w:hAnsi="Arial"/>
                <w:sz w:val="13"/>
                <w:szCs w:val="13"/>
                <w:color w:val="auto"/>
              </w:rPr>
              <w:t>Old Town Center</w:t>
            </w:r>
          </w:p>
        </w:tc>
        <w:tc>
          <w:tcPr>
            <w:tcW w:w="2620" w:type="dxa"/>
            <w:vAlign w:val="bottom"/>
          </w:tcPr>
          <w:p>
            <w:pPr>
              <w:jc w:val="center"/>
              <w:ind w:left="1412"/>
              <w:spacing w:after="0" w:line="137" w:lineRule="exact"/>
              <w:rPr>
                <w:sz w:val="20"/>
                <w:szCs w:val="20"/>
                <w:color w:val="auto"/>
              </w:rPr>
            </w:pPr>
            <w:r>
              <w:rPr>
                <w:rFonts w:ascii="Arial" w:cs="Arial" w:eastAsia="Arial" w:hAnsi="Arial"/>
                <w:sz w:val="13"/>
                <w:szCs w:val="13"/>
                <w:color w:val="auto"/>
                <w:w w:val="89"/>
              </w:rPr>
              <w:t>1962</w:t>
            </w:r>
          </w:p>
        </w:tc>
        <w:tc>
          <w:tcPr>
            <w:tcW w:w="118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89"/>
              </w:rPr>
              <w:t>1997</w:t>
            </w:r>
          </w:p>
        </w:tc>
        <w:tc>
          <w:tcPr>
            <w:tcW w:w="1320" w:type="dxa"/>
            <w:vAlign w:val="bottom"/>
          </w:tcPr>
          <w:p>
            <w:pPr>
              <w:jc w:val="center"/>
              <w:ind w:right="14"/>
              <w:spacing w:after="0" w:line="137" w:lineRule="exact"/>
              <w:rPr>
                <w:sz w:val="20"/>
                <w:szCs w:val="20"/>
                <w:color w:val="auto"/>
              </w:rPr>
            </w:pPr>
            <w:r>
              <w:rPr>
                <w:rFonts w:ascii="Arial" w:cs="Arial" w:eastAsia="Arial" w:hAnsi="Arial"/>
                <w:sz w:val="13"/>
                <w:szCs w:val="13"/>
                <w:color w:val="auto"/>
                <w:w w:val="90"/>
              </w:rPr>
              <w:t>94,000</w:t>
            </w:r>
          </w:p>
        </w:tc>
        <w:tc>
          <w:tcPr>
            <w:tcW w:w="1060" w:type="dxa"/>
            <w:vAlign w:val="bottom"/>
          </w:tcPr>
          <w:p>
            <w:pPr>
              <w:jc w:val="center"/>
              <w:ind w:left="34"/>
              <w:spacing w:after="0" w:line="137" w:lineRule="exact"/>
              <w:rPr>
                <w:sz w:val="20"/>
                <w:szCs w:val="20"/>
                <w:color w:val="auto"/>
              </w:rPr>
            </w:pPr>
            <w:r>
              <w:rPr>
                <w:rFonts w:ascii="Arial" w:cs="Arial" w:eastAsia="Arial" w:hAnsi="Arial"/>
                <w:sz w:val="13"/>
                <w:szCs w:val="13"/>
                <w:color w:val="auto"/>
                <w:w w:val="92"/>
              </w:rPr>
              <w:t>97%</w:t>
            </w:r>
          </w:p>
        </w:tc>
        <w:tc>
          <w:tcPr>
            <w:tcW w:w="1700" w:type="dxa"/>
            <w:vAlign w:val="bottom"/>
          </w:tcPr>
          <w:p>
            <w:pPr>
              <w:ind w:left="320"/>
              <w:spacing w:after="0" w:line="137" w:lineRule="exact"/>
              <w:rPr>
                <w:sz w:val="20"/>
                <w:szCs w:val="20"/>
                <w:color w:val="auto"/>
              </w:rPr>
            </w:pPr>
            <w:r>
              <w:rPr>
                <w:rFonts w:ascii="Arial" w:cs="Arial" w:eastAsia="Arial" w:hAnsi="Arial"/>
                <w:sz w:val="13"/>
                <w:szCs w:val="13"/>
                <w:color w:val="auto"/>
              </w:rPr>
              <w:t>Borders Books and</w:t>
            </w:r>
          </w:p>
        </w:tc>
      </w:tr>
      <w:tr>
        <w:trPr>
          <w:trHeight w:val="146"/>
        </w:trPr>
        <w:tc>
          <w:tcPr>
            <w:tcW w:w="3540" w:type="dxa"/>
            <w:vAlign w:val="bottom"/>
            <w:gridSpan w:val="2"/>
          </w:tcPr>
          <w:p>
            <w:pPr>
              <w:ind w:left="220"/>
              <w:spacing w:after="0" w:line="146" w:lineRule="exact"/>
              <w:rPr>
                <w:sz w:val="20"/>
                <w:szCs w:val="20"/>
                <w:color w:val="auto"/>
              </w:rPr>
            </w:pPr>
            <w:r>
              <w:rPr>
                <w:rFonts w:ascii="Arial" w:cs="Arial" w:eastAsia="Arial" w:hAnsi="Arial"/>
                <w:sz w:val="13"/>
                <w:szCs w:val="13"/>
                <w:color w:val="auto"/>
              </w:rPr>
              <w:t>Los Gatos, CA 95030</w:t>
            </w:r>
          </w:p>
        </w:tc>
        <w:tc>
          <w:tcPr>
            <w:tcW w:w="2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ind w:left="320"/>
              <w:spacing w:after="0" w:line="146" w:lineRule="exact"/>
              <w:rPr>
                <w:sz w:val="20"/>
                <w:szCs w:val="20"/>
                <w:color w:val="auto"/>
              </w:rPr>
            </w:pPr>
            <w:r>
              <w:rPr>
                <w:rFonts w:ascii="Arial" w:cs="Arial" w:eastAsia="Arial" w:hAnsi="Arial"/>
                <w:sz w:val="13"/>
                <w:szCs w:val="13"/>
                <w:color w:val="auto"/>
              </w:rPr>
              <w:t>Music</w:t>
            </w:r>
          </w:p>
        </w:tc>
      </w:tr>
      <w:tr>
        <w:trPr>
          <w:trHeight w:val="146"/>
        </w:trPr>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ind w:left="320"/>
              <w:spacing w:after="0" w:line="146" w:lineRule="exact"/>
              <w:rPr>
                <w:sz w:val="20"/>
                <w:szCs w:val="20"/>
                <w:color w:val="auto"/>
              </w:rPr>
            </w:pPr>
            <w:r>
              <w:rPr>
                <w:rFonts w:ascii="Arial" w:cs="Arial" w:eastAsia="Arial" w:hAnsi="Arial"/>
                <w:sz w:val="13"/>
                <w:szCs w:val="13"/>
                <w:color w:val="auto"/>
              </w:rPr>
              <w:t>Gap Kids</w:t>
            </w:r>
          </w:p>
        </w:tc>
      </w:tr>
      <w:tr>
        <w:trPr>
          <w:trHeight w:val="166"/>
        </w:trPr>
        <w:tc>
          <w:tcPr>
            <w:tcW w:w="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ind w:left="320"/>
              <w:spacing w:after="0"/>
              <w:rPr>
                <w:sz w:val="20"/>
                <w:szCs w:val="20"/>
                <w:color w:val="auto"/>
              </w:rPr>
            </w:pPr>
            <w:r>
              <w:rPr>
                <w:rFonts w:ascii="Arial" w:cs="Arial" w:eastAsia="Arial" w:hAnsi="Arial"/>
                <w:sz w:val="13"/>
                <w:szCs w:val="13"/>
                <w:color w:val="auto"/>
              </w:rPr>
              <w:t>Banana Republic</w:t>
            </w:r>
          </w:p>
        </w:tc>
      </w:tr>
      <w:tr>
        <w:trPr>
          <w:trHeight w:val="343"/>
        </w:trPr>
        <w:tc>
          <w:tcPr>
            <w:tcW w:w="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20" w:type="dxa"/>
            <w:vAlign w:val="bottom"/>
          </w:tcPr>
          <w:p>
            <w:pPr>
              <w:jc w:val="right"/>
              <w:ind w:right="292"/>
              <w:spacing w:after="0"/>
              <w:rPr>
                <w:sz w:val="20"/>
                <w:szCs w:val="20"/>
                <w:color w:val="auto"/>
              </w:rPr>
            </w:pPr>
            <w:r>
              <w:rPr>
                <w:rFonts w:ascii="Arial" w:cs="Arial" w:eastAsia="Arial" w:hAnsi="Arial"/>
                <w:sz w:val="17"/>
                <w:szCs w:val="17"/>
                <w:color w:val="auto"/>
              </w:rPr>
              <w:t>24</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Retail and Residential Properties—continued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Square Feet(1)</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Year</w:t>
            </w:r>
          </w:p>
        </w:tc>
        <w:tc>
          <w:tcPr>
            <w:tcW w:w="44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1320" w:type="dxa"/>
            <w:vAlign w:val="bottom"/>
            <w:gridSpan w:val="2"/>
          </w:tcPr>
          <w:p>
            <w:pPr>
              <w:jc w:val="center"/>
              <w:ind w:right="460"/>
              <w:spacing w:after="0" w:line="146" w:lineRule="exact"/>
              <w:rPr>
                <w:sz w:val="20"/>
                <w:szCs w:val="20"/>
                <w:color w:val="auto"/>
              </w:rPr>
            </w:pPr>
            <w:r>
              <w:rPr>
                <w:rFonts w:ascii="Arial" w:cs="Arial" w:eastAsia="Arial" w:hAnsi="Arial"/>
                <w:sz w:val="13"/>
                <w:szCs w:val="13"/>
                <w:b w:val="1"/>
                <w:bCs w:val="1"/>
                <w:color w:val="auto"/>
                <w:w w:val="96"/>
              </w:rPr>
              <w:t>/Apartment</w:t>
            </w:r>
          </w:p>
        </w:tc>
        <w:tc>
          <w:tcPr>
            <w:tcW w:w="660" w:type="dxa"/>
            <w:vAlign w:val="bottom"/>
          </w:tcPr>
          <w:p>
            <w:pPr>
              <w:ind w:left="20"/>
              <w:spacing w:after="0" w:line="146" w:lineRule="exact"/>
              <w:rPr>
                <w:sz w:val="20"/>
                <w:szCs w:val="20"/>
                <w:color w:val="auto"/>
              </w:rPr>
            </w:pPr>
            <w:r>
              <w:rPr>
                <w:rFonts w:ascii="Arial" w:cs="Arial" w:eastAsia="Arial" w:hAnsi="Arial"/>
                <w:sz w:val="13"/>
                <w:szCs w:val="13"/>
                <w:b w:val="1"/>
                <w:bCs w:val="1"/>
                <w:color w:val="auto"/>
                <w:w w:val="88"/>
              </w:rPr>
              <w:t>Percentage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2"/>
        </w:trPr>
        <w:tc>
          <w:tcPr>
            <w:tcW w:w="1180" w:type="dxa"/>
            <w:vAlign w:val="bottom"/>
          </w:tcPr>
          <w:p>
            <w:pPr>
              <w:spacing w:after="0"/>
              <w:rPr>
                <w:sz w:val="14"/>
                <w:szCs w:val="14"/>
                <w:color w:val="auto"/>
              </w:rPr>
            </w:pPr>
          </w:p>
        </w:tc>
        <w:tc>
          <w:tcPr>
            <w:tcW w:w="4520" w:type="dxa"/>
            <w:vAlign w:val="bottom"/>
            <w:gridSpan w:val="3"/>
          </w:tcPr>
          <w:p>
            <w:pPr>
              <w:ind w:left="980"/>
              <w:spacing w:after="0"/>
              <w:rPr>
                <w:sz w:val="20"/>
                <w:szCs w:val="20"/>
                <w:color w:val="auto"/>
              </w:rPr>
            </w:pPr>
            <w:r>
              <w:rPr>
                <w:rFonts w:ascii="Arial" w:cs="Arial" w:eastAsia="Arial" w:hAnsi="Arial"/>
                <w:sz w:val="13"/>
                <w:szCs w:val="13"/>
                <w:b w:val="1"/>
                <w:bCs w:val="1"/>
                <w:color w:val="auto"/>
              </w:rPr>
              <w:t>WEST REGION</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4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Units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4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3"/>
                <w:szCs w:val="13"/>
                <w:b w:val="1"/>
                <w:bCs w:val="1"/>
                <w:color w:val="auto"/>
                <w:w w:val="93"/>
              </w:rPr>
              <w:t>Principal Tenant(s)</w:t>
            </w:r>
          </w:p>
        </w:tc>
      </w:tr>
      <w:tr>
        <w:trPr>
          <w:trHeight w:val="130"/>
        </w:trPr>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3"/>
                <w:szCs w:val="13"/>
                <w:color w:val="auto"/>
              </w:rPr>
              <w:t>150 Post Street</w:t>
            </w:r>
          </w:p>
        </w:tc>
        <w:tc>
          <w:tcPr>
            <w:tcW w:w="940" w:type="dxa"/>
            <w:vAlign w:val="bottom"/>
            <w:tcBorders>
              <w:top w:val="single" w:sz="8" w:color="auto"/>
            </w:tcBorders>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3"/>
                <w:szCs w:val="13"/>
                <w:color w:val="auto"/>
                <w:w w:val="96"/>
              </w:rPr>
              <w:t>1965</w:t>
            </w:r>
          </w:p>
        </w:tc>
        <w:tc>
          <w:tcPr>
            <w:tcW w:w="4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3"/>
                <w:szCs w:val="13"/>
                <w:color w:val="auto"/>
                <w:w w:val="89"/>
              </w:rPr>
              <w:t>1997</w:t>
            </w:r>
          </w:p>
        </w:tc>
        <w:tc>
          <w:tcPr>
            <w:tcW w:w="4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3"/>
                <w:szCs w:val="13"/>
                <w:color w:val="auto"/>
                <w:w w:val="93"/>
              </w:rPr>
              <w:t>103,000</w:t>
            </w:r>
          </w:p>
        </w:tc>
        <w:tc>
          <w:tcPr>
            <w:tcW w:w="4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3"/>
                <w:szCs w:val="13"/>
                <w:color w:val="auto"/>
                <w:w w:val="92"/>
              </w:rPr>
              <w:t>92%</w:t>
            </w:r>
          </w:p>
        </w:tc>
        <w:tc>
          <w:tcPr>
            <w:tcW w:w="440" w:type="dxa"/>
            <w:vAlign w:val="bottom"/>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3"/>
                <w:szCs w:val="13"/>
                <w:color w:val="auto"/>
              </w:rPr>
              <w:t>Brooks Brothers</w:t>
            </w:r>
          </w:p>
        </w:tc>
      </w:tr>
      <w:tr>
        <w:trPr>
          <w:trHeight w:val="168"/>
        </w:trPr>
        <w:tc>
          <w:tcPr>
            <w:tcW w:w="570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San Francisco, CA 94108</w:t>
            </w: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37"/>
        </w:trPr>
        <w:tc>
          <w:tcPr>
            <w:tcW w:w="5700" w:type="dxa"/>
            <w:vAlign w:val="bottom"/>
            <w:gridSpan w:val="4"/>
          </w:tcPr>
          <w:p>
            <w:pPr>
              <w:spacing w:after="0" w:line="137" w:lineRule="exact"/>
              <w:rPr>
                <w:sz w:val="20"/>
                <w:szCs w:val="20"/>
                <w:color w:val="auto"/>
              </w:rPr>
            </w:pPr>
            <w:r>
              <w:rPr>
                <w:rFonts w:ascii="Arial" w:cs="Arial" w:eastAsia="Arial" w:hAnsi="Arial"/>
                <w:sz w:val="13"/>
                <w:szCs w:val="13"/>
                <w:color w:val="auto"/>
              </w:rPr>
              <w:t>Santana Row – Retail</w:t>
            </w:r>
          </w:p>
        </w:tc>
        <w:tc>
          <w:tcPr>
            <w:tcW w:w="640" w:type="dxa"/>
            <w:vAlign w:val="bottom"/>
          </w:tcPr>
          <w:p>
            <w:pPr>
              <w:jc w:val="center"/>
              <w:spacing w:after="0" w:line="137" w:lineRule="exact"/>
              <w:rPr>
                <w:sz w:val="20"/>
                <w:szCs w:val="20"/>
                <w:color w:val="auto"/>
              </w:rPr>
            </w:pPr>
            <w:r>
              <w:rPr>
                <w:rFonts w:ascii="Arial" w:cs="Arial" w:eastAsia="Arial" w:hAnsi="Arial"/>
                <w:sz w:val="13"/>
                <w:szCs w:val="13"/>
                <w:color w:val="auto"/>
                <w:w w:val="96"/>
              </w:rPr>
              <w:t>2002</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1997</w:t>
            </w:r>
          </w:p>
        </w:tc>
        <w:tc>
          <w:tcPr>
            <w:tcW w:w="1300" w:type="dxa"/>
            <w:vAlign w:val="bottom"/>
            <w:gridSpan w:val="2"/>
          </w:tcPr>
          <w:p>
            <w:pPr>
              <w:jc w:val="center"/>
              <w:ind w:left="394"/>
              <w:spacing w:after="0" w:line="137" w:lineRule="exact"/>
              <w:rPr>
                <w:sz w:val="20"/>
                <w:szCs w:val="20"/>
                <w:color w:val="auto"/>
              </w:rPr>
            </w:pPr>
            <w:r>
              <w:rPr>
                <w:rFonts w:ascii="Arial" w:cs="Arial" w:eastAsia="Arial" w:hAnsi="Arial"/>
                <w:sz w:val="13"/>
                <w:szCs w:val="13"/>
                <w:color w:val="auto"/>
                <w:w w:val="93"/>
              </w:rPr>
              <w:t>563,000</w:t>
            </w:r>
          </w:p>
        </w:tc>
        <w:tc>
          <w:tcPr>
            <w:tcW w:w="46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3"/>
                <w:szCs w:val="13"/>
                <w:color w:val="auto"/>
                <w:w w:val="92"/>
              </w:rPr>
              <w:t>97%</w:t>
            </w:r>
          </w:p>
        </w:tc>
        <w:tc>
          <w:tcPr>
            <w:tcW w:w="160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Crate &amp; Barrel</w:t>
            </w:r>
          </w:p>
        </w:tc>
      </w:tr>
      <w:tr>
        <w:trPr>
          <w:trHeight w:val="146"/>
        </w:trPr>
        <w:tc>
          <w:tcPr>
            <w:tcW w:w="5700" w:type="dxa"/>
            <w:vAlign w:val="bottom"/>
            <w:gridSpan w:val="4"/>
          </w:tcPr>
          <w:p>
            <w:pPr>
              <w:ind w:left="220"/>
              <w:spacing w:after="0" w:line="146" w:lineRule="exact"/>
              <w:rPr>
                <w:sz w:val="20"/>
                <w:szCs w:val="20"/>
                <w:color w:val="auto"/>
              </w:rPr>
            </w:pPr>
            <w:r>
              <w:rPr>
                <w:rFonts w:ascii="Arial" w:cs="Arial" w:eastAsia="Arial" w:hAnsi="Arial"/>
                <w:sz w:val="13"/>
                <w:szCs w:val="13"/>
                <w:color w:val="auto"/>
              </w:rPr>
              <w:t>San Jose, CA 95128</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Borders Books</w:t>
            </w:r>
          </w:p>
        </w:tc>
      </w:tr>
      <w:tr>
        <w:trPr>
          <w:trHeight w:val="146"/>
        </w:trPr>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Container Store</w:t>
            </w:r>
          </w:p>
        </w:tc>
      </w:tr>
      <w:tr>
        <w:trPr>
          <w:trHeight w:val="146"/>
        </w:trPr>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Best Buy</w:t>
            </w:r>
          </w:p>
        </w:tc>
      </w:tr>
      <w:tr>
        <w:trPr>
          <w:trHeight w:val="154"/>
        </w:trPr>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CineArts Theatre</w:t>
            </w:r>
          </w:p>
        </w:tc>
      </w:tr>
      <w:tr>
        <w:trPr>
          <w:trHeight w:val="137"/>
        </w:trPr>
        <w:tc>
          <w:tcPr>
            <w:tcW w:w="5700" w:type="dxa"/>
            <w:vAlign w:val="bottom"/>
            <w:gridSpan w:val="4"/>
            <w:shd w:val="clear" w:color="auto" w:fill="CCEEFF"/>
          </w:tcPr>
          <w:p>
            <w:pPr>
              <w:spacing w:after="0" w:line="137" w:lineRule="exact"/>
              <w:rPr>
                <w:sz w:val="20"/>
                <w:szCs w:val="20"/>
                <w:color w:val="auto"/>
              </w:rPr>
            </w:pPr>
            <w:r>
              <w:rPr>
                <w:rFonts w:ascii="Arial" w:cs="Arial" w:eastAsia="Arial" w:hAnsi="Arial"/>
                <w:sz w:val="13"/>
                <w:szCs w:val="13"/>
                <w:color w:val="auto"/>
              </w:rPr>
              <w:t>Santana Row – Residential</w:t>
            </w:r>
          </w:p>
        </w:tc>
        <w:tc>
          <w:tcPr>
            <w:tcW w:w="640" w:type="dxa"/>
            <w:vAlign w:val="bottom"/>
            <w:shd w:val="clear" w:color="auto" w:fill="CCEEFF"/>
          </w:tcPr>
          <w:p>
            <w:pPr>
              <w:jc w:val="center"/>
              <w:spacing w:after="0" w:line="137" w:lineRule="exact"/>
              <w:rPr>
                <w:sz w:val="20"/>
                <w:szCs w:val="20"/>
                <w:color w:val="auto"/>
              </w:rPr>
            </w:pPr>
            <w:r>
              <w:rPr>
                <w:rFonts w:ascii="Arial" w:cs="Arial" w:eastAsia="Arial" w:hAnsi="Arial"/>
                <w:sz w:val="13"/>
                <w:szCs w:val="13"/>
                <w:color w:val="auto"/>
                <w:w w:val="90"/>
              </w:rPr>
              <w:t>2003-2006</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1997</w:t>
            </w:r>
          </w:p>
        </w:tc>
        <w:tc>
          <w:tcPr>
            <w:tcW w:w="4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440"/>
              <w:spacing w:after="0" w:line="137" w:lineRule="exact"/>
              <w:rPr>
                <w:sz w:val="20"/>
                <w:szCs w:val="20"/>
                <w:color w:val="auto"/>
              </w:rPr>
            </w:pPr>
            <w:r>
              <w:rPr>
                <w:rFonts w:ascii="Arial" w:cs="Arial" w:eastAsia="Arial" w:hAnsi="Arial"/>
                <w:sz w:val="13"/>
                <w:szCs w:val="13"/>
                <w:color w:val="auto"/>
                <w:w w:val="90"/>
              </w:rPr>
              <w:t>295 units</w:t>
            </w:r>
          </w:p>
        </w:tc>
        <w:tc>
          <w:tcPr>
            <w:tcW w:w="660" w:type="dxa"/>
            <w:vAlign w:val="bottom"/>
            <w:shd w:val="clear" w:color="auto" w:fill="CCEEFF"/>
          </w:tcPr>
          <w:p>
            <w:pPr>
              <w:jc w:val="center"/>
              <w:spacing w:after="0" w:line="137" w:lineRule="exact"/>
              <w:rPr>
                <w:sz w:val="20"/>
                <w:szCs w:val="20"/>
                <w:color w:val="auto"/>
              </w:rPr>
            </w:pPr>
            <w:r>
              <w:rPr>
                <w:rFonts w:ascii="Arial" w:cs="Arial" w:eastAsia="Arial" w:hAnsi="Arial"/>
                <w:sz w:val="13"/>
                <w:szCs w:val="13"/>
                <w:color w:val="auto"/>
                <w:w w:val="92"/>
              </w:rPr>
              <w:t>95%</w:t>
            </w: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8"/>
        </w:trPr>
        <w:tc>
          <w:tcPr>
            <w:tcW w:w="570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San Jose, CA 95128</w:t>
            </w: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37"/>
        </w:trPr>
        <w:tc>
          <w:tcPr>
            <w:tcW w:w="5700" w:type="dxa"/>
            <w:vAlign w:val="bottom"/>
            <w:gridSpan w:val="4"/>
          </w:tcPr>
          <w:p>
            <w:pPr>
              <w:spacing w:after="0" w:line="137" w:lineRule="exact"/>
              <w:rPr>
                <w:sz w:val="20"/>
                <w:szCs w:val="20"/>
                <w:color w:val="auto"/>
              </w:rPr>
            </w:pPr>
            <w:r>
              <w:rPr>
                <w:rFonts w:ascii="Arial" w:cs="Arial" w:eastAsia="Arial" w:hAnsi="Arial"/>
                <w:sz w:val="13"/>
                <w:szCs w:val="13"/>
                <w:color w:val="auto"/>
              </w:rPr>
              <w:t>Third Street Promenade</w:t>
            </w:r>
          </w:p>
        </w:tc>
        <w:tc>
          <w:tcPr>
            <w:tcW w:w="640" w:type="dxa"/>
            <w:vAlign w:val="bottom"/>
          </w:tcPr>
          <w:p>
            <w:pPr>
              <w:jc w:val="center"/>
              <w:spacing w:after="0" w:line="137" w:lineRule="exact"/>
              <w:rPr>
                <w:sz w:val="20"/>
                <w:szCs w:val="20"/>
                <w:color w:val="auto"/>
              </w:rPr>
            </w:pPr>
            <w:r>
              <w:rPr>
                <w:rFonts w:ascii="Arial" w:cs="Arial" w:eastAsia="Arial" w:hAnsi="Arial"/>
                <w:sz w:val="13"/>
                <w:szCs w:val="13"/>
                <w:color w:val="auto"/>
                <w:w w:val="90"/>
              </w:rPr>
              <w:t>1888-1995</w:t>
            </w:r>
          </w:p>
        </w:tc>
        <w:tc>
          <w:tcPr>
            <w:tcW w:w="106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93"/>
              </w:rPr>
              <w:t>1996-2000</w:t>
            </w:r>
          </w:p>
        </w:tc>
        <w:tc>
          <w:tcPr>
            <w:tcW w:w="1300" w:type="dxa"/>
            <w:vAlign w:val="bottom"/>
            <w:gridSpan w:val="2"/>
          </w:tcPr>
          <w:p>
            <w:pPr>
              <w:jc w:val="center"/>
              <w:ind w:left="374"/>
              <w:spacing w:after="0" w:line="137" w:lineRule="exact"/>
              <w:rPr>
                <w:sz w:val="20"/>
                <w:szCs w:val="20"/>
                <w:color w:val="auto"/>
              </w:rPr>
            </w:pPr>
            <w:r>
              <w:rPr>
                <w:rFonts w:ascii="Arial" w:cs="Arial" w:eastAsia="Arial" w:hAnsi="Arial"/>
                <w:sz w:val="13"/>
                <w:szCs w:val="13"/>
                <w:color w:val="auto"/>
                <w:w w:val="89"/>
              </w:rPr>
              <w:t>211,000</w:t>
            </w:r>
          </w:p>
        </w:tc>
        <w:tc>
          <w:tcPr>
            <w:tcW w:w="46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3"/>
                <w:szCs w:val="13"/>
                <w:color w:val="auto"/>
                <w:w w:val="92"/>
              </w:rPr>
              <w:t>97%</w:t>
            </w:r>
          </w:p>
        </w:tc>
        <w:tc>
          <w:tcPr>
            <w:tcW w:w="1600" w:type="dxa"/>
            <w:vAlign w:val="bottom"/>
            <w:gridSpan w:val="2"/>
          </w:tcPr>
          <w:p>
            <w:pPr>
              <w:ind w:left="440"/>
              <w:spacing w:after="0" w:line="137" w:lineRule="exact"/>
              <w:rPr>
                <w:sz w:val="20"/>
                <w:szCs w:val="20"/>
                <w:color w:val="auto"/>
              </w:rPr>
            </w:pPr>
            <w:r>
              <w:rPr>
                <w:rFonts w:ascii="Arial" w:cs="Arial" w:eastAsia="Arial" w:hAnsi="Arial"/>
                <w:sz w:val="13"/>
                <w:szCs w:val="13"/>
                <w:color w:val="auto"/>
              </w:rPr>
              <w:t>Abercrombie &amp;</w:t>
            </w:r>
          </w:p>
        </w:tc>
      </w:tr>
      <w:tr>
        <w:trPr>
          <w:trHeight w:val="146"/>
        </w:trPr>
        <w:tc>
          <w:tcPr>
            <w:tcW w:w="5700" w:type="dxa"/>
            <w:vAlign w:val="bottom"/>
            <w:gridSpan w:val="4"/>
          </w:tcPr>
          <w:p>
            <w:pPr>
              <w:ind w:left="220"/>
              <w:spacing w:after="0" w:line="146" w:lineRule="exact"/>
              <w:rPr>
                <w:sz w:val="20"/>
                <w:szCs w:val="20"/>
                <w:color w:val="auto"/>
              </w:rPr>
            </w:pPr>
            <w:r>
              <w:rPr>
                <w:rFonts w:ascii="Arial" w:cs="Arial" w:eastAsia="Arial" w:hAnsi="Arial"/>
                <w:sz w:val="13"/>
                <w:szCs w:val="13"/>
                <w:color w:val="auto"/>
              </w:rPr>
              <w:t>Santa Monica, CA(9)</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Fitch</w:t>
            </w:r>
          </w:p>
        </w:tc>
      </w:tr>
      <w:tr>
        <w:trPr>
          <w:trHeight w:val="146"/>
        </w:trPr>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J. Crew</w:t>
            </w:r>
          </w:p>
        </w:tc>
      </w:tr>
      <w:tr>
        <w:trPr>
          <w:trHeight w:val="146"/>
        </w:trPr>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Old Navy</w:t>
            </w:r>
          </w:p>
        </w:tc>
      </w:tr>
      <w:tr>
        <w:trPr>
          <w:trHeight w:val="154"/>
        </w:trPr>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Banana Republic</w:t>
            </w:r>
          </w:p>
        </w:tc>
      </w:tr>
      <w:tr>
        <w:trPr>
          <w:trHeight w:val="137"/>
        </w:trPr>
        <w:tc>
          <w:tcPr>
            <w:tcW w:w="5700" w:type="dxa"/>
            <w:vAlign w:val="bottom"/>
            <w:gridSpan w:val="4"/>
            <w:shd w:val="clear" w:color="auto" w:fill="CCEEFF"/>
          </w:tcPr>
          <w:p>
            <w:pPr>
              <w:spacing w:after="0" w:line="137" w:lineRule="exact"/>
              <w:rPr>
                <w:sz w:val="20"/>
                <w:szCs w:val="20"/>
                <w:color w:val="auto"/>
              </w:rPr>
            </w:pPr>
            <w:r>
              <w:rPr>
                <w:rFonts w:ascii="Arial" w:cs="Arial" w:eastAsia="Arial" w:hAnsi="Arial"/>
                <w:sz w:val="13"/>
                <w:szCs w:val="13"/>
                <w:color w:val="auto"/>
              </w:rPr>
              <w:t>Westgate Shopping Center</w:t>
            </w:r>
          </w:p>
        </w:tc>
        <w:tc>
          <w:tcPr>
            <w:tcW w:w="640" w:type="dxa"/>
            <w:vAlign w:val="bottom"/>
            <w:shd w:val="clear" w:color="auto" w:fill="CCEEFF"/>
          </w:tcPr>
          <w:p>
            <w:pPr>
              <w:jc w:val="center"/>
              <w:spacing w:after="0" w:line="137" w:lineRule="exact"/>
              <w:rPr>
                <w:sz w:val="20"/>
                <w:szCs w:val="20"/>
                <w:color w:val="auto"/>
              </w:rPr>
            </w:pPr>
            <w:r>
              <w:rPr>
                <w:rFonts w:ascii="Arial" w:cs="Arial" w:eastAsia="Arial" w:hAnsi="Arial"/>
                <w:sz w:val="13"/>
                <w:szCs w:val="13"/>
                <w:color w:val="auto"/>
                <w:w w:val="90"/>
              </w:rPr>
              <w:t>1960-1966</w:t>
            </w:r>
          </w:p>
        </w:tc>
        <w:tc>
          <w:tcPr>
            <w:tcW w:w="1060" w:type="dxa"/>
            <w:vAlign w:val="bottom"/>
            <w:gridSpan w:val="2"/>
            <w:shd w:val="clear" w:color="auto" w:fill="CCEEFF"/>
          </w:tcPr>
          <w:p>
            <w:pPr>
              <w:jc w:val="center"/>
              <w:ind w:left="374"/>
              <w:spacing w:after="0" w:line="137" w:lineRule="exact"/>
              <w:rPr>
                <w:sz w:val="20"/>
                <w:szCs w:val="20"/>
                <w:color w:val="auto"/>
              </w:rPr>
            </w:pPr>
            <w:r>
              <w:rPr>
                <w:rFonts w:ascii="Arial" w:cs="Arial" w:eastAsia="Arial" w:hAnsi="Arial"/>
                <w:sz w:val="13"/>
                <w:szCs w:val="13"/>
                <w:color w:val="auto"/>
                <w:w w:val="89"/>
              </w:rPr>
              <w:t>2004</w:t>
            </w:r>
          </w:p>
        </w:tc>
        <w:tc>
          <w:tcPr>
            <w:tcW w:w="1300" w:type="dxa"/>
            <w:vAlign w:val="bottom"/>
            <w:gridSpan w:val="2"/>
            <w:shd w:val="clear" w:color="auto" w:fill="CCEEFF"/>
          </w:tcPr>
          <w:p>
            <w:pPr>
              <w:jc w:val="center"/>
              <w:ind w:left="394"/>
              <w:spacing w:after="0" w:line="137" w:lineRule="exact"/>
              <w:rPr>
                <w:sz w:val="20"/>
                <w:szCs w:val="20"/>
                <w:color w:val="auto"/>
              </w:rPr>
            </w:pPr>
            <w:r>
              <w:rPr>
                <w:rFonts w:ascii="Arial" w:cs="Arial" w:eastAsia="Arial" w:hAnsi="Arial"/>
                <w:sz w:val="13"/>
                <w:szCs w:val="13"/>
                <w:color w:val="auto"/>
                <w:w w:val="93"/>
              </w:rPr>
              <w:t>645,000</w:t>
            </w: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7" w:lineRule="exact"/>
              <w:rPr>
                <w:sz w:val="20"/>
                <w:szCs w:val="20"/>
                <w:color w:val="auto"/>
              </w:rPr>
            </w:pPr>
            <w:r>
              <w:rPr>
                <w:rFonts w:ascii="Arial" w:cs="Arial" w:eastAsia="Arial" w:hAnsi="Arial"/>
                <w:sz w:val="13"/>
                <w:szCs w:val="13"/>
                <w:color w:val="auto"/>
                <w:w w:val="92"/>
              </w:rPr>
              <w:t>99%</w:t>
            </w:r>
          </w:p>
        </w:tc>
        <w:tc>
          <w:tcPr>
            <w:tcW w:w="160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3"/>
                <w:szCs w:val="13"/>
                <w:color w:val="auto"/>
              </w:rPr>
              <w:t>Safeway</w:t>
            </w:r>
          </w:p>
        </w:tc>
      </w:tr>
      <w:tr>
        <w:trPr>
          <w:trHeight w:val="146"/>
        </w:trPr>
        <w:tc>
          <w:tcPr>
            <w:tcW w:w="5700" w:type="dxa"/>
            <w:vAlign w:val="bottom"/>
            <w:gridSpan w:val="4"/>
            <w:shd w:val="clear" w:color="auto" w:fill="CCEEFF"/>
          </w:tcPr>
          <w:p>
            <w:pPr>
              <w:ind w:left="220"/>
              <w:spacing w:after="0" w:line="146" w:lineRule="exact"/>
              <w:rPr>
                <w:sz w:val="20"/>
                <w:szCs w:val="20"/>
                <w:color w:val="auto"/>
              </w:rPr>
            </w:pPr>
            <w:r>
              <w:rPr>
                <w:rFonts w:ascii="Arial" w:cs="Arial" w:eastAsia="Arial" w:hAnsi="Arial"/>
                <w:sz w:val="13"/>
                <w:szCs w:val="13"/>
                <w:color w:val="auto"/>
              </w:rPr>
              <w:t>San Jose, CA</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Target</w:t>
            </w:r>
          </w:p>
        </w:tc>
      </w:tr>
      <w:tr>
        <w:trPr>
          <w:trHeight w:val="146"/>
        </w:trPr>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Burlington Coat</w:t>
            </w:r>
          </w:p>
        </w:tc>
      </w:tr>
      <w:tr>
        <w:trPr>
          <w:trHeight w:val="146"/>
        </w:trPr>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Factory</w:t>
            </w:r>
          </w:p>
        </w:tc>
      </w:tr>
      <w:tr>
        <w:trPr>
          <w:trHeight w:val="146"/>
        </w:trPr>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Barnes &amp; Noble</w:t>
            </w:r>
          </w:p>
        </w:tc>
      </w:tr>
      <w:tr>
        <w:trPr>
          <w:trHeight w:val="154"/>
        </w:trPr>
        <w:tc>
          <w:tcPr>
            <w:tcW w:w="1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Ross</w:t>
            </w:r>
          </w:p>
        </w:tc>
      </w:tr>
      <w:tr>
        <w:trPr>
          <w:trHeight w:val="152"/>
        </w:trPr>
        <w:tc>
          <w:tcPr>
            <w:tcW w:w="5700" w:type="dxa"/>
            <w:vAlign w:val="bottom"/>
            <w:gridSpan w:val="4"/>
          </w:tcPr>
          <w:p>
            <w:pPr>
              <w:spacing w:after="0"/>
              <w:rPr>
                <w:sz w:val="20"/>
                <w:szCs w:val="20"/>
                <w:color w:val="auto"/>
              </w:rPr>
            </w:pPr>
            <w:r>
              <w:rPr>
                <w:rFonts w:ascii="Arial" w:cs="Arial" w:eastAsia="Arial" w:hAnsi="Arial"/>
                <w:sz w:val="13"/>
                <w:szCs w:val="13"/>
                <w:b w:val="1"/>
                <w:bCs w:val="1"/>
                <w:color w:val="auto"/>
              </w:rPr>
              <w:t>Total West Region—Retail</w:t>
            </w: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2,605,000</w:t>
            </w:r>
          </w:p>
        </w:tc>
        <w:tc>
          <w:tcPr>
            <w:tcW w:w="4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94%</w:t>
            </w: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5700" w:type="dxa"/>
            <w:vAlign w:val="bottom"/>
            <w:gridSpan w:val="4"/>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Total West Region—Residential</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360"/>
              <w:spacing w:after="0" w:line="146" w:lineRule="exact"/>
              <w:rPr>
                <w:sz w:val="20"/>
                <w:szCs w:val="20"/>
                <w:color w:val="auto"/>
              </w:rPr>
            </w:pPr>
            <w:r>
              <w:rPr>
                <w:rFonts w:ascii="Arial" w:cs="Arial" w:eastAsia="Arial" w:hAnsi="Arial"/>
                <w:sz w:val="13"/>
                <w:szCs w:val="13"/>
                <w:b w:val="1"/>
                <w:bCs w:val="1"/>
                <w:color w:val="auto"/>
              </w:rPr>
              <w:t>295 units</w:t>
            </w:r>
          </w:p>
        </w:tc>
        <w:tc>
          <w:tcPr>
            <w:tcW w:w="6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b w:val="1"/>
                <w:bCs w:val="1"/>
                <w:color w:val="auto"/>
                <w:w w:val="99"/>
              </w:rPr>
              <w:t>95%</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2"/>
        </w:trPr>
        <w:tc>
          <w:tcPr>
            <w:tcW w:w="5700" w:type="dxa"/>
            <w:vAlign w:val="bottom"/>
            <w:gridSpan w:val="4"/>
          </w:tcPr>
          <w:p>
            <w:pPr>
              <w:spacing w:after="0"/>
              <w:rPr>
                <w:sz w:val="20"/>
                <w:szCs w:val="20"/>
                <w:color w:val="auto"/>
              </w:rPr>
            </w:pPr>
            <w:r>
              <w:rPr>
                <w:rFonts w:ascii="Arial" w:cs="Arial" w:eastAsia="Arial" w:hAnsi="Arial"/>
                <w:sz w:val="13"/>
                <w:szCs w:val="13"/>
                <w:b w:val="1"/>
                <w:bCs w:val="1"/>
                <w:color w:val="auto"/>
              </w:rPr>
              <w:t>Total All Regions—Retail</w:t>
            </w: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18,800,000</w:t>
            </w:r>
          </w:p>
        </w:tc>
        <w:tc>
          <w:tcPr>
            <w:tcW w:w="4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97%</w:t>
            </w: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5700" w:type="dxa"/>
            <w:vAlign w:val="bottom"/>
            <w:gridSpan w:val="4"/>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Total All Regions—Residential</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360"/>
              <w:spacing w:after="0" w:line="146" w:lineRule="exact"/>
              <w:rPr>
                <w:sz w:val="20"/>
                <w:szCs w:val="20"/>
                <w:color w:val="auto"/>
              </w:rPr>
            </w:pPr>
            <w:r>
              <w:rPr>
                <w:rFonts w:ascii="Arial" w:cs="Arial" w:eastAsia="Arial" w:hAnsi="Arial"/>
                <w:sz w:val="13"/>
                <w:szCs w:val="13"/>
                <w:b w:val="1"/>
                <w:bCs w:val="1"/>
                <w:color w:val="auto"/>
              </w:rPr>
              <w:t>723 units</w:t>
            </w:r>
          </w:p>
        </w:tc>
        <w:tc>
          <w:tcPr>
            <w:tcW w:w="6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b w:val="1"/>
                <w:bCs w:val="1"/>
                <w:color w:val="auto"/>
                <w:w w:val="99"/>
              </w:rPr>
              <w:t>95%</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97" w:lineRule="exact"/>
        <w:rPr>
          <w:sz w:val="20"/>
          <w:szCs w:val="20"/>
          <w:color w:val="auto"/>
        </w:rPr>
      </w:pPr>
    </w:p>
    <w:p>
      <w:pPr>
        <w:ind w:left="340" w:right="240" w:hanging="334"/>
        <w:spacing w:after="0" w:line="241"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spacing w:after="0" w:line="1" w:lineRule="exact"/>
        <w:rPr>
          <w:rFonts w:ascii="Arial" w:cs="Arial" w:eastAsia="Arial" w:hAnsi="Arial"/>
          <w:sz w:val="13"/>
          <w:szCs w:val="13"/>
          <w:color w:val="auto"/>
        </w:rPr>
      </w:pP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spacing w:after="0" w:line="1" w:lineRule="exact"/>
        <w:rPr>
          <w:rFonts w:ascii="Arial" w:cs="Arial" w:eastAsia="Arial" w:hAnsi="Arial"/>
          <w:sz w:val="13"/>
          <w:szCs w:val="13"/>
          <w:color w:val="auto"/>
        </w:rPr>
      </w:pP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have a leasehold interest in this property.</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a 64.1% membership interest in this property.</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this property in a “downREIT” structure.</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All or a portion of this property is subject to a long-term ground lease.</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This property contains nine buildings; six are subject to a leasehold interest, one is subject to a ground lease and two are owned 100% by us.</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the controlling interest in this center.</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100% of eight buildings and a 90% general partnership interest in one building.</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a 90% general partnership interest in these buildings.</w:t>
      </w:r>
    </w:p>
    <w:p>
      <w:pPr>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100% of three buildings and a 90% general partnership interest in one building</w:t>
      </w:r>
    </w:p>
    <w:p>
      <w:pPr>
        <w:jc w:val="both"/>
        <w:ind w:left="340" w:hanging="334"/>
        <w:spacing w:after="0" w:line="233"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to the owner. The master lease includes a purchase option in 2021 for $5.0 million plus the assumption of the owner’s $25.8 million first mortgage. Because the Trust controls this property and retains substantially all of the economic benefit and risk associated with it, we consolidate this property and its operations.</w:t>
      </w:r>
    </w:p>
    <w:p>
      <w:pPr>
        <w:spacing w:after="0" w:line="1" w:lineRule="exact"/>
        <w:rPr>
          <w:rFonts w:ascii="Arial" w:cs="Arial" w:eastAsia="Arial" w:hAnsi="Arial"/>
          <w:sz w:val="13"/>
          <w:szCs w:val="13"/>
          <w:color w:val="auto"/>
        </w:rPr>
      </w:pPr>
    </w:p>
    <w:p>
      <w:pPr>
        <w:ind w:left="340" w:right="20" w:hanging="334"/>
        <w:spacing w:after="0" w:line="244"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acquired approximately 152,000 square feet of gross leasable area, and we intend to acquire an additional 32,000 square feet of gross leasable area. No square footage has been placed in service. The Grand Opening is scheduled for May 2007.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tab/>
        <w:t>LEGAL PROCEEDINGS</w:t>
      </w:r>
    </w:p>
    <w:p>
      <w:pPr>
        <w:spacing w:after="0" w:line="10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The plaintiff is seeking an unspecified amount of monetary damages. A trial as to liability only was held and on June 27, 2006, a jury rendered a verdict against us. A case management conference has been scheduled for March 23, 2007, at which time we expect a schedule to be set for additional discovery and a trial date on the issue of damages. The complaint did not specify the amount of damages claimed and we cannot make a reasonable estimate of potential damages until experts are retained and additional discovery is completed on the damages issue.</w:t>
      </w:r>
    </w:p>
    <w:p>
      <w:pPr>
        <w:spacing w:after="0" w:line="10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through our management agent, engaged in fraud by failing to disclose a condemnation action at the property that was pending when the lease was signed. A trial as to liability only began on February 26, 2007 and if we are found liable, a trial will be held to determine the amount of damages. Based on the evidence and information available to us, we believe there is a reasonable possibility that a verdict may be rendered against us.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would recover against the third party management company; however, if a verdict is rendered against us, there may be a material adverse impact on our net income in the period during which our indemnification claim is pending.</w:t>
      </w:r>
    </w:p>
    <w:p>
      <w:pPr>
        <w:spacing w:after="0" w:line="19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SUBMISSION OF MATTERS TO A VOTE OF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 matters were submitted to a vote of our shareholders during the fourth quarter of the fiscal year ended December 31, 2006.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5" w:lineRule="exact"/>
        <w:rPr>
          <w:sz w:val="20"/>
          <w:szCs w:val="20"/>
          <w:color w:val="auto"/>
        </w:rPr>
      </w:pPr>
    </w:p>
    <w:p>
      <w:pPr>
        <w:ind w:left="1020" w:right="460" w:hanging="1019"/>
        <w:spacing w:after="0" w:line="294" w:lineRule="auto"/>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OUR COMMON EQUITY AND RELATED SHAREHOLDER MATTERS AND ISSUER PURCHASES OF EQUITY SECURITIES</w:t>
      </w:r>
    </w:p>
    <w:p>
      <w:pPr>
        <w:spacing w:after="0" w:line="30"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tcPr>
          <w:p>
            <w:pPr>
              <w:spacing w:after="0"/>
              <w:rPr>
                <w:sz w:val="13"/>
                <w:szCs w:val="13"/>
                <w:color w:val="auto"/>
              </w:rPr>
            </w:pPr>
          </w:p>
        </w:tc>
        <w:tc>
          <w:tcPr>
            <w:tcW w:w="142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Price Per Share</w:t>
            </w:r>
          </w:p>
        </w:tc>
        <w:tc>
          <w:tcPr>
            <w:tcW w:w="44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84"/>
        </w:trPr>
        <w:tc>
          <w:tcPr>
            <w:tcW w:w="8780" w:type="dxa"/>
            <w:vAlign w:val="bottom"/>
          </w:tcPr>
          <w:p>
            <w:pPr>
              <w:spacing w:after="0"/>
              <w:rPr>
                <w:sz w:val="6"/>
                <w:szCs w:val="6"/>
                <w:color w:val="auto"/>
              </w:rPr>
            </w:pPr>
          </w:p>
        </w:tc>
        <w:tc>
          <w:tcPr>
            <w:tcW w:w="1420" w:type="dxa"/>
            <w:vAlign w:val="bottom"/>
            <w:tcBorders>
              <w:bottom w:val="single" w:sz="8" w:color="auto"/>
            </w:tcBorders>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restart"/>
          </w:tcPr>
          <w:p>
            <w:pPr>
              <w:jc w:val="center"/>
              <w:ind w:right="200"/>
              <w:spacing w:after="0" w:line="146" w:lineRule="exact"/>
              <w:rPr>
                <w:sz w:val="20"/>
                <w:szCs w:val="20"/>
                <w:color w:val="auto"/>
              </w:rPr>
            </w:pPr>
            <w:r>
              <w:rPr>
                <w:rFonts w:ascii="Arial" w:cs="Arial" w:eastAsia="Arial" w:hAnsi="Arial"/>
                <w:sz w:val="13"/>
                <w:szCs w:val="13"/>
                <w:b w:val="1"/>
                <w:bCs w:val="1"/>
                <w:color w:val="auto"/>
                <w:w w:val="90"/>
              </w:rPr>
              <w:t>Declared</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7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High</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2"/>
              </w:rPr>
              <w:t>Low</w:t>
            </w:r>
          </w:p>
        </w:tc>
        <w:tc>
          <w:tcPr>
            <w:tcW w:w="4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205"/>
        </w:trPr>
        <w:tc>
          <w:tcPr>
            <w:tcW w:w="8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780" w:type="dxa"/>
            <w:vAlign w:val="bottom"/>
          </w:tcPr>
          <w:p>
            <w:pPr>
              <w:ind w:left="420"/>
              <w:spacing w:after="0"/>
              <w:rPr>
                <w:sz w:val="20"/>
                <w:szCs w:val="20"/>
                <w:color w:val="auto"/>
              </w:rPr>
            </w:pPr>
            <w:r>
              <w:rPr>
                <w:rFonts w:ascii="Arial" w:cs="Arial" w:eastAsia="Arial" w:hAnsi="Arial"/>
                <w:sz w:val="17"/>
                <w:szCs w:val="17"/>
                <w:color w:val="auto"/>
              </w:rPr>
              <w:t>Fourth quarter</w:t>
            </w:r>
          </w:p>
        </w:tc>
        <w:tc>
          <w:tcPr>
            <w:tcW w:w="72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$87.15</w:t>
            </w:r>
          </w:p>
        </w:tc>
        <w:tc>
          <w:tcPr>
            <w:tcW w:w="700" w:type="dxa"/>
            <w:vAlign w:val="bottom"/>
            <w:gridSpan w:val="2"/>
          </w:tcPr>
          <w:p>
            <w:pPr>
              <w:jc w:val="center"/>
              <w:ind w:left="134"/>
              <w:spacing w:after="0"/>
              <w:rPr>
                <w:sz w:val="20"/>
                <w:szCs w:val="20"/>
                <w:color w:val="auto"/>
              </w:rPr>
            </w:pPr>
            <w:r>
              <w:rPr>
                <w:rFonts w:ascii="Arial" w:cs="Arial" w:eastAsia="Arial" w:hAnsi="Arial"/>
                <w:sz w:val="17"/>
                <w:szCs w:val="17"/>
                <w:color w:val="auto"/>
                <w:w w:val="92"/>
              </w:rPr>
              <w:t>$73.47</w:t>
            </w:r>
          </w:p>
        </w:tc>
        <w:tc>
          <w:tcPr>
            <w:tcW w:w="1020" w:type="dxa"/>
            <w:vAlign w:val="bottom"/>
            <w:gridSpan w:val="2"/>
          </w:tcPr>
          <w:p>
            <w:pPr>
              <w:ind w:left="440"/>
              <w:spacing w:after="0"/>
              <w:rPr>
                <w:sz w:val="20"/>
                <w:szCs w:val="20"/>
                <w:color w:val="auto"/>
              </w:rPr>
            </w:pPr>
            <w:r>
              <w:rPr>
                <w:rFonts w:ascii="Arial" w:cs="Arial" w:eastAsia="Arial" w:hAnsi="Arial"/>
                <w:sz w:val="17"/>
                <w:szCs w:val="17"/>
                <w:color w:val="auto"/>
                <w:w w:val="98"/>
              </w:rPr>
              <w:t>$ 0.575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Third quarter</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6"/>
              </w:rPr>
              <w:t>$76.42</w:t>
            </w:r>
          </w:p>
        </w:tc>
        <w:tc>
          <w:tcPr>
            <w:tcW w:w="70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2"/>
              </w:rPr>
              <w:t>$69.37</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8"/>
              </w:rPr>
              <w:t>$ 0.575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80" w:type="dxa"/>
            <w:vAlign w:val="bottom"/>
          </w:tcPr>
          <w:p>
            <w:pPr>
              <w:ind w:left="420"/>
              <w:spacing w:after="0"/>
              <w:rPr>
                <w:sz w:val="20"/>
                <w:szCs w:val="20"/>
                <w:color w:val="auto"/>
              </w:rPr>
            </w:pPr>
            <w:r>
              <w:rPr>
                <w:rFonts w:ascii="Arial" w:cs="Arial" w:eastAsia="Arial" w:hAnsi="Arial"/>
                <w:sz w:val="17"/>
                <w:szCs w:val="17"/>
                <w:color w:val="auto"/>
              </w:rPr>
              <w:t>Second quarter</w:t>
            </w:r>
          </w:p>
        </w:tc>
        <w:tc>
          <w:tcPr>
            <w:tcW w:w="72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$72.43</w:t>
            </w:r>
          </w:p>
        </w:tc>
        <w:tc>
          <w:tcPr>
            <w:tcW w:w="700" w:type="dxa"/>
            <w:vAlign w:val="bottom"/>
            <w:gridSpan w:val="2"/>
          </w:tcPr>
          <w:p>
            <w:pPr>
              <w:jc w:val="center"/>
              <w:ind w:left="134"/>
              <w:spacing w:after="0"/>
              <w:rPr>
                <w:sz w:val="20"/>
                <w:szCs w:val="20"/>
                <w:color w:val="auto"/>
              </w:rPr>
            </w:pPr>
            <w:r>
              <w:rPr>
                <w:rFonts w:ascii="Arial" w:cs="Arial" w:eastAsia="Arial" w:hAnsi="Arial"/>
                <w:sz w:val="17"/>
                <w:szCs w:val="17"/>
                <w:color w:val="auto"/>
                <w:w w:val="92"/>
              </w:rPr>
              <w:t>$64.72</w:t>
            </w:r>
          </w:p>
        </w:tc>
        <w:tc>
          <w:tcPr>
            <w:tcW w:w="1020" w:type="dxa"/>
            <w:vAlign w:val="bottom"/>
            <w:gridSpan w:val="2"/>
          </w:tcPr>
          <w:p>
            <w:pPr>
              <w:ind w:left="440"/>
              <w:spacing w:after="0"/>
              <w:rPr>
                <w:sz w:val="20"/>
                <w:szCs w:val="20"/>
                <w:color w:val="auto"/>
              </w:rPr>
            </w:pPr>
            <w:r>
              <w:rPr>
                <w:rFonts w:ascii="Arial" w:cs="Arial" w:eastAsia="Arial" w:hAnsi="Arial"/>
                <w:sz w:val="17"/>
                <w:szCs w:val="17"/>
                <w:color w:val="auto"/>
                <w:w w:val="98"/>
              </w:rPr>
              <w:t>$ 0.555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quarter</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6"/>
              </w:rPr>
              <w:t>$75.38</w:t>
            </w:r>
          </w:p>
        </w:tc>
        <w:tc>
          <w:tcPr>
            <w:tcW w:w="70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2"/>
              </w:rPr>
              <w:t>$61.63</w:t>
            </w: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w w:val="92"/>
              </w:rPr>
              <w:t>$ 0.755 (1)</w:t>
            </w:r>
          </w:p>
        </w:tc>
        <w:tc>
          <w:tcPr>
            <w:tcW w:w="0" w:type="dxa"/>
            <w:vAlign w:val="bottom"/>
          </w:tcPr>
          <w:p>
            <w:pPr>
              <w:spacing w:after="0"/>
              <w:rPr>
                <w:sz w:val="1"/>
                <w:szCs w:val="1"/>
                <w:color w:val="auto"/>
              </w:rPr>
            </w:pPr>
          </w:p>
        </w:tc>
      </w:tr>
      <w:tr>
        <w:trPr>
          <w:trHeight w:val="212"/>
        </w:trPr>
        <w:tc>
          <w:tcPr>
            <w:tcW w:w="8780" w:type="dxa"/>
            <w:vAlign w:val="bottom"/>
          </w:tcPr>
          <w:p>
            <w:pPr>
              <w:spacing w:after="0"/>
              <w:rPr>
                <w:sz w:val="20"/>
                <w:szCs w:val="20"/>
                <w:color w:val="auto"/>
              </w:rPr>
            </w:pPr>
            <w:r>
              <w:rPr>
                <w:rFonts w:ascii="Arial" w:cs="Arial" w:eastAsia="Arial" w:hAnsi="Arial"/>
                <w:sz w:val="17"/>
                <w:szCs w:val="17"/>
                <w:b w:val="1"/>
                <w:bCs w:val="1"/>
                <w:color w:val="auto"/>
              </w:rPr>
              <w:t>2005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Fourth quarter</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6"/>
              </w:rPr>
              <w:t>$65.55</w:t>
            </w:r>
          </w:p>
        </w:tc>
        <w:tc>
          <w:tcPr>
            <w:tcW w:w="70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2"/>
              </w:rPr>
              <w:t>$56.62</w:t>
            </w: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w w:val="92"/>
              </w:rPr>
              <w:t>$ 0.755 (1)</w:t>
            </w:r>
          </w:p>
        </w:tc>
        <w:tc>
          <w:tcPr>
            <w:tcW w:w="0" w:type="dxa"/>
            <w:vAlign w:val="bottom"/>
          </w:tcPr>
          <w:p>
            <w:pPr>
              <w:spacing w:after="0"/>
              <w:rPr>
                <w:sz w:val="1"/>
                <w:szCs w:val="1"/>
                <w:color w:val="auto"/>
              </w:rPr>
            </w:pPr>
          </w:p>
        </w:tc>
      </w:tr>
      <w:tr>
        <w:trPr>
          <w:trHeight w:val="212"/>
        </w:trPr>
        <w:tc>
          <w:tcPr>
            <w:tcW w:w="8780" w:type="dxa"/>
            <w:vAlign w:val="bottom"/>
          </w:tcPr>
          <w:p>
            <w:pPr>
              <w:ind w:left="420"/>
              <w:spacing w:after="0"/>
              <w:rPr>
                <w:sz w:val="20"/>
                <w:szCs w:val="20"/>
                <w:color w:val="auto"/>
              </w:rPr>
            </w:pPr>
            <w:r>
              <w:rPr>
                <w:rFonts w:ascii="Arial" w:cs="Arial" w:eastAsia="Arial" w:hAnsi="Arial"/>
                <w:sz w:val="17"/>
                <w:szCs w:val="17"/>
                <w:color w:val="auto"/>
              </w:rPr>
              <w:t>Third quarter</w:t>
            </w:r>
          </w:p>
        </w:tc>
        <w:tc>
          <w:tcPr>
            <w:tcW w:w="72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$65.73</w:t>
            </w:r>
          </w:p>
        </w:tc>
        <w:tc>
          <w:tcPr>
            <w:tcW w:w="700" w:type="dxa"/>
            <w:vAlign w:val="bottom"/>
            <w:gridSpan w:val="2"/>
          </w:tcPr>
          <w:p>
            <w:pPr>
              <w:jc w:val="center"/>
              <w:ind w:left="134"/>
              <w:spacing w:after="0"/>
              <w:rPr>
                <w:sz w:val="20"/>
                <w:szCs w:val="20"/>
                <w:color w:val="auto"/>
              </w:rPr>
            </w:pPr>
            <w:r>
              <w:rPr>
                <w:rFonts w:ascii="Arial" w:cs="Arial" w:eastAsia="Arial" w:hAnsi="Arial"/>
                <w:sz w:val="17"/>
                <w:szCs w:val="17"/>
                <w:color w:val="auto"/>
                <w:w w:val="92"/>
              </w:rPr>
              <w:t>$58.19</w:t>
            </w:r>
          </w:p>
        </w:tc>
        <w:tc>
          <w:tcPr>
            <w:tcW w:w="1020" w:type="dxa"/>
            <w:vAlign w:val="bottom"/>
            <w:gridSpan w:val="2"/>
          </w:tcPr>
          <w:p>
            <w:pPr>
              <w:ind w:left="440"/>
              <w:spacing w:after="0"/>
              <w:rPr>
                <w:sz w:val="20"/>
                <w:szCs w:val="20"/>
                <w:color w:val="auto"/>
              </w:rPr>
            </w:pPr>
            <w:r>
              <w:rPr>
                <w:rFonts w:ascii="Arial" w:cs="Arial" w:eastAsia="Arial" w:hAnsi="Arial"/>
                <w:sz w:val="17"/>
                <w:szCs w:val="17"/>
                <w:color w:val="auto"/>
                <w:w w:val="98"/>
              </w:rPr>
              <w:t>$ 0.555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 quarter</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6"/>
              </w:rPr>
              <w:t>$60.82</w:t>
            </w:r>
          </w:p>
        </w:tc>
        <w:tc>
          <w:tcPr>
            <w:tcW w:w="70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2"/>
              </w:rPr>
              <w:t>$47.91</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8"/>
              </w:rPr>
              <w:t>$ 0.555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80" w:type="dxa"/>
            <w:vAlign w:val="bottom"/>
          </w:tcPr>
          <w:p>
            <w:pPr>
              <w:ind w:left="420"/>
              <w:spacing w:after="0"/>
              <w:rPr>
                <w:sz w:val="20"/>
                <w:szCs w:val="20"/>
                <w:color w:val="auto"/>
              </w:rPr>
            </w:pPr>
            <w:r>
              <w:rPr>
                <w:rFonts w:ascii="Arial" w:cs="Arial" w:eastAsia="Arial" w:hAnsi="Arial"/>
                <w:sz w:val="17"/>
                <w:szCs w:val="17"/>
                <w:color w:val="auto"/>
              </w:rPr>
              <w:t>First quarter</w:t>
            </w:r>
          </w:p>
        </w:tc>
        <w:tc>
          <w:tcPr>
            <w:tcW w:w="72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$51.98</w:t>
            </w:r>
          </w:p>
        </w:tc>
        <w:tc>
          <w:tcPr>
            <w:tcW w:w="700" w:type="dxa"/>
            <w:vAlign w:val="bottom"/>
            <w:gridSpan w:val="2"/>
          </w:tcPr>
          <w:p>
            <w:pPr>
              <w:jc w:val="center"/>
              <w:ind w:left="134"/>
              <w:spacing w:after="0"/>
              <w:rPr>
                <w:sz w:val="20"/>
                <w:szCs w:val="20"/>
                <w:color w:val="auto"/>
              </w:rPr>
            </w:pPr>
            <w:r>
              <w:rPr>
                <w:rFonts w:ascii="Arial" w:cs="Arial" w:eastAsia="Arial" w:hAnsi="Arial"/>
                <w:sz w:val="17"/>
                <w:szCs w:val="17"/>
                <w:color w:val="auto"/>
                <w:w w:val="92"/>
              </w:rPr>
              <w:t>$46.50</w:t>
            </w:r>
          </w:p>
        </w:tc>
        <w:tc>
          <w:tcPr>
            <w:tcW w:w="1020" w:type="dxa"/>
            <w:vAlign w:val="bottom"/>
            <w:gridSpan w:val="2"/>
          </w:tcPr>
          <w:p>
            <w:pPr>
              <w:ind w:left="440"/>
              <w:spacing w:after="0"/>
              <w:rPr>
                <w:sz w:val="20"/>
                <w:szCs w:val="20"/>
                <w:color w:val="auto"/>
              </w:rPr>
            </w:pPr>
            <w:r>
              <w:rPr>
                <w:rFonts w:ascii="Arial" w:cs="Arial" w:eastAsia="Arial" w:hAnsi="Arial"/>
                <w:sz w:val="17"/>
                <w:szCs w:val="17"/>
                <w:color w:val="auto"/>
                <w:w w:val="98"/>
              </w:rPr>
              <w:t>$ 0.505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397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191" w:lineRule="exact"/>
        <w:rPr>
          <w:sz w:val="20"/>
          <w:szCs w:val="20"/>
          <w:color w:val="auto"/>
        </w:rPr>
      </w:pPr>
    </w:p>
    <w:p>
      <w:pPr>
        <w:ind w:right="2360" w:firstLine="6"/>
        <w:spacing w:after="0" w:line="455" w:lineRule="auto"/>
        <w:tabs>
          <w:tab w:leader="none" w:pos="4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regular dividend of $0.555 and special dividend of $0.20 resulting from the sales of condominiums at Santana Row. On February 23, 2007, there were 4,449 holders of record of our common shares.</w:t>
      </w:r>
    </w:p>
    <w:p>
      <w:pPr>
        <w:ind w:right="160"/>
        <w:spacing w:after="0" w:line="273" w:lineRule="auto"/>
        <w:rPr>
          <w:sz w:val="20"/>
          <w:szCs w:val="20"/>
          <w:color w:val="auto"/>
        </w:rPr>
      </w:pPr>
      <w:r>
        <w:rPr>
          <w:rFonts w:ascii="Arial" w:cs="Arial" w:eastAsia="Arial" w:hAnsi="Arial"/>
          <w:sz w:val="17"/>
          <w:szCs w:val="17"/>
          <w:color w:val="auto"/>
        </w:rPr>
        <w:t>Our ongoing operations generally will not be subject to federal income taxes as long as we maintain our REIT status and distribute to shareholders at least 100% of our REIT taxable income. Under the Code, REITs are subject to numerous organizational and operational requirements, including the requirement to generally distribute at least 90% of REIT taxable income. State income taxes are not material to our operations or cash flows.</w:t>
      </w:r>
    </w:p>
    <w:p>
      <w:pPr>
        <w:spacing w:after="0" w:line="128"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annual dividend rate for 39 consecutive years.</w:t>
      </w:r>
    </w:p>
    <w:p>
      <w:pPr>
        <w:spacing w:after="0" w:line="13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total annual dividends paid per common share for 2006 and 2005 were $2.440 per share and $2.320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2007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 For 2005, a portion of our distributions was designated as capital gain dividend.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5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income tax status of distributions per share paid to common shareholders: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40" w:type="dxa"/>
            <w:vAlign w:val="bottom"/>
            <w:gridSpan w:val="3"/>
          </w:tcPr>
          <w:p>
            <w:pPr>
              <w:jc w:val="right"/>
              <w:ind w:right="301"/>
              <w:spacing w:after="0"/>
              <w:rPr>
                <w:sz w:val="20"/>
                <w:szCs w:val="20"/>
                <w:color w:val="auto"/>
              </w:rPr>
            </w:pPr>
            <w:r>
              <w:rPr>
                <w:rFonts w:ascii="Arial" w:cs="Arial" w:eastAsia="Arial" w:hAnsi="Arial"/>
                <w:sz w:val="13"/>
                <w:szCs w:val="13"/>
                <w:b w:val="1"/>
                <w:bCs w:val="1"/>
                <w:color w:val="auto"/>
              </w:rPr>
              <w:t>Year Ended</w:t>
            </w:r>
          </w:p>
        </w:tc>
      </w:tr>
      <w:tr>
        <w:trPr>
          <w:trHeight w:val="158"/>
        </w:trPr>
        <w:tc>
          <w:tcPr>
            <w:tcW w:w="55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December 31,</w:t>
            </w:r>
          </w:p>
        </w:tc>
      </w:tr>
      <w:tr>
        <w:trPr>
          <w:trHeight w:val="139"/>
        </w:trPr>
        <w:tc>
          <w:tcPr>
            <w:tcW w:w="5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8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3"/>
                <w:szCs w:val="13"/>
                <w:b w:val="1"/>
                <w:bCs w:val="1"/>
                <w:color w:val="auto"/>
              </w:rPr>
              <w:t>2006</w:t>
            </w:r>
          </w:p>
        </w:tc>
        <w:tc>
          <w:tcPr>
            <w:tcW w:w="480" w:type="dxa"/>
            <w:vAlign w:val="bottom"/>
          </w:tcPr>
          <w:p>
            <w:pPr>
              <w:spacing w:after="0"/>
              <w:rPr>
                <w:sz w:val="12"/>
                <w:szCs w:val="12"/>
                <w:color w:val="auto"/>
              </w:rPr>
            </w:pPr>
          </w:p>
        </w:tc>
        <w:tc>
          <w:tcPr>
            <w:tcW w:w="480" w:type="dxa"/>
            <w:vAlign w:val="bottom"/>
            <w:tcBorders>
              <w:bottom w:val="single" w:sz="8" w:color="auto"/>
            </w:tcBorders>
          </w:tcPr>
          <w:p>
            <w:pPr>
              <w:jc w:val="right"/>
              <w:ind w:right="21"/>
              <w:spacing w:after="0" w:line="139" w:lineRule="exact"/>
              <w:rPr>
                <w:sz w:val="20"/>
                <w:szCs w:val="20"/>
                <w:color w:val="auto"/>
              </w:rPr>
            </w:pPr>
            <w:r>
              <w:rPr>
                <w:rFonts w:ascii="Arial" w:cs="Arial" w:eastAsia="Arial" w:hAnsi="Arial"/>
                <w:sz w:val="13"/>
                <w:szCs w:val="13"/>
                <w:b w:val="1"/>
                <w:bCs w:val="1"/>
                <w:color w:val="auto"/>
              </w:rPr>
              <w:t>2005</w:t>
            </w:r>
          </w:p>
        </w:tc>
      </w:tr>
      <w:tr>
        <w:trPr>
          <w:trHeight w:val="205"/>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Ordinary dividend</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$1.601</w:t>
            </w:r>
          </w:p>
        </w:tc>
      </w:tr>
      <w:tr>
        <w:trPr>
          <w:trHeight w:val="212"/>
        </w:trPr>
        <w:tc>
          <w:tcPr>
            <w:tcW w:w="5560" w:type="dxa"/>
            <w:vAlign w:val="bottom"/>
          </w:tcPr>
          <w:p>
            <w:pPr>
              <w:spacing w:after="0"/>
              <w:rPr>
                <w:sz w:val="20"/>
                <w:szCs w:val="20"/>
                <w:color w:val="auto"/>
              </w:rPr>
            </w:pPr>
            <w:r>
              <w:rPr>
                <w:rFonts w:ascii="Arial" w:cs="Arial" w:eastAsia="Arial" w:hAnsi="Arial"/>
                <w:sz w:val="17"/>
                <w:szCs w:val="17"/>
                <w:color w:val="auto"/>
              </w:rPr>
              <w:t>Ordinary dividend eligible for 15% tax rate</w:t>
            </w: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0.066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0.093</w:t>
            </w:r>
          </w:p>
        </w:tc>
      </w:tr>
      <w:tr>
        <w:trPr>
          <w:trHeight w:val="212"/>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Return of capital</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0.561</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r>
      <w:tr>
        <w:trPr>
          <w:trHeight w:val="218"/>
        </w:trPr>
        <w:tc>
          <w:tcPr>
            <w:tcW w:w="5560" w:type="dxa"/>
            <w:vAlign w:val="bottom"/>
          </w:tcPr>
          <w:p>
            <w:pPr>
              <w:spacing w:after="0"/>
              <w:rPr>
                <w:sz w:val="20"/>
                <w:szCs w:val="20"/>
                <w:color w:val="auto"/>
              </w:rPr>
            </w:pPr>
            <w:r>
              <w:rPr>
                <w:rFonts w:ascii="Arial" w:cs="Arial" w:eastAsia="Arial" w:hAnsi="Arial"/>
                <w:sz w:val="17"/>
                <w:szCs w:val="17"/>
                <w:color w:val="auto"/>
              </w:rPr>
              <w:t>Capital gain</w:t>
            </w:r>
          </w:p>
        </w:tc>
        <w:tc>
          <w:tcPr>
            <w:tcW w:w="2580" w:type="dxa"/>
            <w:vAlign w:val="bottom"/>
          </w:tcPr>
          <w:p>
            <w:pPr>
              <w:spacing w:after="0"/>
              <w:rPr>
                <w:sz w:val="18"/>
                <w:szCs w:val="18"/>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0.626</w:t>
            </w:r>
          </w:p>
        </w:tc>
      </w:tr>
      <w:tr>
        <w:trPr>
          <w:trHeight w:val="212"/>
        </w:trPr>
        <w:tc>
          <w:tcPr>
            <w:tcW w:w="55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2.320</w:t>
            </w:r>
          </w:p>
        </w:tc>
      </w:tr>
      <w:tr>
        <w:trPr>
          <w:trHeight w:val="20"/>
        </w:trPr>
        <w:tc>
          <w:tcPr>
            <w:tcW w:w="5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Distributions on our 8.5% Series B Cumulative Redeemable Preferred Shares were paid at the rate of $2.125 per share per annum, prior to distributions on our common shares. On November 27, 2006, the Trust redeemed all 5,400,000 outstanding shares of our 8.5% Series B Cumulative Redeemable Preferred Shares at their redemption price of $25.00 per share, plus accrued and unpaid dividends through the redemption date of $0.159 per share.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Shares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All equity securities sold by us during 2006 that were not registered have been previously reported in a Quarterly Report on Form 10-Q.</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0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No equity securities were purchased by us during 2006. However, 4,919 common shares were placed into treasury as a result of restricted shares forfeited by former employees.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45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102"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2002 through 2005 has been reclassified to conform to the presentation for the year ended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9"/>
          </w:tcPr>
          <w:p>
            <w:pPr>
              <w:jc w:val="center"/>
              <w:ind w:right="500"/>
              <w:spacing w:after="0"/>
              <w:rPr>
                <w:sz w:val="20"/>
                <w:szCs w:val="20"/>
                <w:color w:val="auto"/>
              </w:rPr>
            </w:pPr>
            <w:r>
              <w:rPr>
                <w:rFonts w:ascii="Arial" w:cs="Arial" w:eastAsia="Arial" w:hAnsi="Arial"/>
                <w:sz w:val="13"/>
                <w:szCs w:val="13"/>
                <w:b w:val="1"/>
                <w:bCs w:val="1"/>
                <w:color w:val="auto"/>
                <w:w w:val="92"/>
              </w:rPr>
              <w:t>For the Year Ended December 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39"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5"/>
              <w:spacing w:after="0" w:line="139" w:lineRule="exact"/>
              <w:rPr>
                <w:sz w:val="20"/>
                <w:szCs w:val="20"/>
                <w:color w:val="auto"/>
              </w:rPr>
            </w:pPr>
            <w:r>
              <w:rPr>
                <w:rFonts w:ascii="Arial" w:cs="Arial" w:eastAsia="Arial" w:hAnsi="Arial"/>
                <w:sz w:val="13"/>
                <w:szCs w:val="13"/>
                <w:b w:val="1"/>
                <w:bCs w:val="1"/>
                <w:color w:val="auto"/>
                <w:w w:val="89"/>
              </w:rPr>
              <w:t>2004</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2003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39" w:lineRule="exact"/>
              <w:rPr>
                <w:sz w:val="20"/>
                <w:szCs w:val="20"/>
                <w:color w:val="auto"/>
              </w:rPr>
            </w:pPr>
            <w:r>
              <w:rPr>
                <w:rFonts w:ascii="Arial" w:cs="Arial" w:eastAsia="Arial" w:hAnsi="Arial"/>
                <w:sz w:val="13"/>
                <w:szCs w:val="13"/>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9"/>
          </w:tcPr>
          <w:p>
            <w:pPr>
              <w:jc w:val="center"/>
              <w:ind w:right="480"/>
              <w:spacing w:after="0" w:line="139" w:lineRule="exact"/>
              <w:rPr>
                <w:sz w:val="20"/>
                <w:szCs w:val="20"/>
                <w:color w:val="auto"/>
              </w:rPr>
            </w:pPr>
            <w:r>
              <w:rPr>
                <w:rFonts w:ascii="Arial" w:cs="Arial" w:eastAsia="Arial" w:hAnsi="Arial"/>
                <w:sz w:val="13"/>
                <w:szCs w:val="13"/>
                <w:b w:val="1"/>
                <w:bCs w:val="1"/>
                <w:color w:val="auto"/>
                <w:w w:val="91"/>
              </w:rPr>
              <w:t>(In thousands, except per share data and ratios)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Data:</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Rental income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438,201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393,548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368,299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334,865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297,286</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Property operating income(1)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284,361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229,810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203,361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95,076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84,433</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64,041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67,500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38,648</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Income before gain on sale of real estate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83,864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45,833</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23,956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30,748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14,052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20,053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19,101</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Loss on abandoned developments held for sale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(9,647)</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118,712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114,612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84,156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94,497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55,287</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103,137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35,862</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Net cash provided by operating activities(2)</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184,401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174,941</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174,148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136,393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131,372</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(317,429)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(152,730)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0"/>
              </w:rPr>
              <w:t>(157,611)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(98,166)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3"/>
              </w:rPr>
              <w:t>(185,983)</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7"/>
                <w:szCs w:val="17"/>
                <w:color w:val="auto"/>
              </w:rPr>
              <w:t>Net cash (used in ) provided by financing</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00" w:type="dxa"/>
            <w:vAlign w:val="bottom"/>
          </w:tcPr>
          <w:p>
            <w:pPr>
              <w:ind w:left="220"/>
              <w:spacing w:after="0"/>
              <w:rPr>
                <w:sz w:val="20"/>
                <w:szCs w:val="20"/>
                <w:color w:val="auto"/>
              </w:rPr>
            </w:pPr>
            <w:r>
              <w:rPr>
                <w:rFonts w:ascii="Arial" w:cs="Arial" w:eastAsia="Arial" w:hAnsi="Arial"/>
                <w:sz w:val="17"/>
                <w:szCs w:val="17"/>
                <w:color w:val="auto"/>
              </w:rPr>
              <w:t>activities(2)</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135,884</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(44,047)</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(21,030)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(26,382)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60,171</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on common shares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124,928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82,273</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52,533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41,624</w:t>
            </w:r>
          </w:p>
        </w:tc>
        <w:tc>
          <w:tcPr>
            <w:tcW w:w="0" w:type="dxa"/>
            <w:vAlign w:val="bottom"/>
          </w:tcPr>
          <w:p>
            <w:pPr>
              <w:spacing w:after="0"/>
              <w:rPr>
                <w:sz w:val="1"/>
                <w:szCs w:val="1"/>
                <w:color w:val="auto"/>
              </w:rPr>
            </w:pPr>
          </w:p>
        </w:tc>
      </w:tr>
      <w:tr>
        <w:trPr>
          <w:trHeight w:val="212"/>
        </w:trPr>
        <w:tc>
          <w:tcPr>
            <w:tcW w:w="5600" w:type="dxa"/>
            <w:vAlign w:val="bottom"/>
          </w:tcPr>
          <w:p>
            <w:pPr>
              <w:ind w:left="420"/>
              <w:spacing w:after="0"/>
              <w:rPr>
                <w:sz w:val="20"/>
                <w:szCs w:val="20"/>
                <w:color w:val="auto"/>
              </w:rPr>
            </w:pPr>
            <w:r>
              <w:rPr>
                <w:rFonts w:ascii="Arial" w:cs="Arial" w:eastAsia="Arial" w:hAnsi="Arial"/>
                <w:sz w:val="17"/>
                <w:szCs w:val="17"/>
                <w:color w:val="auto"/>
              </w:rPr>
              <w:t>Diluted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53,962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53,050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51,547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48,619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42,882</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ind w:left="420"/>
              <w:spacing w:after="0"/>
              <w:rPr>
                <w:sz w:val="20"/>
                <w:szCs w:val="20"/>
                <w:color w:val="auto"/>
              </w:rPr>
            </w:pPr>
            <w:r>
              <w:rPr>
                <w:rFonts w:ascii="Arial" w:cs="Arial" w:eastAsia="Arial" w:hAnsi="Arial"/>
                <w:sz w:val="17"/>
                <w:szCs w:val="17"/>
                <w:color w:val="auto"/>
              </w:rPr>
              <w:t>Income from continuing operations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1.39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1.96</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ind w:left="420"/>
              <w:spacing w:after="0"/>
              <w:rPr>
                <w:sz w:val="20"/>
                <w:szCs w:val="20"/>
                <w:color w:val="auto"/>
              </w:rPr>
            </w:pPr>
            <w:r>
              <w:rPr>
                <w:rFonts w:ascii="Arial" w:cs="Arial" w:eastAsia="Arial" w:hAnsi="Arial"/>
                <w:sz w:val="17"/>
                <w:szCs w:val="17"/>
                <w:color w:val="auto"/>
              </w:rPr>
              <w:t>Income from continuing operations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1.37</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1.94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59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common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316"/>
        </w:trPr>
        <w:tc>
          <w:tcPr>
            <w:tcW w:w="5600" w:type="dxa"/>
            <w:vAlign w:val="bottom"/>
          </w:tcPr>
          <w:p>
            <w:pPr>
              <w:spacing w:after="0"/>
              <w:rPr>
                <w:sz w:val="20"/>
                <w:szCs w:val="20"/>
                <w:color w:val="auto"/>
              </w:rPr>
            </w:pPr>
            <w:r>
              <w:rPr>
                <w:rFonts w:ascii="Arial" w:cs="Arial" w:eastAsia="Arial" w:hAnsi="Arial"/>
                <w:sz w:val="17"/>
                <w:szCs w:val="17"/>
                <w:b w:val="1"/>
                <w:bCs w:val="1"/>
                <w:color w:val="auto"/>
              </w:rPr>
              <w:t>Other Data:</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 available to common shareholders(3)(4)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163,544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131,257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80,856</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rPr>
              <w:t>EBITDA(5)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316,783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292,465</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258,143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243,956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183,488</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261,717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223,903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174,034</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Arial" w:cs="Arial" w:eastAsia="Arial" w:hAnsi="Arial"/>
                <w:sz w:val="17"/>
                <w:szCs w:val="17"/>
                <w:color w:val="auto"/>
                <w:w w:val="92"/>
              </w:rPr>
              <w:t>Ratio of EBITDA to combined fixed charges and preferred share dividends(5)(6)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2.6x</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2.7x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2.5x</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2.2x</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1.7x</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Ratio of Adjusted EBITDA to combined fixed charges and preferred share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dividends(5)(6)</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2.4x</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2.4x</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2.4x</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1.6x</w:t>
            </w:r>
          </w:p>
        </w:tc>
        <w:tc>
          <w:tcPr>
            <w:tcW w:w="0" w:type="dxa"/>
            <w:vAlign w:val="bottom"/>
          </w:tcPr>
          <w:p>
            <w:pPr>
              <w:spacing w:after="0"/>
              <w:rPr>
                <w:sz w:val="1"/>
                <w:szCs w:val="1"/>
                <w:color w:val="auto"/>
              </w:rPr>
            </w:pPr>
          </w:p>
        </w:tc>
      </w:tr>
      <w:tr>
        <w:trPr>
          <w:trHeight w:val="355"/>
        </w:trPr>
        <w:tc>
          <w:tcPr>
            <w:tcW w:w="5600" w:type="dxa"/>
            <w:vAlign w:val="bottom"/>
          </w:tcPr>
          <w:p>
            <w:pPr>
              <w:spacing w:after="0"/>
              <w:rPr>
                <w:sz w:val="24"/>
                <w:szCs w:val="24"/>
                <w:color w:val="auto"/>
              </w:rPr>
            </w:pPr>
          </w:p>
        </w:tc>
        <w:tc>
          <w:tcPr>
            <w:tcW w:w="560" w:type="dxa"/>
            <w:vAlign w:val="bottom"/>
          </w:tcPr>
          <w:p>
            <w:pPr>
              <w:jc w:val="right"/>
              <w:ind w:right="274"/>
              <w:spacing w:after="0"/>
              <w:rPr>
                <w:sz w:val="20"/>
                <w:szCs w:val="20"/>
                <w:color w:val="auto"/>
              </w:rPr>
            </w:pPr>
            <w:r>
              <w:rPr>
                <w:rFonts w:ascii="Arial" w:cs="Arial" w:eastAsia="Arial" w:hAnsi="Arial"/>
                <w:sz w:val="17"/>
                <w:szCs w:val="17"/>
                <w:color w:val="auto"/>
                <w:w w:val="94"/>
              </w:rPr>
              <w:t>29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39"/>
        </w:trPr>
        <w:tc>
          <w:tcPr>
            <w:tcW w:w="5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39" w:lineRule="exact"/>
              <w:rPr>
                <w:sz w:val="20"/>
                <w:szCs w:val="20"/>
                <w:color w:val="auto"/>
              </w:rPr>
            </w:pPr>
            <w:r>
              <w:rPr>
                <w:rFonts w:ascii="Arial" w:cs="Arial" w:eastAsia="Arial" w:hAnsi="Arial"/>
                <w:sz w:val="13"/>
                <w:szCs w:val="13"/>
                <w:b w:val="1"/>
                <w:bCs w:val="1"/>
                <w:color w:val="auto"/>
              </w:rPr>
              <w:t>2006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8"/>
              <w:spacing w:after="0" w:line="139" w:lineRule="exact"/>
              <w:rPr>
                <w:sz w:val="20"/>
                <w:szCs w:val="20"/>
                <w:color w:val="auto"/>
              </w:rPr>
            </w:pPr>
            <w:r>
              <w:rPr>
                <w:rFonts w:ascii="Arial" w:cs="Arial" w:eastAsia="Arial" w:hAnsi="Arial"/>
                <w:sz w:val="13"/>
                <w:szCs w:val="13"/>
                <w:b w:val="1"/>
                <w:bCs w:val="1"/>
                <w:color w:val="auto"/>
              </w:rPr>
              <w:t>2005</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3"/>
                <w:szCs w:val="13"/>
                <w:b w:val="1"/>
                <w:bCs w:val="1"/>
                <w:color w:val="auto"/>
              </w:rPr>
              <w:t>2004</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3"/>
                <w:szCs w:val="13"/>
                <w:b w:val="1"/>
                <w:bCs w:val="1"/>
                <w:color w:val="auto"/>
              </w:rPr>
              <w:t>2003</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3"/>
                <w:szCs w:val="13"/>
                <w:b w:val="1"/>
                <w:bCs w:val="1"/>
                <w:color w:val="auto"/>
              </w:rPr>
              <w:t>2002</w:t>
            </w:r>
          </w:p>
        </w:tc>
      </w:tr>
      <w:tr>
        <w:trPr>
          <w:trHeight w:val="139"/>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(In</w:t>
            </w:r>
          </w:p>
        </w:tc>
        <w:tc>
          <w:tcPr>
            <w:tcW w:w="126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w w:val="85"/>
              </w:rPr>
              <w:t>thousands, except per</w:t>
            </w:r>
          </w:p>
        </w:tc>
        <w:tc>
          <w:tcPr>
            <w:tcW w:w="340" w:type="dxa"/>
            <w:vAlign w:val="bottom"/>
          </w:tcPr>
          <w:p>
            <w:pPr>
              <w:spacing w:after="0" w:line="139" w:lineRule="exact"/>
              <w:rPr>
                <w:sz w:val="20"/>
                <w:szCs w:val="20"/>
                <w:color w:val="auto"/>
              </w:rPr>
            </w:pPr>
            <w:r>
              <w:rPr>
                <w:rFonts w:ascii="Arial" w:cs="Arial" w:eastAsia="Arial" w:hAnsi="Arial"/>
                <w:sz w:val="13"/>
                <w:szCs w:val="13"/>
                <w:b w:val="1"/>
                <w:bCs w:val="1"/>
                <w:color w:val="auto"/>
                <w:w w:val="92"/>
              </w:rPr>
              <w:t>share</w:t>
            </w:r>
          </w:p>
        </w:tc>
        <w:tc>
          <w:tcPr>
            <w:tcW w:w="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data)</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5460" w:type="dxa"/>
            <w:vAlign w:val="bottom"/>
          </w:tcPr>
          <w:p>
            <w:pPr>
              <w:spacing w:after="0"/>
              <w:rPr>
                <w:sz w:val="20"/>
                <w:szCs w:val="20"/>
                <w:color w:val="auto"/>
              </w:rPr>
            </w:pPr>
            <w:r>
              <w:rPr>
                <w:rFonts w:ascii="Arial" w:cs="Arial" w:eastAsia="Arial" w:hAnsi="Arial"/>
                <w:sz w:val="17"/>
                <w:szCs w:val="17"/>
                <w:color w:val="auto"/>
              </w:rPr>
              <w:t>Real estate at cost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3,204,258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2,829,321</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2,666,276</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2,470,149</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2,306,826</w:t>
            </w:r>
          </w:p>
        </w:tc>
      </w:tr>
      <w:tr>
        <w:trPr>
          <w:trHeight w:val="21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2,688,606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2,350,852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2,266,896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2,141,185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1,996,662</w:t>
            </w:r>
          </w:p>
        </w:tc>
      </w:tr>
      <w:tr>
        <w:trPr>
          <w:trHeight w:val="212"/>
        </w:trPr>
        <w:tc>
          <w:tcPr>
            <w:tcW w:w="5460" w:type="dxa"/>
            <w:vAlign w:val="bottom"/>
          </w:tcPr>
          <w:p>
            <w:pPr>
              <w:spacing w:after="0"/>
              <w:rPr>
                <w:sz w:val="20"/>
                <w:szCs w:val="20"/>
                <w:color w:val="auto"/>
              </w:rPr>
            </w:pPr>
            <w:r>
              <w:rPr>
                <w:rFonts w:ascii="Arial" w:cs="Arial" w:eastAsia="Arial" w:hAnsi="Arial"/>
                <w:sz w:val="17"/>
                <w:szCs w:val="17"/>
                <w:color w:val="auto"/>
              </w:rPr>
              <w:t>Mortgage, construction loans and capital lease obligations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460,398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419,713</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410,885</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414,357</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383,812</w:t>
            </w:r>
          </w:p>
        </w:tc>
      </w:tr>
      <w:tr>
        <w:trPr>
          <w:trHeight w:val="21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316,755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325,051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361,323</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207,711</w:t>
            </w:r>
          </w:p>
        </w:tc>
      </w:tr>
      <w:tr>
        <w:trPr>
          <w:trHeight w:val="212"/>
        </w:trPr>
        <w:tc>
          <w:tcPr>
            <w:tcW w:w="5460" w:type="dxa"/>
            <w:vAlign w:val="bottom"/>
          </w:tcPr>
          <w:p>
            <w:pPr>
              <w:spacing w:after="0"/>
              <w:rPr>
                <w:sz w:val="20"/>
                <w:szCs w:val="20"/>
                <w:color w:val="auto"/>
              </w:rPr>
            </w:pPr>
            <w:r>
              <w:rPr>
                <w:rFonts w:ascii="Arial" w:cs="Arial" w:eastAsia="Arial" w:hAnsi="Arial"/>
                <w:sz w:val="17"/>
                <w:szCs w:val="17"/>
                <w:color w:val="auto"/>
              </w:rPr>
              <w:t>Senior notes and debentures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1,127,508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653,675</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568,121</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532,750</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532,284</w:t>
            </w:r>
          </w:p>
        </w:tc>
      </w:tr>
      <w:tr>
        <w:trPr>
          <w:trHeight w:val="21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Convertible subordinated debentures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r>
      <w:tr>
        <w:trPr>
          <w:trHeight w:val="212"/>
        </w:trPr>
        <w:tc>
          <w:tcPr>
            <w:tcW w:w="5460" w:type="dxa"/>
            <w:vAlign w:val="bottom"/>
          </w:tcPr>
          <w:p>
            <w:pPr>
              <w:spacing w:after="0"/>
              <w:rPr>
                <w:sz w:val="20"/>
                <w:szCs w:val="20"/>
                <w:color w:val="auto"/>
              </w:rPr>
            </w:pPr>
            <w:r>
              <w:rPr>
                <w:rFonts w:ascii="Arial" w:cs="Arial" w:eastAsia="Arial" w:hAnsi="Arial"/>
                <w:sz w:val="17"/>
                <w:szCs w:val="17"/>
                <w:color w:val="auto"/>
              </w:rPr>
              <w:t>Redeemable preferred shares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135,000</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135,000</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135,000</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235,000</w:t>
            </w:r>
          </w:p>
        </w:tc>
      </w:tr>
      <w:tr>
        <w:trPr>
          <w:trHeight w:val="21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784,078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774,847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691,374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644,287</w:t>
            </w:r>
          </w:p>
        </w:tc>
      </w:tr>
      <w:tr>
        <w:trPr>
          <w:trHeight w:val="217"/>
        </w:trPr>
        <w:tc>
          <w:tcPr>
            <w:tcW w:w="5460" w:type="dxa"/>
            <w:vAlign w:val="bottom"/>
          </w:tcPr>
          <w:p>
            <w:pPr>
              <w:spacing w:after="0"/>
              <w:rPr>
                <w:sz w:val="20"/>
                <w:szCs w:val="20"/>
                <w:color w:val="auto"/>
              </w:rPr>
            </w:pPr>
            <w:r>
              <w:rPr>
                <w:rFonts w:ascii="Arial" w:cs="Arial" w:eastAsia="Arial" w:hAnsi="Arial"/>
                <w:sz w:val="17"/>
                <w:szCs w:val="17"/>
                <w:color w:val="auto"/>
              </w:rPr>
              <w:t>Number of common shares outstanding</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55,321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52,891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52,137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49,201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397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191" w:lineRule="exact"/>
        <w:rPr>
          <w:sz w:val="20"/>
          <w:szCs w:val="20"/>
          <w:color w:val="auto"/>
        </w:rPr>
      </w:pPr>
    </w:p>
    <w:p>
      <w:pPr>
        <w:ind w:left="460" w:right="400" w:hanging="454"/>
        <w:spacing w:after="0" w:line="280"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ind w:left="460" w:hanging="454"/>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Determined in accordance with Financial Accounting Standards Board (“FASB”) Statement No. 95, Statement of Cash Flows.</w:t>
      </w:r>
    </w:p>
    <w:p>
      <w:pPr>
        <w:spacing w:after="0" w:line="16" w:lineRule="exact"/>
        <w:rPr>
          <w:rFonts w:ascii="Arial" w:cs="Arial" w:eastAsia="Arial" w:hAnsi="Arial"/>
          <w:sz w:val="17"/>
          <w:szCs w:val="17"/>
          <w:color w:val="auto"/>
        </w:rPr>
      </w:pPr>
    </w:p>
    <w:p>
      <w:pPr>
        <w:ind w:left="460" w:right="20" w:hanging="454"/>
        <w:spacing w:after="0" w:line="28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w:t>
      </w:r>
    </w:p>
    <w:p>
      <w:pPr>
        <w:spacing w:after="0" w:line="38" w:lineRule="exact"/>
        <w:rPr>
          <w:rFonts w:ascii="Arial" w:cs="Arial" w:eastAsia="Arial" w:hAnsi="Arial"/>
          <w:sz w:val="16"/>
          <w:szCs w:val="16"/>
          <w:color w:val="auto"/>
        </w:rPr>
      </w:pPr>
    </w:p>
    <w:p>
      <w:pPr>
        <w:ind w:left="460" w:right="20"/>
        <w:spacing w:after="0" w:line="265"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3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2006</w:t>
            </w:r>
          </w:p>
        </w:tc>
        <w:tc>
          <w:tcPr>
            <w:tcW w:w="500" w:type="dxa"/>
            <w:vAlign w:val="bottom"/>
          </w:tcPr>
          <w:p>
            <w:pPr>
              <w:spacing w:after="0"/>
              <w:rPr>
                <w:sz w:val="13"/>
                <w:szCs w:val="13"/>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2003</w:t>
            </w:r>
          </w:p>
        </w:tc>
        <w:tc>
          <w:tcPr>
            <w:tcW w:w="500" w:type="dxa"/>
            <w:vAlign w:val="bottom"/>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3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$ 118,712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$ 114,612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$ 55,287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380" w:type="dxa"/>
            <w:vAlign w:val="bottom"/>
            <w:gridSpan w:val="3"/>
          </w:tcPr>
          <w:p>
            <w:pPr>
              <w:jc w:val="right"/>
              <w:ind w:right="440"/>
              <w:spacing w:after="0"/>
              <w:rPr>
                <w:sz w:val="20"/>
                <w:szCs w:val="20"/>
                <w:color w:val="auto"/>
              </w:rPr>
            </w:pPr>
            <w:r>
              <w:rPr>
                <w:rFonts w:ascii="Arial" w:cs="Arial" w:eastAsia="Arial" w:hAnsi="Arial"/>
                <w:sz w:val="17"/>
                <w:szCs w:val="17"/>
                <w:color w:val="auto"/>
              </w:rPr>
              <w:t>(23,956)</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(30,748)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(14,052)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(20,053)</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(19,101)</w:t>
            </w: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23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88,649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82,752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68,202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2380" w:type="dxa"/>
            <w:vAlign w:val="bottom"/>
            <w:gridSpan w:val="3"/>
          </w:tcPr>
          <w:p>
            <w:pPr>
              <w:jc w:val="right"/>
              <w:ind w:right="500"/>
              <w:spacing w:after="0"/>
              <w:rPr>
                <w:sz w:val="20"/>
                <w:szCs w:val="20"/>
                <w:color w:val="auto"/>
              </w:rPr>
            </w:pPr>
            <w:r>
              <w:rPr>
                <w:rFonts w:ascii="Arial" w:cs="Arial" w:eastAsia="Arial" w:hAnsi="Arial"/>
                <w:sz w:val="17"/>
                <w:szCs w:val="17"/>
                <w:color w:val="auto"/>
              </w:rPr>
              <w:t>7,390</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6,972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5,801</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1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768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7"/>
                <w:szCs w:val="17"/>
                <w:color w:val="auto"/>
              </w:rPr>
              <w:t>Funds from operations</w:t>
            </w:r>
          </w:p>
        </w:tc>
        <w:tc>
          <w:tcPr>
            <w:tcW w:w="1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191,563</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174,218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159,091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148,447</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99,541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23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(10,423)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(11,475)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(15,084)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(19,425)</w:t>
            </w:r>
          </w:p>
        </w:tc>
        <w:tc>
          <w:tcPr>
            <w:tcW w:w="0" w:type="dxa"/>
            <w:vAlign w:val="bottom"/>
          </w:tcPr>
          <w:p>
            <w:pPr>
              <w:spacing w:after="0"/>
              <w:rPr>
                <w:sz w:val="1"/>
                <w:szCs w:val="1"/>
                <w:color w:val="auto"/>
              </w:rPr>
            </w:pPr>
          </w:p>
        </w:tc>
      </w:tr>
      <w:tr>
        <w:trPr>
          <w:trHeight w:val="212"/>
        </w:trPr>
        <w:tc>
          <w:tcPr>
            <w:tcW w:w="484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2380" w:type="dxa"/>
            <w:vAlign w:val="bottom"/>
            <w:gridSpan w:val="3"/>
          </w:tcPr>
          <w:p>
            <w:pPr>
              <w:jc w:val="right"/>
              <w:ind w:right="500"/>
              <w:spacing w:after="0"/>
              <w:rPr>
                <w:sz w:val="20"/>
                <w:szCs w:val="20"/>
                <w:color w:val="auto"/>
              </w:rPr>
            </w:pPr>
            <w:r>
              <w:rPr>
                <w:rFonts w:ascii="Arial" w:cs="Arial" w:eastAsia="Arial" w:hAnsi="Arial"/>
                <w:sz w:val="17"/>
                <w:szCs w:val="17"/>
                <w:color w:val="auto"/>
              </w:rPr>
              <w:t>748</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801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1,317</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redemption costs</w:t>
            </w:r>
          </w:p>
        </w:tc>
        <w:tc>
          <w:tcPr>
            <w:tcW w:w="1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(4,775)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40" w:type="dxa"/>
            <w:vAlign w:val="bottom"/>
            <w:vMerge w:val="continue"/>
          </w:tcPr>
          <w:p>
            <w:pPr>
              <w:spacing w:after="0"/>
              <w:rPr>
                <w:sz w:val="18"/>
                <w:szCs w:val="18"/>
                <w:color w:val="auto"/>
              </w:rPr>
            </w:pPr>
          </w:p>
        </w:tc>
        <w:tc>
          <w:tcPr>
            <w:tcW w:w="2380" w:type="dxa"/>
            <w:vAlign w:val="bottom"/>
            <w:gridSpan w:val="3"/>
          </w:tcPr>
          <w:p>
            <w:pPr>
              <w:jc w:val="right"/>
              <w:ind w:right="500"/>
              <w:spacing w:after="0"/>
              <w:rPr>
                <w:sz w:val="20"/>
                <w:szCs w:val="20"/>
                <w:color w:val="auto"/>
              </w:rPr>
            </w:pPr>
            <w:r>
              <w:rPr>
                <w:rFonts w:ascii="Arial" w:cs="Arial" w:eastAsia="Arial" w:hAnsi="Arial"/>
                <w:sz w:val="17"/>
                <w:szCs w:val="17"/>
                <w:color w:val="auto"/>
              </w:rPr>
              <w:t>$ 177,113</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163,544</w:t>
            </w: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148,671</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131,257</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3"/>
              </w:rPr>
              <w:t>$ 80,856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20" w:type="dxa"/>
            <w:vAlign w:val="bottom"/>
            <w:vMerge w:val="restart"/>
          </w:tcPr>
          <w:p>
            <w:pPr>
              <w:jc w:val="right"/>
              <w:ind w:right="174"/>
              <w:spacing w:after="0"/>
              <w:rPr>
                <w:sz w:val="20"/>
                <w:szCs w:val="20"/>
                <w:color w:val="auto"/>
              </w:rPr>
            </w:pPr>
            <w:r>
              <w:rPr>
                <w:rFonts w:ascii="Arial" w:cs="Arial" w:eastAsia="Arial" w:hAnsi="Arial"/>
                <w:sz w:val="17"/>
                <w:szCs w:val="17"/>
                <w:color w:val="auto"/>
              </w:rPr>
              <w:t>30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8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160" w:hanging="454"/>
        <w:spacing w:after="0" w:line="262"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$3.1 million and $8.0 million of insurance recoveries in 2004 and 2003, respectively, attributable to rental income lost at Santana Row as a result of the August 2002 fire. Insurance recoveries received in 2005 were insignificant. Excluding these items, funds from operations available for common shareholders in 2004 and 2003 would have been $145.6 million and $123.3 million, respectively.</w:t>
      </w:r>
    </w:p>
    <w:p>
      <w:pPr>
        <w:spacing w:after="0" w:line="1" w:lineRule="exact"/>
        <w:rPr>
          <w:rFonts w:ascii="Arial" w:cs="Arial" w:eastAsia="Arial" w:hAnsi="Arial"/>
          <w:sz w:val="17"/>
          <w:szCs w:val="17"/>
          <w:color w:val="auto"/>
        </w:rPr>
      </w:pPr>
    </w:p>
    <w:p>
      <w:pPr>
        <w:ind w:left="460" w:right="40" w:hanging="454"/>
        <w:spacing w:after="0" w:line="308"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0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The reconciliation of Adjusted EBITDA to net income for the periods presented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2004</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2002</w:t>
            </w:r>
          </w:p>
        </w:tc>
        <w:tc>
          <w:tcPr>
            <w:tcW w:w="60" w:type="dxa"/>
            <w:vAlign w:val="bottom"/>
          </w:tcPr>
          <w:p>
            <w:pPr>
              <w:spacing w:after="0"/>
              <w:rPr>
                <w:sz w:val="13"/>
                <w:szCs w:val="13"/>
                <w:color w:val="auto"/>
              </w:rPr>
            </w:pPr>
          </w:p>
        </w:tc>
      </w:tr>
      <w:tr>
        <w:trPr>
          <w:trHeight w:val="139"/>
        </w:trPr>
        <w:tc>
          <w:tcPr>
            <w:tcW w:w="6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$ 118,712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$ 114,612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94,497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55,287</w:t>
            </w:r>
          </w:p>
        </w:tc>
        <w:tc>
          <w:tcPr>
            <w:tcW w:w="60" w:type="dxa"/>
            <w:vAlign w:val="bottom"/>
            <w:shd w:val="clear" w:color="auto" w:fill="CCEEFF"/>
          </w:tcPr>
          <w:p>
            <w:pPr>
              <w:spacing w:after="0"/>
              <w:rPr>
                <w:sz w:val="18"/>
                <w:szCs w:val="18"/>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7"/>
                <w:szCs w:val="17"/>
                <w:color w:val="auto"/>
              </w:rPr>
              <w:t>97,879</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91,503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90,438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75,503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64,529</w:t>
            </w:r>
          </w:p>
        </w:tc>
        <w:tc>
          <w:tcPr>
            <w:tcW w:w="60" w:type="dxa"/>
            <w:vAlign w:val="bottom"/>
          </w:tcPr>
          <w:p>
            <w:pPr>
              <w:spacing w:after="0"/>
              <w:rPr>
                <w:sz w:val="18"/>
                <w:szCs w:val="18"/>
                <w:color w:val="auto"/>
              </w:rPr>
            </w:pP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102,808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88,566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75,232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65,058</w:t>
            </w:r>
          </w:p>
        </w:tc>
        <w:tc>
          <w:tcPr>
            <w:tcW w:w="60" w:type="dxa"/>
            <w:vAlign w:val="bottom"/>
            <w:shd w:val="clear" w:color="auto" w:fill="CCEEFF"/>
          </w:tcPr>
          <w:p>
            <w:pPr>
              <w:spacing w:after="0"/>
              <w:rPr>
                <w:sz w:val="18"/>
                <w:szCs w:val="18"/>
                <w:color w:val="auto"/>
              </w:rPr>
            </w:pPr>
          </w:p>
        </w:tc>
      </w:tr>
      <w:tr>
        <w:trPr>
          <w:trHeight w:val="218"/>
        </w:trPr>
        <w:tc>
          <w:tcPr>
            <w:tcW w:w="6020" w:type="dxa"/>
            <w:vAlign w:val="bottom"/>
          </w:tcPr>
          <w:p>
            <w:pPr>
              <w:spacing w:after="0"/>
              <w:rPr>
                <w:sz w:val="20"/>
                <w:szCs w:val="20"/>
                <w:color w:val="auto"/>
              </w:rPr>
            </w:pPr>
            <w:r>
              <w:rPr>
                <w:rFonts w:ascii="Arial" w:cs="Arial" w:eastAsia="Arial" w:hAnsi="Arial"/>
                <w:sz w:val="17"/>
                <w:szCs w:val="17"/>
                <w:color w:val="auto"/>
              </w:rPr>
              <w:t>Other interest income</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(2,616)</w:t>
            </w:r>
          </w:p>
        </w:tc>
        <w:tc>
          <w:tcPr>
            <w:tcW w:w="1140" w:type="dxa"/>
            <w:vAlign w:val="bottom"/>
            <w:gridSpan w:val="3"/>
          </w:tcPr>
          <w:p>
            <w:pPr>
              <w:jc w:val="right"/>
              <w:ind w:right="200"/>
              <w:spacing w:after="0"/>
              <w:rPr>
                <w:sz w:val="20"/>
                <w:szCs w:val="20"/>
                <w:color w:val="auto"/>
              </w:rPr>
            </w:pPr>
            <w:r>
              <w:rPr>
                <w:rFonts w:ascii="Arial" w:cs="Arial" w:eastAsia="Arial" w:hAnsi="Arial"/>
                <w:sz w:val="17"/>
                <w:szCs w:val="17"/>
                <w:color w:val="auto"/>
              </w:rPr>
              <w:t>(2,216)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(1,509)</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(1,276)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(1,386)</w:t>
            </w: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316,783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292,465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258,143</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243,956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183,488</w:t>
            </w:r>
          </w:p>
        </w:tc>
        <w:tc>
          <w:tcPr>
            <w:tcW w:w="60" w:type="dxa"/>
            <w:vAlign w:val="bottom"/>
            <w:shd w:val="clear" w:color="auto" w:fill="CCEEFF"/>
          </w:tcPr>
          <w:p>
            <w:pPr>
              <w:spacing w:after="0"/>
              <w:rPr>
                <w:sz w:val="18"/>
                <w:szCs w:val="18"/>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(23,956)</w:t>
            </w:r>
          </w:p>
        </w:tc>
        <w:tc>
          <w:tcPr>
            <w:tcW w:w="1140" w:type="dxa"/>
            <w:vAlign w:val="bottom"/>
            <w:gridSpan w:val="3"/>
          </w:tcPr>
          <w:p>
            <w:pPr>
              <w:jc w:val="right"/>
              <w:ind w:right="200"/>
              <w:spacing w:after="0"/>
              <w:rPr>
                <w:sz w:val="20"/>
                <w:szCs w:val="20"/>
                <w:color w:val="auto"/>
              </w:rPr>
            </w:pPr>
            <w:r>
              <w:rPr>
                <w:rFonts w:ascii="Arial" w:cs="Arial" w:eastAsia="Arial" w:hAnsi="Arial"/>
                <w:sz w:val="17"/>
                <w:szCs w:val="17"/>
                <w:color w:val="auto"/>
              </w:rPr>
              <w:t>(30,748)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(14,052)</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(20,053)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(19,101)</w:t>
            </w:r>
          </w:p>
        </w:tc>
      </w:tr>
      <w:tr>
        <w:trPr>
          <w:trHeight w:val="203"/>
        </w:trPr>
        <w:tc>
          <w:tcPr>
            <w:tcW w:w="6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on abandoned developments</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6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held for sale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9,647</w:t>
            </w:r>
          </w:p>
        </w:tc>
        <w:tc>
          <w:tcPr>
            <w:tcW w:w="60" w:type="dxa"/>
            <w:vAlign w:val="bottom"/>
            <w:shd w:val="clear" w:color="auto" w:fill="CCEEFF"/>
          </w:tcPr>
          <w:p>
            <w:pPr>
              <w:spacing w:after="0"/>
              <w:rPr>
                <w:sz w:val="19"/>
                <w:szCs w:val="19"/>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7"/>
                <w:szCs w:val="17"/>
                <w:color w:val="auto"/>
              </w:rPr>
              <w:t>Adjusted EBITDA</w:t>
            </w: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292,827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261,717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244,091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223,903</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174,034</w:t>
            </w:r>
          </w:p>
        </w:tc>
        <w:tc>
          <w:tcPr>
            <w:tcW w:w="6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80" w:hanging="454"/>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and expense and the portion of rent expense representing an interest factor. Preferred share dividends consist of dividends paid on preferred shares and preferred stock redemption costs. Our Series A preferred shares were redeemed in full in June 2003 and our Series B preferred shares were redeemed in full in November 2006.</w:t>
      </w:r>
    </w:p>
    <w:p>
      <w:pPr>
        <w:spacing w:after="0" w:line="22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2"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The following discussion should be read in conjunction with the consolidated financial statements and notes thereto appearing in “Item 8. Financial Statements and Supplementary Data” of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December 31, 2006, we owned or had a majority interest in 111 community and neighborhood shopping centers and mixed-use properties comprising approximately 18.8 million square feet. Our properties are located primarily in densely populated and affluent communities in strategic metropolitan markets in the Mid-Atlantic and Northeast regions of the United States, as well as in California. In total, these 111 commercial properties were 96.5% leased at December 31, 2006. A joint venture in which we own a 30% interest owned four neighborhood shopping centers totaling approximately 0.7 million square feet as of December 31, 2006. In total, the joint venture properties in which we own an interest were 98.7% leased at December 31, 2006. We have paid quarterly dividends to our shareholders continuously since our founding in 1962 and have increased our dividends per common share for 39 consecutive years.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0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or accrual results could have a material impact on our consolidated results of operations or financial condition.</w:t>
      </w:r>
    </w:p>
    <w:p>
      <w:pPr>
        <w:spacing w:after="0" w:line="134"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 most significant accounting policies, which involve the use of estimates and assumptions as to future uncertainties and, therefore, may result in actual amounts that differ from estimates,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9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We make estimates of the collectibility of our accounts receivable related to base rents, straight-line rents, expense reimbursements and other revenue or income taking into account our expertise in the retail sector, tenant credit information both internally and externally available, payment history, industry trends, tenant credit-worthiness and the length of remaining lease terms over which certain of these amounts will be collected.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These estimates have a direct impact on our net income. Historically, we have recognized bad debt expense between 0.5% and 1.0% of rental income and it was 0.2% in 2006. An increase in our bad debt expense would decrease our net income. For example, if we had experienced an increase in bad debt of 0.5% of rental income in 2006, our net income would have been reduced by approximately $2.2 million.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9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in accordance with GAAP and consistent with industry standards based on our best estimates of the assets’ physical and economic useful lives. The cost of our real estate investments, less salvage value, if any, is charged to depreciation expense over the estimated life of the asset using straight-line rates for financial statement purposes.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as well as their salvage value requires significant management judgment. The longer the economic useful life, the lower the depreciation charged to that asset in a fiscal period will be,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5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which in turn will increase our net income. Similarly, having a shorter economic useful life would increase the depreciation for a fiscal period and decrease our net income.</w:t>
      </w:r>
    </w:p>
    <w:p>
      <w:pPr>
        <w:spacing w:after="0" w:line="115"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Land, buildings and real estate under development are recorded at cost. We compute depreciation using the straight-line method with useful lives ranging generally from 35 years to a maximum of 50 years on buildings and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three to 15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 operating expense if the applicable tenant vacates before the expiration of its lease. Undepreciated tenant work is charged to operations if the applicable tenant vacates and the tenant work is replaced.</w:t>
      </w:r>
    </w:p>
    <w:p>
      <w:pPr>
        <w:spacing w:after="0" w:line="112" w:lineRule="exact"/>
        <w:rPr>
          <w:sz w:val="20"/>
          <w:szCs w:val="20"/>
          <w:color w:val="auto"/>
        </w:rPr>
      </w:pPr>
    </w:p>
    <w:p>
      <w:pPr>
        <w:jc w:val="both"/>
        <w:ind w:right="220"/>
        <w:spacing w:after="0" w:line="269"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3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are required to make subjective assessments as to the useful lives of our real estate for purposes of determining the amount of depreciation to reflect on an annual basis. These assessments have a direct impact on net income. Certain events could occur that would materially affect our estimates and assumptions related to depreciation. Unforeseen competition or changes in customer shopping habits could substantially alter our assumptions regarding our ability to realize the return on investment in the property and therefore reduce the economic life of the asset and affect the amount of depreciation expense to charge against both the current and future revenues. We periodically review the lives of assets and any decrease in asset lives could have the effect of increasing depreciation expense while any analysis indicating that lives are longer than we have assumed could have the effect of decreasing depreciation expense. In order to determine the impact on depreciation expense of a different average life of our real estate assets taken as a whole, we used 25 years, which is the approximate average life of all assets being depreciated at the end of 2006. If the estimated useful lives of all real estate assets being depreciated were increased by one year, the consolidated annual depreciation expense would have decreased by approximately $3.7 million.</w:t>
      </w:r>
    </w:p>
    <w:p>
      <w:pPr>
        <w:spacing w:after="0" w:line="12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Acquisitions</w:t>
      </w:r>
    </w:p>
    <w:p>
      <w:pPr>
        <w:spacing w:after="0" w:line="9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Upon acquisition of operating real estate properties, we estimate the fair value of acquired tangible assets (consisting of land, building and improvements), identified intangible assets and liabilities (consisting of above- and below-market leases, in-place leases and tenant relationships), and assumed debt in accordance with Statement of Financial Accounting Standards No. 141, Business Combinations. Based on these estimates, we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45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allocate the purchase price to the applicable assets and liabilities. We utilize methods similar to those used by independent appraisers in estimating the fair value of acquired assets and liabilities. We evaluate the useful life of each amortizable intangible asset each reporting period and account for any changes in such estimated useful life over the revised remaining useful life.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w:t>
      </w:r>
    </w:p>
    <w:p>
      <w:pPr>
        <w:spacing w:after="0" w:line="9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developed. Management must evaluate properties for possible impairment of value and, for those properties where impairment may be indicated, make estimates of future cash flows including revenues, operating expenses, required maintenance and development expenditures, market conditions, demand for space by tenants and rental rates over very long periods. Because our properties typically have a very long life, the assumptions used to estimate the future recoverability of book value requires significant management judgment.</w:t>
      </w:r>
    </w:p>
    <w:p>
      <w:pPr>
        <w:spacing w:after="0" w:line="13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SFAS No. 144, “Accounting for the Impairment or Disposal of Long-Lived Assets,”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 As a result, the sale of a property, or the classification of a property as held for sale, requires us to report the results of operations and cash flows of that property as “discontinued operations.”</w:t>
      </w:r>
    </w:p>
    <w:p>
      <w:pPr>
        <w:spacing w:after="0" w:line="13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are required to make estimates of undiscounted cash flows in determining whether there is an impairment of an asset. Actual results could be significantly different from the estimates. These estimates have a direct impact on net income, because recording an impairment charge results in a negative adjustment to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96"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We are sometimes involved in lawsuits and environmental matters arising in the ordinary course of business. Management makes assumptions and estimates concerning the likelihood and amount of any potential loss relating to these matters.</w:t>
      </w:r>
    </w:p>
    <w:p>
      <w:pPr>
        <w:spacing w:after="0" w:line="115" w:lineRule="exact"/>
        <w:rPr>
          <w:sz w:val="20"/>
          <w:szCs w:val="20"/>
          <w:color w:val="auto"/>
        </w:rPr>
      </w:pPr>
    </w:p>
    <w:p>
      <w:pPr>
        <w:ind w:right="440"/>
        <w:spacing w:after="0" w:line="290" w:lineRule="auto"/>
        <w:rPr>
          <w:sz w:val="20"/>
          <w:szCs w:val="20"/>
          <w:color w:val="auto"/>
        </w:rPr>
      </w:pPr>
      <w:r>
        <w:rPr>
          <w:rFonts w:ascii="Arial" w:cs="Arial" w:eastAsia="Arial" w:hAnsi="Arial"/>
          <w:sz w:val="16"/>
          <w:szCs w:val="16"/>
          <w:color w:val="auto"/>
        </w:rPr>
        <w:t>Any difference between our estimate of a potential loss and the actual outcome would result in a reduction to net income if the actual loss is greater than our estimate. 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Any increases to our estimated warranty losses would usually result in a decrease in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w:t>
      </w:r>
    </w:p>
    <w:p>
      <w:pPr>
        <w:spacing w:after="0" w:line="9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and future increases in costs of claims, when making these determinations. If our liability costs exceed these accruals, it will reduce our net income.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453"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Cumulative Effect of Change in Accounting Principle</w:t>
      </w:r>
    </w:p>
    <w:p>
      <w:pPr>
        <w:spacing w:after="0" w:line="96"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Prior to January 1, 2006, we accounted for stock based compensation under the recognition and measurement provisions of Accounting Principle Board Opinion (“APB”) No. 25, “Accounting for Stock Issued to Employees,” and related interpretations, as permitted by Financial Accounting Standard (“SFAS”) No. 123, “Accounting for Stock-Based Compensation.” Under APB No. 25, no stock based compensation costs were recognized in the Statement of Operations for stock options as our options granted had an exercise price equal to the market value of our common shares on the date of grant. 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No. 123(R). Prior to January 1, 2006, we used the Black-Scholes model to value stock options and we intend to continue to use this model to value stock options issued subsequent to January 1, 2006.</w:t>
      </w:r>
    </w:p>
    <w:p>
      <w:pPr>
        <w:spacing w:after="0" w:line="1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January 1, 2006, we recorded the cumulative effect of adopting SFAS No. 123(R). This cumulative effect resulted in decreasing accrued liabilities by $3.3 million and increasing shareholder equity by $3.3 million. These balance sheet changes related to deferred compensation on unvested shares. Under SFAS No. 123(R), deferred compensation is no longer recorded at the time unvested shares are issued. Share-based compensation expense is now recorded over the requisite service period with an offsetting credit to equity (generally additional paid-in capital).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Pronouncements</w:t>
      </w:r>
    </w:p>
    <w:p>
      <w:pPr>
        <w:spacing w:after="0" w:line="96"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 an interpretation of FASB Statement No. 109, “Accounting for Income Taxes.” FIN 48 was issued to reduce the diversity in practice associated with certain aspects of recognition, disclosure and measurement related to accounting for uncertain income tax positions. We are required to adopt FIN 48 effective January 1, 2007. We do not believe the adoption of FIN 48 will have a material impact on our financial position, results of operations or cash flows.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September 2006, the Securities and Exchange Commission (SEC) issued Staff Accounting Bulletin No. 108 (“SAB 108”), “Considering the Effects of Prior Year Misstatements in Current Year Financial Statements.” SAB 108 was issued to provide consistency between how registrants quantify financial statements misstatements. Historically, there have been two widely-used methods for quantifying the effects of financial statement misstatements. These methods are commonly referred to as the “roll-over” method and the “iron curtain” method. The roll-over method quantifies the amount by which the current income statement is misstated. The iron curtain method quantifies the error as the cumulative amount by which the current year balance sheet is misstated.</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SAB 108 establishes an approach that requires quantification of financial statement misstatements based on the effects of the misstatement on each the income statement, balance sheet and the related disclosures. This approach is commonly referred to as the “dual approach.” We adopted SAB 108 during the fourth quarter of 2006 in connection with the preparation of our annual financial statements for the year ending December 31, 2006. The adoption of SAB 108 did not impact our financial positions, results of operations or cash flows.</w:t>
      </w:r>
    </w:p>
    <w:p>
      <w:pPr>
        <w:spacing w:after="0" w:line="130"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SFAS No. 157 effective January 1, 2008. We do not believe the adoption of SFAS No. 157 will have a material impact on our financial position, results of operations or cash flows.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Acquisitions and Dispositions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significant acquisitions in 2006 and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Gross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5"/>
              </w:rPr>
              <w:t>Purchase</w:t>
            </w: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Date</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bottom w:val="single" w:sz="8" w:color="auto"/>
            </w:tcBorders>
          </w:tcPr>
          <w:p>
            <w:pPr>
              <w:ind w:left="1560"/>
              <w:spacing w:after="0"/>
              <w:rPr>
                <w:sz w:val="20"/>
                <w:szCs w:val="20"/>
                <w:color w:val="auto"/>
              </w:rPr>
            </w:pPr>
            <w:r>
              <w:rPr>
                <w:rFonts w:ascii="Arial" w:cs="Arial" w:eastAsia="Arial" w:hAnsi="Arial"/>
                <w:sz w:val="13"/>
                <w:szCs w:val="13"/>
                <w:b w:val="1"/>
                <w:bCs w:val="1"/>
                <w:color w:val="auto"/>
              </w:rPr>
              <w:t>Property</w:t>
            </w:r>
          </w:p>
        </w:tc>
        <w:tc>
          <w:tcPr>
            <w:tcW w:w="560" w:type="dxa"/>
            <w:vAlign w:val="bottom"/>
          </w:tcPr>
          <w:p>
            <w:pPr>
              <w:spacing w:after="0"/>
              <w:rPr>
                <w:sz w:val="14"/>
                <w:szCs w:val="14"/>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City, State</w:t>
            </w:r>
          </w:p>
        </w:tc>
        <w:tc>
          <w:tcPr>
            <w:tcW w:w="8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Leasable Area</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89"/>
              </w:rPr>
              <w:t>Year ended December 31, 2006</w:t>
            </w:r>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(In square feet)</w:t>
            </w:r>
          </w:p>
        </w:tc>
        <w:tc>
          <w:tcPr>
            <w:tcW w:w="7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(In millions)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January 20</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4900 Hampden Lane</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Bethesda, MD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2"/>
        </w:trPr>
        <w:tc>
          <w:tcPr>
            <w:tcW w:w="2260" w:type="dxa"/>
            <w:vAlign w:val="bottom"/>
            <w:gridSpan w:val="3"/>
          </w:tcPr>
          <w:p>
            <w:pPr>
              <w:spacing w:after="0"/>
              <w:rPr>
                <w:sz w:val="20"/>
                <w:szCs w:val="20"/>
                <w:color w:val="auto"/>
              </w:rPr>
            </w:pPr>
            <w:r>
              <w:rPr>
                <w:rFonts w:ascii="Arial" w:cs="Arial" w:eastAsia="Arial" w:hAnsi="Arial"/>
                <w:sz w:val="17"/>
                <w:szCs w:val="17"/>
                <w:color w:val="auto"/>
              </w:rPr>
              <w:t>January 27</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7770 Richmond Hwy</w:t>
            </w:r>
          </w:p>
        </w:tc>
        <w:tc>
          <w:tcPr>
            <w:tcW w:w="5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Alexandria, VA</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2"/>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29</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Town Center of New Britain</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New Britain, PA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2"/>
        </w:trPr>
        <w:tc>
          <w:tcPr>
            <w:tcW w:w="2260" w:type="dxa"/>
            <w:vAlign w:val="bottom"/>
            <w:gridSpan w:val="3"/>
          </w:tcPr>
          <w:p>
            <w:pPr>
              <w:spacing w:after="0"/>
              <w:rPr>
                <w:sz w:val="20"/>
                <w:szCs w:val="20"/>
                <w:color w:val="auto"/>
              </w:rPr>
            </w:pPr>
            <w:r>
              <w:rPr>
                <w:rFonts w:ascii="Arial" w:cs="Arial" w:eastAsia="Arial" w:hAnsi="Arial"/>
                <w:sz w:val="17"/>
                <w:szCs w:val="17"/>
                <w:color w:val="auto"/>
              </w:rPr>
              <w:t>August 24</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Key Road Plaza</w:t>
            </w:r>
          </w:p>
        </w:tc>
        <w:tc>
          <w:tcPr>
            <w:tcW w:w="5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Keene, NH</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76,000</w:t>
            </w: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2"/>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August 24</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Riverside Plaza</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Keene, NH</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2"/>
        </w:trPr>
        <w:tc>
          <w:tcPr>
            <w:tcW w:w="2260" w:type="dxa"/>
            <w:vAlign w:val="bottom"/>
            <w:gridSpan w:val="3"/>
          </w:tcPr>
          <w:p>
            <w:pPr>
              <w:spacing w:after="0"/>
              <w:rPr>
                <w:sz w:val="20"/>
                <w:szCs w:val="20"/>
                <w:color w:val="auto"/>
              </w:rPr>
            </w:pPr>
            <w:r>
              <w:rPr>
                <w:rFonts w:ascii="Arial" w:cs="Arial" w:eastAsia="Arial" w:hAnsi="Arial"/>
                <w:sz w:val="17"/>
                <w:szCs w:val="17"/>
                <w:color w:val="auto"/>
              </w:rPr>
              <w:t>August 24</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Bath Shopping Center</w:t>
            </w:r>
          </w:p>
        </w:tc>
        <w:tc>
          <w:tcPr>
            <w:tcW w:w="5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Bath, ME</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101,000</w:t>
            </w: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22.8(1)</w:t>
            </w:r>
          </w:p>
        </w:tc>
        <w:tc>
          <w:tcPr>
            <w:tcW w:w="0" w:type="dxa"/>
            <w:vAlign w:val="bottom"/>
          </w:tcPr>
          <w:p>
            <w:pPr>
              <w:spacing w:after="0"/>
              <w:rPr>
                <w:sz w:val="1"/>
                <w:szCs w:val="1"/>
                <w:color w:val="auto"/>
              </w:rPr>
            </w:pPr>
          </w:p>
        </w:tc>
      </w:tr>
      <w:tr>
        <w:trPr>
          <w:trHeight w:val="212"/>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August 24</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Linden Square</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Wellesley, MA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12"/>
        </w:trPr>
        <w:tc>
          <w:tcPr>
            <w:tcW w:w="2260" w:type="dxa"/>
            <w:vAlign w:val="bottom"/>
            <w:gridSpan w:val="3"/>
          </w:tcPr>
          <w:p>
            <w:pPr>
              <w:spacing w:after="0"/>
              <w:rPr>
                <w:sz w:val="20"/>
                <w:szCs w:val="20"/>
                <w:color w:val="auto"/>
              </w:rPr>
            </w:pPr>
            <w:r>
              <w:rPr>
                <w:rFonts w:ascii="Arial" w:cs="Arial" w:eastAsia="Arial" w:hAnsi="Arial"/>
                <w:sz w:val="17"/>
                <w:szCs w:val="17"/>
                <w:color w:val="auto"/>
              </w:rPr>
              <w:t>August 24</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North Dartmouth</w:t>
            </w:r>
          </w:p>
        </w:tc>
        <w:tc>
          <w:tcPr>
            <w:tcW w:w="5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w w:val="95"/>
              </w:rPr>
              <w:t>North Dartmouth, MA</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183,000</w:t>
            </w: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2"/>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August 25</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Chelsea Commons</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Chelsea, MA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03"/>
        </w:trPr>
        <w:tc>
          <w:tcPr>
            <w:tcW w:w="2260" w:type="dxa"/>
            <w:vAlign w:val="bottom"/>
            <w:gridSpan w:val="3"/>
          </w:tcPr>
          <w:p>
            <w:pPr>
              <w:spacing w:after="0"/>
              <w:rPr>
                <w:sz w:val="20"/>
                <w:szCs w:val="20"/>
                <w:color w:val="auto"/>
              </w:rPr>
            </w:pPr>
            <w:r>
              <w:rPr>
                <w:rFonts w:ascii="Arial" w:cs="Arial" w:eastAsia="Arial" w:hAnsi="Arial"/>
                <w:sz w:val="17"/>
                <w:szCs w:val="17"/>
                <w:color w:val="auto"/>
              </w:rPr>
              <w:t>Various after</w:t>
            </w: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60" w:type="dxa"/>
            <w:vAlign w:val="bottom"/>
            <w:gridSpan w:val="3"/>
          </w:tcPr>
          <w:p>
            <w:pPr>
              <w:ind w:left="220"/>
              <w:spacing w:after="0"/>
              <w:rPr>
                <w:sz w:val="20"/>
                <w:szCs w:val="20"/>
                <w:color w:val="auto"/>
              </w:rPr>
            </w:pPr>
            <w:r>
              <w:rPr>
                <w:rFonts w:ascii="Arial" w:cs="Arial" w:eastAsia="Arial" w:hAnsi="Arial"/>
                <w:sz w:val="17"/>
                <w:szCs w:val="17"/>
                <w:color w:val="auto"/>
              </w:rPr>
              <w:t>September 13</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Rockville Town Square</w:t>
            </w:r>
          </w:p>
        </w:tc>
        <w:tc>
          <w:tcPr>
            <w:tcW w:w="56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Rockville, MD</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152,000</w:t>
            </w: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13"/>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October 16</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Melville Mall</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Huntington, NY</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60.0(3)</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Total</w:t>
            </w:r>
          </w:p>
        </w:tc>
        <w:tc>
          <w:tcPr>
            <w:tcW w:w="8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1,640,000</w:t>
            </w:r>
          </w:p>
        </w:tc>
        <w:tc>
          <w:tcPr>
            <w:tcW w:w="7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89"/>
              </w:rPr>
              <w:t>Year ended December 31, 2005</w:t>
            </w: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6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March 1</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Assembly Sq./Sturtevant St.</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Somerville, MA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8"/>
        </w:trPr>
        <w:tc>
          <w:tcPr>
            <w:tcW w:w="2260" w:type="dxa"/>
            <w:vAlign w:val="bottom"/>
            <w:gridSpan w:val="3"/>
          </w:tcPr>
          <w:p>
            <w:pPr>
              <w:spacing w:after="0"/>
              <w:rPr>
                <w:sz w:val="20"/>
                <w:szCs w:val="20"/>
                <w:color w:val="auto"/>
              </w:rPr>
            </w:pPr>
            <w:r>
              <w:rPr>
                <w:rFonts w:ascii="Arial" w:cs="Arial" w:eastAsia="Arial" w:hAnsi="Arial"/>
                <w:sz w:val="17"/>
                <w:szCs w:val="17"/>
                <w:color w:val="auto"/>
              </w:rPr>
              <w:t>December 29</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Crow Canyon Commons</w:t>
            </w:r>
          </w:p>
        </w:tc>
        <w:tc>
          <w:tcPr>
            <w:tcW w:w="5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Ramon, CA</w:t>
            </w:r>
          </w:p>
        </w:tc>
        <w:tc>
          <w:tcPr>
            <w:tcW w:w="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228,000</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47.5(5)</w:t>
            </w: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779,000</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Purchase price includes the assumption of debt with a fair value of approximately $11.1 million.</w:t>
      </w:r>
    </w:p>
    <w:p>
      <w:pPr>
        <w:spacing w:after="0" w:line="21" w:lineRule="exact"/>
        <w:rPr>
          <w:rFonts w:ascii="Arial" w:cs="Arial" w:eastAsia="Arial" w:hAnsi="Arial"/>
          <w:sz w:val="17"/>
          <w:szCs w:val="17"/>
          <w:color w:val="auto"/>
        </w:rPr>
      </w:pPr>
    </w:p>
    <w:p>
      <w:pPr>
        <w:ind w:left="460" w:hanging="454"/>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Purchase price includes the assumption of debt with a fair value of approximately $8.0 million.</w:t>
      </w:r>
    </w:p>
    <w:p>
      <w:pPr>
        <w:spacing w:after="0" w:line="16" w:lineRule="exact"/>
        <w:rPr>
          <w:rFonts w:ascii="Arial" w:cs="Arial" w:eastAsia="Arial" w:hAnsi="Arial"/>
          <w:sz w:val="17"/>
          <w:szCs w:val="17"/>
          <w:color w:val="auto"/>
        </w:rPr>
      </w:pPr>
    </w:p>
    <w:p>
      <w:pPr>
        <w:ind w:left="460" w:right="100" w:hanging="454"/>
        <w:spacing w:after="0" w:line="26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Trust controls and consolidates Melville Mall at its approximate fair value of $60.0 million. We gained control of Melville Mall through a 20-year master lease and $34.1 million secondary financing to the owner. The master lease includes a purchase option in 2021 for $5.0 million plus the assumption of the owner’s $25.8 million first mortgage.</w:t>
      </w:r>
    </w:p>
    <w:p>
      <w:pPr>
        <w:ind w:left="460" w:right="220" w:hanging="454"/>
        <w:spacing w:after="0" w:line="26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intend to acquire an additional 32,000 square feet of gross leasable area. No square footage has been placed in service. The Grand Opening is scheduled for May 2007.</w:t>
      </w:r>
    </w:p>
    <w:p>
      <w:pPr>
        <w:ind w:left="460" w:hanging="454"/>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Purchase price includes $22.3 million for an assumed mortgage.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Generally, our acquisitions are initially financed by available cash and borrowings under our revolving credit facility which may be repaid later with funds raised through the issuance of new equity or new long-term debt. On occasion we assume mortgages in the connection with certain acquisitions as noted in the acquisitions table above.</w:t>
      </w:r>
    </w:p>
    <w:p>
      <w:pPr>
        <w:spacing w:after="0" w:line="12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Linden Square acquisition is currently undergoing redevelopment. After the initial phases of the redevelopment are completed the project will include approximately 222,000 square feet of retail, 17,000 square feet of office, seven affordable residential units, and a car dealership. The initial phases of redevelopment are expected to be complete in 2008.</w:t>
      </w:r>
    </w:p>
    <w:p>
      <w:pPr>
        <w:spacing w:after="0" w:line="128"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Assembly Square/Sturtevant Street acquisition includes an approximately 332,000 square foot enclosed mall in the City of Somerville, Massachusetts, for which the redevelopment into a power center was completed in 2006, and an adjacent ten-acre 220,000 square foot retail/industrial complex. As of December 31, 2006, we have invested a total of $112 million in the property.</w:t>
      </w:r>
    </w:p>
    <w:p>
      <w:pPr>
        <w:spacing w:after="0" w:line="128"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The acquisition of Assembly Square also included zoning entitlements to add four mixed-use buildings on 3.5 acres, which could include approximately 41,000 square feet of retail space, 51,000 square feet of office space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and 239 residential units. The acquisition also included an option to purchase adjacent land parcels, all of which are zoned for dense, mixed-use development. We expect to structure any future development of Assembly Square in a manner designed to mitigate our risk which may include selling entitlements or co-developing with other real estate companies.</w:t>
      </w:r>
    </w:p>
    <w:p>
      <w:pPr>
        <w:spacing w:after="0" w:line="12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On October 16, 2006, we acquired the leasehold interest in Melville Mall, an approximately 248,000 square feet shopping center located in Huntington, New York, under a 20-year master lease. Additionally, we loaned the owner of Melville Mall $34.1 million secured by a second mortgage on the property. We have an option to purchase the shopping center on or after October 16, 2021 for a price of $5.0 million plus the assumption of the first mortgage and repayment of our second mortgage. As a result of these transactions, we control this property and retain substantially all of the economic benefits and risks associated with it. Accordingly, upon acquiring the leasehold interest, we consolidated this property and its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significant acquisitions made by our unconsolidated real estate partnership in 2006 and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3"/>
                <w:szCs w:val="13"/>
                <w:color w:val="auto"/>
              </w:rPr>
            </w:pPr>
          </w:p>
        </w:tc>
        <w:tc>
          <w:tcPr>
            <w:tcW w:w="640" w:type="dxa"/>
            <w:vAlign w:val="bottom"/>
          </w:tcPr>
          <w:p>
            <w:pPr>
              <w:jc w:val="center"/>
              <w:ind w:right="2"/>
              <w:spacing w:after="0"/>
              <w:rPr>
                <w:sz w:val="20"/>
                <w:szCs w:val="20"/>
                <w:color w:val="auto"/>
              </w:rPr>
            </w:pPr>
            <w:r>
              <w:rPr>
                <w:rFonts w:ascii="Arial" w:cs="Arial" w:eastAsia="Arial" w:hAnsi="Arial"/>
                <w:sz w:val="13"/>
                <w:szCs w:val="13"/>
                <w:b w:val="1"/>
                <w:bCs w:val="1"/>
                <w:color w:val="auto"/>
                <w:w w:val="88"/>
              </w:rPr>
              <w:t>Purchase</w:t>
            </w:r>
          </w:p>
        </w:tc>
      </w:tr>
      <w:tr>
        <w:trPr>
          <w:trHeight w:val="172"/>
        </w:trPr>
        <w:tc>
          <w:tcPr>
            <w:tcW w:w="1820" w:type="dxa"/>
            <w:vAlign w:val="bottom"/>
            <w:gridSpan w:val="2"/>
          </w:tcPr>
          <w:p>
            <w:pPr>
              <w:ind w:left="780"/>
              <w:spacing w:after="0"/>
              <w:rPr>
                <w:sz w:val="20"/>
                <w:szCs w:val="20"/>
                <w:color w:val="auto"/>
              </w:rPr>
            </w:pPr>
            <w:r>
              <w:rPr>
                <w:rFonts w:ascii="Arial" w:cs="Arial" w:eastAsia="Arial" w:hAnsi="Arial"/>
                <w:sz w:val="13"/>
                <w:szCs w:val="13"/>
                <w:b w:val="1"/>
                <w:bCs w:val="1"/>
                <w:color w:val="auto"/>
              </w:rPr>
              <w:t>Date</w:t>
            </w:r>
          </w:p>
        </w:tc>
        <w:tc>
          <w:tcPr>
            <w:tcW w:w="460" w:type="dxa"/>
            <w:vAlign w:val="bottom"/>
          </w:tcPr>
          <w:p>
            <w:pPr>
              <w:spacing w:after="0"/>
              <w:rPr>
                <w:sz w:val="14"/>
                <w:szCs w:val="14"/>
                <w:color w:val="auto"/>
              </w:rPr>
            </w:pPr>
          </w:p>
        </w:tc>
        <w:tc>
          <w:tcPr>
            <w:tcW w:w="4900" w:type="dxa"/>
            <w:vAlign w:val="bottom"/>
          </w:tcPr>
          <w:p>
            <w:pPr>
              <w:ind w:left="2180"/>
              <w:spacing w:after="0"/>
              <w:rPr>
                <w:sz w:val="20"/>
                <w:szCs w:val="20"/>
                <w:color w:val="auto"/>
              </w:rPr>
            </w:pPr>
            <w:r>
              <w:rPr>
                <w:rFonts w:ascii="Arial" w:cs="Arial" w:eastAsia="Arial" w:hAnsi="Arial"/>
                <w:sz w:val="13"/>
                <w:szCs w:val="13"/>
                <w:b w:val="1"/>
                <w:bCs w:val="1"/>
                <w:color w:val="auto"/>
              </w:rPr>
              <w:t>Property</w:t>
            </w:r>
          </w:p>
        </w:tc>
        <w:tc>
          <w:tcPr>
            <w:tcW w:w="44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3"/>
                <w:szCs w:val="13"/>
                <w:b w:val="1"/>
                <w:bCs w:val="1"/>
                <w:color w:val="auto"/>
              </w:rPr>
              <w:t>City, State</w:t>
            </w:r>
          </w:p>
        </w:tc>
        <w:tc>
          <w:tcPr>
            <w:tcW w:w="4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Leasable Area</w:t>
            </w:r>
          </w:p>
        </w:tc>
        <w:tc>
          <w:tcPr>
            <w:tcW w:w="100" w:type="dxa"/>
            <w:vAlign w:val="bottom"/>
          </w:tcPr>
          <w:p>
            <w:pPr>
              <w:spacing w:after="0"/>
              <w:rPr>
                <w:sz w:val="14"/>
                <w:szCs w:val="14"/>
                <w:color w:val="auto"/>
              </w:rPr>
            </w:pPr>
          </w:p>
        </w:tc>
        <w:tc>
          <w:tcPr>
            <w:tcW w:w="640" w:type="dxa"/>
            <w:vAlign w:val="bottom"/>
          </w:tcPr>
          <w:p>
            <w:pPr>
              <w:jc w:val="center"/>
              <w:ind w:right="22"/>
              <w:spacing w:after="0"/>
              <w:rPr>
                <w:sz w:val="20"/>
                <w:szCs w:val="20"/>
                <w:color w:val="auto"/>
              </w:rPr>
            </w:pPr>
            <w:r>
              <w:rPr>
                <w:rFonts w:ascii="Arial" w:cs="Arial" w:eastAsia="Arial" w:hAnsi="Arial"/>
                <w:sz w:val="13"/>
                <w:szCs w:val="13"/>
                <w:b w:val="1"/>
                <w:bCs w:val="1"/>
                <w:color w:val="auto"/>
                <w:w w:val="94"/>
              </w:rPr>
              <w:t>Price</w:t>
            </w:r>
          </w:p>
        </w:tc>
      </w:tr>
      <w:tr>
        <w:trPr>
          <w:trHeight w:val="139"/>
        </w:trPr>
        <w:tc>
          <w:tcPr>
            <w:tcW w:w="1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9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2"/>
              </w:rPr>
              <w:t>(In square feet)</w:t>
            </w:r>
          </w:p>
        </w:tc>
        <w:tc>
          <w:tcPr>
            <w:tcW w:w="44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3"/>
                <w:szCs w:val="13"/>
                <w:b w:val="1"/>
                <w:bCs w:val="1"/>
                <w:color w:val="auto"/>
                <w:w w:val="95"/>
              </w:rPr>
              <w:t>(In millions)</w:t>
            </w:r>
          </w:p>
        </w:tc>
      </w:tr>
      <w:tr>
        <w:trPr>
          <w:trHeight w:val="212"/>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5, 2006</w:t>
            </w:r>
          </w:p>
        </w:tc>
        <w:tc>
          <w:tcPr>
            <w:tcW w:w="53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Greenlawn Plaza(1)</w:t>
            </w:r>
          </w:p>
        </w:tc>
        <w:tc>
          <w:tcPr>
            <w:tcW w:w="1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Huntington, NY</w:t>
            </w:r>
          </w:p>
        </w:tc>
        <w:tc>
          <w:tcPr>
            <w:tcW w:w="182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102,000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18"/>
        </w:trPr>
        <w:tc>
          <w:tcPr>
            <w:tcW w:w="1820" w:type="dxa"/>
            <w:vAlign w:val="bottom"/>
            <w:gridSpan w:val="2"/>
          </w:tcPr>
          <w:p>
            <w:pPr>
              <w:spacing w:after="0"/>
              <w:rPr>
                <w:sz w:val="20"/>
                <w:szCs w:val="20"/>
                <w:color w:val="auto"/>
              </w:rPr>
            </w:pPr>
            <w:r>
              <w:rPr>
                <w:rFonts w:ascii="Arial" w:cs="Arial" w:eastAsia="Arial" w:hAnsi="Arial"/>
                <w:sz w:val="17"/>
                <w:szCs w:val="17"/>
                <w:color w:val="auto"/>
              </w:rPr>
              <w:t>June 8, 2006</w:t>
            </w:r>
          </w:p>
        </w:tc>
        <w:tc>
          <w:tcPr>
            <w:tcW w:w="5360" w:type="dxa"/>
            <w:vAlign w:val="bottom"/>
            <w:gridSpan w:val="2"/>
          </w:tcPr>
          <w:p>
            <w:pPr>
              <w:ind w:left="460"/>
              <w:spacing w:after="0"/>
              <w:rPr>
                <w:sz w:val="20"/>
                <w:szCs w:val="20"/>
                <w:color w:val="auto"/>
              </w:rPr>
            </w:pPr>
            <w:r>
              <w:rPr>
                <w:rFonts w:ascii="Arial" w:cs="Arial" w:eastAsia="Arial" w:hAnsi="Arial"/>
                <w:sz w:val="17"/>
                <w:szCs w:val="17"/>
                <w:color w:val="auto"/>
              </w:rPr>
              <w:t>Barcroft Plaza</w:t>
            </w:r>
          </w:p>
        </w:tc>
        <w:tc>
          <w:tcPr>
            <w:tcW w:w="1680" w:type="dxa"/>
            <w:vAlign w:val="bottom"/>
            <w:gridSpan w:val="2"/>
          </w:tcPr>
          <w:p>
            <w:pPr>
              <w:ind w:left="440"/>
              <w:spacing w:after="0"/>
              <w:rPr>
                <w:sz w:val="20"/>
                <w:szCs w:val="20"/>
                <w:color w:val="auto"/>
              </w:rPr>
            </w:pPr>
            <w:r>
              <w:rPr>
                <w:rFonts w:ascii="Arial" w:cs="Arial" w:eastAsia="Arial" w:hAnsi="Arial"/>
                <w:sz w:val="17"/>
                <w:szCs w:val="17"/>
                <w:color w:val="auto"/>
                <w:w w:val="95"/>
              </w:rPr>
              <w:t>Falls Church, VA</w:t>
            </w:r>
          </w:p>
        </w:tc>
        <w:tc>
          <w:tcPr>
            <w:tcW w:w="4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90,000</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12"/>
        </w:trPr>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182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192,000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97" w:lineRule="exact"/>
        <w:rPr>
          <w:sz w:val="20"/>
          <w:szCs w:val="20"/>
          <w:color w:val="auto"/>
        </w:rPr>
      </w:pPr>
    </w:p>
    <w:p>
      <w:pPr>
        <w:ind w:left="460" w:hanging="454"/>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property was acquired from the Trust.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significant dispositions in 2006 and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Year Acquired</w:t>
            </w: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Gross Leasable</w:t>
            </w:r>
          </w:p>
        </w:tc>
        <w:tc>
          <w:tcPr>
            <w:tcW w:w="100" w:type="dxa"/>
            <w:vAlign w:val="bottom"/>
          </w:tcPr>
          <w:p>
            <w:pPr>
              <w:spacing w:after="0"/>
              <w:rPr>
                <w:sz w:val="13"/>
                <w:szCs w:val="13"/>
                <w:color w:val="auto"/>
              </w:rPr>
            </w:pPr>
          </w:p>
        </w:tc>
        <w:tc>
          <w:tcPr>
            <w:tcW w:w="400" w:type="dxa"/>
            <w:vAlign w:val="bottom"/>
          </w:tcPr>
          <w:p>
            <w:pPr>
              <w:jc w:val="right"/>
              <w:ind w:right="19"/>
              <w:spacing w:after="0"/>
              <w:rPr>
                <w:sz w:val="20"/>
                <w:szCs w:val="20"/>
                <w:color w:val="auto"/>
              </w:rPr>
            </w:pPr>
            <w:r>
              <w:rPr>
                <w:rFonts w:ascii="Arial" w:cs="Arial" w:eastAsia="Arial" w:hAnsi="Arial"/>
                <w:sz w:val="13"/>
                <w:szCs w:val="13"/>
                <w:b w:val="1"/>
                <w:bCs w:val="1"/>
                <w:color w:val="auto"/>
                <w:w w:val="82"/>
              </w:rPr>
              <w:t>Sales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20" w:type="dxa"/>
            <w:vAlign w:val="bottom"/>
            <w:tcBorders>
              <w:bottom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rPr>
              <w:t>Sales Date</w:t>
            </w:r>
          </w:p>
        </w:tc>
        <w:tc>
          <w:tcPr>
            <w:tcW w:w="340" w:type="dxa"/>
            <w:vAlign w:val="bottom"/>
          </w:tcPr>
          <w:p>
            <w:pPr>
              <w:spacing w:after="0"/>
              <w:rPr>
                <w:sz w:val="14"/>
                <w:szCs w:val="14"/>
                <w:color w:val="auto"/>
              </w:rPr>
            </w:pPr>
          </w:p>
        </w:tc>
        <w:tc>
          <w:tcPr>
            <w:tcW w:w="328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Property</w:t>
            </w:r>
          </w:p>
        </w:tc>
        <w:tc>
          <w:tcPr>
            <w:tcW w:w="340" w:type="dxa"/>
            <w:vAlign w:val="bottom"/>
          </w:tcPr>
          <w:p>
            <w:pPr>
              <w:spacing w:after="0"/>
              <w:rPr>
                <w:sz w:val="14"/>
                <w:szCs w:val="1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Location</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or Built</w:t>
            </w:r>
          </w:p>
        </w:tc>
        <w:tc>
          <w:tcPr>
            <w:tcW w:w="3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Area</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7"/>
              </w:rPr>
              <w:t>Price</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9"/>
              </w:rPr>
              <w:t>Gain</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800" w:type="dxa"/>
            <w:vAlign w:val="bottom"/>
            <w:gridSpan w:val="3"/>
          </w:tcPr>
          <w:p>
            <w:pPr>
              <w:jc w:val="right"/>
              <w:ind w:right="236"/>
              <w:spacing w:after="0"/>
              <w:rPr>
                <w:sz w:val="20"/>
                <w:szCs w:val="20"/>
                <w:color w:val="auto"/>
              </w:rPr>
            </w:pPr>
            <w:r>
              <w:rPr>
                <w:rFonts w:ascii="Arial" w:cs="Arial" w:eastAsia="Arial" w:hAnsi="Arial"/>
                <w:sz w:val="13"/>
                <w:szCs w:val="13"/>
                <w:b w:val="1"/>
                <w:bCs w:val="1"/>
                <w:color w:val="auto"/>
                <w:w w:val="85"/>
              </w:rPr>
              <w:t>millions)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440" w:type="dxa"/>
            <w:vAlign w:val="bottom"/>
            <w:tcBorders>
              <w:bottom w:val="single" w:sz="8" w:color="auto"/>
            </w:tcBorders>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January-August</w:t>
            </w: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Santana Row Condominiums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(89 units)(1)</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San Jose, CA</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2002</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16.5(2)</w:t>
            </w:r>
          </w:p>
        </w:tc>
        <w:tc>
          <w:tcPr>
            <w:tcW w:w="0" w:type="dxa"/>
            <w:vAlign w:val="bottom"/>
          </w:tcPr>
          <w:p>
            <w:pPr>
              <w:spacing w:after="0"/>
              <w:rPr>
                <w:sz w:val="1"/>
                <w:szCs w:val="1"/>
                <w:color w:val="auto"/>
              </w:rPr>
            </w:pPr>
          </w:p>
        </w:tc>
      </w:tr>
      <w:tr>
        <w:trPr>
          <w:trHeight w:val="218"/>
        </w:trPr>
        <w:tc>
          <w:tcPr>
            <w:tcW w:w="1820" w:type="dxa"/>
            <w:vAlign w:val="bottom"/>
            <w:gridSpan w:val="2"/>
          </w:tcPr>
          <w:p>
            <w:pPr>
              <w:spacing w:after="0"/>
              <w:rPr>
                <w:sz w:val="20"/>
                <w:szCs w:val="20"/>
                <w:color w:val="auto"/>
              </w:rPr>
            </w:pPr>
            <w:r>
              <w:rPr>
                <w:rFonts w:ascii="Arial" w:cs="Arial" w:eastAsia="Arial" w:hAnsi="Arial"/>
                <w:sz w:val="17"/>
                <w:szCs w:val="17"/>
                <w:color w:val="auto"/>
              </w:rPr>
              <w:t>June 5</w:t>
            </w:r>
          </w:p>
        </w:tc>
        <w:tc>
          <w:tcPr>
            <w:tcW w:w="3620" w:type="dxa"/>
            <w:vAlign w:val="bottom"/>
            <w:gridSpan w:val="2"/>
          </w:tcPr>
          <w:p>
            <w:pPr>
              <w:ind w:left="340"/>
              <w:spacing w:after="0"/>
              <w:rPr>
                <w:sz w:val="20"/>
                <w:szCs w:val="20"/>
                <w:color w:val="auto"/>
              </w:rPr>
            </w:pPr>
            <w:r>
              <w:rPr>
                <w:rFonts w:ascii="Arial" w:cs="Arial" w:eastAsia="Arial" w:hAnsi="Arial"/>
                <w:sz w:val="17"/>
                <w:szCs w:val="17"/>
                <w:color w:val="auto"/>
              </w:rPr>
              <w:t>Greenlawn Plaza</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Huntington, NY</w:t>
            </w:r>
          </w:p>
        </w:tc>
        <w:tc>
          <w:tcPr>
            <w:tcW w:w="1560" w:type="dxa"/>
            <w:vAlign w:val="bottom"/>
            <w:gridSpan w:val="3"/>
          </w:tcPr>
          <w:p>
            <w:pPr>
              <w:jc w:val="right"/>
              <w:ind w:right="340"/>
              <w:spacing w:after="0"/>
              <w:rPr>
                <w:sz w:val="20"/>
                <w:szCs w:val="20"/>
                <w:color w:val="auto"/>
              </w:rPr>
            </w:pPr>
            <w:r>
              <w:rPr>
                <w:rFonts w:ascii="Arial" w:cs="Arial" w:eastAsia="Arial" w:hAnsi="Arial"/>
                <w:sz w:val="17"/>
                <w:szCs w:val="17"/>
                <w:color w:val="auto"/>
              </w:rPr>
              <w:t>2000</w:t>
            </w:r>
          </w:p>
        </w:tc>
        <w:tc>
          <w:tcPr>
            <w:tcW w:w="960" w:type="dxa"/>
            <w:vAlign w:val="bottom"/>
          </w:tcPr>
          <w:p>
            <w:pPr>
              <w:jc w:val="right"/>
              <w:spacing w:after="0"/>
              <w:rPr>
                <w:sz w:val="20"/>
                <w:szCs w:val="20"/>
                <w:color w:val="auto"/>
              </w:rPr>
            </w:pPr>
            <w:r>
              <w:rPr>
                <w:rFonts w:ascii="Arial" w:cs="Arial" w:eastAsia="Arial" w:hAnsi="Arial"/>
                <w:sz w:val="17"/>
                <w:szCs w:val="17"/>
                <w:color w:val="auto"/>
              </w:rPr>
              <w:t>102,000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102,000</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Year ended December 31, 2005</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440" w:type="dxa"/>
            <w:vAlign w:val="bottom"/>
            <w:tcBorders>
              <w:bottom w:val="single" w:sz="8" w:color="auto"/>
            </w:tcBorders>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15</w:t>
            </w: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420 &amp; 501 South Mill</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Tempe, AZ</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1998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rPr>
                <w:sz w:val="20"/>
                <w:szCs w:val="20"/>
                <w:color w:val="auto"/>
              </w:rPr>
            </w:pPr>
            <w:r>
              <w:rPr>
                <w:rFonts w:ascii="Arial" w:cs="Arial" w:eastAsia="Arial" w:hAnsi="Arial"/>
                <w:sz w:val="17"/>
                <w:szCs w:val="17"/>
                <w:color w:val="auto"/>
              </w:rPr>
              <w:t>June 2</w:t>
            </w:r>
          </w:p>
        </w:tc>
        <w:tc>
          <w:tcPr>
            <w:tcW w:w="3620" w:type="dxa"/>
            <w:vAlign w:val="bottom"/>
            <w:gridSpan w:val="2"/>
          </w:tcPr>
          <w:p>
            <w:pPr>
              <w:ind w:left="340"/>
              <w:spacing w:after="0"/>
              <w:rPr>
                <w:sz w:val="20"/>
                <w:szCs w:val="20"/>
                <w:color w:val="auto"/>
              </w:rPr>
            </w:pPr>
            <w:r>
              <w:rPr>
                <w:rFonts w:ascii="Arial" w:cs="Arial" w:eastAsia="Arial" w:hAnsi="Arial"/>
                <w:sz w:val="17"/>
                <w:szCs w:val="17"/>
                <w:color w:val="auto"/>
              </w:rPr>
              <w:t>Cone &amp; Andary</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7"/>
                <w:szCs w:val="17"/>
                <w:color w:val="auto"/>
              </w:rPr>
              <w:t>Buildings</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Winter Park, FL</w:t>
            </w:r>
          </w:p>
        </w:tc>
        <w:tc>
          <w:tcPr>
            <w:tcW w:w="1560" w:type="dxa"/>
            <w:vAlign w:val="bottom"/>
            <w:gridSpan w:val="3"/>
          </w:tcPr>
          <w:p>
            <w:pPr>
              <w:jc w:val="right"/>
              <w:ind w:right="340"/>
              <w:spacing w:after="0"/>
              <w:rPr>
                <w:sz w:val="20"/>
                <w:szCs w:val="20"/>
                <w:color w:val="auto"/>
              </w:rPr>
            </w:pPr>
            <w:r>
              <w:rPr>
                <w:rFonts w:ascii="Arial" w:cs="Arial" w:eastAsia="Arial" w:hAnsi="Arial"/>
                <w:sz w:val="17"/>
                <w:szCs w:val="17"/>
                <w:color w:val="auto"/>
              </w:rPr>
              <w:t>1996</w:t>
            </w:r>
          </w:p>
        </w:tc>
        <w:tc>
          <w:tcPr>
            <w:tcW w:w="960" w:type="dxa"/>
            <w:vAlign w:val="bottom"/>
          </w:tcPr>
          <w:p>
            <w:pPr>
              <w:jc w:val="right"/>
              <w:spacing w:after="0"/>
              <w:rPr>
                <w:sz w:val="20"/>
                <w:szCs w:val="20"/>
                <w:color w:val="auto"/>
              </w:rPr>
            </w:pPr>
            <w:r>
              <w:rPr>
                <w:rFonts w:ascii="Arial" w:cs="Arial" w:eastAsia="Arial" w:hAnsi="Arial"/>
                <w:sz w:val="17"/>
                <w:szCs w:val="17"/>
                <w:color w:val="auto"/>
              </w:rPr>
              <w:t>28,000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11.1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12</w:t>
            </w: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Shaw’s Plaza</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Carver, MA</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2004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rPr>
                <w:sz w:val="20"/>
                <w:szCs w:val="20"/>
                <w:color w:val="auto"/>
              </w:rPr>
            </w:pPr>
            <w:r>
              <w:rPr>
                <w:rFonts w:ascii="Arial" w:cs="Arial" w:eastAsia="Arial" w:hAnsi="Arial"/>
                <w:sz w:val="17"/>
                <w:szCs w:val="17"/>
                <w:color w:val="auto"/>
              </w:rPr>
              <w:t>Various after August 26</w:t>
            </w:r>
          </w:p>
        </w:tc>
        <w:tc>
          <w:tcPr>
            <w:tcW w:w="3620" w:type="dxa"/>
            <w:vAlign w:val="bottom"/>
            <w:gridSpan w:val="2"/>
          </w:tcPr>
          <w:p>
            <w:pPr>
              <w:ind w:left="340"/>
              <w:spacing w:after="0"/>
              <w:rPr>
                <w:sz w:val="20"/>
                <w:szCs w:val="20"/>
                <w:color w:val="auto"/>
              </w:rPr>
            </w:pPr>
            <w:r>
              <w:rPr>
                <w:rFonts w:ascii="Arial" w:cs="Arial" w:eastAsia="Arial" w:hAnsi="Arial"/>
                <w:sz w:val="17"/>
                <w:szCs w:val="17"/>
                <w:color w:val="auto"/>
              </w:rPr>
              <w:t>Santana Row Condominiums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7"/>
                <w:szCs w:val="17"/>
                <w:color w:val="auto"/>
              </w:rPr>
              <w:t>(130 units)</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San Jose, CA</w:t>
            </w:r>
          </w:p>
        </w:tc>
        <w:tc>
          <w:tcPr>
            <w:tcW w:w="1560" w:type="dxa"/>
            <w:vAlign w:val="bottom"/>
            <w:gridSpan w:val="3"/>
          </w:tcPr>
          <w:p>
            <w:pPr>
              <w:jc w:val="right"/>
              <w:ind w:right="340"/>
              <w:spacing w:after="0"/>
              <w:rPr>
                <w:sz w:val="20"/>
                <w:szCs w:val="20"/>
                <w:color w:val="auto"/>
              </w:rPr>
            </w:pPr>
            <w:r>
              <w:rPr>
                <w:rFonts w:ascii="Arial" w:cs="Arial" w:eastAsia="Arial" w:hAnsi="Arial"/>
                <w:sz w:val="17"/>
                <w:szCs w:val="17"/>
                <w:color w:val="auto"/>
              </w:rPr>
              <w:t>2002</w:t>
            </w:r>
          </w:p>
        </w:tc>
        <w:tc>
          <w:tcPr>
            <w:tcW w:w="1300" w:type="dxa"/>
            <w:vAlign w:val="bottom"/>
            <w:gridSpan w:val="2"/>
          </w:tcPr>
          <w:p>
            <w:pPr>
              <w:ind w:left="660"/>
              <w:spacing w:after="0"/>
              <w:rPr>
                <w:sz w:val="20"/>
                <w:szCs w:val="20"/>
                <w:color w:val="auto"/>
              </w:rPr>
            </w:pPr>
            <w:r>
              <w:rPr>
                <w:rFonts w:ascii="Arial" w:cs="Arial" w:eastAsia="Arial" w:hAnsi="Arial"/>
                <w:sz w:val="17"/>
                <w:szCs w:val="17"/>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89.2</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143,000</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118.0</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of August 25, 2006, we had sold all of the 219 condominium units we currently intend to sell at Santana Row.</w:t>
      </w:r>
    </w:p>
    <w:p>
      <w:pPr>
        <w:spacing w:after="0" w:line="21" w:lineRule="exact"/>
        <w:rPr>
          <w:rFonts w:ascii="Arial" w:cs="Arial" w:eastAsia="Arial" w:hAnsi="Arial"/>
          <w:sz w:val="17"/>
          <w:szCs w:val="17"/>
          <w:color w:val="auto"/>
        </w:rPr>
      </w:pPr>
    </w:p>
    <w:p>
      <w:pPr>
        <w:ind w:left="460" w:hanging="454"/>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 of $16.5 million is net of $2.4 million in taxes.</w:t>
      </w:r>
    </w:p>
    <w:p>
      <w:pPr>
        <w:spacing w:after="0" w:line="16" w:lineRule="exact"/>
        <w:rPr>
          <w:rFonts w:ascii="Arial" w:cs="Arial" w:eastAsia="Arial" w:hAnsi="Arial"/>
          <w:sz w:val="17"/>
          <w:szCs w:val="17"/>
          <w:color w:val="auto"/>
        </w:rPr>
      </w:pPr>
    </w:p>
    <w:p>
      <w:pPr>
        <w:ind w:left="460" w:right="100" w:hanging="454"/>
        <w:spacing w:after="0" w:line="260"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property was contributed to our real estate partnership in which we own a 30% interest. Accordingly, we recognized a partial gain of $7.4 million on this sale related to the 70% equity interest contributed.</w:t>
      </w:r>
    </w:p>
    <w:p>
      <w:pPr>
        <w:ind w:left="460" w:hanging="454"/>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 of $23.5 million is net of $3.4 million in taxes.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proceeds from our dispositions were used to pay down our revolving credit facility and for general corporate purposes.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Significant Debt, Equity and Other Transactions</w:t>
      </w:r>
    </w:p>
    <w:p>
      <w:pPr>
        <w:spacing w:after="0" w:line="102"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On March 10, 2006, we repaid our 6.99% medium term notes with a principal amount of $40.5 million. These notes were repaid with funds borrowed on our revolving credit facility.</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17, 2006 we issued $120.0 million of fixed rate notes, which mature on July 15, 2012 and bear interest at 6.0%, and $130.0 million of fixed rate notes, which mature on January 15, 2017 and bear interest at 6.2%. Our net proceeds from these note offerings after issuance discounts and underwriting fees were $247.9 million. These proceeds, along with $2.4 million borrowed on our revolving credit facility, were used to repay all the principal of our $150.0 million five-year term loan due October 2008 and $100.0 million three-year term loan due October 2006 and $0.3 million of related accrued interest on July 17, 2006.</w:t>
      </w:r>
    </w:p>
    <w:p>
      <w:pPr>
        <w:spacing w:after="0" w:line="117"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In order to hedge our exposure to interest rate fluctuations on the $150.0 million five-year term loan due October 2008, we entered into an interest rate swap in January 2004, which fixed the LIBOR portion of the interest rate on this term loan at 2.401% through October 8, 2006. The full notional amount of this swap qualified as a cash flow hedge until we repaid this term loan on July 17, 2006. On July 17, 2006, we did not redesignate this swap and the related $1.2 million included in accumulated other comprehensive income was recognized into earnings.</w:t>
      </w:r>
    </w:p>
    <w:p>
      <w:pPr>
        <w:spacing w:after="0" w:line="13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July 28, 2006, we replaced our existing revolving credit facility with a new $300.0 million unsecured revolving credit facility. The new revolving credit facility matures on July 27, 2010, subject to a one-year extension at our option, and initially bears interest at LIBOR plus 42.5 basis points. The spread over LIBOR is subject to adjustment based on our credit rating.</w:t>
      </w:r>
    </w:p>
    <w:p>
      <w:pPr>
        <w:spacing w:after="0" w:line="1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August 4, 2006, we amended the $17.7 million second mortgage note receivable which is secured by a hotel in San Jose, California. The amended note decreased the interest rate from 14% to 9% per annum, requires monthly payments of principal and interest based on a 15-year amortization schedule and matures on August 20, 2016.</w:t>
      </w:r>
    </w:p>
    <w:p>
      <w:pPr>
        <w:spacing w:after="0" w:line="12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connection with the acquisitions of Bath Shopping Center and Chelsea Commons on August 24, 2006 and August 25, 2006, we assumed two mortgage notes, one in connection with each property, with fair values of approximately $11.1 million and $8.0 million, respectively. The Bath Shopping Center and Chelsea Commons mortgages mature on July 1, 2028 and January 15, 2031, respectively, and bear interest at 7.13% and 5.36%, respectively. Both notes require monthly payments of principal and interest.</w:t>
      </w:r>
    </w:p>
    <w:p>
      <w:pPr>
        <w:spacing w:after="0" w:line="130"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On August 24, 2006, we entered into a $150 million unsecured credit agreement (the “Bridge Loan”) bearing interest at LIBOR plus 42.5 basis points and maturing on December 29, 2006. The Bridge Loan was used to provide interim financing for the acquisition of properties and was fully repaid on September 19, 2006, using the proceeds from the issuance of common stock.</w:t>
      </w:r>
    </w:p>
    <w:p>
      <w:pPr>
        <w:spacing w:after="0" w:line="128" w:lineRule="exact"/>
        <w:rPr>
          <w:sz w:val="20"/>
          <w:szCs w:val="20"/>
          <w:color w:val="auto"/>
        </w:rPr>
      </w:pPr>
    </w:p>
    <w:p>
      <w:pPr>
        <w:jc w:val="both"/>
        <w:ind w:right="200"/>
        <w:spacing w:after="0" w:line="326" w:lineRule="auto"/>
        <w:rPr>
          <w:sz w:val="20"/>
          <w:szCs w:val="20"/>
          <w:color w:val="auto"/>
        </w:rPr>
      </w:pPr>
      <w:r>
        <w:rPr>
          <w:rFonts w:ascii="Arial" w:cs="Arial" w:eastAsia="Arial" w:hAnsi="Arial"/>
          <w:sz w:val="15"/>
          <w:szCs w:val="15"/>
          <w:color w:val="auto"/>
        </w:rPr>
        <w:t>On September 19, 2006, we issued 2.0 million common shares at $74.51 per share (after deducting underwriting discounts and fees) netting approximately $149.2 million in cash proceeds before other expenses of the offering. The proceeds were used on an interim basis to repay debt from the acquisition of three properties in New England and for general corporate purposes. Ultimately, the proceeds were used to redeem the Series B preferred shares on November 27, 2006.</w:t>
      </w:r>
    </w:p>
    <w:p>
      <w:pPr>
        <w:spacing w:after="0" w:line="92"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On September 28, 2006, we reopened the 6.0% and 6.2% fixed rate notes that were initially issued on July 17, 2006. We issued an additional $55.0 million of fixed rate notes, which mature on July 15, 2012 and bear interest at 6.0%, and an additional $70.0 million of fixed rate notes, which mature on January 15, 2017, and bear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interest at 6.2%. The additional note issuances are fully fungible, rank equally with and form a single issue and series with the initial notes issued on July 17, 2006. Our net proceeds from the September 2006 note offerings after issuance premiums, underwriting fees and accrued interest were $130.1 million. These proceeds were used to reduce the borrowings under our unsecured credit facility and for general corporate purposes.</w:t>
      </w:r>
    </w:p>
    <w:p>
      <w:pPr>
        <w:spacing w:after="0" w:line="1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On October 16, 2006, we acquired the leasehold interest in Melville Mall. The fee interest in the property was encumbered by an existing mortgage note with a fair value of approximately $25.2 million. This mortgage note bears interest at 5.25% per annum, requires monthly payments of interest and principal based on a 25-year amortization schedule and matures on September 1, 2014. We are required to make the payment on this mortgage as part of our rent payment under our lease. Because we control this property and retain substantially all of the economic benefits and risks associated with it, we consolidate this property, its operations and this mortgage note.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On November 27, 2006, we redeemed all 5,400,000 outstanding shares of our 8.5% Series B Cumulative Redeemable Preferred Shares, no par value. The Series B</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Preferred Shares were redeemed at their redemption price of $25.00 per share, plus accrued and unpaid dividends through the redemption date of approximately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$0.16 per share, for an aggregate redemption price of approximately $25.16 per share or $135.9 million in total. Dividends on the Series B Preferred Shares ceased to</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accrue on November 27, 2006. The redemption also resulted in a deemed dividend of $4.8 million for the difference between the redemption amount and carrying</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cost.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December 1, 2006, we issued $135.0 million of fixed rate notes, which mature on December 1, 2013 and bear interest at 5.4%. Our net proceeds from these note offerings after underwriting fees were $134.2 million. The proceeds were used for general corporate purposes, including repaying amounts outstanding under our revolving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96"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We anticipate our 2007 income from continuing operations to grow in comparison to our 2006 income from continuing operations. We expect this income growth primarily to be generated by a combination of the following:</w:t>
      </w:r>
    </w:p>
    <w:p>
      <w:pPr>
        <w:spacing w:after="0" w:line="36" w:lineRule="exact"/>
        <w:rPr>
          <w:sz w:val="20"/>
          <w:szCs w:val="20"/>
          <w:color w:val="auto"/>
        </w:rPr>
      </w:pPr>
    </w:p>
    <w:p>
      <w:pPr>
        <w:ind w:left="780" w:hanging="324"/>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increased earnings in our same center portfolio and from properties under redevelopment;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increased earnings as we expand our portfolio through property acquisitions.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On November 6, 2006, we announced a regular quarterly cash dividend of $0.575 per share on our common shares, resulting in an indicated annual rate of $2.30 per share. The regular common dividend was payable on January 16, 2007, to common shareholders of record as of January 2, 2007.</w:t>
      </w:r>
    </w:p>
    <w:p>
      <w:pPr>
        <w:spacing w:after="0" w:line="115"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We continue to see a positive impact on our income as a result of the redevelopment of our shopping centers and higher rental rates on existing spaces as leases on these spaces expire. We anticipate investments in redevelopment projects of approximately $109 million and $97 million to stabilize in 2007 and 2008, respectively. As redevelopment properties are completed, spaces that were out of service begin generating revenue; in addition, spaces that were not out of service and that have expiring leases may generate higher revenue because we generally receive higher rent on new leases. For example, many of the leases with rents commencing in 2006 were signed in 2005 or earlier, and leases signed in 2004, 2005 and 2006 on spaces for which there was a previous tenant have on average been renewed at double digit base rent increases. On spaces where the tenant leases are expiring in 2007, our analysis of current market rents as compared to rents on the existing leases leads us to expect that, on average, the base rents in new leases will have double-digit weighted average increases over the base rents currently in place.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53"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At December 31, 2006 the leasable square feet in our shopping centers was 95.4% occupied and 96.5% leased. The leased rate is higher than the occupied rate due to spaces that are being redeveloped or improved or that are awaiting permits and, therefore, are not yet ready to be occupied. Our occupancy percentage and leased percentage increased from 93.9% and 96.3%, respectively at December 31, 2005, to 95.6% and 97.3%, respectively, at September 30, 2006. However, our occupancy percentage and leased percentage decreased as of December 31, 2006 due to 93,000 square feet vacated as a result of the Chapter 7 liquidation of Tower Records and Storehouse Furniture. Our occupancy and leased rates are subject to variability over time due to factors including acquisitions, the timing of the start and stabilization of our redevelopment projects, lease expirations and tenant bankruptcies.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Santana Row</w:t>
      </w:r>
    </w:p>
    <w:p>
      <w:pPr>
        <w:spacing w:after="0" w:line="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Santana Row, located in San Jose, California, includes approximately 563,000 square feet of retail space, 295 residential rental units, and a ground lease to a 213-room hotel. The 295 residential units include 259 residential units delivered in 2005 and 2006 plus 36 pre-existing residential units. The 295 residential rental units do not include 219 units that have been sold as condominiums. Our total investment in Santana Row, excluding future phases, is approximately $431 million (which includes the 563,000 square feet of retail space, the 295 residential rental units, the related common areas and infrastructure and $13 million invested in restaurant ventures) net of insurance proceeds received related to the 2002 fire and proceeds from the sale of the 219 residential units.</w:t>
      </w:r>
    </w:p>
    <w:p>
      <w:pPr>
        <w:spacing w:after="0" w:line="11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are developing a master plan for the remaining parcels at Santana Row which comprise approximately 13.4 acres of land. Our remaining entitlements consist of approximately 135,000 square feet of retail space, 897 residential units and either a 191-room hotel or an additional 190 residential units. We are evaluating the feasibility of utilizing these entitlements in future development at Santana Row but there is no guaranty that we will ultimately pursue or complete any part of the development of the remaining parcels.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We anticipate further growth in earnings from acquisitions of neighborhood and community shopping centers in our primary markets in the East and West regions, as well as a reduction in earnings from selective dispositions.</w:t>
      </w:r>
    </w:p>
    <w:p>
      <w:pPr>
        <w:spacing w:after="0" w:line="11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Any growth in earnings from acquisitions is contingent, however, on our ability to find properties that meet our qualitative standards at prices that meet our financial hurdles. Changes in interest rates also may affect our success in achieving growth through acquisitions by affecting both the price that must be paid to acquire a property, as well as our ability to economically finance the property acquisitions.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2006 COMPARED TO YEAR ENDED DECEMBER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80" w:type="dxa"/>
            <w:vAlign w:val="bottom"/>
          </w:tcPr>
          <w:p>
            <w:pPr>
              <w:spacing w:after="0"/>
              <w:rPr>
                <w:sz w:val="13"/>
                <w:szCs w:val="13"/>
                <w:color w:val="auto"/>
              </w:rPr>
            </w:pPr>
          </w:p>
        </w:tc>
        <w:tc>
          <w:tcPr>
            <w:tcW w:w="1300" w:type="dxa"/>
            <w:vAlign w:val="bottom"/>
            <w:vMerge w:val="restart"/>
          </w:tcPr>
          <w:p>
            <w:pPr>
              <w:spacing w:after="0"/>
              <w:rPr>
                <w:sz w:val="13"/>
                <w:szCs w:val="13"/>
                <w:color w:val="auto"/>
              </w:rPr>
            </w:pPr>
          </w:p>
        </w:tc>
        <w:tc>
          <w:tcPr>
            <w:tcW w:w="70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2006</w:t>
            </w:r>
          </w:p>
        </w:tc>
        <w:tc>
          <w:tcPr>
            <w:tcW w:w="500" w:type="dxa"/>
            <w:vAlign w:val="bottom"/>
          </w:tcPr>
          <w:p>
            <w:pPr>
              <w:spacing w:after="0"/>
              <w:rPr>
                <w:sz w:val="13"/>
                <w:szCs w:val="13"/>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2005</w:t>
            </w: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8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rPr>
              <w:t>(Dollars)</w:t>
            </w:r>
          </w:p>
        </w:tc>
        <w:tc>
          <w:tcPr>
            <w:tcW w:w="480" w:type="dxa"/>
            <w:vAlign w:val="bottom"/>
          </w:tcPr>
          <w:p>
            <w:pPr>
              <w:spacing w:after="0"/>
              <w:rPr>
                <w:sz w:val="12"/>
                <w:szCs w:val="12"/>
                <w:color w:val="auto"/>
              </w:rPr>
            </w:pPr>
          </w:p>
        </w:tc>
        <w:tc>
          <w:tcPr>
            <w:tcW w:w="58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4"/>
              </w:rPr>
              <w:t>%Change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right"/>
              <w:ind w:right="74"/>
              <w:spacing w:after="0" w:line="139" w:lineRule="exact"/>
              <w:rPr>
                <w:sz w:val="20"/>
                <w:szCs w:val="20"/>
                <w:color w:val="auto"/>
              </w:rPr>
            </w:pPr>
            <w:r>
              <w:rPr>
                <w:rFonts w:ascii="Arial" w:cs="Arial" w:eastAsia="Arial" w:hAnsi="Arial"/>
                <w:sz w:val="13"/>
                <w:szCs w:val="13"/>
                <w:b w:val="1"/>
                <w:bCs w:val="1"/>
                <w:color w:val="auto"/>
                <w:w w:val="82"/>
              </w:rPr>
              <w:t>(Dollar</w:t>
            </w:r>
          </w:p>
        </w:tc>
        <w:tc>
          <w:tcPr>
            <w:tcW w:w="120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w w:val="81"/>
              </w:rPr>
              <w:t>amounts 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500" w:type="dxa"/>
            <w:vAlign w:val="bottom"/>
            <w:gridSpan w:val="3"/>
            <w:shd w:val="clear" w:color="auto" w:fill="CCEEFF"/>
          </w:tcPr>
          <w:p>
            <w:pPr>
              <w:jc w:val="right"/>
              <w:ind w:right="434"/>
              <w:spacing w:after="0"/>
              <w:rPr>
                <w:sz w:val="20"/>
                <w:szCs w:val="20"/>
                <w:color w:val="auto"/>
              </w:rPr>
            </w:pPr>
            <w:r>
              <w:rPr>
                <w:rFonts w:ascii="Arial" w:cs="Arial" w:eastAsia="Arial" w:hAnsi="Arial"/>
                <w:sz w:val="17"/>
                <w:szCs w:val="17"/>
                <w:color w:val="auto"/>
              </w:rPr>
              <w:t>$ 438,201</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2"/>
              </w:rPr>
              <w:t>$ 393,548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44,653</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7"/>
                <w:szCs w:val="17"/>
                <w:color w:val="auto"/>
              </w:rPr>
              <w:t>Other property income</w:t>
            </w:r>
          </w:p>
        </w:tc>
        <w:tc>
          <w:tcPr>
            <w:tcW w:w="2500" w:type="dxa"/>
            <w:vAlign w:val="bottom"/>
            <w:gridSpan w:val="3"/>
          </w:tcPr>
          <w:p>
            <w:pPr>
              <w:jc w:val="right"/>
              <w:ind w:right="434"/>
              <w:spacing w:after="0"/>
              <w:rPr>
                <w:sz w:val="20"/>
                <w:szCs w:val="20"/>
                <w:color w:val="auto"/>
              </w:rPr>
            </w:pPr>
            <w:r>
              <w:rPr>
                <w:rFonts w:ascii="Arial" w:cs="Arial" w:eastAsia="Arial" w:hAnsi="Arial"/>
                <w:sz w:val="17"/>
                <w:szCs w:val="17"/>
                <w:color w:val="auto"/>
              </w:rPr>
              <w:t>7,726</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9,551</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(1,825)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1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5,095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5,370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420"/>
              <w:spacing w:after="0"/>
              <w:rPr>
                <w:sz w:val="20"/>
                <w:szCs w:val="20"/>
                <w:color w:val="auto"/>
              </w:rPr>
            </w:pPr>
            <w:r>
              <w:rPr>
                <w:rFonts w:ascii="Arial" w:cs="Arial" w:eastAsia="Arial" w:hAnsi="Arial"/>
                <w:sz w:val="17"/>
                <w:szCs w:val="17"/>
                <w:color w:val="auto"/>
              </w:rPr>
              <w:t>Total property revenues</w:t>
            </w: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right"/>
              <w:ind w:right="434"/>
              <w:spacing w:after="0"/>
              <w:rPr>
                <w:sz w:val="20"/>
                <w:szCs w:val="20"/>
                <w:color w:val="auto"/>
              </w:rPr>
            </w:pPr>
            <w:r>
              <w:rPr>
                <w:rFonts w:ascii="Arial" w:cs="Arial" w:eastAsia="Arial" w:hAnsi="Arial"/>
                <w:sz w:val="17"/>
                <w:szCs w:val="17"/>
                <w:color w:val="auto"/>
              </w:rPr>
              <w:t>451,022</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408,469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42,553</w:t>
            </w:r>
          </w:p>
        </w:tc>
        <w:tc>
          <w:tcPr>
            <w:tcW w:w="4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1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88,130</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84,736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7"/>
                <w:szCs w:val="17"/>
                <w:color w:val="auto"/>
              </w:rPr>
              <w:t>Real estate taxes</w:t>
            </w:r>
          </w:p>
        </w:tc>
        <w:tc>
          <w:tcPr>
            <w:tcW w:w="1300" w:type="dxa"/>
            <w:vAlign w:val="bottom"/>
          </w:tcPr>
          <w:p>
            <w:pPr>
              <w:spacing w:after="0"/>
              <w:rPr>
                <w:sz w:val="18"/>
                <w:szCs w:val="18"/>
                <w:color w:val="auto"/>
              </w:rPr>
            </w:pPr>
          </w:p>
        </w:tc>
        <w:tc>
          <w:tcPr>
            <w:tcW w:w="1200" w:type="dxa"/>
            <w:vAlign w:val="bottom"/>
            <w:gridSpan w:val="2"/>
          </w:tcPr>
          <w:p>
            <w:pPr>
              <w:jc w:val="right"/>
              <w:ind w:right="434"/>
              <w:spacing w:after="0"/>
              <w:rPr>
                <w:sz w:val="20"/>
                <w:szCs w:val="20"/>
                <w:color w:val="auto"/>
              </w:rPr>
            </w:pPr>
            <w:r>
              <w:rPr>
                <w:rFonts w:ascii="Arial" w:cs="Arial" w:eastAsia="Arial" w:hAnsi="Arial"/>
                <w:sz w:val="17"/>
                <w:szCs w:val="17"/>
                <w:color w:val="auto"/>
              </w:rPr>
              <w:t>44,898</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39,372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5,526</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property expenses</w:t>
            </w:r>
          </w:p>
        </w:tc>
        <w:tc>
          <w:tcPr>
            <w:tcW w:w="1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133,028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124,108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8,920</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420"/>
              <w:spacing w:after="0"/>
              <w:rPr>
                <w:sz w:val="20"/>
                <w:szCs w:val="20"/>
                <w:color w:val="auto"/>
              </w:rPr>
            </w:pPr>
            <w:r>
              <w:rPr>
                <w:rFonts w:ascii="Arial" w:cs="Arial" w:eastAsia="Arial" w:hAnsi="Arial"/>
                <w:sz w:val="17"/>
                <w:szCs w:val="17"/>
                <w:color w:val="auto"/>
              </w:rPr>
              <w:t>Property operating income</w:t>
            </w: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right"/>
              <w:ind w:right="434"/>
              <w:spacing w:after="0"/>
              <w:rPr>
                <w:sz w:val="20"/>
                <w:szCs w:val="20"/>
                <w:color w:val="auto"/>
              </w:rPr>
            </w:pPr>
            <w:r>
              <w:rPr>
                <w:rFonts w:ascii="Arial" w:cs="Arial" w:eastAsia="Arial" w:hAnsi="Arial"/>
                <w:sz w:val="17"/>
                <w:szCs w:val="17"/>
                <w:color w:val="auto"/>
              </w:rPr>
              <w:t>317,994</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284,361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33,633</w:t>
            </w:r>
          </w:p>
        </w:tc>
        <w:tc>
          <w:tcPr>
            <w:tcW w:w="4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500" w:type="dxa"/>
            <w:vAlign w:val="bottom"/>
            <w:gridSpan w:val="3"/>
            <w:shd w:val="clear" w:color="auto" w:fill="CCEEFF"/>
          </w:tcPr>
          <w:p>
            <w:pPr>
              <w:jc w:val="right"/>
              <w:ind w:right="434"/>
              <w:spacing w:after="0"/>
              <w:rPr>
                <w:sz w:val="20"/>
                <w:szCs w:val="20"/>
                <w:color w:val="auto"/>
              </w:rPr>
            </w:pPr>
            <w:r>
              <w:rPr>
                <w:rFonts w:ascii="Arial" w:cs="Arial" w:eastAsia="Arial" w:hAnsi="Arial"/>
                <w:sz w:val="17"/>
                <w:szCs w:val="17"/>
                <w:color w:val="auto"/>
              </w:rPr>
              <w:t>2,545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2,215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2500" w:type="dxa"/>
            <w:vAlign w:val="bottom"/>
            <w:gridSpan w:val="3"/>
          </w:tcPr>
          <w:p>
            <w:pPr>
              <w:jc w:val="right"/>
              <w:ind w:right="434"/>
              <w:spacing w:after="0"/>
              <w:rPr>
                <w:sz w:val="20"/>
                <w:szCs w:val="20"/>
                <w:color w:val="auto"/>
              </w:rPr>
            </w:pPr>
            <w:r>
              <w:rPr>
                <w:rFonts w:ascii="Arial" w:cs="Arial" w:eastAsia="Arial" w:hAnsi="Arial"/>
                <w:sz w:val="17"/>
                <w:szCs w:val="17"/>
                <w:color w:val="auto"/>
              </w:rPr>
              <w:t>656</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163</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500" w:type="dxa"/>
            <w:vAlign w:val="bottom"/>
            <w:gridSpan w:val="3"/>
            <w:shd w:val="clear" w:color="auto" w:fill="CCEEFF"/>
          </w:tcPr>
          <w:p>
            <w:pPr>
              <w:jc w:val="right"/>
              <w:ind w:right="374"/>
              <w:spacing w:after="0"/>
              <w:rPr>
                <w:sz w:val="20"/>
                <w:szCs w:val="20"/>
                <w:color w:val="auto"/>
              </w:rPr>
            </w:pPr>
            <w:r>
              <w:rPr>
                <w:rFonts w:ascii="Arial" w:cs="Arial" w:eastAsia="Arial" w:hAnsi="Arial"/>
                <w:sz w:val="17"/>
                <w:szCs w:val="17"/>
                <w:color w:val="auto"/>
              </w:rPr>
              <w:t>(102,808)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(88,566)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1"/>
              </w:rPr>
              <w:t>(14,242)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2500" w:type="dxa"/>
            <w:vAlign w:val="bottom"/>
            <w:gridSpan w:val="3"/>
          </w:tcPr>
          <w:p>
            <w:pPr>
              <w:jc w:val="right"/>
              <w:ind w:right="374"/>
              <w:spacing w:after="0"/>
              <w:rPr>
                <w:sz w:val="20"/>
                <w:szCs w:val="20"/>
                <w:color w:val="auto"/>
              </w:rPr>
            </w:pPr>
            <w:r>
              <w:rPr>
                <w:rFonts w:ascii="Arial" w:cs="Arial" w:eastAsia="Arial" w:hAnsi="Arial"/>
                <w:sz w:val="17"/>
                <w:szCs w:val="17"/>
                <w:color w:val="auto"/>
              </w:rPr>
              <w:t>(21,340)</w:t>
            </w: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(19,909)</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(1,431)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(97,618)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(88,927)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(8,691)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Total other, net</w:t>
            </w: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right"/>
              <w:ind w:right="374"/>
              <w:spacing w:after="0"/>
              <w:rPr>
                <w:sz w:val="20"/>
                <w:szCs w:val="20"/>
                <w:color w:val="auto"/>
              </w:rPr>
            </w:pPr>
            <w:r>
              <w:rPr>
                <w:rFonts w:ascii="Arial" w:cs="Arial" w:eastAsia="Arial" w:hAnsi="Arial"/>
                <w:sz w:val="17"/>
                <w:szCs w:val="17"/>
                <w:color w:val="auto"/>
              </w:rPr>
              <w:t>(218,565)</w:t>
            </w: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(194,694)</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1"/>
              </w:rPr>
              <w:t>(23,871)</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before minority interests</w:t>
            </w:r>
          </w:p>
        </w:tc>
        <w:tc>
          <w:tcPr>
            <w:tcW w:w="1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99,429</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89,667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9,762</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7"/>
                <w:szCs w:val="17"/>
                <w:color w:val="auto"/>
              </w:rPr>
              <w:t>Minority interests</w:t>
            </w:r>
          </w:p>
        </w:tc>
        <w:tc>
          <w:tcPr>
            <w:tcW w:w="2500" w:type="dxa"/>
            <w:vAlign w:val="bottom"/>
            <w:gridSpan w:val="3"/>
          </w:tcPr>
          <w:p>
            <w:pPr>
              <w:jc w:val="right"/>
              <w:ind w:right="374"/>
              <w:spacing w:after="0"/>
              <w:rPr>
                <w:sz w:val="20"/>
                <w:szCs w:val="20"/>
                <w:color w:val="auto"/>
              </w:rPr>
            </w:pPr>
            <w:r>
              <w:rPr>
                <w:rFonts w:ascii="Arial" w:cs="Arial" w:eastAsia="Arial" w:hAnsi="Arial"/>
                <w:sz w:val="17"/>
                <w:szCs w:val="17"/>
                <w:color w:val="auto"/>
              </w:rPr>
              <w:t>(4,353)</w:t>
            </w: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(5,234)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881</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Loss from discontinued operations</w:t>
            </w:r>
          </w:p>
        </w:tc>
        <w:tc>
          <w:tcPr>
            <w:tcW w:w="2500" w:type="dxa"/>
            <w:vAlign w:val="bottom"/>
            <w:gridSpan w:val="3"/>
            <w:shd w:val="clear" w:color="auto" w:fill="CCEEFF"/>
          </w:tcPr>
          <w:p>
            <w:pPr>
              <w:jc w:val="right"/>
              <w:ind w:right="374"/>
              <w:spacing w:after="0"/>
              <w:rPr>
                <w:sz w:val="20"/>
                <w:szCs w:val="20"/>
                <w:color w:val="auto"/>
              </w:rPr>
            </w:pPr>
            <w:r>
              <w:rPr>
                <w:rFonts w:ascii="Arial" w:cs="Arial" w:eastAsia="Arial" w:hAnsi="Arial"/>
                <w:sz w:val="17"/>
                <w:szCs w:val="17"/>
                <w:color w:val="auto"/>
              </w:rPr>
              <w:t>(320)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300" w:type="dxa"/>
            <w:vAlign w:val="bottom"/>
          </w:tcPr>
          <w:p>
            <w:pPr>
              <w:spacing w:after="0"/>
              <w:rPr>
                <w:sz w:val="18"/>
                <w:szCs w:val="18"/>
                <w:color w:val="auto"/>
              </w:rPr>
            </w:pPr>
          </w:p>
        </w:tc>
        <w:tc>
          <w:tcPr>
            <w:tcW w:w="1200" w:type="dxa"/>
            <w:vAlign w:val="bottom"/>
            <w:gridSpan w:val="2"/>
          </w:tcPr>
          <w:p>
            <w:pPr>
              <w:jc w:val="right"/>
              <w:ind w:right="434"/>
              <w:spacing w:after="0"/>
              <w:rPr>
                <w:sz w:val="20"/>
                <w:szCs w:val="20"/>
                <w:color w:val="auto"/>
              </w:rPr>
            </w:pPr>
            <w:r>
              <w:rPr>
                <w:rFonts w:ascii="Arial" w:cs="Arial" w:eastAsia="Arial" w:hAnsi="Arial"/>
                <w:sz w:val="17"/>
                <w:szCs w:val="17"/>
                <w:color w:val="auto"/>
              </w:rPr>
              <w:t>23,956</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30,748</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(6,792)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2500" w:type="dxa"/>
            <w:vAlign w:val="bottom"/>
            <w:gridSpan w:val="3"/>
            <w:shd w:val="clear" w:color="auto" w:fill="CCEEFF"/>
          </w:tcPr>
          <w:p>
            <w:pPr>
              <w:jc w:val="right"/>
              <w:ind w:right="434"/>
              <w:spacing w:after="0"/>
              <w:rPr>
                <w:sz w:val="20"/>
                <w:szCs w:val="20"/>
                <w:color w:val="auto"/>
              </w:rPr>
            </w:pPr>
            <w:r>
              <w:rPr>
                <w:rFonts w:ascii="Arial" w:cs="Arial" w:eastAsia="Arial" w:hAnsi="Arial"/>
                <w:sz w:val="17"/>
                <w:szCs w:val="17"/>
                <w:color w:val="auto"/>
              </w:rPr>
              <w:t>$ 118,712</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2"/>
              </w:rPr>
              <w:t>$ 114,612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Same Center</w:t>
      </w:r>
    </w:p>
    <w:p>
      <w:pPr>
        <w:spacing w:after="0" w:line="9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 Santana Row is considered under development in 2006, 2005 and 2004 and as such is excluded from same-center results.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18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Total property revenue increased $42.6 million, or 10.4%, to $451.0 million in 2006 compared to $408.5 million in 2005. The percentage leased at our shopping centers increased to 96.5% at December 31, 2006 compared to 96.3% at December 31, 2005 as the square feet for new leases signed at existing properties exceeded the square footage vacated in 2006, including the 93,000 square feet vacated in the fourth quarter of 2006 as a result of the Chapter 7 liquidation of Tower Records and Storehouse Furniture.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96"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Rental income consists primarily of minimum rent, cost recoveries from tenants and percentage rent. Rental income increased $44.7 million, or 11.3%, to $438.2 million in 2006 compared to $393.5 million in 2005, due primarily to the following:</w:t>
      </w:r>
    </w:p>
    <w:p>
      <w:pPr>
        <w:spacing w:after="0" w:line="36" w:lineRule="exact"/>
        <w:rPr>
          <w:sz w:val="20"/>
          <w:szCs w:val="20"/>
          <w:color w:val="auto"/>
        </w:rPr>
      </w:pPr>
    </w:p>
    <w:p>
      <w:pPr>
        <w:ind w:left="5620" w:right="5040" w:hanging="5164"/>
        <w:spacing w:after="0" w:line="465" w:lineRule="auto"/>
        <w:tabs>
          <w:tab w:leader="none" w:pos="77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increase of $20.2 million attributable to properties acquired in 2006 and 2005, 41</w:t>
      </w:r>
    </w:p>
    <w:p>
      <w:pPr>
        <w:sectPr>
          <w:pgSz w:w="11900" w:h="16838" w:orient="portrait"/>
          <w:cols w:equalWidth="0" w:num="1">
            <w:col w:w="11420"/>
          </w:cols>
          <w:pgMar w:left="240" w:top="45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80" w:hanging="324"/>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$11.8 million at same-center properties due to increased rental rates on new leases and increased occupancy,</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$7.1 million at redevelopment properties due to increased occupancy and increased rental rates on new leases, and</w:t>
      </w:r>
    </w:p>
    <w:p>
      <w:pPr>
        <w:spacing w:after="0" w:line="95" w:lineRule="exact"/>
        <w:rPr>
          <w:rFonts w:ascii="Arial" w:cs="Arial" w:eastAsia="Arial" w:hAnsi="Arial"/>
          <w:sz w:val="17"/>
          <w:szCs w:val="17"/>
          <w:color w:val="auto"/>
        </w:rPr>
      </w:pPr>
    </w:p>
    <w:p>
      <w:pPr>
        <w:ind w:left="780" w:right="120" w:hanging="324"/>
        <w:spacing w:after="0" w:line="287" w:lineRule="auto"/>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$6.5 million at Santana Row due primarily to leasing newly constructed residential rental units, increased rental rates on new retail leases, and increased occupancy.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9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Other property income decreased $1.8 million, or 19.1%, to $7.7 million in 2006 compared to $9.6 million in 2005. Included in other property income are items which, although recurring, tend to fluctuate more than rental income from period to period, such as lease termination fees. In 2006, the decrease is primarily due to a $1.9 million decrease in lease termination fees.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Interest Income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Mortgage interest income decreased $0.3 million, or 5.1%, to $5.1 million in 2006 compared to $5.4 million in 2005. The decrease is primarily due to the following:</w:t>
      </w:r>
    </w:p>
    <w:p>
      <w:pPr>
        <w:spacing w:after="0" w:line="119" w:lineRule="exact"/>
        <w:rPr>
          <w:sz w:val="20"/>
          <w:szCs w:val="20"/>
          <w:color w:val="auto"/>
        </w:rPr>
      </w:pPr>
    </w:p>
    <w:p>
      <w:pPr>
        <w:ind w:left="780" w:hanging="324"/>
        <w:spacing w:after="0" w:line="287"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of $0.4 million resulting from an amendment to our mortgage note receivable secured by a hotel in San Jose, California, executed on August 4, 2006, which decreased the interest rate from 14% to 9% per annum;</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of $0.3 million related to the pay-off of a $5.9 million mortgage note receivable in August 23, 2005;</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partially offset by</w:t>
      </w:r>
    </w:p>
    <w:p>
      <w:pPr>
        <w:spacing w:after="0" w:line="96" w:lineRule="exact"/>
        <w:rPr>
          <w:sz w:val="20"/>
          <w:szCs w:val="20"/>
          <w:color w:val="auto"/>
        </w:rPr>
      </w:pPr>
    </w:p>
    <w:p>
      <w:pPr>
        <w:ind w:left="780" w:hanging="324"/>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of $0.3 million related to higher participating interest.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102"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Total property operating expenses increased $8.9 million, or 7.2%, to $133.0 million in 2006 compared to $124.1 million in 2005. Changes in the components of property expenses are discussed below.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$3.4 million, or 4.0%, to $88.1 million in 2006 compared to $84.7 million in 2005. This increase is due primarily to the following:</w:t>
      </w:r>
    </w:p>
    <w:p>
      <w:pPr>
        <w:spacing w:after="0" w:line="107" w:lineRule="exact"/>
        <w:rPr>
          <w:sz w:val="20"/>
          <w:szCs w:val="20"/>
          <w:color w:val="auto"/>
        </w:rPr>
      </w:pPr>
    </w:p>
    <w:p>
      <w:pPr>
        <w:ind w:left="780" w:hanging="324"/>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$3.2 million, attributable to properties acquired in 2006 and 2005,</w:t>
      </w:r>
    </w:p>
    <w:p>
      <w:pPr>
        <w:spacing w:after="0" w:line="95" w:lineRule="exact"/>
        <w:rPr>
          <w:rFonts w:ascii="Arial" w:cs="Arial" w:eastAsia="Arial" w:hAnsi="Arial"/>
          <w:sz w:val="17"/>
          <w:szCs w:val="17"/>
          <w:color w:val="auto"/>
        </w:rPr>
      </w:pPr>
    </w:p>
    <w:p>
      <w:pPr>
        <w:ind w:left="780" w:right="220" w:hanging="324"/>
        <w:spacing w:after="0" w:line="287"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$2.5 million at Santana Row due primarily to higher repair and maintenance expenses and common area costs associated with the newly constructed residential rental units placed into service,</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$1.7 million in repairs and maintenance, excluding snow removal, at same-center and redevelopment properties,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$0.9 million in utilities at same-center and redevelopment properties,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96" w:lineRule="exact"/>
        <w:rPr>
          <w:sz w:val="20"/>
          <w:szCs w:val="20"/>
          <w:color w:val="auto"/>
        </w:rPr>
      </w:pPr>
    </w:p>
    <w:p>
      <w:pPr>
        <w:ind w:left="780" w:hanging="324"/>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decrease of $3.0 million due to lower snow removal costs at same-center and redevelopment properties,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decrease of $2.0 million due to lower bad debt expense at same-center and redevelopment properties.</w:t>
      </w:r>
    </w:p>
    <w:p>
      <w:pPr>
        <w:spacing w:after="0" w:line="175"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As a result of the changes in rental income, rental expenses and other property income described above, rental expenses as a percentage of rental income plus other property income decreased to 19.8% in 2006 from 21.0% in 2005.</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53"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Real estate tax expense increased $5.5 million, or 14.0%, to $44.9 million in 2006 compared to $39.4 million in 2005. This increase is due to the following:</w:t>
      </w:r>
    </w:p>
    <w:p>
      <w:pPr>
        <w:spacing w:after="0" w:line="107" w:lineRule="exact"/>
        <w:rPr>
          <w:sz w:val="20"/>
          <w:szCs w:val="20"/>
          <w:color w:val="auto"/>
        </w:rPr>
      </w:pPr>
    </w:p>
    <w:p>
      <w:pPr>
        <w:ind w:left="780" w:hanging="324"/>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$2.7 million, attributable to properties acquired in 2006 and 2005;</w:t>
      </w:r>
    </w:p>
    <w:p>
      <w:pPr>
        <w:spacing w:after="0" w:line="95" w:lineRule="exact"/>
        <w:rPr>
          <w:rFonts w:ascii="Arial" w:cs="Arial" w:eastAsia="Arial" w:hAnsi="Arial"/>
          <w:sz w:val="17"/>
          <w:szCs w:val="17"/>
          <w:color w:val="auto"/>
        </w:rPr>
      </w:pPr>
    </w:p>
    <w:p>
      <w:pPr>
        <w:ind w:left="780" w:right="120" w:hanging="324"/>
        <w:spacing w:after="0" w:line="315" w:lineRule="auto"/>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 increase of $2.1 million at Santana Row due primarily to higher assessments and a change in estimated real estate taxes recorded in June 2005. This change in estimate resulted from receiving final real estate tax assessments that decreased our real estate taxes for retail real estate and increased our real estate taxes for residential units at Santana Row by $1.1 million in 2005. The related residential units impacted by this change in estimate were sold as condominiums and therefore, the increase in residential real estate taxes is included in discontinued operations as discussed below; and</w:t>
      </w:r>
    </w:p>
    <w:p>
      <w:pPr>
        <w:spacing w:after="0" w:line="21" w:lineRule="exact"/>
        <w:rPr>
          <w:rFonts w:ascii="Arial" w:cs="Arial" w:eastAsia="Arial" w:hAnsi="Arial"/>
          <w:sz w:val="15"/>
          <w:szCs w:val="15"/>
          <w:color w:val="auto"/>
        </w:rPr>
      </w:pPr>
    </w:p>
    <w:p>
      <w:pPr>
        <w:ind w:left="780" w:hanging="324"/>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$0.6 million, due to higher assessments at same-center properties.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102"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Property operating income increased $33.6 million, or 11.8%, to $318.0 million in 2006 compared to $284.4 million in 2005. This increase is due primarily to the following:</w:t>
      </w:r>
    </w:p>
    <w:p>
      <w:pPr>
        <w:spacing w:after="0" w:line="36" w:lineRule="exact"/>
        <w:rPr>
          <w:sz w:val="20"/>
          <w:szCs w:val="20"/>
          <w:color w:val="auto"/>
        </w:rPr>
      </w:pPr>
    </w:p>
    <w:p>
      <w:pPr>
        <w:ind w:left="780" w:hanging="324"/>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earnings attributable to properties acquired in 2005 and 2006,</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growth in same-center earnings,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growth in earnings at redevelopment properties and Santana Row.</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$14.2 million, or 16.1%, to $102.8 million in 2006 compared to $88.6 million in 2005. This increase is primarily due to the following:</w:t>
      </w:r>
    </w:p>
    <w:p>
      <w:pPr>
        <w:spacing w:after="0" w:line="107" w:lineRule="exact"/>
        <w:rPr>
          <w:sz w:val="20"/>
          <w:szCs w:val="20"/>
          <w:color w:val="auto"/>
        </w:rPr>
      </w:pPr>
    </w:p>
    <w:p>
      <w:pPr>
        <w:ind w:left="780" w:hanging="324"/>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$8.5 million due to higher borrowings to finance our acquisitions,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$3.0 million due to higher interest rates on certain borrowings,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$1.6 million due to a decrease in capitalized interest,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$1.0 million due to an increase in participation on capital leases.</w:t>
      </w:r>
    </w:p>
    <w:p>
      <w:pPr>
        <w:spacing w:after="0" w:line="17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Gross interest costs were $106.9 million and $94.2 million in 2006 and 2005, respectively. Capitalized interest amounted to $4.1 million and $5.7 million in 2006 and 2005, respectively. Capitalized interest decreased due primarily to placing the newly constructed residential rental units at Santana Row and retail development at Assembly Square into service partially offset by capitalized interest related to construction at Linden Square which was acquired in 2006.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 increased $1.4 million, or 7.2%, to $21.3 million in 2006 compared to $19.9 million in 2005. This is primarily due to an increase in compensation (including increased grant expense under SFAS No. 123(R)) being partially offset by an increase in compensation capitalized as a result of increased leasing and redevelopment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9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Depreciation and amortization expense increased $8.7 million, or 9.8%, to $97.6 million in 2006 from $88.9 million in 2005. This increase is due primarily to depreciation on acquired properties, improvements at same-center properties and placing into service the newly constructed residential rental units at Santana Row, and retail development at Assembly Square.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Minority Interests</w:t>
      </w:r>
    </w:p>
    <w:p>
      <w:pPr>
        <w:spacing w:after="0" w:line="96" w:lineRule="exact"/>
        <w:rPr>
          <w:sz w:val="20"/>
          <w:szCs w:val="20"/>
          <w:color w:val="auto"/>
        </w:rPr>
      </w:pPr>
    </w:p>
    <w:p>
      <w:pPr>
        <w:jc w:val="both"/>
        <w:ind w:right="360"/>
        <w:spacing w:after="0" w:line="273" w:lineRule="auto"/>
        <w:rPr>
          <w:sz w:val="20"/>
          <w:szCs w:val="20"/>
          <w:color w:val="auto"/>
        </w:rPr>
      </w:pPr>
      <w:r>
        <w:rPr>
          <w:rFonts w:ascii="Arial" w:cs="Arial" w:eastAsia="Arial" w:hAnsi="Arial"/>
          <w:sz w:val="17"/>
          <w:szCs w:val="17"/>
          <w:color w:val="auto"/>
        </w:rPr>
        <w:t>Income to minority partners decreased $0.9 million, or 16.8% to $4.4 million in 2006 from $5.2 million in 2005. This decrease is due primarily to a decrease in earnings at a property under redevelopment which is held in a non-wholly owned partnership, and a decrease in operating units held by partners in certain of our “downREIT” partnerships.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from Discontinued Operations</w:t>
      </w:r>
    </w:p>
    <w:p>
      <w:pPr>
        <w:spacing w:after="0" w:line="96"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Loss from discontinued operations represents the operating loss of properties that have been disposed, and is required to be reported separately from results of ongoing operations. The reported operating loss of $0.3 million and $0.6 million in 2006 and 2005, respectively, represent the operating loss for the period during which we owned properties sold in 2006 and 2005, respectively. The loss for 2005 includes an unfavorable change in estimated real estate taxes recorded in June 2005 for the residential units sold as condominiums at Santana Row. This change in estimate resulted from receiving final real estate tax assessments for the condominiums sold at Santana Row that were greater than our estimated accrual.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96"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The gain on sale of real estate decreased $6.8 million to $24.0 million in 2006 compared to $30.7 million in 2005. All of the properties sold in 2006 (Greenlawn Plaza and condominiums at Santana Row) and in 2005 (properties in Tempe, Arizona; Winter Park, Florida; Shaw’s Plaza in Carver, Massachusetts and condominiums at Santana Row) resulted in gains.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2005 COMPARED TO YEAR ENDED DECEMBER 31, 2004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2080" w:type="dxa"/>
            <w:vAlign w:val="bottom"/>
            <w:vMerge w:val="restart"/>
          </w:tcPr>
          <w:p>
            <w:pPr>
              <w:spacing w:after="0"/>
              <w:rPr>
                <w:sz w:val="13"/>
                <w:szCs w:val="13"/>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rPr>
              <w:t>2004</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Change</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w w:val="98"/>
              </w:rPr>
              <w:t>(Dollars)</w:t>
            </w:r>
          </w:p>
        </w:tc>
        <w:tc>
          <w:tcPr>
            <w:tcW w:w="480" w:type="dxa"/>
            <w:vAlign w:val="bottom"/>
          </w:tcPr>
          <w:p>
            <w:pPr>
              <w:spacing w:after="0"/>
              <w:rPr>
                <w:sz w:val="12"/>
                <w:szCs w:val="12"/>
                <w:color w:val="auto"/>
              </w:rPr>
            </w:pPr>
          </w:p>
        </w:tc>
        <w:tc>
          <w:tcPr>
            <w:tcW w:w="620" w:type="dxa"/>
            <w:vAlign w:val="bottom"/>
            <w:tcBorders>
              <w:bottom w:val="single" w:sz="8" w:color="auto"/>
            </w:tcBorders>
          </w:tcPr>
          <w:p>
            <w:pPr>
              <w:ind w:left="20"/>
              <w:spacing w:after="0" w:line="139" w:lineRule="exact"/>
              <w:rPr>
                <w:sz w:val="20"/>
                <w:szCs w:val="20"/>
                <w:color w:val="auto"/>
              </w:rPr>
            </w:pPr>
            <w:r>
              <w:rPr>
                <w:rFonts w:ascii="Arial" w:cs="Arial" w:eastAsia="Arial" w:hAnsi="Arial"/>
                <w:sz w:val="13"/>
                <w:szCs w:val="13"/>
                <w:b w:val="1"/>
                <w:bCs w:val="1"/>
                <w:color w:val="auto"/>
                <w:w w:val="92"/>
              </w:rPr>
              <w:t>% 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5"/>
          </w:tcPr>
          <w:p>
            <w:pPr>
              <w:jc w:val="right"/>
              <w:ind w:right="40"/>
              <w:spacing w:after="0" w:line="139" w:lineRule="exact"/>
              <w:rPr>
                <w:sz w:val="20"/>
                <w:szCs w:val="20"/>
                <w:color w:val="auto"/>
              </w:rPr>
            </w:pPr>
            <w:r>
              <w:rPr>
                <w:rFonts w:ascii="Arial" w:cs="Arial" w:eastAsia="Arial" w:hAnsi="Arial"/>
                <w:sz w:val="13"/>
                <w:szCs w:val="13"/>
                <w:b w:val="1"/>
                <w:bCs w:val="1"/>
                <w:color w:val="auto"/>
                <w:w w:val="85"/>
              </w:rPr>
              <w:t>(Dollar amounts in thousands)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$ 393,548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368,299</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4"/>
              <w:spacing w:after="0"/>
              <w:rPr>
                <w:sz w:val="20"/>
                <w:szCs w:val="20"/>
                <w:color w:val="auto"/>
              </w:rPr>
            </w:pPr>
            <w:r>
              <w:rPr>
                <w:rFonts w:ascii="Arial" w:cs="Arial" w:eastAsia="Arial" w:hAnsi="Arial"/>
                <w:sz w:val="17"/>
                <w:szCs w:val="17"/>
                <w:color w:val="auto"/>
                <w:w w:val="94"/>
              </w:rPr>
              <w:t>$25,249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2"/>
        </w:trPr>
        <w:tc>
          <w:tcPr>
            <w:tcW w:w="5120" w:type="dxa"/>
            <w:vAlign w:val="bottom"/>
          </w:tcPr>
          <w:p>
            <w:pPr>
              <w:spacing w:after="0"/>
              <w:rPr>
                <w:sz w:val="20"/>
                <w:szCs w:val="20"/>
                <w:color w:val="auto"/>
              </w:rPr>
            </w:pPr>
            <w:r>
              <w:rPr>
                <w:rFonts w:ascii="Arial" w:cs="Arial" w:eastAsia="Arial" w:hAnsi="Arial"/>
                <w:sz w:val="17"/>
                <w:szCs w:val="17"/>
                <w:color w:val="auto"/>
              </w:rPr>
              <w:t>Other property income</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9,551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10,398</w:t>
            </w:r>
          </w:p>
        </w:tc>
        <w:tc>
          <w:tcPr>
            <w:tcW w:w="460" w:type="dxa"/>
            <w:vAlign w:val="bottom"/>
          </w:tcPr>
          <w:p>
            <w:pPr>
              <w:spacing w:after="0"/>
              <w:rPr>
                <w:sz w:val="18"/>
                <w:szCs w:val="18"/>
                <w:color w:val="auto"/>
              </w:rPr>
            </w:pPr>
          </w:p>
        </w:tc>
        <w:tc>
          <w:tcPr>
            <w:tcW w:w="1080" w:type="dxa"/>
            <w:vAlign w:val="bottom"/>
            <w:gridSpan w:val="3"/>
          </w:tcPr>
          <w:p>
            <w:pPr>
              <w:jc w:val="right"/>
              <w:ind w:right="354"/>
              <w:spacing w:after="0"/>
              <w:rPr>
                <w:sz w:val="20"/>
                <w:szCs w:val="20"/>
                <w:color w:val="auto"/>
              </w:rPr>
            </w:pPr>
            <w:r>
              <w:rPr>
                <w:rFonts w:ascii="Arial" w:cs="Arial" w:eastAsia="Arial" w:hAnsi="Arial"/>
                <w:sz w:val="17"/>
                <w:szCs w:val="17"/>
                <w:color w:val="auto"/>
              </w:rPr>
              <w:t>(847)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0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5"/>
        </w:trPr>
        <w:tc>
          <w:tcPr>
            <w:tcW w:w="5120" w:type="dxa"/>
            <w:vAlign w:val="bottom"/>
          </w:tcPr>
          <w:p>
            <w:pPr>
              <w:ind w:left="420"/>
              <w:spacing w:after="0"/>
              <w:rPr>
                <w:sz w:val="20"/>
                <w:szCs w:val="20"/>
                <w:color w:val="auto"/>
              </w:rPr>
            </w:pPr>
            <w:r>
              <w:rPr>
                <w:rFonts w:ascii="Arial" w:cs="Arial" w:eastAsia="Arial" w:hAnsi="Arial"/>
                <w:sz w:val="17"/>
                <w:szCs w:val="17"/>
                <w:color w:val="auto"/>
              </w:rPr>
              <w:t>Total property revenues</w:t>
            </w:r>
          </w:p>
        </w:tc>
        <w:tc>
          <w:tcPr>
            <w:tcW w:w="20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408,469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383,612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24,857</w:t>
            </w:r>
          </w:p>
        </w:tc>
        <w:tc>
          <w:tcPr>
            <w:tcW w:w="4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84,736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89,940</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54"/>
              <w:spacing w:after="0"/>
              <w:rPr>
                <w:sz w:val="20"/>
                <w:szCs w:val="20"/>
                <w:color w:val="auto"/>
              </w:rPr>
            </w:pPr>
            <w:r>
              <w:rPr>
                <w:rFonts w:ascii="Arial" w:cs="Arial" w:eastAsia="Arial" w:hAnsi="Arial"/>
                <w:sz w:val="17"/>
                <w:szCs w:val="17"/>
                <w:color w:val="auto"/>
              </w:rPr>
              <w:t>(5,204)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8"/>
        </w:trPr>
        <w:tc>
          <w:tcPr>
            <w:tcW w:w="5120" w:type="dxa"/>
            <w:vAlign w:val="bottom"/>
          </w:tcPr>
          <w:p>
            <w:pPr>
              <w:spacing w:after="0"/>
              <w:rPr>
                <w:sz w:val="20"/>
                <w:szCs w:val="20"/>
                <w:color w:val="auto"/>
              </w:rPr>
            </w:pPr>
            <w:r>
              <w:rPr>
                <w:rFonts w:ascii="Arial" w:cs="Arial" w:eastAsia="Arial" w:hAnsi="Arial"/>
                <w:sz w:val="17"/>
                <w:szCs w:val="17"/>
                <w:color w:val="auto"/>
              </w:rPr>
              <w:t>Real estate taxes</w:t>
            </w:r>
          </w:p>
        </w:tc>
        <w:tc>
          <w:tcPr>
            <w:tcW w:w="20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37,351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property expenses</w:t>
            </w:r>
          </w:p>
        </w:tc>
        <w:tc>
          <w:tcPr>
            <w:tcW w:w="2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127,291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(3,183)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7"/>
        </w:trPr>
        <w:tc>
          <w:tcPr>
            <w:tcW w:w="5120" w:type="dxa"/>
            <w:vAlign w:val="bottom"/>
          </w:tcPr>
          <w:p>
            <w:pPr>
              <w:ind w:left="420"/>
              <w:spacing w:after="0"/>
              <w:rPr>
                <w:sz w:val="20"/>
                <w:szCs w:val="20"/>
                <w:color w:val="auto"/>
              </w:rPr>
            </w:pPr>
            <w:r>
              <w:rPr>
                <w:rFonts w:ascii="Arial" w:cs="Arial" w:eastAsia="Arial" w:hAnsi="Arial"/>
                <w:sz w:val="17"/>
                <w:szCs w:val="17"/>
                <w:color w:val="auto"/>
              </w:rPr>
              <w:t>Property operating income</w:t>
            </w:r>
          </w:p>
        </w:tc>
        <w:tc>
          <w:tcPr>
            <w:tcW w:w="20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284,361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256,321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28,040</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4"/>
              <w:spacing w:after="0"/>
              <w:rPr>
                <w:sz w:val="20"/>
                <w:szCs w:val="20"/>
                <w:color w:val="auto"/>
              </w:rPr>
            </w:pPr>
            <w:r>
              <w:rPr>
                <w:rFonts w:ascii="Arial" w:cs="Arial" w:eastAsia="Arial" w:hAnsi="Arial"/>
                <w:sz w:val="17"/>
                <w:szCs w:val="17"/>
                <w:color w:val="auto"/>
              </w:rPr>
              <w:t>711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2"/>
        </w:trPr>
        <w:tc>
          <w:tcPr>
            <w:tcW w:w="512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205</w:t>
            </w:r>
          </w:p>
        </w:tc>
        <w:tc>
          <w:tcPr>
            <w:tcW w:w="460" w:type="dxa"/>
            <w:vAlign w:val="bottom"/>
          </w:tcPr>
          <w:p>
            <w:pPr>
              <w:spacing w:after="0"/>
              <w:rPr>
                <w:sz w:val="18"/>
                <w:szCs w:val="18"/>
                <w:color w:val="auto"/>
              </w:rPr>
            </w:pPr>
          </w:p>
        </w:tc>
        <w:tc>
          <w:tcPr>
            <w:tcW w:w="1080" w:type="dxa"/>
            <w:vAlign w:val="bottom"/>
            <w:gridSpan w:val="3"/>
          </w:tcPr>
          <w:p>
            <w:pPr>
              <w:jc w:val="right"/>
              <w:ind w:right="414"/>
              <w:spacing w:after="0"/>
              <w:rPr>
                <w:sz w:val="20"/>
                <w:szCs w:val="20"/>
                <w:color w:val="auto"/>
              </w:rPr>
            </w:pPr>
            <w:r>
              <w:rPr>
                <w:rFonts w:ascii="Arial" w:cs="Arial" w:eastAsia="Arial" w:hAnsi="Arial"/>
                <w:sz w:val="17"/>
                <w:szCs w:val="17"/>
                <w:color w:val="auto"/>
              </w:rPr>
              <w:t>288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140.5%</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060" w:type="dxa"/>
            <w:vAlign w:val="bottom"/>
            <w:gridSpan w:val="3"/>
            <w:shd w:val="clear" w:color="auto" w:fill="CCEEFF"/>
          </w:tcPr>
          <w:p>
            <w:pPr>
              <w:jc w:val="right"/>
              <w:ind w:right="154"/>
              <w:spacing w:after="0"/>
              <w:rPr>
                <w:sz w:val="20"/>
                <w:szCs w:val="20"/>
                <w:color w:val="auto"/>
              </w:rPr>
            </w:pPr>
            <w:r>
              <w:rPr>
                <w:rFonts w:ascii="Arial" w:cs="Arial" w:eastAsia="Arial" w:hAnsi="Arial"/>
                <w:sz w:val="17"/>
                <w:szCs w:val="17"/>
                <w:color w:val="auto"/>
              </w:rPr>
              <w:t>(88,566)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(85,058)</w:t>
            </w:r>
          </w:p>
        </w:tc>
        <w:tc>
          <w:tcPr>
            <w:tcW w:w="1080" w:type="dxa"/>
            <w:vAlign w:val="bottom"/>
            <w:gridSpan w:val="3"/>
            <w:shd w:val="clear" w:color="auto" w:fill="CCEEFF"/>
          </w:tcPr>
          <w:p>
            <w:pPr>
              <w:jc w:val="right"/>
              <w:ind w:right="354"/>
              <w:spacing w:after="0"/>
              <w:rPr>
                <w:sz w:val="20"/>
                <w:szCs w:val="20"/>
                <w:color w:val="auto"/>
              </w:rPr>
            </w:pPr>
            <w:r>
              <w:rPr>
                <w:rFonts w:ascii="Arial" w:cs="Arial" w:eastAsia="Arial" w:hAnsi="Arial"/>
                <w:sz w:val="17"/>
                <w:szCs w:val="17"/>
                <w:color w:val="auto"/>
              </w:rPr>
              <w:t>(3,508)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2"/>
        </w:trPr>
        <w:tc>
          <w:tcPr>
            <w:tcW w:w="512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3060" w:type="dxa"/>
            <w:vAlign w:val="bottom"/>
            <w:gridSpan w:val="3"/>
          </w:tcPr>
          <w:p>
            <w:pPr>
              <w:jc w:val="right"/>
              <w:ind w:right="154"/>
              <w:spacing w:after="0"/>
              <w:rPr>
                <w:sz w:val="20"/>
                <w:szCs w:val="20"/>
                <w:color w:val="auto"/>
              </w:rPr>
            </w:pPr>
            <w:r>
              <w:rPr>
                <w:rFonts w:ascii="Arial" w:cs="Arial" w:eastAsia="Arial" w:hAnsi="Arial"/>
                <w:sz w:val="17"/>
                <w:szCs w:val="17"/>
                <w:color w:val="auto"/>
              </w:rPr>
              <w:t>(19,909)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(18,164)</w:t>
            </w:r>
          </w:p>
        </w:tc>
        <w:tc>
          <w:tcPr>
            <w:tcW w:w="1080" w:type="dxa"/>
            <w:vAlign w:val="bottom"/>
            <w:gridSpan w:val="3"/>
          </w:tcPr>
          <w:p>
            <w:pPr>
              <w:jc w:val="right"/>
              <w:ind w:right="354"/>
              <w:spacing w:after="0"/>
              <w:rPr>
                <w:sz w:val="20"/>
                <w:szCs w:val="20"/>
                <w:color w:val="auto"/>
              </w:rPr>
            </w:pPr>
            <w:r>
              <w:rPr>
                <w:rFonts w:ascii="Arial" w:cs="Arial" w:eastAsia="Arial" w:hAnsi="Arial"/>
                <w:sz w:val="17"/>
                <w:szCs w:val="17"/>
                <w:color w:val="auto"/>
              </w:rPr>
              <w:t>(1,745)</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0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(88,927)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(86,597)</w:t>
            </w:r>
          </w:p>
        </w:tc>
        <w:tc>
          <w:tcPr>
            <w:tcW w:w="1080" w:type="dxa"/>
            <w:vAlign w:val="bottom"/>
            <w:gridSpan w:val="3"/>
            <w:shd w:val="clear" w:color="auto" w:fill="CCEEFF"/>
          </w:tcPr>
          <w:p>
            <w:pPr>
              <w:jc w:val="right"/>
              <w:ind w:right="354"/>
              <w:spacing w:after="0"/>
              <w:rPr>
                <w:sz w:val="20"/>
                <w:szCs w:val="20"/>
                <w:color w:val="auto"/>
              </w:rPr>
            </w:pPr>
            <w:r>
              <w:rPr>
                <w:rFonts w:ascii="Arial" w:cs="Arial" w:eastAsia="Arial" w:hAnsi="Arial"/>
                <w:sz w:val="17"/>
                <w:szCs w:val="17"/>
                <w:color w:val="auto"/>
              </w:rPr>
              <w:t>(2,330)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7"/>
                <w:szCs w:val="17"/>
                <w:color w:val="auto"/>
              </w:rPr>
              <w:t>Total other, net</w:t>
            </w:r>
          </w:p>
        </w:tc>
        <w:tc>
          <w:tcPr>
            <w:tcW w:w="2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line="20" w:lineRule="exact"/>
              <w:rPr>
                <w:sz w:val="1"/>
                <w:szCs w:val="1"/>
                <w:color w:val="auto"/>
              </w:rPr>
            </w:pPr>
          </w:p>
        </w:tc>
      </w:tr>
      <w:tr>
        <w:trPr>
          <w:trHeight w:val="225"/>
        </w:trPr>
        <w:tc>
          <w:tcPr>
            <w:tcW w:w="512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980" w:type="dxa"/>
            <w:vAlign w:val="bottom"/>
            <w:gridSpan w:val="2"/>
          </w:tcPr>
          <w:p>
            <w:pPr>
              <w:jc w:val="right"/>
              <w:ind w:right="154"/>
              <w:spacing w:after="0"/>
              <w:rPr>
                <w:sz w:val="20"/>
                <w:szCs w:val="20"/>
                <w:color w:val="auto"/>
              </w:rPr>
            </w:pPr>
            <w:r>
              <w:rPr>
                <w:rFonts w:ascii="Arial" w:cs="Arial" w:eastAsia="Arial" w:hAnsi="Arial"/>
                <w:sz w:val="17"/>
                <w:szCs w:val="17"/>
                <w:color w:val="auto"/>
              </w:rPr>
              <w:t>(194,694)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w w:val="90"/>
              </w:rPr>
              <w:t>(188,110)</w:t>
            </w:r>
          </w:p>
        </w:tc>
        <w:tc>
          <w:tcPr>
            <w:tcW w:w="1080" w:type="dxa"/>
            <w:vAlign w:val="bottom"/>
            <w:gridSpan w:val="3"/>
          </w:tcPr>
          <w:p>
            <w:pPr>
              <w:jc w:val="right"/>
              <w:ind w:right="354"/>
              <w:spacing w:after="0"/>
              <w:rPr>
                <w:sz w:val="20"/>
                <w:szCs w:val="20"/>
                <w:color w:val="auto"/>
              </w:rPr>
            </w:pPr>
            <w:r>
              <w:rPr>
                <w:rFonts w:ascii="Arial" w:cs="Arial" w:eastAsia="Arial" w:hAnsi="Arial"/>
                <w:sz w:val="17"/>
                <w:szCs w:val="17"/>
                <w:color w:val="auto"/>
              </w:rPr>
              <w:t>(6,584)</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before minority interests</w:t>
            </w:r>
          </w:p>
        </w:tc>
        <w:tc>
          <w:tcPr>
            <w:tcW w:w="20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68,211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21,456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2"/>
        </w:trPr>
        <w:tc>
          <w:tcPr>
            <w:tcW w:w="5120" w:type="dxa"/>
            <w:vAlign w:val="bottom"/>
          </w:tcPr>
          <w:p>
            <w:pPr>
              <w:spacing w:after="0"/>
              <w:rPr>
                <w:sz w:val="20"/>
                <w:szCs w:val="20"/>
                <w:color w:val="auto"/>
              </w:rPr>
            </w:pPr>
            <w:r>
              <w:rPr>
                <w:rFonts w:ascii="Arial" w:cs="Arial" w:eastAsia="Arial" w:hAnsi="Arial"/>
                <w:sz w:val="17"/>
                <w:szCs w:val="17"/>
                <w:color w:val="auto"/>
              </w:rPr>
              <w:t>Minority interests</w:t>
            </w:r>
          </w:p>
        </w:tc>
        <w:tc>
          <w:tcPr>
            <w:tcW w:w="3060" w:type="dxa"/>
            <w:vAlign w:val="bottom"/>
            <w:gridSpan w:val="3"/>
          </w:tcPr>
          <w:p>
            <w:pPr>
              <w:jc w:val="right"/>
              <w:ind w:right="154"/>
              <w:spacing w:after="0"/>
              <w:rPr>
                <w:sz w:val="20"/>
                <w:szCs w:val="20"/>
                <w:color w:val="auto"/>
              </w:rPr>
            </w:pPr>
            <w:r>
              <w:rPr>
                <w:rFonts w:ascii="Arial" w:cs="Arial" w:eastAsia="Arial" w:hAnsi="Arial"/>
                <w:sz w:val="17"/>
                <w:szCs w:val="17"/>
                <w:color w:val="auto"/>
              </w:rPr>
              <w:t>(5,234)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(4,170)</w:t>
            </w:r>
          </w:p>
        </w:tc>
        <w:tc>
          <w:tcPr>
            <w:tcW w:w="1080" w:type="dxa"/>
            <w:vAlign w:val="bottom"/>
            <w:gridSpan w:val="3"/>
          </w:tcPr>
          <w:p>
            <w:pPr>
              <w:jc w:val="right"/>
              <w:ind w:right="354"/>
              <w:spacing w:after="0"/>
              <w:rPr>
                <w:sz w:val="20"/>
                <w:szCs w:val="20"/>
                <w:color w:val="auto"/>
              </w:rPr>
            </w:pPr>
            <w:r>
              <w:rPr>
                <w:rFonts w:ascii="Arial" w:cs="Arial" w:eastAsia="Arial" w:hAnsi="Arial"/>
                <w:sz w:val="17"/>
                <w:szCs w:val="17"/>
                <w:color w:val="auto"/>
              </w:rPr>
              <w:t>(1,064)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discontinued operations</w:t>
            </w:r>
          </w:p>
        </w:tc>
        <w:tc>
          <w:tcPr>
            <w:tcW w:w="3060" w:type="dxa"/>
            <w:vAlign w:val="bottom"/>
            <w:gridSpan w:val="3"/>
            <w:shd w:val="clear" w:color="auto" w:fill="CCEEFF"/>
          </w:tcPr>
          <w:p>
            <w:pPr>
              <w:jc w:val="right"/>
              <w:ind w:right="154"/>
              <w:spacing w:after="0"/>
              <w:rPr>
                <w:sz w:val="20"/>
                <w:szCs w:val="20"/>
                <w:color w:val="auto"/>
              </w:rPr>
            </w:pPr>
            <w:r>
              <w:rPr>
                <w:rFonts w:ascii="Arial" w:cs="Arial" w:eastAsia="Arial" w:hAnsi="Arial"/>
                <w:sz w:val="17"/>
                <w:szCs w:val="17"/>
                <w:color w:val="auto"/>
              </w:rPr>
              <w:t>(569)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54"/>
              <w:spacing w:after="0"/>
              <w:rPr>
                <w:sz w:val="20"/>
                <w:szCs w:val="20"/>
                <w:color w:val="auto"/>
              </w:rPr>
            </w:pPr>
            <w:r>
              <w:rPr>
                <w:rFonts w:ascii="Arial" w:cs="Arial" w:eastAsia="Arial" w:hAnsi="Arial"/>
                <w:sz w:val="17"/>
                <w:szCs w:val="17"/>
                <w:color w:val="auto"/>
              </w:rPr>
              <w:t>(6,632)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218"/>
        </w:trPr>
        <w:tc>
          <w:tcPr>
            <w:tcW w:w="512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0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16,696</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118.8%</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$ 114,612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4"/>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30,456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vMerge w:val="restart"/>
          </w:tcPr>
          <w:p>
            <w:pPr>
              <w:jc w:val="right"/>
              <w:ind w:right="1314"/>
              <w:spacing w:after="0"/>
              <w:rPr>
                <w:sz w:val="20"/>
                <w:szCs w:val="20"/>
                <w:color w:val="auto"/>
              </w:rPr>
            </w:pPr>
            <w:r>
              <w:rPr>
                <w:rFonts w:ascii="Arial" w:cs="Arial" w:eastAsia="Arial" w:hAnsi="Arial"/>
                <w:sz w:val="17"/>
                <w:szCs w:val="17"/>
                <w:color w:val="auto"/>
              </w:rPr>
              <w:t>44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property revenues increased $24.9 million, or 6.5%, to $408.5 million in 2005 compared to $383.6 million in 2004. The percentage leased at our commercial properties increased to 96.3% at December 31, 2005 compared to 95.1% at December 31, 2004 due primarily to new leases signed at existing properties. Changes in the components of property revenue are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96"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Rental income consists primarily of minimum rent, cost recoveries from tenants, and percentage rent. Rental income increased $25.2 million, or 6.9%, to $393.5 million in 2005 compared to $368.3 million in 2004. This increase is due primarily to the following:</w:t>
      </w:r>
    </w:p>
    <w:p>
      <w:pPr>
        <w:spacing w:after="0" w:line="36" w:lineRule="exact"/>
        <w:rPr>
          <w:sz w:val="20"/>
          <w:szCs w:val="20"/>
          <w:color w:val="auto"/>
        </w:rPr>
      </w:pPr>
    </w:p>
    <w:p>
      <w:pPr>
        <w:ind w:left="780" w:hanging="324"/>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 same center basis, an increase of $10.3 million due mainly to increased rental rates on new leases and increased occupancy,</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$8.9 million at redevelopment properties and Santana Row due primarily to increased occupancy, and</w:t>
      </w:r>
    </w:p>
    <w:p>
      <w:pPr>
        <w:spacing w:after="0" w:line="95" w:lineRule="exact"/>
        <w:rPr>
          <w:rFonts w:ascii="Arial" w:cs="Arial" w:eastAsia="Arial" w:hAnsi="Arial"/>
          <w:sz w:val="17"/>
          <w:szCs w:val="17"/>
          <w:color w:val="auto"/>
        </w:rPr>
      </w:pPr>
    </w:p>
    <w:p>
      <w:pPr>
        <w:ind w:right="300" w:firstLine="456"/>
        <w:spacing w:after="0" w:line="357" w:lineRule="auto"/>
        <w:tabs>
          <w:tab w:leader="none" w:pos="781"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$7.7 million attributable to the properties acquired in 2005 and 2004, primarily Westgate Mall and Assembly Square/Sturtevant Street, partially offset by</w:t>
      </w:r>
    </w:p>
    <w:p>
      <w:pPr>
        <w:spacing w:after="0" w:line="1" w:lineRule="exact"/>
        <w:rPr>
          <w:rFonts w:ascii="Arial" w:cs="Arial" w:eastAsia="Arial" w:hAnsi="Arial"/>
          <w:sz w:val="17"/>
          <w:szCs w:val="17"/>
          <w:color w:val="auto"/>
        </w:rPr>
      </w:pPr>
    </w:p>
    <w:p>
      <w:pPr>
        <w:ind w:left="780" w:hanging="324"/>
        <w:spacing w:after="0"/>
        <w:tabs>
          <w:tab w:leader="none" w:pos="7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decrease of approximately $3.1 million related to income recognized in 2004 attributable to proceeds from the Santana Row fire insurance settlement.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9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Other property income decreased $0.8 million, or 8.1%, to $9.6 million in 2005 compared to $10.4 million in 2004. Included in other property income are items which, although recurring, tend to fluctuate more than rental income from period to period, such as lease termination fees and temporary tenant income. This decrease in other property income in 2004 is primarily the result of lower lease termination fees and lower parking revenue.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Interest Income</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Interest on mortgage notes receivable increased $0.5 million, or 9.3%, to $5.4 million in 2005 compared to $4.9 million in 2004. This increase is due primarily to an increase in the weighted average effective interest rate on notes outstanding.</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181"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Total property operating expenses decreased $3.2 million, or 2.5%, to $124.1 million in 2005 compared to $127.3 million in 2004. Changes in the components of property expenses are discussed below.</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$5.2 million, or 5.8%, to $84.7 million in 2005 compared to $89.9 million in 2004. This decrease is primarily due to the following:</w:t>
      </w:r>
    </w:p>
    <w:p>
      <w:pPr>
        <w:spacing w:after="0" w:line="107" w:lineRule="exact"/>
        <w:rPr>
          <w:sz w:val="20"/>
          <w:szCs w:val="20"/>
          <w:color w:val="auto"/>
        </w:rPr>
      </w:pPr>
    </w:p>
    <w:p>
      <w:pPr>
        <w:ind w:left="780" w:hanging="324"/>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$4.5 million due to lower bad debt expense and insurance premiums, and</w:t>
      </w:r>
    </w:p>
    <w:p>
      <w:pPr>
        <w:spacing w:after="0" w:line="95" w:lineRule="exact"/>
        <w:rPr>
          <w:rFonts w:ascii="Arial" w:cs="Arial" w:eastAsia="Arial" w:hAnsi="Arial"/>
          <w:sz w:val="17"/>
          <w:szCs w:val="17"/>
          <w:color w:val="auto"/>
        </w:rPr>
      </w:pPr>
    </w:p>
    <w:p>
      <w:pPr>
        <w:ind w:right="1340" w:firstLine="456"/>
        <w:spacing w:after="0" w:line="357" w:lineRule="auto"/>
        <w:tabs>
          <w:tab w:leader="none" w:pos="78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$2.0 million due to lower write-offs of fixed assets and deferred lease costs related primarily to early lease terminations, partially offset by</w:t>
      </w:r>
    </w:p>
    <w:p>
      <w:pPr>
        <w:spacing w:after="0" w:line="1" w:lineRule="exact"/>
        <w:rPr>
          <w:rFonts w:ascii="Arial" w:cs="Arial" w:eastAsia="Arial" w:hAnsi="Arial"/>
          <w:sz w:val="17"/>
          <w:szCs w:val="17"/>
          <w:color w:val="auto"/>
        </w:rPr>
      </w:pPr>
    </w:p>
    <w:p>
      <w:pPr>
        <w:ind w:left="780" w:hanging="324"/>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increase of $1.7 million in maintenance expense at same center properties due primarily to higher snow removal costs in the East region, and</w:t>
      </w:r>
    </w:p>
    <w:p>
      <w:pPr>
        <w:spacing w:after="0" w:line="107" w:lineRule="exact"/>
        <w:rPr>
          <w:rFonts w:ascii="Arial" w:cs="Arial" w:eastAsia="Arial" w:hAnsi="Arial"/>
          <w:sz w:val="16"/>
          <w:szCs w:val="16"/>
          <w:color w:val="auto"/>
        </w:rPr>
      </w:pPr>
    </w:p>
    <w:p>
      <w:pPr>
        <w:ind w:left="780" w:hanging="324"/>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of $1.2 million in expenses attributable to the additional properties acquired during 2005 and 2004.</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As a result of these changes in rental expenses, rental income and other property income, rental expense as a percentage of rental income plus other property income decreased from 23.7% in 2004 to 21.0% in 2005.</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40"/>
          </w:cols>
          <w:pgMar w:left="240" w:top="453"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Real estate tax expense increased $2.0 million, or 5.4%, to $39.4 million in 2005 compared to $37.4 million in 2004. This increase in 2005 is due largely to increased taxes of $1.5 million attributable to acquired properties and higher tax assessments for our properties.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Property operating income increased $28.0 million, or 10.9%, to $284.4 million in 2005 compared to $256.3 million in 2004. Income recognized from fire insurance proceeds attributable to rental income lost at Santana Row due to the August 2002 fire amounted to approximately $3.1 million in 2004 and was insignificant in 2005. Excluding these proceeds, property operating income increased $31.1 million.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This increase is due primarily to the following:</w:t>
      </w:r>
    </w:p>
    <w:p>
      <w:pPr>
        <w:spacing w:after="0" w:line="96" w:lineRule="exact"/>
        <w:rPr>
          <w:sz w:val="20"/>
          <w:szCs w:val="20"/>
          <w:color w:val="auto"/>
        </w:rPr>
      </w:pPr>
    </w:p>
    <w:p>
      <w:pPr>
        <w:ind w:left="780" w:hanging="324"/>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growth in same center earnings,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growth in Santana Row earnings due to higher rental income and lower operating expenses,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growth at redevelopment properties where occupancy has increased,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earnings attributable to our 2005 and 2004 acquisitions.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Interest Income</w:t>
      </w:r>
    </w:p>
    <w:p>
      <w:pPr>
        <w:spacing w:after="0" w:line="96"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Other interest income increased $0.7 million to $2.2 million in 2005 compared to $1.5 million in 2004. This increase is due primarily to non-recurring additional interest income from the early pay-off of a $7.5 million note receivable in June 2005.</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6"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Interest expense increased $3.5 million, or 4.1%, to $88.6 million in 2005 compared to $85.1 million in 2004. This increase is primarily due to higher outstanding balances on our revolving credit facilities, which we used to finance acquisitions on an interim basis, and higher interest rates on our variable-rate debt. Gross interest costs in 2005 were $94.2 million compared to $90.2 million in 2004. Capitalized interest amounted to $5.7 million and $5.1 million in 2005 and 2004,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General and administrative expenses increased by $1.7 million, or 9.6%, to $19.9 million in 2005 compared to $18.2 million in 2004. This increase resulted primarily from increased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Depreciation and amortization expense increased $2.3 million, or 2.7%, to $88.9 million in 2005 compared to $86.6 million in 2004. This increase is primarily due to depreciation and amortization on properties acquired.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Minority Interests</w:t>
      </w:r>
    </w:p>
    <w:p>
      <w:pPr>
        <w:spacing w:after="0" w:line="96"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Income to minority partners increased $1.1 million to $5.2 million in 2005 compared to $4.2 million in 2004. This is the result of increased earnings at majority-owned real estate partnerships partially offset by a decrease in the interest held by the minority partners.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Income from Discontinued Operations</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(Loss) income from discontinued operations represents the operating loss or income of properties that have been disposed, which is required to be reported separately from results of ongoing operations. The reported loss of $0.6 million and income of $6.1 million in 2005 and 2004, respectively, represents the operating (loss) income for the period during which we owned the properties sold in 2005 and 2004.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96"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gain on sale of real estate increased $16.7 million to $30.7 million in 2005 compared to $14.1 million in 2004. Each of the properties sold in 2005 (properties in Tempe, Arizona; Winter Park, Florida; Shaw’s Plaza in Carver, Massachusetts and condominiums at Santana Row) and 2004 (land parcels at Village at Shirlington, Magruders Center, Plaza del Mercado and properties in West Hartford and Avon, Connecticut) resulted in a gain.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10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The following selected key segment data is presented for 2006, 2005 and 2004. The results of properties classified as discontinued operations have been excluded from rental income, total revenue, and property operating income from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2006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2005</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2004</w:t>
            </w:r>
          </w:p>
        </w:tc>
        <w:tc>
          <w:tcPr>
            <w:tcW w:w="140" w:type="dxa"/>
            <w:vAlign w:val="bottom"/>
          </w:tcPr>
          <w:p>
            <w:pPr>
              <w:spacing w:after="0"/>
              <w:rPr>
                <w:sz w:val="13"/>
                <w:szCs w:val="13"/>
                <w:color w:val="auto"/>
              </w:rPr>
            </w:pPr>
          </w:p>
        </w:tc>
      </w:tr>
      <w:tr>
        <w:trPr>
          <w:trHeight w:val="139"/>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4"/>
          </w:tcPr>
          <w:p>
            <w:pPr>
              <w:jc w:val="right"/>
              <w:ind w:right="360"/>
              <w:spacing w:after="0" w:line="139" w:lineRule="exact"/>
              <w:rPr>
                <w:sz w:val="20"/>
                <w:szCs w:val="20"/>
                <w:color w:val="auto"/>
              </w:rPr>
            </w:pPr>
            <w:r>
              <w:rPr>
                <w:rFonts w:ascii="Arial" w:cs="Arial" w:eastAsia="Arial" w:hAnsi="Arial"/>
                <w:sz w:val="13"/>
                <w:szCs w:val="13"/>
                <w:b w:val="1"/>
                <w:bCs w:val="1"/>
                <w:color w:val="auto"/>
                <w:w w:val="96"/>
              </w:rPr>
              <w:t>(Dollars in thousands)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2"/>
        </w:trPr>
        <w:tc>
          <w:tcPr>
            <w:tcW w:w="7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East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776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340,968</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310,063</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293,291</w:t>
            </w:r>
          </w:p>
        </w:tc>
      </w:tr>
      <w:tr>
        <w:trPr>
          <w:trHeight w:val="212"/>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348,894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317,044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300,012</w:t>
            </w:r>
          </w:p>
        </w:tc>
      </w:tr>
      <w:tr>
        <w:trPr>
          <w:trHeight w:val="212"/>
        </w:trPr>
        <w:tc>
          <w:tcPr>
            <w:tcW w:w="7760" w:type="dxa"/>
            <w:vAlign w:val="bottom"/>
          </w:tcPr>
          <w:p>
            <w:pPr>
              <w:ind w:left="420"/>
              <w:spacing w:after="0"/>
              <w:rPr>
                <w:sz w:val="20"/>
                <w:szCs w:val="20"/>
                <w:color w:val="auto"/>
              </w:rPr>
            </w:pPr>
            <w:r>
              <w:rPr>
                <w:rFonts w:ascii="Arial" w:cs="Arial" w:eastAsia="Arial" w:hAnsi="Arial"/>
                <w:sz w:val="17"/>
                <w:szCs w:val="17"/>
                <w:color w:val="auto"/>
              </w:rPr>
              <w:t>Property operating income(1)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252,425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226,086</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207,940</w:t>
            </w:r>
          </w:p>
        </w:tc>
      </w:tr>
      <w:tr>
        <w:trPr>
          <w:trHeight w:val="212"/>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69.3%</w:t>
            </w:r>
          </w:p>
        </w:tc>
      </w:tr>
      <w:tr>
        <w:trPr>
          <w:trHeight w:val="212"/>
        </w:trPr>
        <w:tc>
          <w:tcPr>
            <w:tcW w:w="7760" w:type="dxa"/>
            <w:vAlign w:val="bottom"/>
          </w:tcPr>
          <w:p>
            <w:pPr>
              <w:ind w:left="420"/>
              <w:spacing w:after="0"/>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w w:val="87"/>
              </w:rPr>
              <w:t>1,725,790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1,368,925</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1,264,135</w:t>
            </w:r>
          </w:p>
        </w:tc>
      </w:tr>
      <w:tr>
        <w:trPr>
          <w:trHeight w:val="212"/>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leasable square feet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16,195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14,482</w:t>
            </w:r>
          </w:p>
        </w:tc>
      </w:tr>
      <w:tr>
        <w:trPr>
          <w:trHeight w:val="212"/>
        </w:trPr>
        <w:tc>
          <w:tcPr>
            <w:tcW w:w="7760" w:type="dxa"/>
            <w:vAlign w:val="bottom"/>
          </w:tcPr>
          <w:p>
            <w:pPr>
              <w:spacing w:after="0"/>
              <w:rPr>
                <w:sz w:val="20"/>
                <w:szCs w:val="20"/>
                <w:color w:val="auto"/>
              </w:rPr>
            </w:pPr>
            <w:r>
              <w:rPr>
                <w:rFonts w:ascii="Arial" w:cs="Arial" w:eastAsia="Arial" w:hAnsi="Arial"/>
                <w:sz w:val="17"/>
                <w:szCs w:val="17"/>
                <w:b w:val="1"/>
                <w:bCs w:val="1"/>
                <w:color w:val="auto"/>
              </w:rPr>
              <w:t>West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97,233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83,485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75,008</w:t>
            </w:r>
          </w:p>
        </w:tc>
      </w:tr>
      <w:tr>
        <w:trPr>
          <w:trHeight w:val="212"/>
        </w:trPr>
        <w:tc>
          <w:tcPr>
            <w:tcW w:w="7760" w:type="dxa"/>
            <w:vAlign w:val="bottom"/>
          </w:tcPr>
          <w:p>
            <w:pPr>
              <w:ind w:left="420"/>
              <w:spacing w:after="0"/>
              <w:rPr>
                <w:sz w:val="20"/>
                <w:szCs w:val="20"/>
                <w:color w:val="auto"/>
              </w:rPr>
            </w:pPr>
            <w:r>
              <w:rPr>
                <w:rFonts w:ascii="Arial" w:cs="Arial" w:eastAsia="Arial" w:hAnsi="Arial"/>
                <w:sz w:val="17"/>
                <w:szCs w:val="17"/>
                <w:color w:val="auto"/>
              </w:rPr>
              <w:t>Total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102,128</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91,425</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83,600</w:t>
            </w:r>
          </w:p>
        </w:tc>
      </w:tr>
      <w:tr>
        <w:trPr>
          <w:trHeight w:val="212"/>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Property operating income(1)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65,569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58,275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48,381</w:t>
            </w:r>
          </w:p>
        </w:tc>
      </w:tr>
      <w:tr>
        <w:trPr>
          <w:trHeight w:val="212"/>
        </w:trPr>
        <w:tc>
          <w:tcPr>
            <w:tcW w:w="7760" w:type="dxa"/>
            <w:vAlign w:val="bottom"/>
          </w:tcPr>
          <w:p>
            <w:pPr>
              <w:ind w:left="420"/>
              <w:spacing w:after="0"/>
              <w:rPr>
                <w:sz w:val="20"/>
                <w:szCs w:val="20"/>
                <w:color w:val="auto"/>
              </w:rPr>
            </w:pPr>
            <w:r>
              <w:rPr>
                <w:rFonts w:ascii="Arial" w:cs="Arial" w:eastAsia="Arial" w:hAnsi="Arial"/>
                <w:sz w:val="17"/>
                <w:szCs w:val="17"/>
                <w:color w:val="auto"/>
              </w:rPr>
              <w:t>Property operating income as a percent of total revenue</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63.7%</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57.9%</w:t>
            </w:r>
          </w:p>
        </w:tc>
      </w:tr>
      <w:tr>
        <w:trPr>
          <w:trHeight w:val="212"/>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876,400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908,621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911,136</w:t>
            </w:r>
          </w:p>
        </w:tc>
      </w:tr>
      <w:tr>
        <w:trPr>
          <w:trHeight w:val="217"/>
        </w:trPr>
        <w:tc>
          <w:tcPr>
            <w:tcW w:w="7760" w:type="dxa"/>
            <w:vAlign w:val="bottom"/>
          </w:tcPr>
          <w:p>
            <w:pPr>
              <w:ind w:left="420"/>
              <w:spacing w:after="0"/>
              <w:rPr>
                <w:sz w:val="20"/>
                <w:szCs w:val="20"/>
                <w:color w:val="auto"/>
              </w:rPr>
            </w:pPr>
            <w:r>
              <w:rPr>
                <w:rFonts w:ascii="Arial" w:cs="Arial" w:eastAsia="Arial" w:hAnsi="Arial"/>
                <w:sz w:val="17"/>
                <w:szCs w:val="17"/>
                <w:color w:val="auto"/>
              </w:rPr>
              <w:t>Gross leasable square feet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2,605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2,610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397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191" w:lineRule="exact"/>
        <w:rPr>
          <w:sz w:val="20"/>
          <w:szCs w:val="20"/>
          <w:color w:val="auto"/>
        </w:rPr>
      </w:pPr>
    </w:p>
    <w:p>
      <w:pPr>
        <w:ind w:left="460" w:right="400" w:hanging="454"/>
        <w:spacing w:after="0" w:line="320"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w:t>
      </w:r>
    </w:p>
    <w:p>
      <w:pPr>
        <w:spacing w:after="0" w:line="1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East region extends roughly from New England south through metropolitan Washington, D.C. and further south through Virginia and North Carolina. This region also includes several properties in Illinois and Michigan. As of December 31, 2006, the East region consisted of 78 properties (including our one apartment complex) and was 96.9% leased.</w:t>
      </w:r>
    </w:p>
    <w:p>
      <w:pPr>
        <w:spacing w:after="0" w:line="12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Total revenue in our East region increased $31.9 million, or 10.0%, in 2006 and $17.0 million, or 5.7%, in 2005. These increases are primarily attributable to acquisitions and increased rental rates and occupancy. Growth in total revenue attributable to acquisitions was $15.0 million in 2006 and $3.1 million in 2005. The percentage leased was 97%, 97% and 96% at December 31, 2006, 2005, and 2004, respectively. The ratio of property operating income to total revenue was 72.4%, 71.3% and 69.3% in 2006, 2005 and 2004, respectively. The improvement in this ratio has primarily resulted from increased rental rates, increased occupancy and lower bad debt expense.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53"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West</w:t>
      </w:r>
    </w:p>
    <w:p>
      <w:pPr>
        <w:spacing w:after="0" w:line="102"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color w:val="auto"/>
        </w:rPr>
        <w:t>The West region extends from Texas to the West Coast. As of December 31, 2006, the West region consisted of 34 properties, including Santana Row, and was 93.8% leased.</w:t>
      </w:r>
    </w:p>
    <w:p>
      <w:pPr>
        <w:spacing w:after="0" w:line="11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Total revenue in our West region increased $10.7 million, or 11.7%, in 2006 and $7.8 million, or 9.4%, in 2005. These increases are primarily attributable to growth in total revenue at Santana Row as additional phases were brought into service, and acquisitions. These increases in rental revenue were partially offset by decreases in fire insurance proceeds of $3.1 million and $5.0 million in 2005 and 2004, respectively. The insurance proceeds were included in rental income as they relate largely to lost rents on delayed openings of the residential and retail units and rental concessions to tenants due to the August 2002 fire at Santana Row. Growth in total revenue attributable to acquisitions was $5.3 million and $4.5 million in 2006 and 2005, respectively. The percentage leased was 94%, 94% and 93% at December 31, 2006, 2005, and 2004, respectively. The ratio of property operating income to total revenue was 64.2%, 63.7% and 57.9% in 2006, 2005 and 2004, respectively. The improvement in this ratio in 2005 is due primarily to increased occupancy at Santana Row and decreased operating expenses resulting from leasing, marketing and other start-up activities related to Santana Row.</w:t>
      </w:r>
    </w:p>
    <w:p>
      <w:pPr>
        <w:spacing w:after="0" w:line="125"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color w:val="auto"/>
        </w:rPr>
        <w:t>The overall return on investment in our West region is significantly less than the overall return on investment in our East region. This is due primarily to the following factors:</w:t>
      </w:r>
    </w:p>
    <w:p>
      <w:pPr>
        <w:spacing w:after="0" w:line="36" w:lineRule="exact"/>
        <w:rPr>
          <w:sz w:val="20"/>
          <w:szCs w:val="20"/>
          <w:color w:val="auto"/>
        </w:rPr>
      </w:pPr>
    </w:p>
    <w:p>
      <w:pPr>
        <w:ind w:left="780" w:hanging="324"/>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generally lower bases in our East properties which were generally acquired before the West properties,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occupancy rates at Houston Street in San Antonio, Texas are below our portfolio average,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phasing into service of Santana Row.</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We expect that returns on investment in our West region will continue to rise over time, but that they will not necessarily rise to the same level of overall returns that are generated in our East region because of the lower historical basis in our East Coast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2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if any. Overall capital requirements in 2007 will depend upon acquisition opportunities, the level of improvements and redevelopments on existing properties and the timing and cost of development of future phases of existing properties.</w:t>
      </w:r>
    </w:p>
    <w:p>
      <w:pPr>
        <w:spacing w:after="0" w:line="13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unsecured and secured borrowings, issuance of additional equity, joint venture relationships relating to existing properties or new acquisitions, and property dispositions.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453"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The cash needed to execute our strategy and invest in new properties, as well as to pay our debt at maturity, must come from one or more of the following sources:</w:t>
      </w:r>
    </w:p>
    <w:p>
      <w:pPr>
        <w:spacing w:after="0" w:line="119" w:lineRule="exact"/>
        <w:rPr>
          <w:sz w:val="20"/>
          <w:szCs w:val="20"/>
          <w:color w:val="auto"/>
        </w:rPr>
      </w:pPr>
    </w:p>
    <w:p>
      <w:pPr>
        <w:ind w:left="780" w:hanging="324"/>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cash provided by operations that is not distributed to shareholders,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proceeds from the issuance of new debt or equity securities, or</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proceeds of property dispositions.</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48" w:lineRule="exact"/>
        <w:rPr>
          <w:sz w:val="20"/>
          <w:szCs w:val="20"/>
          <w:color w:val="auto"/>
        </w:rPr>
      </w:pPr>
    </w:p>
    <w:p>
      <w:pPr>
        <w:ind w:left="780" w:hanging="324"/>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additional equity offerings,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unsecured debt financing and/or mortgage financings, and</w:t>
      </w:r>
    </w:p>
    <w:p>
      <w:pPr>
        <w:spacing w:after="0" w:line="95" w:lineRule="exact"/>
        <w:rPr>
          <w:rFonts w:ascii="Arial" w:cs="Arial" w:eastAsia="Arial" w:hAnsi="Arial"/>
          <w:sz w:val="17"/>
          <w:szCs w:val="17"/>
          <w:color w:val="auto"/>
        </w:rPr>
      </w:pPr>
    </w:p>
    <w:p>
      <w:pPr>
        <w:ind w:left="780" w:right="360" w:hanging="324"/>
        <w:spacing w:after="0" w:line="287"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debt and equity alternatives, including formation of joint ventures, in a manner consistent with our intention to operate with a conservative debt structure.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factors could affect our ability to meet our liquidity requirements:</w:t>
      </w:r>
    </w:p>
    <w:p>
      <w:pPr>
        <w:spacing w:after="0" w:line="96" w:lineRule="exact"/>
        <w:rPr>
          <w:sz w:val="20"/>
          <w:szCs w:val="20"/>
          <w:color w:val="auto"/>
        </w:rPr>
      </w:pPr>
    </w:p>
    <w:p>
      <w:pPr>
        <w:ind w:left="780" w:right="40" w:hanging="324"/>
        <w:spacing w:after="0" w:line="287"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be unable to obtain debt or equity financing on favorable terms, or at all, as a result of our financial condition or market conditions at the time we seek additional financing;</w:t>
      </w:r>
    </w:p>
    <w:p>
      <w:pPr>
        <w:spacing w:after="0" w:line="35" w:lineRule="exact"/>
        <w:rPr>
          <w:rFonts w:ascii="Arial" w:cs="Arial" w:eastAsia="Arial" w:hAnsi="Arial"/>
          <w:sz w:val="17"/>
          <w:szCs w:val="17"/>
          <w:color w:val="auto"/>
        </w:rPr>
      </w:pPr>
    </w:p>
    <w:p>
      <w:pPr>
        <w:ind w:left="780" w:right="320" w:hanging="324"/>
        <w:spacing w:after="0" w:line="287"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restrictions in our debt instruments or preferred stock equity may prohibit us from incurring debt or issuing equity at all, or on acceptable terms under then-prevailing market conditions; and</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be unable to service additional or replacement debt due to increases in interest rates or a decline in our operating performance.</w:t>
      </w:r>
    </w:p>
    <w:p>
      <w:pPr>
        <w:spacing w:after="0" w:line="17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Cash and cash equivalents were $11.5 million and $8.6 million at December 31, 2006 and December 31, 2005, respectively. Cash and cash equivalents are not a good indicator of our liquidity. We have a $300.0 million unsecured revolving credit facility that matures July 28, 2010, subject to a one-year extension at our option. We intend to utilize our revolving credit facility to finance the initial acquisition of properties and meet other short-term working capital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 for 2006 and 2005</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7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1"/>
              <w:spacing w:after="0" w:line="139" w:lineRule="exact"/>
              <w:rPr>
                <w:sz w:val="20"/>
                <w:szCs w:val="20"/>
                <w:color w:val="auto"/>
              </w:rPr>
            </w:pPr>
            <w:r>
              <w:rPr>
                <w:rFonts w:ascii="Arial" w:cs="Arial" w:eastAsia="Arial" w:hAnsi="Arial"/>
                <w:sz w:val="13"/>
                <w:szCs w:val="13"/>
                <w:b w:val="1"/>
                <w:bCs w:val="1"/>
                <w:color w:val="auto"/>
              </w:rPr>
              <w:t>2006</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184,401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174,941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60" w:type="dxa"/>
            <w:vAlign w:val="bottom"/>
          </w:tcPr>
          <w:p>
            <w:pPr>
              <w:spacing w:after="0"/>
              <w:rPr>
                <w:sz w:val="20"/>
                <w:szCs w:val="20"/>
                <w:color w:val="auto"/>
              </w:rPr>
            </w:pPr>
            <w:r>
              <w:rPr>
                <w:rFonts w:ascii="Arial" w:cs="Arial" w:eastAsia="Arial" w:hAnsi="Arial"/>
                <w:sz w:val="17"/>
                <w:szCs w:val="17"/>
                <w:color w:val="auto"/>
              </w:rPr>
              <w:t>Cash used in investing activities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w w:val="90"/>
              </w:rPr>
              <w:t>(317,429)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0"/>
              </w:rPr>
              <w:t>(152,730)</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135,884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(44,047)</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(21,836)</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11,495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Net cash provided by operating activities increased by $9.5 million to $184.4 million during the year ended December 31, 2006 from $174.9 million during the year ended December 31, 2005. The increase was primarily attributable to:</w:t>
      </w:r>
    </w:p>
    <w:p>
      <w:pPr>
        <w:spacing w:after="0" w:line="36" w:lineRule="exact"/>
        <w:rPr>
          <w:sz w:val="20"/>
          <w:szCs w:val="20"/>
          <w:color w:val="auto"/>
        </w:rPr>
      </w:pPr>
    </w:p>
    <w:p>
      <w:pPr>
        <w:ind w:left="5620" w:right="2440" w:hanging="5164"/>
        <w:spacing w:after="0" w:line="465" w:lineRule="auto"/>
        <w:tabs>
          <w:tab w:leader="none" w:pos="779" w:val="left"/>
        </w:tabs>
        <w:numPr>
          <w:ilvl w:val="0"/>
          <w:numId w:val="50"/>
        </w:numPr>
        <w:rPr>
          <w:rFonts w:ascii="Arial" w:cs="Arial" w:eastAsia="Arial" w:hAnsi="Arial"/>
          <w:sz w:val="17"/>
          <w:szCs w:val="17"/>
          <w:color w:val="auto"/>
        </w:rPr>
      </w:pPr>
      <w:r>
        <w:rPr>
          <w:rFonts w:ascii="Arial" w:cs="Arial" w:eastAsia="Arial" w:hAnsi="Arial"/>
          <w:sz w:val="17"/>
          <w:szCs w:val="17"/>
          <w:color w:val="auto"/>
        </w:rPr>
        <w:t>$12.0 million higher net income before gain on sale of real estate, depreciation and amortization, and minority interest; 49</w:t>
      </w:r>
    </w:p>
    <w:p>
      <w:pPr>
        <w:sectPr>
          <w:pgSz w:w="11900" w:h="16838" w:orient="portrait"/>
          <w:cols w:equalWidth="0" w:num="1">
            <w:col w:w="11420"/>
          </w:cols>
          <w:pgMar w:left="240" w:top="45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96" w:lineRule="exact"/>
        <w:rPr>
          <w:sz w:val="20"/>
          <w:szCs w:val="20"/>
          <w:color w:val="auto"/>
        </w:rPr>
      </w:pPr>
    </w:p>
    <w:p>
      <w:pPr>
        <w:ind w:left="780" w:hanging="324"/>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$2.5 million increased use of cash for working capital due mainly to higher prepaid and other asset balances.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Net cash used in investing activities increased approximately $164.7 million to $317.4 million during the year ended December 31, 2006 from $152.7 million during the year ended December 31, 2005. The increase was primarily attributable to:</w:t>
      </w:r>
    </w:p>
    <w:p>
      <w:pPr>
        <w:spacing w:after="0" w:line="36" w:lineRule="exact"/>
        <w:rPr>
          <w:sz w:val="20"/>
          <w:szCs w:val="20"/>
          <w:color w:val="auto"/>
        </w:rPr>
      </w:pPr>
    </w:p>
    <w:p>
      <w:pPr>
        <w:ind w:left="780" w:hanging="324"/>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$170.1 million increase in acquisitions of real estate;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$30.8 million decrease in proceeds from the sale of real estate;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$9.5 million decreased cash from net payoff of mortgage and other note receivables;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$4.9 million capital contribution to a real estate partnership;</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96" w:lineRule="exact"/>
        <w:rPr>
          <w:sz w:val="20"/>
          <w:szCs w:val="20"/>
          <w:color w:val="auto"/>
        </w:rPr>
      </w:pPr>
    </w:p>
    <w:p>
      <w:pPr>
        <w:ind w:left="780" w:hanging="324"/>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$50.0 million decrease in capital expenditures primarily due to a decrease in development and redevelopment activities.</w:t>
      </w:r>
    </w:p>
    <w:p>
      <w:pPr>
        <w:spacing w:after="0" w:line="175"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Net cash provided by financing activities increased approximately $179.9 million to $135.9 million provided during the year ended December 31, 2006 from $44.0 million used during the year ended December 31, 2005. The increase was primarily attributable to:</w:t>
      </w:r>
    </w:p>
    <w:p>
      <w:pPr>
        <w:spacing w:after="0" w:line="36" w:lineRule="exact"/>
        <w:rPr>
          <w:sz w:val="20"/>
          <w:szCs w:val="20"/>
          <w:color w:val="auto"/>
        </w:rPr>
      </w:pPr>
    </w:p>
    <w:p>
      <w:pPr>
        <w:ind w:left="780" w:hanging="324"/>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$385.9 million increase in net proceeds from the issuance of senior debentures;</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$150.0 million in net proceeds from the issuance of note payable;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$147.0 million in net proceeds from the issuance of common shares in a public offering;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$43.0 million decrease in net payments on our revolving credit facility;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96" w:lineRule="exact"/>
        <w:rPr>
          <w:sz w:val="20"/>
          <w:szCs w:val="20"/>
          <w:color w:val="auto"/>
        </w:rPr>
      </w:pPr>
    </w:p>
    <w:p>
      <w:pPr>
        <w:ind w:left="780" w:hanging="324"/>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$401.0 million increase in repayment of mortgages, capital leases and notes payable;</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$135.0 million redemption of Series B preferred shares;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$9.3 million increase in dividends paid to common and preferred shareholders.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9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Other than the restaurants and joint venture funding commitments described in the next paragraph and items disclosed in the Contractual Commitments Table below, we have no off-balance sheet arrangements as of December 31, 2006 that are reasonably likely to have a current or future material effect on our financial condition, revenues or expenses, results of operations, liquidity, capital expenditures or capital resources.</w:t>
      </w:r>
    </w:p>
    <w:p>
      <w:pPr>
        <w:spacing w:after="0" w:line="12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restaurant joint venture partners in eight restaurants at Santana Row. Our investment balance in the restaurant joint ventures was approximately $8.6 million and $6.8 million at December 31, 2006 and 2005, respectively. Our equity in earnings from the restaurant joint ventures was $1.5 million, $1.3 million and $1.1 million in 2006, 2005 and 2004,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In July 2004, we entered into a joint venture arrangement by forming a limited partnership with affiliates of Clarion Lion Properties Fund (“Clarion”), a discretionary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fund created and advised by ING Clarion Partners. We own 30% of the equity in the partnership, and Clarion owns 70%. The Partnership plans to acquire up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$350 million of stabilized, supermarket-anchored, shopping centers in the Trust’s East and West regions. Federal Realty and Clarion have committed to contribute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 up to $37 million and $86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3"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respectively, of equity capital to acquire properties.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In 2004, the Partnership acquired four shopping centers in the East for $75.8 million, and in 2006, the Partnership acquired an additional two shopping centers in the East for $45.5 million. We account for our interest in the partnership using the equity method. In total, at December 31, 2006, the Partnership had $77.4 million of mortgage notes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our fixed, noncancelable obligations as of December 31, 2006: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3"/>
                <w:szCs w:val="13"/>
                <w:b w:val="1"/>
                <w:bCs w:val="1"/>
                <w:color w:val="auto"/>
              </w:rPr>
              <w:t>Commitments Due by Period</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1"/>
              <w:spacing w:after="0" w:line="126" w:lineRule="exact"/>
              <w:rPr>
                <w:sz w:val="20"/>
                <w:szCs w:val="20"/>
                <w:color w:val="auto"/>
              </w:rPr>
            </w:pPr>
            <w:r>
              <w:rPr>
                <w:rFonts w:ascii="Arial" w:cs="Arial" w:eastAsia="Arial" w:hAnsi="Arial"/>
                <w:sz w:val="13"/>
                <w:szCs w:val="13"/>
                <w:b w:val="1"/>
                <w:bCs w:val="1"/>
                <w:color w:val="auto"/>
                <w:w w:val="87"/>
              </w:rPr>
              <w:t>Less Than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99"/>
              <w:spacing w:after="0" w:line="126" w:lineRule="exact"/>
              <w:rPr>
                <w:sz w:val="20"/>
                <w:szCs w:val="20"/>
                <w:color w:val="auto"/>
              </w:rPr>
            </w:pPr>
            <w:r>
              <w:rPr>
                <w:rFonts w:ascii="Arial" w:cs="Arial" w:eastAsia="Arial" w:hAnsi="Arial"/>
                <w:sz w:val="13"/>
                <w:szCs w:val="13"/>
                <w:b w:val="1"/>
                <w:bCs w:val="1"/>
                <w:color w:val="auto"/>
              </w:rPr>
              <w:t>After 5</w:t>
            </w:r>
          </w:p>
        </w:tc>
        <w:tc>
          <w:tcPr>
            <w:tcW w:w="0" w:type="dxa"/>
            <w:vAlign w:val="bottom"/>
          </w:tcPr>
          <w:p>
            <w:pPr>
              <w:spacing w:after="0"/>
              <w:rPr>
                <w:sz w:val="1"/>
                <w:szCs w:val="1"/>
                <w:color w:val="auto"/>
              </w:rPr>
            </w:pPr>
          </w:p>
        </w:tc>
      </w:tr>
      <w:tr>
        <w:trPr>
          <w:trHeight w:val="172"/>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21"/>
              <w:spacing w:after="0"/>
              <w:rPr>
                <w:sz w:val="20"/>
                <w:szCs w:val="20"/>
                <w:color w:val="auto"/>
              </w:rPr>
            </w:pPr>
            <w:r>
              <w:rPr>
                <w:rFonts w:ascii="Arial" w:cs="Arial" w:eastAsia="Arial" w:hAnsi="Arial"/>
                <w:sz w:val="13"/>
                <w:szCs w:val="13"/>
                <w:b w:val="1"/>
                <w:bCs w:val="1"/>
                <w:color w:val="auto"/>
              </w:rPr>
              <w:t>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1-3 Years</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4-5 Years</w:t>
            </w:r>
          </w:p>
        </w:tc>
        <w:tc>
          <w:tcPr>
            <w:tcW w:w="180" w:type="dxa"/>
            <w:vAlign w:val="bottom"/>
          </w:tcPr>
          <w:p>
            <w:pPr>
              <w:spacing w:after="0"/>
              <w:rPr>
                <w:sz w:val="14"/>
                <w:szCs w:val="14"/>
                <w:color w:val="auto"/>
              </w:rPr>
            </w:pPr>
          </w:p>
        </w:tc>
        <w:tc>
          <w:tcPr>
            <w:tcW w:w="780" w:type="dxa"/>
            <w:vAlign w:val="bottom"/>
          </w:tcPr>
          <w:p>
            <w:pPr>
              <w:jc w:val="right"/>
              <w:ind w:right="239"/>
              <w:spacing w:after="0"/>
              <w:rPr>
                <w:sz w:val="20"/>
                <w:szCs w:val="20"/>
                <w:color w:val="auto"/>
              </w:rPr>
            </w:pPr>
            <w:r>
              <w:rPr>
                <w:rFonts w:ascii="Arial" w:cs="Arial" w:eastAsia="Arial" w:hAnsi="Arial"/>
                <w:sz w:val="13"/>
                <w:szCs w:val="13"/>
                <w:b w:val="1"/>
                <w:bCs w:val="1"/>
                <w:color w:val="auto"/>
              </w:rPr>
              <w:t>Years</w:t>
            </w:r>
          </w:p>
        </w:tc>
        <w:tc>
          <w:tcPr>
            <w:tcW w:w="0" w:type="dxa"/>
            <w:vAlign w:val="bottom"/>
          </w:tcPr>
          <w:p>
            <w:pPr>
              <w:spacing w:after="0"/>
              <w:rPr>
                <w:sz w:val="1"/>
                <w:szCs w:val="1"/>
                <w:color w:val="auto"/>
              </w:rPr>
            </w:pPr>
          </w:p>
        </w:tc>
      </w:tr>
      <w:tr>
        <w:trPr>
          <w:trHeight w:val="139"/>
        </w:trPr>
        <w:tc>
          <w:tcPr>
            <w:tcW w:w="6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and long-term debt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1,545,097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154,997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200,417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222,839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966,844</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20"/>
                <w:szCs w:val="20"/>
                <w:color w:val="auto"/>
              </w:rPr>
            </w:pPr>
            <w:r>
              <w:rPr>
                <w:rFonts w:ascii="Arial" w:cs="Arial" w:eastAsia="Arial" w:hAnsi="Arial"/>
                <w:sz w:val="17"/>
                <w:szCs w:val="17"/>
                <w:color w:val="auto"/>
              </w:rPr>
              <w:t>Capital lease obligations, principal only</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149,361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3,245</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3,869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140,932</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9,111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257,967</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20"/>
                <w:szCs w:val="20"/>
                <w:color w:val="auto"/>
              </w:rPr>
            </w:pPr>
            <w:r>
              <w:rPr>
                <w:rFonts w:ascii="Arial" w:cs="Arial" w:eastAsia="Arial" w:hAnsi="Arial"/>
                <w:sz w:val="17"/>
                <w:szCs w:val="17"/>
                <w:color w:val="auto"/>
              </w:rPr>
              <w:t>Real estate commitments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129,019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Development and redevelopment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obligations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98,252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88,739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9,513</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color w:val="auto"/>
              </w:rPr>
              <w:t>Total contractual cash obligations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2,202,518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318,668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222,288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235,819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1,425,743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the following potential commitments exist:</w:t>
      </w:r>
    </w:p>
    <w:p>
      <w:pPr>
        <w:spacing w:after="0" w:line="96" w:lineRule="exact"/>
        <w:rPr>
          <w:sz w:val="20"/>
          <w:szCs w:val="20"/>
          <w:color w:val="auto"/>
        </w:rPr>
      </w:pPr>
    </w:p>
    <w:p>
      <w:pPr>
        <w:ind w:left="460" w:firstLine="2"/>
        <w:spacing w:after="0" w:line="269" w:lineRule="auto"/>
        <w:tabs>
          <w:tab w:leader="none" w:pos="6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2006, our estimated maximum liability upon exercise of the put option would range from approximately $40 million to $45 million.</w:t>
      </w:r>
    </w:p>
    <w:p>
      <w:pPr>
        <w:spacing w:after="0" w:line="50" w:lineRule="exact"/>
        <w:rPr>
          <w:rFonts w:ascii="Arial" w:cs="Arial" w:eastAsia="Arial" w:hAnsi="Arial"/>
          <w:sz w:val="17"/>
          <w:szCs w:val="17"/>
          <w:color w:val="auto"/>
        </w:rPr>
      </w:pPr>
    </w:p>
    <w:p>
      <w:pPr>
        <w:ind w:left="460" w:right="140" w:firstLine="2"/>
        <w:spacing w:after="0" w:line="287" w:lineRule="auto"/>
        <w:tabs>
          <w:tab w:leader="none" w:pos="704"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$38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38" w:lineRule="exact"/>
        <w:rPr>
          <w:rFonts w:ascii="Arial" w:cs="Arial" w:eastAsia="Arial" w:hAnsi="Arial"/>
          <w:sz w:val="16"/>
          <w:szCs w:val="16"/>
          <w:color w:val="auto"/>
        </w:rPr>
      </w:pPr>
    </w:p>
    <w:p>
      <w:pPr>
        <w:ind w:left="460" w:right="80" w:firstLine="2"/>
        <w:spacing w:after="0" w:line="283" w:lineRule="auto"/>
        <w:tabs>
          <w:tab w:leader="none" w:pos="694"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As of December 31, 2006, we have funded approximately $1.3 million related to this obligation. In anticipation of further shortfalls of incremental tax revenues to the City, we have accrued approximately $0.3 million as of December 31, 2006 to cover additional payments we may be obligated to make as part of the project costs.</w:t>
      </w:r>
    </w:p>
    <w:p>
      <w:pPr>
        <w:spacing w:after="0" w:line="44" w:lineRule="exact"/>
        <w:rPr>
          <w:rFonts w:ascii="Arial" w:cs="Arial" w:eastAsia="Arial" w:hAnsi="Arial"/>
          <w:sz w:val="16"/>
          <w:szCs w:val="16"/>
          <w:color w:val="auto"/>
        </w:rPr>
      </w:pPr>
    </w:p>
    <w:p>
      <w:pPr>
        <w:ind w:left="460" w:right="420" w:firstLine="2"/>
        <w:spacing w:after="0" w:line="320" w:lineRule="auto"/>
        <w:tabs>
          <w:tab w:leader="none" w:pos="704"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the partners have the right to exchange their operating units for cash or the same number of our common shares, at our option. As of December 31, 2006, a total of 377,210 operating units are outstanding.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firstLine="2"/>
        <w:spacing w:after="0" w:line="265" w:lineRule="auto"/>
        <w:tabs>
          <w:tab w:leader="none" w:pos="6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55" w:lineRule="exact"/>
        <w:rPr>
          <w:rFonts w:ascii="Arial" w:cs="Arial" w:eastAsia="Arial" w:hAnsi="Arial"/>
          <w:sz w:val="17"/>
          <w:szCs w:val="17"/>
          <w:color w:val="auto"/>
        </w:rPr>
      </w:pPr>
    </w:p>
    <w:p>
      <w:pPr>
        <w:ind w:left="460" w:right="400" w:firstLine="2"/>
        <w:spacing w:after="0" w:line="298" w:lineRule="auto"/>
        <w:tabs>
          <w:tab w:leader="none" w:pos="6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us for any loss we incur under these guarantees.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360"/>
          </w:cols>
          <w:pgMar w:left="240" w:top="453"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center"/>
              <w:ind w:right="514"/>
              <w:spacing w:after="0"/>
              <w:rPr>
                <w:sz w:val="20"/>
                <w:szCs w:val="20"/>
                <w:color w:val="auto"/>
              </w:rPr>
            </w:pPr>
            <w:r>
              <w:rPr>
                <w:rFonts w:ascii="Arial" w:cs="Arial" w:eastAsia="Arial" w:hAnsi="Arial"/>
                <w:sz w:val="13"/>
                <w:szCs w:val="13"/>
                <w:b w:val="1"/>
                <w:bCs w:val="1"/>
                <w:color w:val="auto"/>
                <w:w w:val="97"/>
              </w:rPr>
              <w:t>Original</w:t>
            </w:r>
          </w:p>
        </w:tc>
        <w:tc>
          <w:tcPr>
            <w:tcW w:w="1700" w:type="dxa"/>
            <w:vAlign w:val="bottom"/>
            <w:gridSpan w:val="3"/>
          </w:tcPr>
          <w:p>
            <w:pPr>
              <w:ind w:left="40"/>
              <w:spacing w:after="0"/>
              <w:rPr>
                <w:sz w:val="20"/>
                <w:szCs w:val="20"/>
                <w:color w:val="auto"/>
              </w:rPr>
            </w:pPr>
            <w:r>
              <w:rPr>
                <w:rFonts w:ascii="Arial" w:cs="Arial" w:eastAsia="Arial" w:hAnsi="Arial"/>
                <w:sz w:val="13"/>
                <w:szCs w:val="13"/>
                <w:b w:val="1"/>
                <w:bCs w:val="1"/>
                <w:color w:val="auto"/>
              </w:rPr>
              <w:t>Principal Balance</w:t>
            </w:r>
          </w:p>
        </w:tc>
        <w:tc>
          <w:tcPr>
            <w:tcW w:w="18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3"/>
              </w:rPr>
              <w:t>Interest Rate</w:t>
            </w:r>
          </w:p>
        </w:tc>
        <w:tc>
          <w:tcPr>
            <w:tcW w:w="1180" w:type="dxa"/>
            <w:vAlign w:val="bottom"/>
          </w:tcPr>
          <w:p>
            <w:pPr>
              <w:spacing w:after="0"/>
              <w:rPr>
                <w:sz w:val="13"/>
                <w:szCs w:val="13"/>
                <w:color w:val="auto"/>
              </w:rPr>
            </w:pPr>
          </w:p>
        </w:tc>
      </w:tr>
      <w:tr>
        <w:trPr>
          <w:trHeight w:val="146"/>
        </w:trPr>
        <w:tc>
          <w:tcPr>
            <w:tcW w:w="1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574"/>
              <w:spacing w:after="0" w:line="146" w:lineRule="exact"/>
              <w:rPr>
                <w:sz w:val="20"/>
                <w:szCs w:val="20"/>
                <w:color w:val="auto"/>
              </w:rPr>
            </w:pPr>
            <w:r>
              <w:rPr>
                <w:rFonts w:ascii="Arial" w:cs="Arial" w:eastAsia="Arial" w:hAnsi="Arial"/>
                <w:sz w:val="13"/>
                <w:szCs w:val="13"/>
                <w:b w:val="1"/>
                <w:bCs w:val="1"/>
                <w:color w:val="auto"/>
                <w:w w:val="96"/>
              </w:rPr>
              <w:t>Debt</w:t>
            </w:r>
          </w:p>
        </w:tc>
        <w:tc>
          <w:tcPr>
            <w:tcW w:w="240" w:type="dxa"/>
            <w:vAlign w:val="bottom"/>
          </w:tcPr>
          <w:p>
            <w:pPr>
              <w:spacing w:after="0"/>
              <w:rPr>
                <w:sz w:val="12"/>
                <w:szCs w:val="12"/>
                <w:color w:val="auto"/>
              </w:rPr>
            </w:pPr>
          </w:p>
        </w:tc>
        <w:tc>
          <w:tcPr>
            <w:tcW w:w="1460" w:type="dxa"/>
            <w:vAlign w:val="bottom"/>
            <w:gridSpan w:val="2"/>
          </w:tcPr>
          <w:p>
            <w:pPr>
              <w:jc w:val="right"/>
              <w:ind w:right="1040"/>
              <w:spacing w:after="0" w:line="146" w:lineRule="exact"/>
              <w:rPr>
                <w:sz w:val="20"/>
                <w:szCs w:val="20"/>
                <w:color w:val="auto"/>
              </w:rPr>
            </w:pPr>
            <w:r>
              <w:rPr>
                <w:rFonts w:ascii="Arial" w:cs="Arial" w:eastAsia="Arial" w:hAnsi="Arial"/>
                <w:sz w:val="13"/>
                <w:szCs w:val="13"/>
                <w:b w:val="1"/>
                <w:bCs w:val="1"/>
                <w:color w:val="auto"/>
              </w:rPr>
              <w:t>as of</w:t>
            </w:r>
          </w:p>
        </w:tc>
        <w:tc>
          <w:tcPr>
            <w:tcW w:w="180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85"/>
              </w:rPr>
              <w:t>as of</w:t>
            </w:r>
          </w:p>
        </w:tc>
        <w:tc>
          <w:tcPr>
            <w:tcW w:w="1180" w:type="dxa"/>
            <w:vAlign w:val="bottom"/>
          </w:tcPr>
          <w:p>
            <w:pPr>
              <w:spacing w:after="0"/>
              <w:rPr>
                <w:sz w:val="12"/>
                <w:szCs w:val="12"/>
                <w:color w:val="auto"/>
              </w:rPr>
            </w:pPr>
          </w:p>
        </w:tc>
      </w:tr>
      <w:tr>
        <w:trPr>
          <w:trHeight w:val="165"/>
        </w:trPr>
        <w:tc>
          <w:tcPr>
            <w:tcW w:w="5020" w:type="dxa"/>
            <w:vAlign w:val="bottom"/>
            <w:gridSpan w:val="2"/>
          </w:tcPr>
          <w:p>
            <w:pPr>
              <w:spacing w:after="0"/>
              <w:rPr>
                <w:sz w:val="20"/>
                <w:szCs w:val="20"/>
                <w:color w:val="auto"/>
              </w:rPr>
            </w:pPr>
            <w:r>
              <w:rPr>
                <w:rFonts w:ascii="Arial" w:cs="Arial" w:eastAsia="Arial" w:hAnsi="Arial"/>
                <w:sz w:val="13"/>
                <w:szCs w:val="13"/>
                <w:b w:val="1"/>
                <w:bCs w:val="1"/>
                <w:color w:val="auto"/>
              </w:rPr>
              <w:t>Description of Debt</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574"/>
              <w:spacing w:after="0"/>
              <w:rPr>
                <w:sz w:val="20"/>
                <w:szCs w:val="20"/>
                <w:color w:val="auto"/>
              </w:rPr>
            </w:pPr>
            <w:r>
              <w:rPr>
                <w:rFonts w:ascii="Arial" w:cs="Arial" w:eastAsia="Arial" w:hAnsi="Arial"/>
                <w:sz w:val="13"/>
                <w:szCs w:val="13"/>
                <w:b w:val="1"/>
                <w:bCs w:val="1"/>
                <w:color w:val="auto"/>
                <w:w w:val="87"/>
              </w:rPr>
              <w:t>Issued</w:t>
            </w:r>
          </w:p>
        </w:tc>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December 31, 2006</w:t>
            </w:r>
          </w:p>
        </w:tc>
        <w:tc>
          <w:tcPr>
            <w:tcW w:w="18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0"/>
              </w:rPr>
              <w:t>December 31, 2006</w:t>
            </w: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Maturity Date</w:t>
            </w:r>
          </w:p>
        </w:tc>
      </w:tr>
      <w:tr>
        <w:trPr>
          <w:trHeight w:val="146"/>
        </w:trPr>
        <w:tc>
          <w:tcPr>
            <w:tcW w:w="1180" w:type="dxa"/>
            <w:vAlign w:val="bottom"/>
            <w:tcBorders>
              <w:top w:val="single" w:sz="8" w:color="auto"/>
            </w:tcBorders>
          </w:tcPr>
          <w:p>
            <w:pPr>
              <w:spacing w:after="0"/>
              <w:rPr>
                <w:sz w:val="12"/>
                <w:szCs w:val="12"/>
                <w:color w:val="auto"/>
              </w:rPr>
            </w:pPr>
          </w:p>
        </w:tc>
        <w:tc>
          <w:tcPr>
            <w:tcW w:w="38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Pr>
          <w:p>
            <w:pPr>
              <w:spacing w:after="0" w:line="146" w:lineRule="exact"/>
              <w:rPr>
                <w:sz w:val="20"/>
                <w:szCs w:val="20"/>
                <w:color w:val="auto"/>
              </w:rPr>
            </w:pPr>
            <w:r>
              <w:rPr>
                <w:rFonts w:ascii="Arial" w:cs="Arial" w:eastAsia="Arial" w:hAnsi="Arial"/>
                <w:sz w:val="13"/>
                <w:szCs w:val="13"/>
                <w:b w:val="1"/>
                <w:bCs w:val="1"/>
                <w:color w:val="auto"/>
                <w:w w:val="88"/>
              </w:rPr>
              <w:t>(Dollars in</w:t>
            </w:r>
          </w:p>
        </w:tc>
        <w:tc>
          <w:tcPr>
            <w:tcW w:w="108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thousands)</w:t>
            </w:r>
          </w:p>
        </w:tc>
        <w:tc>
          <w:tcPr>
            <w:tcW w:w="6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146"/>
        </w:trPr>
        <w:tc>
          <w:tcPr>
            <w:tcW w:w="50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Mortgage loans(1)</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5020" w:type="dxa"/>
            <w:vAlign w:val="bottom"/>
            <w:gridSpan w:val="2"/>
          </w:tcPr>
          <w:p>
            <w:pPr>
              <w:ind w:left="220"/>
              <w:spacing w:after="0" w:line="146" w:lineRule="exact"/>
              <w:rPr>
                <w:sz w:val="20"/>
                <w:szCs w:val="20"/>
                <w:color w:val="auto"/>
              </w:rPr>
            </w:pPr>
            <w:r>
              <w:rPr>
                <w:rFonts w:ascii="Arial" w:cs="Arial" w:eastAsia="Arial" w:hAnsi="Arial"/>
                <w:sz w:val="13"/>
                <w:szCs w:val="13"/>
                <w:i w:val="1"/>
                <w:iCs w:val="1"/>
                <w:color w:val="auto"/>
              </w:rPr>
              <w:t>Secured fixed rate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Leesburg Plaza</w:t>
            </w:r>
          </w:p>
        </w:tc>
        <w:tc>
          <w:tcPr>
            <w:tcW w:w="6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9,900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9,760</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6.510%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October 1, 2008</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164 E. Houston Street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345</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98</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7.500%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October 6, 2008</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Mercer Mall</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Acquired</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4,512</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8.375%</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April 1, 2009</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Federal Plaza</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36,500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34,192</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6.750%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June 1, 2011</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Tysons Station</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7,000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6,366</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7.400%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September 1, 2011</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Crow Canyon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Acquired</w:t>
            </w: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21,945</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5.400%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August 11, 2013</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Melville Mall(2)</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Acquired</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25,702</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5.250%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September 1, 2014</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Barracks Road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44,300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42,614</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7.950%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November 1, 2015</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Hauppauge</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16,700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16,065</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7.950%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November 1, 2015</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Lawrence Park</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31,400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30,205</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7.950%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November 1, 2015</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Wildwood</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27,600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26,550</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7.950%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November 1, 2015</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Wynnewood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32,000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30,782</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7.950%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November 1, 2015</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Brick Plaza</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33,000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31,631</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7.415%</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November 1, 2015</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Mount Vernon(3)</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13,250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12,268</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5.660%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April 15, 2028</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Bath</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Acquired</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9,999</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7.130%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July 1, 2028</w:t>
            </w:r>
          </w:p>
        </w:tc>
      </w:tr>
      <w:tr>
        <w:trPr>
          <w:trHeight w:val="152"/>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Chelsea</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Acquired</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8,384</w:t>
            </w:r>
          </w:p>
        </w:tc>
        <w:tc>
          <w:tcPr>
            <w:tcW w:w="620" w:type="dxa"/>
            <w:vAlign w:val="bottom"/>
          </w:tcPr>
          <w:p>
            <w:pPr>
              <w:spacing w:after="0"/>
              <w:rPr>
                <w:sz w:val="13"/>
                <w:szCs w:val="13"/>
                <w:color w:val="auto"/>
              </w:rPr>
            </w:pP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5.360%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January 15, 2031</w:t>
            </w:r>
          </w:p>
        </w:tc>
      </w:tr>
      <w:tr>
        <w:trPr>
          <w:trHeight w:val="146"/>
        </w:trPr>
        <w:tc>
          <w:tcPr>
            <w:tcW w:w="5020" w:type="dxa"/>
            <w:vAlign w:val="bottom"/>
            <w:gridSpan w:val="2"/>
            <w:shd w:val="clear" w:color="auto" w:fill="CCEEFF"/>
          </w:tcPr>
          <w:p>
            <w:pPr>
              <w:ind w:left="860"/>
              <w:spacing w:after="0" w:line="146" w:lineRule="exact"/>
              <w:rPr>
                <w:sz w:val="20"/>
                <w:szCs w:val="20"/>
                <w:color w:val="auto"/>
              </w:rPr>
            </w:pPr>
            <w:r>
              <w:rPr>
                <w:rFonts w:ascii="Arial" w:cs="Arial" w:eastAsia="Arial" w:hAnsi="Arial"/>
                <w:sz w:val="13"/>
                <w:szCs w:val="13"/>
                <w:color w:val="auto"/>
              </w:rPr>
              <w:t>Subtotal</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311,073</w:t>
            </w: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2"/>
        </w:trPr>
        <w:tc>
          <w:tcPr>
            <w:tcW w:w="5020" w:type="dxa"/>
            <w:vAlign w:val="bottom"/>
            <w:gridSpan w:val="2"/>
          </w:tcPr>
          <w:p>
            <w:pPr>
              <w:ind w:left="860"/>
              <w:spacing w:after="0" w:line="146" w:lineRule="exact"/>
              <w:rPr>
                <w:sz w:val="20"/>
                <w:szCs w:val="20"/>
                <w:color w:val="auto"/>
              </w:rPr>
            </w:pPr>
            <w:r>
              <w:rPr>
                <w:rFonts w:ascii="Arial" w:cs="Arial" w:eastAsia="Arial" w:hAnsi="Arial"/>
                <w:sz w:val="13"/>
                <w:szCs w:val="13"/>
                <w:color w:val="auto"/>
              </w:rPr>
              <w:t>Net unamortized mortgage discount</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(36)</w:t>
            </w: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6"/>
        </w:trPr>
        <w:tc>
          <w:tcPr>
            <w:tcW w:w="5020" w:type="dxa"/>
            <w:vAlign w:val="bottom"/>
            <w:gridSpan w:val="2"/>
            <w:shd w:val="clear" w:color="auto" w:fill="CCEEFF"/>
          </w:tcPr>
          <w:p>
            <w:pPr>
              <w:ind w:left="860"/>
              <w:spacing w:after="0" w:line="146" w:lineRule="exact"/>
              <w:rPr>
                <w:sz w:val="20"/>
                <w:szCs w:val="20"/>
                <w:color w:val="auto"/>
              </w:rPr>
            </w:pPr>
            <w:r>
              <w:rPr>
                <w:rFonts w:ascii="Arial" w:cs="Arial" w:eastAsia="Arial" w:hAnsi="Arial"/>
                <w:sz w:val="13"/>
                <w:szCs w:val="13"/>
                <w:color w:val="auto"/>
              </w:rPr>
              <w:t>Total mortgage loans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311,037</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2"/>
        </w:trPr>
        <w:tc>
          <w:tcPr>
            <w:tcW w:w="5020" w:type="dxa"/>
            <w:vAlign w:val="bottom"/>
            <w:gridSpan w:val="2"/>
          </w:tcPr>
          <w:p>
            <w:pPr>
              <w:spacing w:after="0"/>
              <w:rPr>
                <w:sz w:val="20"/>
                <w:szCs w:val="20"/>
                <w:color w:val="auto"/>
              </w:rPr>
            </w:pPr>
            <w:r>
              <w:rPr>
                <w:rFonts w:ascii="Arial" w:cs="Arial" w:eastAsia="Arial" w:hAnsi="Arial"/>
                <w:sz w:val="13"/>
                <w:szCs w:val="13"/>
                <w:b w:val="1"/>
                <w:bCs w:val="1"/>
                <w:color w:val="auto"/>
              </w:rPr>
              <w:t>Notes payable</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6"/>
        </w:trPr>
        <w:tc>
          <w:tcPr>
            <w:tcW w:w="5020" w:type="dxa"/>
            <w:vAlign w:val="bottom"/>
            <w:gridSpan w:val="2"/>
            <w:shd w:val="clear" w:color="auto" w:fill="CCEEFF"/>
          </w:tcPr>
          <w:p>
            <w:pPr>
              <w:ind w:left="220"/>
              <w:spacing w:after="0" w:line="146" w:lineRule="exact"/>
              <w:rPr>
                <w:sz w:val="20"/>
                <w:szCs w:val="20"/>
                <w:color w:val="auto"/>
              </w:rPr>
            </w:pPr>
            <w:r>
              <w:rPr>
                <w:rFonts w:ascii="Arial" w:cs="Arial" w:eastAsia="Arial" w:hAnsi="Arial"/>
                <w:sz w:val="13"/>
                <w:szCs w:val="13"/>
                <w:i w:val="1"/>
                <w:iCs w:val="1"/>
                <w:color w:val="auto"/>
              </w:rPr>
              <w:t>Unsecured fixed rate</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Perring Plaza renovation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3,087</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1,624</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10.000%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January 31, 2013</w:t>
            </w:r>
          </w:p>
        </w:tc>
      </w:tr>
      <w:tr>
        <w:trPr>
          <w:trHeight w:val="146"/>
        </w:trPr>
        <w:tc>
          <w:tcPr>
            <w:tcW w:w="5020" w:type="dxa"/>
            <w:vAlign w:val="bottom"/>
            <w:gridSpan w:val="2"/>
            <w:shd w:val="clear" w:color="auto" w:fill="CCEEFF"/>
          </w:tcPr>
          <w:p>
            <w:pPr>
              <w:ind w:left="220"/>
              <w:spacing w:after="0" w:line="146" w:lineRule="exact"/>
              <w:rPr>
                <w:sz w:val="20"/>
                <w:szCs w:val="20"/>
                <w:color w:val="auto"/>
              </w:rPr>
            </w:pPr>
            <w:r>
              <w:rPr>
                <w:rFonts w:ascii="Arial" w:cs="Arial" w:eastAsia="Arial" w:hAnsi="Arial"/>
                <w:sz w:val="13"/>
                <w:szCs w:val="13"/>
                <w:i w:val="1"/>
                <w:iCs w:val="1"/>
                <w:color w:val="auto"/>
              </w:rPr>
              <w:t>Unsecured variable rate</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Revolving credit facilities(4)</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300,000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98,000</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LIBOR + 0.425%</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July 27, 2010</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Escondido (Municipal bonds)(5)</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9,400</w:t>
            </w:r>
          </w:p>
        </w:tc>
        <w:tc>
          <w:tcPr>
            <w:tcW w:w="5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9,400</w:t>
            </w:r>
          </w:p>
        </w:tc>
        <w:tc>
          <w:tcPr>
            <w:tcW w:w="6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3.760%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October 1, 2016</w:t>
            </w:r>
          </w:p>
        </w:tc>
      </w:tr>
      <w:tr>
        <w:trPr>
          <w:trHeight w:val="159"/>
        </w:trPr>
        <w:tc>
          <w:tcPr>
            <w:tcW w:w="5020" w:type="dxa"/>
            <w:vAlign w:val="bottom"/>
            <w:gridSpan w:val="2"/>
          </w:tcPr>
          <w:p>
            <w:pPr>
              <w:ind w:left="860"/>
              <w:spacing w:after="0"/>
              <w:rPr>
                <w:sz w:val="20"/>
                <w:szCs w:val="20"/>
                <w:color w:val="auto"/>
              </w:rPr>
            </w:pPr>
            <w:r>
              <w:rPr>
                <w:rFonts w:ascii="Arial" w:cs="Arial" w:eastAsia="Arial" w:hAnsi="Arial"/>
                <w:sz w:val="13"/>
                <w:szCs w:val="13"/>
                <w:color w:val="auto"/>
              </w:rPr>
              <w:t>Total notes payable</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3"/>
                <w:szCs w:val="13"/>
                <w:color w:val="auto"/>
              </w:rPr>
              <w:t>109,024</w:t>
            </w: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6"/>
        </w:trPr>
        <w:tc>
          <w:tcPr>
            <w:tcW w:w="50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Senior notes and debentures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5020" w:type="dxa"/>
            <w:vAlign w:val="bottom"/>
            <w:gridSpan w:val="2"/>
          </w:tcPr>
          <w:p>
            <w:pPr>
              <w:ind w:left="220"/>
              <w:spacing w:after="0" w:line="146" w:lineRule="exact"/>
              <w:rPr>
                <w:sz w:val="20"/>
                <w:szCs w:val="20"/>
                <w:color w:val="auto"/>
              </w:rPr>
            </w:pPr>
            <w:r>
              <w:rPr>
                <w:rFonts w:ascii="Arial" w:cs="Arial" w:eastAsia="Arial" w:hAnsi="Arial"/>
                <w:sz w:val="13"/>
                <w:szCs w:val="13"/>
                <w:i w:val="1"/>
                <w:iCs w:val="1"/>
                <w:color w:val="auto"/>
              </w:rPr>
              <w:t>Unsecured fixed rate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6.125% notes(6)</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150,000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150,000</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6.325%</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November 15, 2007</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8.75% notes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175,000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175,000</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8.750%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December 1, 2009</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4.50% notes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75,000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75,000</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4.500%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February 15, 2011</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6.00% notes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175,000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175,000</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6.000%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July 15, 2012</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5.40% notes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135,000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135,000</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5.400%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December 1, 2013</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5.65% notes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125,000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125,000</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5.650%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June 1, 2016</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6.20% notes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200,000</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200,000</w:t>
            </w: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6.200%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January 15, 2017</w:t>
            </w:r>
          </w:p>
        </w:tc>
      </w:tr>
      <w:tr>
        <w:trPr>
          <w:trHeight w:val="146"/>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7.48% debentures(7)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50,000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620"/>
              <w:spacing w:after="0" w:line="146" w:lineRule="exact"/>
              <w:rPr>
                <w:sz w:val="20"/>
                <w:szCs w:val="20"/>
                <w:color w:val="auto"/>
              </w:rPr>
            </w:pPr>
            <w:r>
              <w:rPr>
                <w:rFonts w:ascii="Arial" w:cs="Arial" w:eastAsia="Arial" w:hAnsi="Arial"/>
                <w:sz w:val="13"/>
                <w:szCs w:val="13"/>
                <w:color w:val="auto"/>
              </w:rPr>
              <w:t>50,000</w:t>
            </w:r>
          </w:p>
        </w:tc>
        <w:tc>
          <w:tcPr>
            <w:tcW w:w="1800" w:type="dxa"/>
            <w:vAlign w:val="bottom"/>
            <w:gridSpan w:val="2"/>
          </w:tcPr>
          <w:p>
            <w:pPr>
              <w:jc w:val="right"/>
              <w:ind w:right="580"/>
              <w:spacing w:after="0" w:line="146" w:lineRule="exact"/>
              <w:rPr>
                <w:sz w:val="20"/>
                <w:szCs w:val="20"/>
                <w:color w:val="auto"/>
              </w:rPr>
            </w:pPr>
            <w:r>
              <w:rPr>
                <w:rFonts w:ascii="Arial" w:cs="Arial" w:eastAsia="Arial" w:hAnsi="Arial"/>
                <w:sz w:val="13"/>
                <w:szCs w:val="13"/>
                <w:color w:val="auto"/>
              </w:rPr>
              <w:t>7.480%</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rPr>
              <w:t>August 15, 2026</w:t>
            </w:r>
          </w:p>
        </w:tc>
      </w:tr>
      <w:tr>
        <w:trPr>
          <w:trHeight w:val="146"/>
        </w:trPr>
        <w:tc>
          <w:tcPr>
            <w:tcW w:w="502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6.82% medium term notes(8)</w:t>
            </w:r>
          </w:p>
        </w:tc>
        <w:tc>
          <w:tcPr>
            <w:tcW w:w="6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40,000</w:t>
            </w:r>
          </w:p>
        </w:tc>
        <w:tc>
          <w:tcPr>
            <w:tcW w:w="5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40,000</w:t>
            </w:r>
          </w:p>
        </w:tc>
        <w:tc>
          <w:tcPr>
            <w:tcW w:w="6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3"/>
                <w:szCs w:val="13"/>
                <w:color w:val="auto"/>
              </w:rPr>
              <w:t>6.820%</w:t>
            </w:r>
          </w:p>
        </w:tc>
        <w:tc>
          <w:tcPr>
            <w:tcW w:w="1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August 1, 2027</w:t>
            </w:r>
          </w:p>
        </w:tc>
      </w:tr>
      <w:tr>
        <w:trPr>
          <w:trHeight w:val="152"/>
        </w:trPr>
        <w:tc>
          <w:tcPr>
            <w:tcW w:w="5020" w:type="dxa"/>
            <w:vAlign w:val="bottom"/>
            <w:gridSpan w:val="2"/>
          </w:tcPr>
          <w:p>
            <w:pPr>
              <w:ind w:left="860"/>
              <w:spacing w:after="0"/>
              <w:rPr>
                <w:sz w:val="20"/>
                <w:szCs w:val="20"/>
                <w:color w:val="auto"/>
              </w:rPr>
            </w:pPr>
            <w:r>
              <w:rPr>
                <w:rFonts w:ascii="Arial" w:cs="Arial" w:eastAsia="Arial" w:hAnsi="Arial"/>
                <w:sz w:val="13"/>
                <w:szCs w:val="13"/>
                <w:color w:val="auto"/>
              </w:rPr>
              <w:t>Subtotal</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3"/>
                <w:szCs w:val="13"/>
                <w:color w:val="auto"/>
              </w:rPr>
              <w:t>1,125,000</w:t>
            </w: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6"/>
        </w:trPr>
        <w:tc>
          <w:tcPr>
            <w:tcW w:w="5020" w:type="dxa"/>
            <w:vAlign w:val="bottom"/>
            <w:gridSpan w:val="2"/>
            <w:shd w:val="clear" w:color="auto" w:fill="CCEEFF"/>
          </w:tcPr>
          <w:p>
            <w:pPr>
              <w:ind w:left="860"/>
              <w:spacing w:after="0" w:line="146" w:lineRule="exact"/>
              <w:rPr>
                <w:sz w:val="20"/>
                <w:szCs w:val="20"/>
                <w:color w:val="auto"/>
              </w:rPr>
            </w:pPr>
            <w:r>
              <w:rPr>
                <w:rFonts w:ascii="Arial" w:cs="Arial" w:eastAsia="Arial" w:hAnsi="Arial"/>
                <w:sz w:val="13"/>
                <w:szCs w:val="13"/>
                <w:color w:val="auto"/>
              </w:rPr>
              <w:t>Unamortized net premium</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2,508</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9"/>
        </w:trPr>
        <w:tc>
          <w:tcPr>
            <w:tcW w:w="5020" w:type="dxa"/>
            <w:vAlign w:val="bottom"/>
            <w:gridSpan w:val="2"/>
          </w:tcPr>
          <w:p>
            <w:pPr>
              <w:ind w:left="860"/>
              <w:spacing w:after="0"/>
              <w:rPr>
                <w:sz w:val="20"/>
                <w:szCs w:val="20"/>
                <w:color w:val="auto"/>
              </w:rPr>
            </w:pPr>
            <w:r>
              <w:rPr>
                <w:rFonts w:ascii="Arial" w:cs="Arial" w:eastAsia="Arial" w:hAnsi="Arial"/>
                <w:sz w:val="13"/>
                <w:szCs w:val="13"/>
                <w:color w:val="auto"/>
              </w:rPr>
              <w:t>Total senior notes and debentures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3"/>
                <w:szCs w:val="13"/>
                <w:color w:val="auto"/>
              </w:rPr>
              <w:t>1,127,508</w:t>
            </w: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6"/>
        </w:trPr>
        <w:tc>
          <w:tcPr>
            <w:tcW w:w="50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Capital lease obligations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2"/>
        </w:trPr>
        <w:tc>
          <w:tcPr>
            <w:tcW w:w="502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Various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149,361</w:t>
            </w:r>
          </w:p>
        </w:tc>
        <w:tc>
          <w:tcPr>
            <w:tcW w:w="620" w:type="dxa"/>
            <w:vAlign w:val="bottom"/>
          </w:tcPr>
          <w:p>
            <w:pPr>
              <w:spacing w:after="0"/>
              <w:rPr>
                <w:sz w:val="13"/>
                <w:szCs w:val="13"/>
                <w:color w:val="auto"/>
              </w:rPr>
            </w:pPr>
          </w:p>
        </w:tc>
        <w:tc>
          <w:tcPr>
            <w:tcW w:w="1800" w:type="dxa"/>
            <w:vAlign w:val="bottom"/>
            <w:gridSpan w:val="2"/>
          </w:tcPr>
          <w:p>
            <w:pPr>
              <w:jc w:val="right"/>
              <w:ind w:right="700"/>
              <w:spacing w:after="0" w:line="146" w:lineRule="exact"/>
              <w:rPr>
                <w:sz w:val="20"/>
                <w:szCs w:val="20"/>
                <w:color w:val="auto"/>
              </w:rPr>
            </w:pPr>
            <w:r>
              <w:rPr>
                <w:rFonts w:ascii="Arial" w:cs="Arial" w:eastAsia="Arial" w:hAnsi="Arial"/>
                <w:sz w:val="13"/>
                <w:szCs w:val="13"/>
                <w:color w:val="auto"/>
              </w:rPr>
              <w:t>Various</w:t>
            </w:r>
          </w:p>
        </w:tc>
        <w:tc>
          <w:tcPr>
            <w:tcW w:w="1180" w:type="dxa"/>
            <w:vAlign w:val="bottom"/>
          </w:tcPr>
          <w:p>
            <w:pPr>
              <w:jc w:val="right"/>
              <w:spacing w:after="0" w:line="146" w:lineRule="exact"/>
              <w:rPr>
                <w:sz w:val="20"/>
                <w:szCs w:val="20"/>
                <w:color w:val="auto"/>
              </w:rPr>
            </w:pPr>
            <w:r>
              <w:rPr>
                <w:rFonts w:ascii="Arial" w:cs="Arial" w:eastAsia="Arial" w:hAnsi="Arial"/>
                <w:sz w:val="13"/>
                <w:szCs w:val="13"/>
                <w:color w:val="auto"/>
                <w:w w:val="93"/>
              </w:rPr>
              <w:t>Various through 2077</w:t>
            </w:r>
          </w:p>
        </w:tc>
      </w:tr>
      <w:tr>
        <w:trPr>
          <w:trHeight w:val="146"/>
        </w:trPr>
        <w:tc>
          <w:tcPr>
            <w:tcW w:w="50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Total debt and capital lease obligations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620"/>
              <w:spacing w:after="0" w:line="146" w:lineRule="exact"/>
              <w:rPr>
                <w:sz w:val="20"/>
                <w:szCs w:val="20"/>
                <w:color w:val="auto"/>
              </w:rPr>
            </w:pPr>
            <w:r>
              <w:rPr>
                <w:rFonts w:ascii="Arial" w:cs="Arial" w:eastAsia="Arial" w:hAnsi="Arial"/>
                <w:sz w:val="13"/>
                <w:szCs w:val="13"/>
                <w:color w:val="auto"/>
              </w:rPr>
              <w:t>1,696,930</w:t>
            </w: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97" w:lineRule="exact"/>
        <w:rPr>
          <w:sz w:val="20"/>
          <w:szCs w:val="20"/>
          <w:color w:val="auto"/>
        </w:rPr>
      </w:pPr>
    </w:p>
    <w:p>
      <w:pPr>
        <w:ind w:left="340" w:hanging="334"/>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Mortgage loans do not include our 30% share ($23.2 million) of the $77.4 million debt of the partnership with Clarion Lion Properties Fund.</w:t>
      </w:r>
    </w:p>
    <w:p>
      <w:pPr>
        <w:spacing w:after="0" w:line="6" w:lineRule="exact"/>
        <w:rPr>
          <w:rFonts w:ascii="Arial" w:cs="Arial" w:eastAsia="Arial" w:hAnsi="Arial"/>
          <w:sz w:val="13"/>
          <w:szCs w:val="13"/>
          <w:color w:val="auto"/>
        </w:rPr>
      </w:pPr>
    </w:p>
    <w:p>
      <w:pPr>
        <w:ind w:left="340" w:right="380" w:hanging="334"/>
        <w:spacing w:after="0" w:line="233"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Trust acquired control of Melville Mall through a 20-year master lease and secondary financing. Because the Trust controls this property and retains substantially all of the economic benefit and risk associated with it, this property is consolidated and the mortgage loan is reflected on the balance sheet, though it is not a legal obligation of the Trust.</w:t>
      </w:r>
    </w:p>
    <w:p>
      <w:pPr>
        <w:spacing w:after="0" w:line="1" w:lineRule="exact"/>
        <w:rPr>
          <w:rFonts w:ascii="Arial" w:cs="Arial" w:eastAsia="Arial" w:hAnsi="Arial"/>
          <w:sz w:val="13"/>
          <w:szCs w:val="13"/>
          <w:color w:val="auto"/>
        </w:rPr>
      </w:pPr>
    </w:p>
    <w:p>
      <w:pPr>
        <w:ind w:left="340" w:hanging="334"/>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 time thereafter.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53"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60" w:hanging="334"/>
        <w:spacing w:after="0" w:line="241"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revolving credit facility offers a one-year extension option. The maximum amount drawn under the facility during 2006 was $297.0 million. The weighted average effective interest rate on borrowings under our revolving credit facility, before amortization of debt fees, was 5.6% for the year ended December 31, 2006.</w:t>
      </w:r>
    </w:p>
    <w:p>
      <w:pPr>
        <w:spacing w:after="0" w:line="1" w:lineRule="exact"/>
        <w:rPr>
          <w:rFonts w:ascii="Arial" w:cs="Arial" w:eastAsia="Arial" w:hAnsi="Arial"/>
          <w:sz w:val="13"/>
          <w:szCs w:val="13"/>
          <w:color w:val="auto"/>
        </w:rPr>
      </w:pPr>
    </w:p>
    <w:p>
      <w:pPr>
        <w:ind w:left="340" w:right="240" w:hanging="334"/>
        <w:spacing w:after="0" w:line="233"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 w:lineRule="exact"/>
        <w:rPr>
          <w:rFonts w:ascii="Arial" w:cs="Arial" w:eastAsia="Arial" w:hAnsi="Arial"/>
          <w:sz w:val="13"/>
          <w:szCs w:val="13"/>
          <w:color w:val="auto"/>
        </w:rPr>
      </w:pPr>
    </w:p>
    <w:p>
      <w:pPr>
        <w:ind w:left="340" w:right="200" w:hanging="334"/>
        <w:spacing w:after="0" w:line="233"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purchased an interest rate lock to hedge a planned note offering. A hedge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3"/>
          <w:szCs w:val="13"/>
          <w:color w:val="auto"/>
        </w:rPr>
      </w:pPr>
    </w:p>
    <w:p>
      <w:pPr>
        <w:ind w:left="340" w:hanging="334"/>
        <w:spacing w:after="0" w:line="233"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Beginning on August 15, 2008, the debentures are redeemable by the holders thereof at the original purchase price of $1,000 per debenture.</w:t>
      </w:r>
    </w:p>
    <w:p>
      <w:pPr>
        <w:ind w:left="340" w:hanging="334"/>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Beginning on August 1, 2007, the notes are redeemable by the holders thereof at the original purchase price of $1,000 per note.</w:t>
      </w:r>
    </w:p>
    <w:p>
      <w:pPr>
        <w:spacing w:after="0" w:line="14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Our credit facility and other debt agreements include financial and other covenants that may limit our operating activities in the future. As of December 31, 2006,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37"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Below are the aggregate principal payments required as of December 31, 2006 under our debt financing arrangements by year. Scheduled principal installments and amounts due at maturity are included.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b w:val="1"/>
                <w:bCs w:val="1"/>
                <w:color w:val="auto"/>
                <w:w w:val="96"/>
              </w:rPr>
              <w:t>Capital</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8"/>
        </w:trPr>
        <w:tc>
          <w:tcPr>
            <w:tcW w:w="11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Secured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0"/>
              </w:rPr>
              <w:t>Leases</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6"/>
              </w:rPr>
              <w:t>Unsecured</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r>
      <w:tr>
        <w:trPr>
          <w:trHeight w:val="139"/>
        </w:trPr>
        <w:tc>
          <w:tcPr>
            <w:tcW w:w="11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jc w:val="right"/>
              <w:ind w:right="276"/>
              <w:spacing w:after="0" w:line="139" w:lineRule="exact"/>
              <w:rPr>
                <w:sz w:val="20"/>
                <w:szCs w:val="20"/>
                <w:color w:val="auto"/>
              </w:rPr>
            </w:pPr>
            <w:r>
              <w:rPr>
                <w:rFonts w:ascii="Arial" w:cs="Arial" w:eastAsia="Arial" w:hAnsi="Arial"/>
                <w:sz w:val="13"/>
                <w:szCs w:val="13"/>
                <w:b w:val="1"/>
                <w:bCs w:val="1"/>
                <w:color w:val="auto"/>
                <w:w w:val="93"/>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2"/>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156,312</w:t>
            </w:r>
          </w:p>
        </w:tc>
      </w:tr>
      <w:tr>
        <w:trPr>
          <w:trHeight w:val="212"/>
        </w:trPr>
        <w:tc>
          <w:tcPr>
            <w:tcW w:w="1180" w:type="dxa"/>
            <w:vAlign w:val="bottom"/>
          </w:tcPr>
          <w:p>
            <w:pPr>
              <w:spacing w:after="0"/>
              <w:rPr>
                <w:sz w:val="20"/>
                <w:szCs w:val="20"/>
                <w:color w:val="auto"/>
              </w:rPr>
            </w:pPr>
            <w:r>
              <w:rPr>
                <w:rFonts w:ascii="Arial" w:cs="Arial" w:eastAsia="Arial" w:hAnsi="Arial"/>
                <w:sz w:val="17"/>
                <w:szCs w:val="17"/>
                <w:color w:val="auto"/>
              </w:rPr>
              <w:t>2008</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14,968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1,523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16,717</w:t>
            </w:r>
          </w:p>
        </w:tc>
      </w:tr>
      <w:tr>
        <w:trPr>
          <w:trHeight w:val="212"/>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186,945</w:t>
            </w:r>
          </w:p>
        </w:tc>
      </w:tr>
      <w:tr>
        <w:trPr>
          <w:trHeight w:val="212"/>
        </w:trPr>
        <w:tc>
          <w:tcPr>
            <w:tcW w:w="1180" w:type="dxa"/>
            <w:vAlign w:val="bottom"/>
          </w:tcPr>
          <w:p>
            <w:pPr>
              <w:spacing w:after="0"/>
              <w:rPr>
                <w:sz w:val="20"/>
                <w:szCs w:val="20"/>
                <w:color w:val="auto"/>
              </w:rPr>
            </w:pPr>
            <w:r>
              <w:rPr>
                <w:rFonts w:ascii="Arial" w:cs="Arial" w:eastAsia="Arial" w:hAnsi="Arial"/>
                <w:sz w:val="17"/>
                <w:szCs w:val="17"/>
                <w:color w:val="auto"/>
              </w:rPr>
              <w:t>2010</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6,016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rPr>
              <w:t>98,275(1)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106,151(1)</w:t>
            </w:r>
          </w:p>
        </w:tc>
      </w:tr>
      <w:tr>
        <w:trPr>
          <w:trHeight w:val="212"/>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120,557(3)</w:t>
            </w:r>
          </w:p>
        </w:tc>
      </w:tr>
      <w:tr>
        <w:trPr>
          <w:trHeight w:val="212"/>
        </w:trPr>
        <w:tc>
          <w:tcPr>
            <w:tcW w:w="6800" w:type="dxa"/>
            <w:vAlign w:val="bottom"/>
            <w:gridSpan w:val="2"/>
          </w:tcPr>
          <w:p>
            <w:pPr>
              <w:spacing w:after="0"/>
              <w:rPr>
                <w:sz w:val="20"/>
                <w:szCs w:val="20"/>
                <w:color w:val="auto"/>
              </w:rPr>
            </w:pPr>
            <w:r>
              <w:rPr>
                <w:rFonts w:ascii="Arial" w:cs="Arial" w:eastAsia="Arial" w:hAnsi="Arial"/>
                <w:sz w:val="17"/>
                <w:szCs w:val="17"/>
                <w:color w:val="auto"/>
              </w:rPr>
              <w:t>2012 and thereafter(2)</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232,079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140,932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734,765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1"/>
              </w:rPr>
              <w:t>1,107,776(3)</w:t>
            </w:r>
          </w:p>
        </w:tc>
      </w:tr>
      <w:tr>
        <w:trPr>
          <w:trHeight w:val="26"/>
        </w:trPr>
        <w:tc>
          <w:tcPr>
            <w:tcW w:w="1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118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311,073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149,361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1,234,024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1,694,458</w:t>
            </w:r>
          </w:p>
        </w:tc>
      </w:tr>
      <w:tr>
        <w:trPr>
          <w:trHeight w:val="20"/>
        </w:trPr>
        <w:tc>
          <w:tcPr>
            <w:tcW w:w="1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organizational documents do not limit the level or amount of debt that we may incur.</w:t>
      </w:r>
    </w:p>
    <w:p>
      <w:pPr>
        <w:spacing w:after="0" w:line="22" w:lineRule="exact"/>
        <w:rPr>
          <w:sz w:val="20"/>
          <w:szCs w:val="20"/>
          <w:color w:val="auto"/>
        </w:rPr>
      </w:pPr>
    </w:p>
    <w:p>
      <w:pPr>
        <w:ind w:left="460" w:hanging="454"/>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$98 million outstanding under our revolving credit facility.</w:t>
      </w:r>
    </w:p>
    <w:p>
      <w:pPr>
        <w:spacing w:after="0" w:line="16" w:lineRule="exact"/>
        <w:rPr>
          <w:rFonts w:ascii="Arial" w:cs="Arial" w:eastAsia="Arial" w:hAnsi="Arial"/>
          <w:sz w:val="17"/>
          <w:szCs w:val="17"/>
          <w:color w:val="auto"/>
        </w:rPr>
      </w:pPr>
    </w:p>
    <w:p>
      <w:pPr>
        <w:ind w:left="460" w:right="180" w:hanging="454"/>
        <w:spacing w:after="0" w:line="260"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the Mount Vernon projected mortgage loan balance of $10.0 million as of April 15, 2013 that may be required to be paid on or after April 15, 2013. Amount also includes $90 million of unsecured debt that may be called by the holders beginning August 1, 2007 as to $40 million thereof and beginning August 15, 2008 as to $50 million thereof.</w:t>
      </w:r>
    </w:p>
    <w:p>
      <w:pPr>
        <w:ind w:left="460" w:hanging="454"/>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Total debt maturities differs from the total reported on the consolidated balance sheet due to unamortized discounts and premiums as of December 31, 2006.</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Hedging</w:t>
      </w:r>
    </w:p>
    <w:p>
      <w:pPr>
        <w:spacing w:after="0" w:line="9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53"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assess effectiveness of our cash flow hedges both at inception and on an ongoing basis. Hedge ineffectiveness did not have a significant impact on earnings in 2006, 2005 and 2004, and we do not anticipate it will have a significant effect in the future.</w:t>
      </w:r>
    </w:p>
    <w:p>
      <w:pPr>
        <w:spacing w:after="0" w:line="115" w:lineRule="exact"/>
        <w:rPr>
          <w:sz w:val="20"/>
          <w:szCs w:val="20"/>
          <w:color w:val="auto"/>
        </w:rPr>
      </w:pPr>
    </w:p>
    <w:p>
      <w:pPr>
        <w:ind w:right="40"/>
        <w:spacing w:after="0" w:line="320" w:lineRule="auto"/>
        <w:rPr>
          <w:sz w:val="20"/>
          <w:szCs w:val="20"/>
          <w:color w:val="auto"/>
        </w:rPr>
      </w:pPr>
      <w:r>
        <w:rPr>
          <w:rFonts w:ascii="Arial" w:cs="Arial" w:eastAsia="Arial" w:hAnsi="Arial"/>
          <w:sz w:val="16"/>
          <w:szCs w:val="16"/>
          <w:color w:val="auto"/>
        </w:rPr>
        <w:t>In January 2004, we entered into an interest rate swap to fix the LIBOR portion of our $150 million term loan issued in October of 2003. This swap fixed the LIBOR portion at 2.401% through October 2006. The full notional amount of this swap qualified as a cash flow hedge until we repaid this loan on July 17, 2006.</w:t>
      </w:r>
    </w:p>
    <w:p>
      <w:pPr>
        <w:spacing w:after="0" w:line="92"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August 2002, in anticipation of a $150 million senior unsecured note offering, we entered into a treasury lock that fixed the five year treasury rate at 3.472% through August 19, 2002. On August 16, 2002, we priced the senior unsecured notes with a scheduled closing date of August 21, 2002 and closed on the associated rate lock. Five-year treasury rates declined between the pricing period and the settlement of the rate lock and therefore, we paid $1.5 million to settle the rate lock. As a result of the August 19, 2002 fire at Santana Row, we did not proceed with the note offering at that time. However, we consummated a $150 million, 6.125% Senior Unsecured Note offering on November 2002, and thus, the hedge loss is being amortized into interest expense over the life of these notes.</w:t>
      </w:r>
    </w:p>
    <w:p>
      <w:pPr>
        <w:spacing w:after="0" w:line="104"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We also purchased an interest rate swap that terminated in March 2006, with a notional amount of $40.5 million upon issuance of our 6.99% Medium Term Notes, which reduced the effective interest rate from 6.99% to 6.894%.</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REIT Qualification</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intend to maintain our qualification as a REIT under Section 856(c) of the Code. As a REIT, we generally will not be subject to corporate federal income taxes on income we distribute to generally our shareholders as long as we satisfy certain technical requirements of the Code, including the requirement to distribute 90% of our REIT taxable income to our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10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56" w:lineRule="exact"/>
        <w:rPr>
          <w:sz w:val="20"/>
          <w:szCs w:val="20"/>
          <w:color w:val="auto"/>
        </w:rPr>
      </w:pPr>
    </w:p>
    <w:p>
      <w:pPr>
        <w:ind w:left="780" w:right="220" w:hanging="324"/>
        <w:spacing w:after="0" w:line="287"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does not represent cash flows from operating activities in accordance with GAAP (which, unlike FFO, generally reflects all cash effects of transactions and other events in the determination of net income);</w:t>
      </w:r>
    </w:p>
    <w:p>
      <w:pPr>
        <w:spacing w:after="0" w:line="35" w:lineRule="exact"/>
        <w:rPr>
          <w:rFonts w:ascii="Arial" w:cs="Arial" w:eastAsia="Arial" w:hAnsi="Arial"/>
          <w:sz w:val="17"/>
          <w:szCs w:val="17"/>
          <w:color w:val="auto"/>
        </w:rPr>
      </w:pPr>
    </w:p>
    <w:p>
      <w:pPr>
        <w:ind w:left="780" w:hanging="324"/>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should not be considered an alternative to net income as an indication of our performance; and</w:t>
      </w:r>
    </w:p>
    <w:p>
      <w:pPr>
        <w:spacing w:after="0" w:line="95" w:lineRule="exact"/>
        <w:rPr>
          <w:rFonts w:ascii="Arial" w:cs="Arial" w:eastAsia="Arial" w:hAnsi="Arial"/>
          <w:sz w:val="17"/>
          <w:szCs w:val="17"/>
          <w:color w:val="auto"/>
        </w:rPr>
      </w:pPr>
    </w:p>
    <w:p>
      <w:pPr>
        <w:ind w:left="780" w:hanging="324"/>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is not necessarily indicative of cash flow as a measure of liquidity or ability to fund cash needs, including the payment of dividends.</w:t>
      </w:r>
    </w:p>
    <w:p>
      <w:pPr>
        <w:spacing w:after="0" w:line="175"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01"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5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357" w:lineRule="auto"/>
        <w:rPr>
          <w:sz w:val="20"/>
          <w:szCs w:val="20"/>
          <w:color w:val="auto"/>
        </w:rPr>
      </w:pPr>
      <w:r>
        <w:rPr>
          <w:rFonts w:ascii="Arial" w:cs="Arial" w:eastAsia="Arial" w:hAnsi="Arial"/>
          <w:sz w:val="15"/>
          <w:szCs w:val="15"/>
          <w:color w:val="auto"/>
        </w:rPr>
        <w:t>quarterly basis unless necessary for us to maintain REIT status. However, we must generally distribute 90% of our REIT taxable income to remain qualified as a REIT. Therefore, a significant increase in FFO will generally require an increase in distributions to shareholders although not necessarily on a proportionate basis.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gridSpan w:val="9"/>
          </w:tcPr>
          <w:p>
            <w:pPr>
              <w:jc w:val="right"/>
              <w:ind w:right="50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39"/>
        </w:trPr>
        <w:tc>
          <w:tcPr>
            <w:tcW w:w="54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39" w:lineRule="exact"/>
              <w:rPr>
                <w:sz w:val="20"/>
                <w:szCs w:val="20"/>
                <w:color w:val="auto"/>
              </w:rPr>
            </w:pPr>
            <w:r>
              <w:rPr>
                <w:rFonts w:ascii="Arial" w:cs="Arial" w:eastAsia="Arial" w:hAnsi="Arial"/>
                <w:sz w:val="13"/>
                <w:szCs w:val="13"/>
                <w:b w:val="1"/>
                <w:bCs w:val="1"/>
                <w:color w:val="auto"/>
              </w:rPr>
              <w:t>2006</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2005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4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78"/>
              <w:spacing w:after="0" w:line="139" w:lineRule="exact"/>
              <w:rPr>
                <w:sz w:val="20"/>
                <w:szCs w:val="20"/>
                <w:color w:val="auto"/>
              </w:rPr>
            </w:pPr>
            <w:r>
              <w:rPr>
                <w:rFonts w:ascii="Arial" w:cs="Arial" w:eastAsia="Arial" w:hAnsi="Arial"/>
                <w:sz w:val="13"/>
                <w:szCs w:val="13"/>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780" w:type="dxa"/>
            <w:vAlign w:val="bottom"/>
            <w:gridSpan w:val="7"/>
          </w:tcPr>
          <w:p>
            <w:pPr>
              <w:jc w:val="right"/>
              <w:ind w:right="400"/>
              <w:spacing w:after="0" w:line="139" w:lineRule="exact"/>
              <w:rPr>
                <w:sz w:val="20"/>
                <w:szCs w:val="20"/>
                <w:color w:val="auto"/>
              </w:rPr>
            </w:pPr>
            <w:r>
              <w:rPr>
                <w:rFonts w:ascii="Arial" w:cs="Arial" w:eastAsia="Arial" w:hAnsi="Arial"/>
                <w:sz w:val="13"/>
                <w:szCs w:val="13"/>
                <w:b w:val="1"/>
                <w:bCs w:val="1"/>
                <w:color w:val="auto"/>
                <w:w w:val="98"/>
              </w:rPr>
              <w:t>except per share data)</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118,712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114,612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7"/>
                <w:szCs w:val="17"/>
                <w:color w:val="auto"/>
                <w:w w:val="97"/>
              </w:rPr>
              <w:t>(23,956)</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(30,748)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(14,052)</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7,390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6,972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3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7"/>
                <w:szCs w:val="17"/>
                <w:b w:val="1"/>
                <w:bCs w:val="1"/>
                <w:color w:val="auto"/>
              </w:rPr>
              <w:t>Funds from operations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191,563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174,218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159,091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w w:val="97"/>
              </w:rPr>
              <w:t>(10,423)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(11,475)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(11,475)</w:t>
            </w: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801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redemption costs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(4,775)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3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vMerge w:val="continue"/>
          </w:tcPr>
          <w:p>
            <w:pPr>
              <w:spacing w:after="0"/>
              <w:rPr>
                <w:sz w:val="18"/>
                <w:szCs w:val="18"/>
                <w:color w:val="auto"/>
              </w:rPr>
            </w:pPr>
          </w:p>
        </w:tc>
        <w:tc>
          <w:tcPr>
            <w:tcW w:w="3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177,113</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163,544</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3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53,469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7"/>
                <w:szCs w:val="17"/>
                <w:color w:val="auto"/>
                <w:w w:val="94"/>
              </w:rPr>
              <w:t>Funds from operations available for common shareholders, per diluted share</w:t>
            </w:r>
          </w:p>
        </w:tc>
        <w:tc>
          <w:tcPr>
            <w:tcW w:w="3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3.26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3.06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5440" w:type="dxa"/>
            <w:vAlign w:val="bottom"/>
          </w:tcPr>
          <w:p>
            <w:pPr>
              <w:spacing w:after="0"/>
              <w:rPr>
                <w:sz w:val="24"/>
                <w:szCs w:val="24"/>
                <w:color w:val="auto"/>
              </w:rPr>
            </w:pPr>
          </w:p>
        </w:tc>
        <w:tc>
          <w:tcPr>
            <w:tcW w:w="3140" w:type="dxa"/>
            <w:vAlign w:val="bottom"/>
          </w:tcPr>
          <w:p>
            <w:pPr>
              <w:jc w:val="right"/>
              <w:ind w:right="2694"/>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3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were exposed to credit loss in the event of non-performance by the counter party to our interest rate swap used to fix the LIBOR portion of our $150 million term loan. The counterparty of this swap had a long-term debt rating of “A” by Standard and Poor’s Rating Service and “A1” by Moody’s Investor Service. As of December 31, 2006, we were not party to any open derivative financial instruments.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Interest Rate Debt</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majority of our outstanding debt obligations (maturing at various times through 2028 or through 2077 including capital lease obligations) have fixed interest rates which limit the risk of fluctuating interest rates. Interest rate fluctuations may affect the fair value of our fixed rate debt instruments, however. At December 31, 2006 we had $1.4 billion of fixed-rate debt outstanding. If interest rates on our fixed-rate debt instruments at December 31, 2006 had been 1.0% higher, the fair value of those debt instruments on that date would have decreased by approximately $73.2 million. If interest rates on our fixed-rate debt instruments at December 31, 2006 had been 1.0% lower, the fair value of those debt instruments on that date would have increased by approximately $83.4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Rate Debt</w:t>
      </w:r>
    </w:p>
    <w:p>
      <w:pPr>
        <w:spacing w:after="0" w:line="9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that our primary interest rate risk is due to fluctuations in interest rates on our variable rate debt. At December 31, 2006, we had $107.4 million of variable rate debt outstanding. Based upon this amount of variable rate debt, if interest rates increased by 1.0% our annual interest expense would increase by approximately $1.1 million, and our net income and cash flows for the year would decrease by approximately $1.1 million. Conversely, if interest rates decreased by 1.0%, our annual interest expense would decrease by approximately $1.1 million, and our net income and cash flows for the year would increase by approximately $1.1 million.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3"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02"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Our consolidated financial statements and supplementary data are included as a separate section of this Annual Report on Form 10-K commencing on page F-1 and are incorporated herein by reference.</w:t>
      </w:r>
    </w:p>
    <w:p>
      <w:pPr>
        <w:spacing w:after="0" w:line="228" w:lineRule="exact"/>
        <w:rPr>
          <w:sz w:val="20"/>
          <w:szCs w:val="20"/>
          <w:color w:val="auto"/>
        </w:rPr>
      </w:pPr>
    </w:p>
    <w:p>
      <w:pPr>
        <w:ind w:right="1300"/>
        <w:spacing w:after="0" w:line="392"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Not applicable.</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Assessment</w:t>
      </w:r>
    </w:p>
    <w:p>
      <w:pPr>
        <w:spacing w:after="0" w:line="10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carried out an assessment as of December 31, 2006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Executive Officer and Principal Financial Officer Certifications</w:t>
      </w:r>
    </w:p>
    <w:p>
      <w:pPr>
        <w:spacing w:after="0" w:line="1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Establishing and maintaining internal control over financial reporting is a process designed by, or under the supervision of, our President and Chief Executive Officer and Executive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51" w:lineRule="exact"/>
        <w:rPr>
          <w:sz w:val="20"/>
          <w:szCs w:val="20"/>
          <w:color w:val="auto"/>
        </w:rPr>
      </w:pPr>
    </w:p>
    <w:p>
      <w:pPr>
        <w:jc w:val="center"/>
        <w:ind w:left="5620" w:right="1200" w:hanging="5164"/>
        <w:spacing w:after="0" w:line="465" w:lineRule="auto"/>
        <w:tabs>
          <w:tab w:leader="none" w:pos="779" w:val="left"/>
        </w:tabs>
        <w:numPr>
          <w:ilvl w:val="0"/>
          <w:numId w:val="62"/>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 58</w:t>
      </w:r>
    </w:p>
    <w:p>
      <w:pPr>
        <w:sectPr>
          <w:pgSz w:w="11900" w:h="16838" w:orient="portrait"/>
          <w:cols w:equalWidth="0" w:num="1">
            <w:col w:w="11400"/>
          </w:cols>
          <w:pgMar w:left="240" w:top="453"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80" w:right="500" w:hanging="324"/>
        <w:spacing w:after="0" w:line="273"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8" w:lineRule="exact"/>
        <w:rPr>
          <w:rFonts w:ascii="Arial" w:cs="Arial" w:eastAsia="Arial" w:hAnsi="Arial"/>
          <w:sz w:val="17"/>
          <w:szCs w:val="17"/>
          <w:color w:val="auto"/>
        </w:rPr>
      </w:pPr>
    </w:p>
    <w:p>
      <w:pPr>
        <w:ind w:left="780" w:right="980" w:hanging="324"/>
        <w:spacing w:after="0" w:line="287"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10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Scope of the Evaluations</w:t>
      </w:r>
    </w:p>
    <w:p>
      <w:pPr>
        <w:spacing w:after="0" w:line="10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procedures and our internal audit, as well as discussions with our Disclosure Committee, independent public accountants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2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00"/>
          </w:cols>
          <w:pgMar w:left="240" w:top="453"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2, a “significant deficiency” is a “control deficiency,” or a combination of control deficiencies, that adversely affects the ability to initiate, authorize, record, process or report external financial data reliably in accordance with GAAP such that there is more than a remote likelihood that a misstatement of the annual or interim financial statements that is more than inconsequential will not be prevented or detected. A “control deficiency” exists when the design or operation of a control does not allow management or employees, in the normal course of performing their assigned functions, to prevent or detect misstatements on a timely basis. A “material weakness” is defined in Auditing Standard No. 2 as a significant deficiency, or a combination of significant deficiencies, that results in more than a remote likelihood that a material misstatement of the annual or interim financial statements will not be prevented or detected.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Disclosure Controls and Procedures</w:t>
      </w:r>
    </w:p>
    <w:p>
      <w:pPr>
        <w:spacing w:after="0" w:line="1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Internal Control over Financial Reporting</w:t>
      </w:r>
    </w:p>
    <w:p>
      <w:pPr>
        <w:spacing w:after="0" w:line="1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Management</w:t>
      </w:r>
    </w:p>
    <w:p>
      <w:pPr>
        <w:spacing w:after="0" w:line="102"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Our management has issued a report on its assessment of the Trust’s internal control over financial reporting, which appears on page F-1 of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Independent Registered Public Accounting Firm</w:t>
      </w:r>
    </w:p>
    <w:p>
      <w:pPr>
        <w:spacing w:after="0" w:line="1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Grant Thornton LLP, our independent registered public accounting firm that audited the financial statements included in this Annual Report on Form 10-K, has issued an attestation report on management’s assessment of the Trust’s internal control over financial reporting, which appears on page F-3 of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ind w:right="560"/>
        <w:spacing w:after="0" w:line="287" w:lineRule="auto"/>
        <w:rPr>
          <w:sz w:val="20"/>
          <w:szCs w:val="20"/>
          <w:color w:val="auto"/>
        </w:rPr>
      </w:pPr>
      <w:r>
        <w:rPr>
          <w:rFonts w:ascii="Arial" w:cs="Arial" w:eastAsia="Arial" w:hAnsi="Arial"/>
          <w:sz w:val="17"/>
          <w:szCs w:val="17"/>
          <w:color w:val="auto"/>
        </w:rPr>
        <w:t>There was no change in our internal control over financial reporting during our fourth fiscal quarter of 2006 that materially affected, or is reasonably likely to materially affect, our internal control over financial reporting.</w:t>
      </w:r>
    </w:p>
    <w:p>
      <w:pPr>
        <w:spacing w:after="0" w:line="18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53"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Certain information required in Part III is omitted from this Report but is incorporated herein by reference from our Proxy Statement for the 2007 Annual Meeting of Shareholders (the “Proxy Statement”).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102"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color w:val="auto"/>
        </w:rPr>
        <w:t>a.) The tables and narrative in the Proxy Statement identifying our Trustees and Board committees under the caption “Election of Trustees” and “Corporate Governance” and the section of the Proxy Statement entitled “Executive Officers” are incorporated herein by reference.</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b.) The information included under the section of the Proxy Statement entitled “Section 16(a) Beneficial Ownership Reporting Compliance” is incorporated herein by reference.</w:t>
      </w:r>
    </w:p>
    <w:p>
      <w:pPr>
        <w:spacing w:after="0" w:line="115"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 xml:space="preserve">c.) We have adopted a Code of Ethics, which is applicable to our Chief Executive Officer and senior financial officers. The Code of Ethics is available in the Corporate Governance section of the Investor Information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02"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color w:val="auto"/>
        </w:rPr>
        <w:t>The sections of the Proxy Statement entitled “Summary Compensation Table,” “Compensation Committee Interlocks and Insider Participation,” “Compensation Committee Report,” “Trustee Compensation” and “Compensation Discussion and Analysis” are incorporated herein by reference.</w:t>
      </w:r>
    </w:p>
    <w:p>
      <w:pPr>
        <w:spacing w:after="0" w:line="228" w:lineRule="exact"/>
        <w:rPr>
          <w:sz w:val="20"/>
          <w:szCs w:val="20"/>
          <w:color w:val="auto"/>
        </w:rPr>
      </w:pPr>
    </w:p>
    <w:p>
      <w:pPr>
        <w:ind w:left="1140" w:right="820" w:hanging="1138"/>
        <w:spacing w:after="0" w:line="294" w:lineRule="auto"/>
        <w:tabs>
          <w:tab w:leader="none" w:pos="11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SHAREHOLDER MATTERS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sections of the Proxy Statement entitled “Share Ownership” and “Equity Compensation Plan Information” are incorporated herein by reference.</w:t>
      </w:r>
    </w:p>
    <w:p>
      <w:pPr>
        <w:spacing w:after="0" w:line="289"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sections of the Proxy Statement entitled “Certain Relationship and Related Transactions” and “Independence of Trustees” are incorporated herein by reference.</w:t>
      </w:r>
    </w:p>
    <w:p>
      <w:pPr>
        <w:spacing w:after="0" w:line="31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sections of the Proxy Statement entitled “Ratification of Independent Registered Public Accounting Firm” and “Relationship with Independent Registered Public Accounting Firm” are incorporated herein by reference.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53"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PART IV</w:t>
      </w:r>
    </w:p>
    <w:p>
      <w:pPr>
        <w:spacing w:after="0" w:line="9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(a)(1) Financial Statements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consolidated financial statements and notes thereto, together with Management’s Report on Internal Control over Financial Reporting and Report of Independent Registered Public Accounting Firm are included as a separate section of this Annual Report on Form 10-K commencing on page F-1.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Our financial statement schedules are included in a separate section of this Annual Report on Form 10-K commencing on page F-32.</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 list of exhibits to this Annual Report on Form 10-K is set forth on the Exhibit Index immediately preceding such exhibits and is incorporated herein by reference.</w:t>
      </w:r>
    </w:p>
    <w:p>
      <w:pPr>
        <w:spacing w:after="0" w:line="187" w:lineRule="exact"/>
        <w:rPr>
          <w:sz w:val="20"/>
          <w:szCs w:val="20"/>
          <w:color w:val="auto"/>
        </w:rPr>
      </w:pPr>
    </w:p>
    <w:p>
      <w:pPr>
        <w:ind w:left="240" w:hanging="234"/>
        <w:spacing w:after="0"/>
        <w:tabs>
          <w:tab w:leader="none" w:pos="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See Exhibit Index</w:t>
      </w:r>
    </w:p>
    <w:p>
      <w:pPr>
        <w:spacing w:after="0" w:line="175" w:lineRule="exact"/>
        <w:rPr>
          <w:rFonts w:ascii="Arial" w:cs="Arial" w:eastAsia="Arial" w:hAnsi="Arial"/>
          <w:sz w:val="17"/>
          <w:szCs w:val="17"/>
          <w:color w:val="auto"/>
        </w:rPr>
      </w:pPr>
    </w:p>
    <w:p>
      <w:pPr>
        <w:ind w:left="240" w:hanging="234"/>
        <w:spacing w:after="0"/>
        <w:tabs>
          <w:tab w:leader="none" w:pos="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53"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81"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this 27 day of February, 2007.</w:t>
      </w:r>
    </w:p>
    <w:p>
      <w:pPr>
        <w:spacing w:after="0" w:line="15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28"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15875</wp:posOffset>
            </wp:positionV>
            <wp:extent cx="26828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9" w:lineRule="exact"/>
        <w:rPr>
          <w:sz w:val="20"/>
          <w:szCs w:val="20"/>
          <w:color w:val="auto"/>
        </w:rPr>
      </w:pPr>
    </w:p>
    <w:p>
      <w:pPr>
        <w:jc w:val="center"/>
        <w:ind w:left="7200"/>
        <w:spacing w:after="0"/>
        <w:rPr>
          <w:sz w:val="20"/>
          <w:szCs w:val="20"/>
          <w:color w:val="auto"/>
        </w:rPr>
      </w:pPr>
      <w:r>
        <w:rPr>
          <w:rFonts w:ascii="Arial" w:cs="Arial" w:eastAsia="Arial" w:hAnsi="Arial"/>
          <w:sz w:val="13"/>
          <w:szCs w:val="13"/>
          <w:b w:val="1"/>
          <w:bCs w:val="1"/>
          <w:color w:val="auto"/>
        </w:rPr>
        <w:t>Donald C. Wood</w:t>
      </w:r>
    </w:p>
    <w:p>
      <w:pPr>
        <w:spacing w:after="0" w:line="10" w:lineRule="exact"/>
        <w:rPr>
          <w:sz w:val="20"/>
          <w:szCs w:val="20"/>
          <w:color w:val="auto"/>
        </w:rPr>
      </w:pPr>
    </w:p>
    <w:p>
      <w:pPr>
        <w:jc w:val="center"/>
        <w:ind w:left="7200"/>
        <w:spacing w:after="0"/>
        <w:rPr>
          <w:sz w:val="20"/>
          <w:szCs w:val="20"/>
          <w:color w:val="auto"/>
        </w:rPr>
      </w:pPr>
      <w:r>
        <w:rPr>
          <w:rFonts w:ascii="Arial" w:cs="Arial" w:eastAsia="Arial" w:hAnsi="Arial"/>
          <w:sz w:val="13"/>
          <w:szCs w:val="13"/>
          <w:b w:val="1"/>
          <w:bCs w:val="1"/>
          <w:color w:val="auto"/>
        </w:rPr>
        <w:t>Chief Executive Officer</w:t>
      </w:r>
    </w:p>
    <w:p>
      <w:pPr>
        <w:spacing w:after="0" w:line="15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jc w:val="center"/>
              <w:ind w:right="1546"/>
              <w:spacing w:after="0"/>
              <w:rPr>
                <w:sz w:val="20"/>
                <w:szCs w:val="20"/>
                <w:color w:val="auto"/>
              </w:rPr>
            </w:pPr>
            <w:r>
              <w:rPr>
                <w:rFonts w:ascii="Arial" w:cs="Arial" w:eastAsia="Arial" w:hAnsi="Arial"/>
                <w:sz w:val="13"/>
                <w:szCs w:val="13"/>
                <w:b w:val="1"/>
                <w:bCs w:val="1"/>
                <w:color w:val="auto"/>
                <w:w w:val="89"/>
              </w:rPr>
              <w:t>Signature</w:t>
            </w:r>
          </w:p>
        </w:tc>
        <w:tc>
          <w:tcPr>
            <w:tcW w:w="220" w:type="dxa"/>
            <w:vAlign w:val="bottom"/>
          </w:tcPr>
          <w:p>
            <w:pPr>
              <w:spacing w:after="0"/>
              <w:rPr>
                <w:sz w:val="13"/>
                <w:szCs w:val="13"/>
                <w:color w:val="auto"/>
              </w:rPr>
            </w:pPr>
          </w:p>
        </w:tc>
        <w:tc>
          <w:tcPr>
            <w:tcW w:w="410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Title</w:t>
            </w:r>
          </w:p>
        </w:tc>
        <w:tc>
          <w:tcPr>
            <w:tcW w:w="220" w:type="dxa"/>
            <w:vAlign w:val="bottom"/>
          </w:tcPr>
          <w:p>
            <w:pPr>
              <w:spacing w:after="0"/>
              <w:rPr>
                <w:sz w:val="13"/>
                <w:szCs w:val="13"/>
                <w:color w:val="auto"/>
              </w:rPr>
            </w:pPr>
          </w:p>
        </w:tc>
        <w:tc>
          <w:tcPr>
            <w:tcW w:w="206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Date</w:t>
            </w:r>
          </w:p>
        </w:tc>
      </w:tr>
      <w:tr>
        <w:trPr>
          <w:trHeight w:val="282"/>
        </w:trPr>
        <w:tc>
          <w:tcPr>
            <w:tcW w:w="1620" w:type="dxa"/>
            <w:vAlign w:val="bottom"/>
            <w:tcBorders>
              <w:bottom w:val="single" w:sz="8" w:color="auto"/>
            </w:tcBorders>
          </w:tcPr>
          <w:p>
            <w:pPr>
              <w:ind w:left="132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tcPr>
          <w:p>
            <w:pPr>
              <w:jc w:val="center"/>
              <w:ind w:right="1546"/>
              <w:spacing w:after="0"/>
              <w:rPr>
                <w:sz w:val="20"/>
                <w:szCs w:val="20"/>
                <w:color w:val="auto"/>
              </w:rPr>
            </w:pPr>
            <w:r>
              <w:rPr>
                <w:rFonts w:ascii="Arial" w:cs="Arial" w:eastAsia="Arial" w:hAnsi="Arial"/>
                <w:sz w:val="17"/>
                <w:szCs w:val="17"/>
                <w:color w:val="auto"/>
                <w:w w:val="98"/>
              </w:rPr>
              <w:t>DONALD C. WOOD</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Executive Officer, Trustee (Principal Executive</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97"/>
        </w:trPr>
        <w:tc>
          <w:tcPr>
            <w:tcW w:w="1620" w:type="dxa"/>
            <w:vAlign w:val="bottom"/>
          </w:tcPr>
          <w:p>
            <w:pPr>
              <w:spacing w:after="0"/>
              <w:rPr>
                <w:sz w:val="17"/>
                <w:szCs w:val="17"/>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93"/>
              </w:rPr>
              <w:t>Donald C. Wood</w:t>
            </w:r>
          </w:p>
        </w:tc>
        <w:tc>
          <w:tcPr>
            <w:tcW w:w="22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7"/>
                <w:szCs w:val="17"/>
                <w:color w:val="auto"/>
              </w:rPr>
              <w:t>Officer)</w:t>
            </w: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18"/>
        </w:trPr>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tcPr>
          <w:p>
            <w:pPr>
              <w:jc w:val="center"/>
              <w:ind w:right="1546"/>
              <w:spacing w:after="0"/>
              <w:rPr>
                <w:sz w:val="20"/>
                <w:szCs w:val="20"/>
                <w:color w:val="auto"/>
              </w:rPr>
            </w:pPr>
            <w:r>
              <w:rPr>
                <w:rFonts w:ascii="Arial" w:cs="Arial" w:eastAsia="Arial" w:hAnsi="Arial"/>
                <w:sz w:val="17"/>
                <w:szCs w:val="17"/>
                <w:color w:val="auto"/>
                <w:w w:val="96"/>
              </w:rPr>
              <w:t>LARRY E. FINGER</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Executive Vice President, Chief Financial Officer and</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97"/>
        </w:trPr>
        <w:tc>
          <w:tcPr>
            <w:tcW w:w="1620" w:type="dxa"/>
            <w:vAlign w:val="bottom"/>
          </w:tcPr>
          <w:p>
            <w:pPr>
              <w:spacing w:after="0"/>
              <w:rPr>
                <w:sz w:val="17"/>
                <w:szCs w:val="17"/>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98"/>
              </w:rPr>
              <w:t>Larry E. Finger</w:t>
            </w:r>
          </w:p>
        </w:tc>
        <w:tc>
          <w:tcPr>
            <w:tcW w:w="22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7"/>
                <w:szCs w:val="17"/>
                <w:color w:val="auto"/>
                <w:w w:val="98"/>
              </w:rPr>
              <w:t>Treasurer (principal financial and accounting officer)</w:t>
            </w: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0"/>
        </w:trPr>
        <w:tc>
          <w:tcPr>
            <w:tcW w:w="4820" w:type="dxa"/>
            <w:vAlign w:val="bottom"/>
            <w:tcBorders>
              <w:bottom w:val="single" w:sz="8" w:color="auto"/>
            </w:tcBorders>
            <w:gridSpan w:val="2"/>
          </w:tcPr>
          <w:p>
            <w:pPr>
              <w:ind w:left="1040"/>
              <w:spacing w:after="0"/>
              <w:rPr>
                <w:sz w:val="20"/>
                <w:szCs w:val="20"/>
                <w:color w:val="auto"/>
              </w:rPr>
            </w:pPr>
            <w:r>
              <w:rPr>
                <w:rFonts w:ascii="Arial" w:cs="Arial" w:eastAsia="Arial" w:hAnsi="Arial"/>
                <w:sz w:val="17"/>
                <w:szCs w:val="17"/>
                <w:color w:val="auto"/>
              </w:rPr>
              <w:t>/s/  JOSEPH S. VASSALLUZZO</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Non-Executive Chairman</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65"/>
        </w:trPr>
        <w:tc>
          <w:tcPr>
            <w:tcW w:w="1620" w:type="dxa"/>
            <w:vAlign w:val="bottom"/>
          </w:tcPr>
          <w:p>
            <w:pPr>
              <w:spacing w:after="0"/>
              <w:rPr>
                <w:sz w:val="14"/>
                <w:szCs w:val="14"/>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87"/>
              </w:rPr>
              <w:t>Joseph S. Vassalluzzo</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1"/>
        </w:trPr>
        <w:tc>
          <w:tcPr>
            <w:tcW w:w="4820" w:type="dxa"/>
            <w:vAlign w:val="bottom"/>
            <w:tcBorders>
              <w:bottom w:val="single" w:sz="8" w:color="auto"/>
            </w:tcBorders>
            <w:gridSpan w:val="2"/>
          </w:tcPr>
          <w:p>
            <w:pPr>
              <w:ind w:left="1520"/>
              <w:spacing w:after="0"/>
              <w:rPr>
                <w:sz w:val="20"/>
                <w:szCs w:val="20"/>
                <w:color w:val="auto"/>
              </w:rPr>
            </w:pPr>
            <w:r>
              <w:rPr>
                <w:rFonts w:ascii="Arial" w:cs="Arial" w:eastAsia="Arial" w:hAnsi="Arial"/>
                <w:sz w:val="17"/>
                <w:szCs w:val="17"/>
                <w:color w:val="auto"/>
              </w:rPr>
              <w:t>/s/  JON E. BORTZ</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65"/>
        </w:trPr>
        <w:tc>
          <w:tcPr>
            <w:tcW w:w="1620" w:type="dxa"/>
            <w:vAlign w:val="bottom"/>
          </w:tcPr>
          <w:p>
            <w:pPr>
              <w:spacing w:after="0"/>
              <w:rPr>
                <w:sz w:val="14"/>
                <w:szCs w:val="14"/>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90"/>
              </w:rPr>
              <w:t>Jon Bortz</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1"/>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tcPr>
          <w:p>
            <w:pPr>
              <w:jc w:val="center"/>
              <w:ind w:right="1546"/>
              <w:spacing w:after="0"/>
              <w:rPr>
                <w:sz w:val="20"/>
                <w:szCs w:val="20"/>
                <w:color w:val="auto"/>
              </w:rPr>
            </w:pPr>
            <w:r>
              <w:rPr>
                <w:rFonts w:ascii="Arial" w:cs="Arial" w:eastAsia="Arial" w:hAnsi="Arial"/>
                <w:sz w:val="17"/>
                <w:szCs w:val="17"/>
                <w:color w:val="auto"/>
                <w:w w:val="96"/>
              </w:rPr>
              <w:t>DAVID W. FAEDER</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65"/>
        </w:trPr>
        <w:tc>
          <w:tcPr>
            <w:tcW w:w="1620" w:type="dxa"/>
            <w:vAlign w:val="bottom"/>
          </w:tcPr>
          <w:p>
            <w:pPr>
              <w:spacing w:after="0"/>
              <w:rPr>
                <w:sz w:val="14"/>
                <w:szCs w:val="14"/>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92"/>
              </w:rPr>
              <w:t>David W. Faeder</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1"/>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tcPr>
          <w:p>
            <w:pPr>
              <w:jc w:val="center"/>
              <w:ind w:right="1566"/>
              <w:spacing w:after="0"/>
              <w:rPr>
                <w:sz w:val="20"/>
                <w:szCs w:val="20"/>
                <w:color w:val="auto"/>
              </w:rPr>
            </w:pPr>
            <w:r>
              <w:rPr>
                <w:rFonts w:ascii="Arial" w:cs="Arial" w:eastAsia="Arial" w:hAnsi="Arial"/>
                <w:sz w:val="17"/>
                <w:szCs w:val="17"/>
                <w:color w:val="auto"/>
              </w:rPr>
              <w:t>KRISTIN GAMBLE</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65"/>
        </w:trPr>
        <w:tc>
          <w:tcPr>
            <w:tcW w:w="1620" w:type="dxa"/>
            <w:vAlign w:val="bottom"/>
          </w:tcPr>
          <w:p>
            <w:pPr>
              <w:spacing w:after="0"/>
              <w:rPr>
                <w:sz w:val="14"/>
                <w:szCs w:val="14"/>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97"/>
              </w:rPr>
              <w:t>Kristin Gamble</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1"/>
        </w:trPr>
        <w:tc>
          <w:tcPr>
            <w:tcW w:w="162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tcPr>
          <w:p>
            <w:pPr>
              <w:jc w:val="center"/>
              <w:ind w:right="1546"/>
              <w:spacing w:after="0"/>
              <w:rPr>
                <w:sz w:val="20"/>
                <w:szCs w:val="20"/>
                <w:color w:val="auto"/>
              </w:rPr>
            </w:pPr>
            <w:r>
              <w:rPr>
                <w:rFonts w:ascii="Arial" w:cs="Arial" w:eastAsia="Arial" w:hAnsi="Arial"/>
                <w:sz w:val="17"/>
                <w:szCs w:val="17"/>
                <w:color w:val="auto"/>
                <w:w w:val="95"/>
              </w:rPr>
              <w:t>WALTER F. LOEB</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65"/>
        </w:trPr>
        <w:tc>
          <w:tcPr>
            <w:tcW w:w="1620" w:type="dxa"/>
            <w:vAlign w:val="bottom"/>
          </w:tcPr>
          <w:p>
            <w:pPr>
              <w:spacing w:after="0"/>
              <w:rPr>
                <w:sz w:val="14"/>
                <w:szCs w:val="14"/>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95"/>
              </w:rPr>
              <w:t>Walter F. Loeb</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1"/>
        </w:trPr>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7"/>
                <w:szCs w:val="17"/>
                <w:color w:val="auto"/>
                <w:w w:val="99"/>
              </w:rPr>
              <w:t>/s/</w:t>
            </w:r>
          </w:p>
        </w:tc>
        <w:tc>
          <w:tcPr>
            <w:tcW w:w="3200" w:type="dxa"/>
            <w:vAlign w:val="bottom"/>
            <w:tcBorders>
              <w:bottom w:val="single" w:sz="8" w:color="auto"/>
            </w:tcBorders>
          </w:tcPr>
          <w:p>
            <w:pPr>
              <w:jc w:val="center"/>
              <w:ind w:right="1546"/>
              <w:spacing w:after="0"/>
              <w:rPr>
                <w:sz w:val="20"/>
                <w:szCs w:val="20"/>
                <w:color w:val="auto"/>
              </w:rPr>
            </w:pPr>
            <w:r>
              <w:rPr>
                <w:rFonts w:ascii="Arial" w:cs="Arial" w:eastAsia="Arial" w:hAnsi="Arial"/>
                <w:sz w:val="17"/>
                <w:szCs w:val="17"/>
                <w:color w:val="auto"/>
                <w:w w:val="96"/>
              </w:rPr>
              <w:t>GAIL P. STEINEL</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2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27, 2007</w:t>
            </w:r>
          </w:p>
        </w:tc>
      </w:tr>
      <w:tr>
        <w:trPr>
          <w:trHeight w:val="165"/>
        </w:trPr>
        <w:tc>
          <w:tcPr>
            <w:tcW w:w="1620" w:type="dxa"/>
            <w:vAlign w:val="bottom"/>
          </w:tcPr>
          <w:p>
            <w:pPr>
              <w:spacing w:after="0"/>
              <w:rPr>
                <w:sz w:val="14"/>
                <w:szCs w:val="14"/>
                <w:color w:val="auto"/>
              </w:rPr>
            </w:pPr>
          </w:p>
        </w:tc>
        <w:tc>
          <w:tcPr>
            <w:tcW w:w="3200" w:type="dxa"/>
            <w:vAlign w:val="bottom"/>
          </w:tcPr>
          <w:p>
            <w:pPr>
              <w:jc w:val="center"/>
              <w:ind w:right="1546"/>
              <w:spacing w:after="0"/>
              <w:rPr>
                <w:sz w:val="20"/>
                <w:szCs w:val="20"/>
                <w:color w:val="auto"/>
              </w:rPr>
            </w:pPr>
            <w:r>
              <w:rPr>
                <w:rFonts w:ascii="Arial" w:cs="Arial" w:eastAsia="Arial" w:hAnsi="Arial"/>
                <w:sz w:val="13"/>
                <w:szCs w:val="13"/>
                <w:b w:val="1"/>
                <w:bCs w:val="1"/>
                <w:color w:val="auto"/>
                <w:w w:val="89"/>
              </w:rPr>
              <w:t>Gail P. Steinel</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44"/>
        </w:trPr>
        <w:tc>
          <w:tcPr>
            <w:tcW w:w="1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320" w:type="dxa"/>
            <w:vAlign w:val="bottom"/>
            <w:gridSpan w:val="2"/>
          </w:tcPr>
          <w:p>
            <w:pPr>
              <w:jc w:val="right"/>
              <w:ind w:right="3256"/>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8 and Item 15(a)(1) and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 and Schedules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gridSpan w:val="11"/>
          </w:tcPr>
          <w:p>
            <w:pPr>
              <w:spacing w:after="0"/>
              <w:rPr>
                <w:sz w:val="20"/>
                <w:szCs w:val="20"/>
                <w:color w:val="auto"/>
              </w:rPr>
            </w:pPr>
            <w:r>
              <w:rPr>
                <w:rFonts w:ascii="Arial" w:cs="Arial" w:eastAsia="Arial" w:hAnsi="Arial"/>
                <w:sz w:val="17"/>
                <w:szCs w:val="17"/>
                <w:i w:val="1"/>
                <w:iCs w:val="1"/>
                <w:color w:val="auto"/>
              </w:rPr>
              <w:t>Consolidated Financial Statements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Page No.</w:t>
            </w:r>
          </w:p>
        </w:tc>
      </w:tr>
      <w:tr>
        <w:trPr>
          <w:trHeight w:val="165"/>
        </w:trPr>
        <w:tc>
          <w:tcPr>
            <w:tcW w:w="5400" w:type="dxa"/>
            <w:vAlign w:val="bottom"/>
            <w:tcBorders>
              <w:bottom w:val="single" w:sz="8" w:color="0000EE"/>
            </w:tcBorders>
            <w:gridSpan w:val="10"/>
          </w:tcPr>
          <w:p>
            <w:pPr>
              <w:spacing w:after="0" w:line="166" w:lineRule="exact"/>
              <w:rPr>
                <w:rFonts w:ascii="Arial" w:cs="Arial" w:eastAsia="Arial" w:hAnsi="Arial"/>
                <w:sz w:val="17"/>
                <w:szCs w:val="17"/>
                <w:color w:val="0000EE"/>
                <w:w w:val="91"/>
              </w:rPr>
            </w:pPr>
            <w:hyperlink w:anchor="page65">
              <w:r>
                <w:rPr>
                  <w:rFonts w:ascii="Arial" w:cs="Arial" w:eastAsia="Arial" w:hAnsi="Arial"/>
                  <w:sz w:val="17"/>
                  <w:szCs w:val="17"/>
                  <w:color w:val="0000EE"/>
                  <w:w w:val="91"/>
                </w:rPr>
                <w:t>Management Assessment Report on Internal Control over Financial Reporting</w:t>
              </w:r>
            </w:hyperlink>
          </w:p>
        </w:tc>
        <w:tc>
          <w:tcPr>
            <w:tcW w:w="4980" w:type="dxa"/>
            <w:vAlign w:val="bottom"/>
          </w:tcPr>
          <w:p>
            <w:pPr>
              <w:spacing w:after="0"/>
              <w:rPr>
                <w:sz w:val="14"/>
                <w:szCs w:val="14"/>
                <w:color w:val="auto"/>
              </w:rPr>
            </w:pPr>
          </w:p>
        </w:tc>
        <w:tc>
          <w:tcPr>
            <w:tcW w:w="10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4"/>
                <w:szCs w:val="14"/>
                <w:color w:val="auto"/>
              </w:rPr>
            </w:pPr>
          </w:p>
        </w:tc>
      </w:tr>
      <w:tr>
        <w:trPr>
          <w:trHeight w:val="192"/>
        </w:trPr>
        <w:tc>
          <w:tcPr>
            <w:tcW w:w="4060" w:type="dxa"/>
            <w:vAlign w:val="bottom"/>
            <w:tcBorders>
              <w:bottom w:val="single" w:sz="8" w:color="0000EE"/>
            </w:tcBorders>
            <w:gridSpan w:val="7"/>
          </w:tcPr>
          <w:p>
            <w:pPr>
              <w:spacing w:after="0" w:line="192" w:lineRule="exact"/>
              <w:rPr>
                <w:rFonts w:ascii="Arial" w:cs="Arial" w:eastAsia="Arial" w:hAnsi="Arial"/>
                <w:sz w:val="17"/>
                <w:szCs w:val="17"/>
                <w:color w:val="0000EE"/>
                <w:w w:val="92"/>
              </w:rPr>
            </w:pPr>
            <w:hyperlink w:anchor="page66">
              <w:r>
                <w:rPr>
                  <w:rFonts w:ascii="Arial" w:cs="Arial" w:eastAsia="Arial" w:hAnsi="Arial"/>
                  <w:sz w:val="17"/>
                  <w:szCs w:val="17"/>
                  <w:color w:val="0000EE"/>
                  <w:w w:val="92"/>
                </w:rPr>
                <w:t>Report of Independent Registered Public Accounting Firm</w:t>
              </w:r>
            </w:hyperlink>
          </w:p>
        </w:tc>
        <w:tc>
          <w:tcPr>
            <w:tcW w:w="6320" w:type="dxa"/>
            <w:vAlign w:val="bottom"/>
            <w:gridSpan w:val="4"/>
          </w:tcPr>
          <w:p>
            <w:pPr>
              <w:spacing w:after="0"/>
              <w:rPr>
                <w:sz w:val="16"/>
                <w:szCs w:val="16"/>
                <w:color w:val="auto"/>
              </w:rPr>
            </w:pP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F-3</w:t>
            </w:r>
          </w:p>
        </w:tc>
      </w:tr>
      <w:tr>
        <w:trPr>
          <w:trHeight w:val="192"/>
        </w:trPr>
        <w:tc>
          <w:tcPr>
            <w:tcW w:w="10380" w:type="dxa"/>
            <w:vAlign w:val="bottom"/>
            <w:gridSpan w:val="11"/>
          </w:tcPr>
          <w:p>
            <w:pPr>
              <w:spacing w:after="0" w:line="192" w:lineRule="exact"/>
              <w:rPr>
                <w:rFonts w:ascii="Arial" w:cs="Arial" w:eastAsia="Arial" w:hAnsi="Arial"/>
                <w:sz w:val="17"/>
                <w:szCs w:val="17"/>
                <w:color w:val="0000EE"/>
              </w:rPr>
            </w:pPr>
            <w:hyperlink w:anchor="page67">
              <w:r>
                <w:rPr>
                  <w:rFonts w:ascii="Arial" w:cs="Arial" w:eastAsia="Arial" w:hAnsi="Arial"/>
                  <w:sz w:val="17"/>
                  <w:szCs w:val="17"/>
                  <w:color w:val="0000EE"/>
                </w:rPr>
                <w:t>Report of Independent Registered Public Accounting Firm</w:t>
              </w:r>
            </w:hyperlink>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F-4</w:t>
            </w:r>
          </w:p>
        </w:tc>
      </w:tr>
      <w:tr>
        <w:trPr>
          <w:trHeight w:val="192"/>
        </w:trPr>
        <w:tc>
          <w:tcPr>
            <w:tcW w:w="4040" w:type="dxa"/>
            <w:vAlign w:val="bottom"/>
            <w:tcBorders>
              <w:top w:val="single" w:sz="8" w:color="0000EE"/>
            </w:tcBorders>
            <w:gridSpan w:val="6"/>
          </w:tcPr>
          <w:p>
            <w:pPr>
              <w:spacing w:after="0" w:line="192" w:lineRule="exact"/>
              <w:rPr>
                <w:rFonts w:ascii="Arial" w:cs="Arial" w:eastAsia="Arial" w:hAnsi="Arial"/>
                <w:sz w:val="17"/>
                <w:szCs w:val="17"/>
                <w:color w:val="0000EE"/>
              </w:rPr>
            </w:pPr>
            <w:hyperlink w:anchor="page68">
              <w:r>
                <w:rPr>
                  <w:rFonts w:ascii="Arial" w:cs="Arial" w:eastAsia="Arial" w:hAnsi="Arial"/>
                  <w:sz w:val="17"/>
                  <w:szCs w:val="17"/>
                  <w:color w:val="0000EE"/>
                </w:rPr>
                <w:t>Consolidated Balance Sheets</w:t>
              </w:r>
            </w:hyperlink>
          </w:p>
        </w:tc>
        <w:tc>
          <w:tcPr>
            <w:tcW w:w="6340" w:type="dxa"/>
            <w:vAlign w:val="bottom"/>
            <w:gridSpan w:val="5"/>
          </w:tcPr>
          <w:p>
            <w:pPr>
              <w:spacing w:after="0"/>
              <w:rPr>
                <w:sz w:val="16"/>
                <w:szCs w:val="16"/>
                <w:color w:val="auto"/>
              </w:rPr>
            </w:pP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F-5</w:t>
            </w:r>
          </w:p>
        </w:tc>
      </w:tr>
      <w:tr>
        <w:trPr>
          <w:trHeight w:val="20"/>
        </w:trPr>
        <w:tc>
          <w:tcPr>
            <w:tcW w:w="20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2"/>
        </w:trPr>
        <w:tc>
          <w:tcPr>
            <w:tcW w:w="2700" w:type="dxa"/>
            <w:vAlign w:val="bottom"/>
            <w:tcBorders>
              <w:bottom w:val="single" w:sz="8" w:color="0000EE"/>
            </w:tcBorders>
            <w:gridSpan w:val="2"/>
          </w:tcPr>
          <w:p>
            <w:pPr>
              <w:spacing w:after="0" w:line="192" w:lineRule="exact"/>
              <w:rPr>
                <w:rFonts w:ascii="Arial" w:cs="Arial" w:eastAsia="Arial" w:hAnsi="Arial"/>
                <w:sz w:val="17"/>
                <w:szCs w:val="17"/>
                <w:color w:val="0000EE"/>
                <w:w w:val="90"/>
              </w:rPr>
            </w:pPr>
            <w:hyperlink w:anchor="page69">
              <w:r>
                <w:rPr>
                  <w:rFonts w:ascii="Arial" w:cs="Arial" w:eastAsia="Arial" w:hAnsi="Arial"/>
                  <w:sz w:val="17"/>
                  <w:szCs w:val="17"/>
                  <w:color w:val="0000EE"/>
                  <w:w w:val="90"/>
                </w:rPr>
                <w:t>Consolidated Statements of Operations</w:t>
              </w:r>
            </w:hyperlink>
          </w:p>
        </w:tc>
        <w:tc>
          <w:tcPr>
            <w:tcW w:w="7680" w:type="dxa"/>
            <w:vAlign w:val="bottom"/>
            <w:gridSpan w:val="9"/>
          </w:tcPr>
          <w:p>
            <w:pPr>
              <w:spacing w:after="0"/>
              <w:rPr>
                <w:sz w:val="16"/>
                <w:szCs w:val="16"/>
                <w:color w:val="auto"/>
              </w:rPr>
            </w:pP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F-6</w:t>
            </w:r>
          </w:p>
        </w:tc>
      </w:tr>
      <w:tr>
        <w:trPr>
          <w:trHeight w:val="192"/>
        </w:trPr>
        <w:tc>
          <w:tcPr>
            <w:tcW w:w="10380" w:type="dxa"/>
            <w:vAlign w:val="bottom"/>
            <w:gridSpan w:val="11"/>
          </w:tcPr>
          <w:p>
            <w:pPr>
              <w:spacing w:after="0" w:line="192" w:lineRule="exact"/>
              <w:rPr>
                <w:rFonts w:ascii="Arial" w:cs="Arial" w:eastAsia="Arial" w:hAnsi="Arial"/>
                <w:sz w:val="17"/>
                <w:szCs w:val="17"/>
                <w:color w:val="0000EE"/>
              </w:rPr>
            </w:pPr>
            <w:hyperlink w:anchor="page70">
              <w:r>
                <w:rPr>
                  <w:rFonts w:ascii="Arial" w:cs="Arial" w:eastAsia="Arial" w:hAnsi="Arial"/>
                  <w:sz w:val="17"/>
                  <w:szCs w:val="17"/>
                  <w:color w:val="0000EE"/>
                </w:rPr>
                <w:t>Consolidated Statements of Common Shareholders’ Equity</w:t>
              </w:r>
            </w:hyperlink>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F-7</w:t>
            </w:r>
          </w:p>
        </w:tc>
      </w:tr>
      <w:tr>
        <w:trPr>
          <w:trHeight w:val="192"/>
        </w:trPr>
        <w:tc>
          <w:tcPr>
            <w:tcW w:w="2760" w:type="dxa"/>
            <w:vAlign w:val="bottom"/>
            <w:tcBorders>
              <w:top w:val="single" w:sz="8" w:color="0000EE"/>
              <w:bottom w:val="single" w:sz="8" w:color="0000EE"/>
            </w:tcBorders>
            <w:gridSpan w:val="3"/>
          </w:tcPr>
          <w:p>
            <w:pPr>
              <w:spacing w:after="0" w:line="192" w:lineRule="exact"/>
              <w:rPr>
                <w:rFonts w:ascii="Arial" w:cs="Arial" w:eastAsia="Arial" w:hAnsi="Arial"/>
                <w:sz w:val="17"/>
                <w:szCs w:val="17"/>
                <w:color w:val="0000EE"/>
                <w:w w:val="90"/>
              </w:rPr>
            </w:pPr>
            <w:hyperlink w:anchor="page71">
              <w:r>
                <w:rPr>
                  <w:rFonts w:ascii="Arial" w:cs="Arial" w:eastAsia="Arial" w:hAnsi="Arial"/>
                  <w:sz w:val="17"/>
                  <w:szCs w:val="17"/>
                  <w:color w:val="0000EE"/>
                  <w:w w:val="90"/>
                </w:rPr>
                <w:t>Consolidated Statements of Cash Flows</w:t>
              </w:r>
            </w:hyperlink>
          </w:p>
        </w:tc>
        <w:tc>
          <w:tcPr>
            <w:tcW w:w="1320" w:type="dxa"/>
            <w:vAlign w:val="bottom"/>
            <w:tcBorders>
              <w:top w:val="single" w:sz="8" w:color="0000EE"/>
            </w:tcBorders>
            <w:gridSpan w:val="5"/>
          </w:tcPr>
          <w:p>
            <w:pPr>
              <w:spacing w:after="0"/>
              <w:rPr>
                <w:sz w:val="16"/>
                <w:szCs w:val="16"/>
                <w:color w:val="auto"/>
              </w:rPr>
            </w:pPr>
          </w:p>
        </w:tc>
        <w:tc>
          <w:tcPr>
            <w:tcW w:w="6300" w:type="dxa"/>
            <w:vAlign w:val="bottom"/>
            <w:gridSpan w:val="3"/>
          </w:tcPr>
          <w:p>
            <w:pPr>
              <w:spacing w:after="0"/>
              <w:rPr>
                <w:sz w:val="16"/>
                <w:szCs w:val="16"/>
                <w:color w:val="auto"/>
              </w:rPr>
            </w:pP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F-8</w:t>
            </w:r>
          </w:p>
        </w:tc>
      </w:tr>
      <w:tr>
        <w:trPr>
          <w:trHeight w:val="192"/>
        </w:trPr>
        <w:tc>
          <w:tcPr>
            <w:tcW w:w="3020" w:type="dxa"/>
            <w:vAlign w:val="bottom"/>
            <w:tcBorders>
              <w:bottom w:val="single" w:sz="8" w:color="0000EE"/>
            </w:tcBorders>
            <w:gridSpan w:val="4"/>
          </w:tcPr>
          <w:p>
            <w:pPr>
              <w:spacing w:after="0" w:line="192" w:lineRule="exact"/>
              <w:rPr>
                <w:rFonts w:ascii="Arial" w:cs="Arial" w:eastAsia="Arial" w:hAnsi="Arial"/>
                <w:sz w:val="17"/>
                <w:szCs w:val="17"/>
                <w:color w:val="0000EE"/>
                <w:w w:val="90"/>
              </w:rPr>
            </w:pPr>
            <w:hyperlink w:anchor="page72">
              <w:r>
                <w:rPr>
                  <w:rFonts w:ascii="Arial" w:cs="Arial" w:eastAsia="Arial" w:hAnsi="Arial"/>
                  <w:sz w:val="17"/>
                  <w:szCs w:val="17"/>
                  <w:color w:val="0000EE"/>
                  <w:w w:val="90"/>
                </w:rPr>
                <w:t>Notes to Consolidated Financial Statements</w:t>
              </w:r>
            </w:hyperlink>
          </w:p>
        </w:tc>
        <w:tc>
          <w:tcPr>
            <w:tcW w:w="7360" w:type="dxa"/>
            <w:vAlign w:val="bottom"/>
            <w:gridSpan w:val="7"/>
          </w:tcPr>
          <w:p>
            <w:pPr>
              <w:spacing w:after="0"/>
              <w:rPr>
                <w:sz w:val="16"/>
                <w:szCs w:val="16"/>
                <w:color w:val="auto"/>
              </w:rPr>
            </w:pP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F-9-F-32</w:t>
            </w:r>
          </w:p>
        </w:tc>
      </w:tr>
      <w:tr>
        <w:trPr>
          <w:trHeight w:val="329"/>
        </w:trPr>
        <w:tc>
          <w:tcPr>
            <w:tcW w:w="10380" w:type="dxa"/>
            <w:vAlign w:val="bottom"/>
            <w:gridSpan w:val="11"/>
          </w:tcPr>
          <w:p>
            <w:pPr>
              <w:spacing w:after="0"/>
              <w:rPr>
                <w:sz w:val="20"/>
                <w:szCs w:val="20"/>
                <w:color w:val="auto"/>
              </w:rPr>
            </w:pPr>
            <w:r>
              <w:rPr>
                <w:rFonts w:ascii="Arial" w:cs="Arial" w:eastAsia="Arial" w:hAnsi="Arial"/>
                <w:sz w:val="17"/>
                <w:szCs w:val="17"/>
                <w:i w:val="1"/>
                <w:iCs w:val="1"/>
                <w:color w:val="auto"/>
              </w:rPr>
              <w:t>Financial Statement Schedules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0380" w:type="dxa"/>
            <w:vAlign w:val="bottom"/>
            <w:gridSpan w:val="11"/>
          </w:tcPr>
          <w:p>
            <w:pPr>
              <w:spacing w:after="0" w:line="180" w:lineRule="exact"/>
              <w:rPr>
                <w:rFonts w:ascii="Arial" w:cs="Arial" w:eastAsia="Arial" w:hAnsi="Arial"/>
                <w:sz w:val="17"/>
                <w:szCs w:val="17"/>
                <w:color w:val="0000EE"/>
              </w:rPr>
            </w:pPr>
            <w:hyperlink w:anchor="page96">
              <w:r>
                <w:rPr>
                  <w:rFonts w:ascii="Arial" w:cs="Arial" w:eastAsia="Arial" w:hAnsi="Arial"/>
                  <w:sz w:val="17"/>
                  <w:szCs w:val="17"/>
                  <w:color w:val="0000EE"/>
                </w:rPr>
                <w:t>Schedule III—Summary of Real Estate and Accumulated Depreciation</w:t>
              </w:r>
            </w:hyperlink>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7"/>
                <w:szCs w:val="17"/>
                <w:color w:val="auto"/>
              </w:rPr>
              <w:t>F-33-F-39</w:t>
            </w:r>
          </w:p>
        </w:tc>
      </w:tr>
      <w:tr>
        <w:trPr>
          <w:trHeight w:val="192"/>
        </w:trPr>
        <w:tc>
          <w:tcPr>
            <w:tcW w:w="488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103">
              <w:r>
                <w:rPr>
                  <w:rFonts w:ascii="Arial" w:cs="Arial" w:eastAsia="Arial" w:hAnsi="Arial"/>
                  <w:sz w:val="17"/>
                  <w:szCs w:val="17"/>
                  <w:color w:val="0000EE"/>
                </w:rPr>
                <w:t>Schedule IV—Mortgage Loans on Real Estate</w:t>
              </w:r>
            </w:hyperlink>
          </w:p>
        </w:tc>
        <w:tc>
          <w:tcPr>
            <w:tcW w:w="5500" w:type="dxa"/>
            <w:vAlign w:val="bottom"/>
            <w:gridSpan w:val="2"/>
          </w:tcPr>
          <w:p>
            <w:pPr>
              <w:spacing w:after="0"/>
              <w:rPr>
                <w:sz w:val="16"/>
                <w:szCs w:val="16"/>
                <w:color w:val="auto"/>
              </w:rPr>
            </w:pP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F-40-F-41</w:t>
            </w:r>
          </w:p>
        </w:tc>
      </w:tr>
      <w:tr>
        <w:trPr>
          <w:trHeight w:val="20"/>
        </w:trPr>
        <w:tc>
          <w:tcPr>
            <w:tcW w:w="20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60" w:firstLine="456"/>
        <w:spacing w:after="0" w:line="287" w:lineRule="auto"/>
        <w:rPr>
          <w:sz w:val="20"/>
          <w:szCs w:val="20"/>
          <w:color w:val="auto"/>
        </w:rPr>
      </w:pPr>
      <w:r>
        <w:rPr>
          <w:rFonts w:ascii="Arial" w:cs="Arial" w:eastAsia="Arial" w:hAnsi="Arial"/>
          <w:sz w:val="17"/>
          <w:szCs w:val="17"/>
          <w:color w:val="auto"/>
        </w:rPr>
        <w:t>All other schedules have been omitted either because the information is not applicable, not material, or is disclosed in our consolidated financial statements and related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453"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Assessment Report on Internal Control over Financial Reporting</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56" w:lineRule="exact"/>
        <w:rPr>
          <w:sz w:val="20"/>
          <w:szCs w:val="20"/>
          <w:color w:val="auto"/>
        </w:rPr>
      </w:pPr>
    </w:p>
    <w:p>
      <w:pPr>
        <w:ind w:left="780" w:hanging="324"/>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95" w:lineRule="exact"/>
        <w:rPr>
          <w:rFonts w:ascii="Arial" w:cs="Arial" w:eastAsia="Arial" w:hAnsi="Arial"/>
          <w:sz w:val="17"/>
          <w:szCs w:val="17"/>
          <w:color w:val="auto"/>
        </w:rPr>
      </w:pPr>
    </w:p>
    <w:p>
      <w:pPr>
        <w:ind w:left="780" w:right="520" w:hanging="324"/>
        <w:spacing w:after="0" w:line="273" w:lineRule="auto"/>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8" w:lineRule="exact"/>
        <w:rPr>
          <w:rFonts w:ascii="Arial" w:cs="Arial" w:eastAsia="Arial" w:hAnsi="Arial"/>
          <w:sz w:val="17"/>
          <w:szCs w:val="17"/>
          <w:color w:val="auto"/>
        </w:rPr>
      </w:pPr>
    </w:p>
    <w:p>
      <w:pPr>
        <w:ind w:left="780" w:right="1000" w:hanging="324"/>
        <w:spacing w:after="0" w:line="287" w:lineRule="auto"/>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5"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1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 xml:space="preserve">Management conducted an assessment of the effectiveness of the Trust’s internal control over financial reporting as of December 31, 2006. In making this assessment, it used the criteria set forth by the Committee of Sponsoring Organizations of the Treadway Commission (COSO)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Based on this assessment, management concluded that our internal control over financial reporting is effective based on those criteria, as of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our most recent fiscal year.</w:t>
      </w:r>
    </w:p>
    <w:p>
      <w:pPr>
        <w:spacing w:after="0" w:line="130"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Our independent registered public accounting firm has issued an attestation report on management’s assessment of our internal control over financial reporting. This report appears on page F-3.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453"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6"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 xml:space="preserve">We have audited management’s assessment, included in the accompanying Management Assessment Report on Internal Control over Financial Reporting, that Federal Realty Investment Trust (a Maryland real estate investment trust) maintained effective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Trust’s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1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3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 xml:space="preserve">In our opinion, management’s assessment that the Trust maintained effective internal control over financial reporting as of December 31, 2006, is fairly stated, in all material respects,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Also in our opinion, the Trust maintained, in all material respects, effective internal control over financial reporting as of December 31, 2006,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w:t>
      </w:r>
      <w:r>
        <w:rPr>
          <w:rFonts w:ascii="Arial" w:cs="Arial" w:eastAsia="Arial" w:hAnsi="Arial"/>
          <w:sz w:val="17"/>
          <w:szCs w:val="17"/>
          <w:i w:val="1"/>
          <w:iCs w:val="1"/>
          <w:color w:val="auto"/>
        </w:rPr>
        <w:t>.</w:t>
      </w:r>
    </w:p>
    <w:p>
      <w:pPr>
        <w:spacing w:after="0" w:line="135"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Federal Realty Investment Trust (a Maryland real estate investment trust) and subsidiaries (the Trust) as of December 31, 2006 and 2005, and the related consolidated statements of operations, common shareholders’ equity, and cash flows for each of the three years in the period ended December 31, 2006, and our report dated February 26, 2007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McLean, Virginia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26, 2007</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53"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audited the accompanying consolidated balance sheets of Federal Realty Investment Trust (a Maryland real estate investment trust) and subsidiaries (the Trust) as of December 31, 2006 and 2005, and the related consolidated statements of operations, common shareholders’ equity, and cash flows for each of the three years in the period ended December 31, 2006. These financial statements are the responsibility of the Trust’s management. Our responsibility is to express an opinion on these financial statements based on our audit.</w:t>
      </w:r>
    </w:p>
    <w:p>
      <w:pPr>
        <w:spacing w:after="0" w:line="13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Trust as of December 31, 2006 and 2005, and the results of its operations and its cash flows for each of the three years in the period ended December 31, 2006 in conformity with accounting principles generally accepted in the United States of America.</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audits were conducted for the purpose of forming an opinion on the basic consolidated financial statements taken as a whole. The Schedules III and IV are presented for the purposes of additional analysis and are not a required part of the basic consolidated financial statements. These schedules have been subjected to the auditing procedures applied in the audit of the basic consolidated financial statements and, in our opinion, are fairly stated in all material respects in relation to the basic consolidated financial statements taken as a whole.</w:t>
      </w:r>
    </w:p>
    <w:p>
      <w:pPr>
        <w:spacing w:after="0" w:line="130"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As discussed in Note 1 to the Notes to Consolidated Financial Statements, the Company adopted SFAS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effective January 1, 2006.</w:t>
      </w:r>
    </w:p>
    <w:p>
      <w:pPr>
        <w:spacing w:after="0" w:line="11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effectiveness of the Trust’s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w:t>
      </w:r>
      <w:r>
        <w:rPr>
          <w:rFonts w:ascii="Arial" w:cs="Arial" w:eastAsia="Arial" w:hAnsi="Arial"/>
          <w:sz w:val="16"/>
          <w:szCs w:val="16"/>
          <w:i w:val="1"/>
          <w:iCs w:val="1"/>
          <w:color w:val="auto"/>
        </w:rPr>
        <w:t>26</w:t>
      </w:r>
      <w:r>
        <w:rPr>
          <w:rFonts w:ascii="Arial" w:cs="Arial" w:eastAsia="Arial" w:hAnsi="Arial"/>
          <w:sz w:val="16"/>
          <w:szCs w:val="16"/>
          <w:color w:val="auto"/>
        </w:rPr>
        <w:t>, 2007 expressed an unqualified opinion.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McLean, Virginia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26, 2007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5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9"/>
        </w:trPr>
        <w:tc>
          <w:tcPr>
            <w:tcW w:w="9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39" w:lineRule="exact"/>
              <w:rPr>
                <w:sz w:val="20"/>
                <w:szCs w:val="20"/>
                <w:color w:val="auto"/>
              </w:rPr>
            </w:pPr>
            <w:r>
              <w:rPr>
                <w:rFonts w:ascii="Arial" w:cs="Arial" w:eastAsia="Arial" w:hAnsi="Arial"/>
                <w:sz w:val="13"/>
                <w:szCs w:val="13"/>
                <w:b w:val="1"/>
                <w:bCs w:val="1"/>
                <w:color w:val="auto"/>
              </w:rPr>
              <w:t>2006</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(In</w:t>
            </w:r>
          </w:p>
        </w:tc>
        <w:tc>
          <w:tcPr>
            <w:tcW w:w="1260" w:type="dxa"/>
            <w:vAlign w:val="bottom"/>
            <w:gridSpan w:val="3"/>
          </w:tcPr>
          <w:p>
            <w:pPr>
              <w:jc w:val="right"/>
              <w:ind w:right="555"/>
              <w:spacing w:after="0" w:line="139" w:lineRule="exact"/>
              <w:rPr>
                <w:sz w:val="20"/>
                <w:szCs w:val="20"/>
                <w:color w:val="auto"/>
              </w:rPr>
            </w:pPr>
            <w:r>
              <w:rPr>
                <w:rFonts w:ascii="Arial" w:cs="Arial" w:eastAsia="Arial" w:hAnsi="Arial"/>
                <w:sz w:val="13"/>
                <w:szCs w:val="13"/>
                <w:b w:val="1"/>
                <w:bCs w:val="1"/>
                <w:color w:val="auto"/>
                <w:w w:val="85"/>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40" w:type="dxa"/>
            <w:vAlign w:val="bottom"/>
          </w:tcPr>
          <w:p>
            <w:pPr>
              <w:spacing w:after="0"/>
              <w:rPr>
                <w:sz w:val="20"/>
                <w:szCs w:val="20"/>
                <w:color w:val="auto"/>
              </w:rPr>
            </w:pPr>
            <w:r>
              <w:rPr>
                <w:rFonts w:ascii="Arial" w:cs="Arial" w:eastAsia="Arial" w:hAnsi="Arial"/>
                <w:sz w:val="17"/>
                <w:szCs w:val="17"/>
                <w:color w:val="auto"/>
              </w:rPr>
              <w:t>Real estate, at cost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3,104,484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2,731,694</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99,774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50,593</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47,034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3,204,258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2,829,321</w:t>
            </w:r>
          </w:p>
        </w:tc>
        <w:tc>
          <w:tcPr>
            <w:tcW w:w="0" w:type="dxa"/>
            <w:vAlign w:val="bottom"/>
          </w:tcPr>
          <w:p>
            <w:pPr>
              <w:spacing w:after="0"/>
              <w:rPr>
                <w:sz w:val="1"/>
                <w:szCs w:val="1"/>
                <w:color w:val="auto"/>
              </w:rPr>
            </w:pPr>
          </w:p>
        </w:tc>
      </w:tr>
      <w:tr>
        <w:trPr>
          <w:trHeight w:val="213"/>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(740,507)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(663,750)</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Net real estate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2,463,751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2,165,571</w:t>
            </w:r>
          </w:p>
        </w:tc>
        <w:tc>
          <w:tcPr>
            <w:tcW w:w="0" w:type="dxa"/>
            <w:vAlign w:val="bottom"/>
          </w:tcPr>
          <w:p>
            <w:pPr>
              <w:spacing w:after="0"/>
              <w:rPr>
                <w:sz w:val="1"/>
                <w:szCs w:val="1"/>
                <w:color w:val="auto"/>
              </w:rPr>
            </w:pPr>
          </w:p>
        </w:tc>
      </w:tr>
      <w:tr>
        <w:trPr>
          <w:trHeight w:val="213"/>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8,639</w:t>
            </w:r>
          </w:p>
        </w:tc>
        <w:tc>
          <w:tcPr>
            <w:tcW w:w="0" w:type="dxa"/>
            <w:vAlign w:val="bottom"/>
          </w:tcPr>
          <w:p>
            <w:pPr>
              <w:spacing w:after="0"/>
              <w:rPr>
                <w:sz w:val="1"/>
                <w:szCs w:val="1"/>
                <w:color w:val="auto"/>
              </w:rPr>
            </w:pPr>
          </w:p>
        </w:tc>
      </w:tr>
      <w:tr>
        <w:trPr>
          <w:trHeight w:val="212"/>
        </w:trPr>
        <w:tc>
          <w:tcPr>
            <w:tcW w:w="924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47,493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38,161</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40,531</w:t>
            </w:r>
          </w:p>
        </w:tc>
        <w:tc>
          <w:tcPr>
            <w:tcW w:w="0" w:type="dxa"/>
            <w:vAlign w:val="bottom"/>
          </w:tcPr>
          <w:p>
            <w:pPr>
              <w:spacing w:after="0"/>
              <w:rPr>
                <w:sz w:val="1"/>
                <w:szCs w:val="1"/>
                <w:color w:val="auto"/>
              </w:rPr>
            </w:pPr>
          </w:p>
        </w:tc>
      </w:tr>
      <w:tr>
        <w:trPr>
          <w:trHeight w:val="212"/>
        </w:trPr>
        <w:tc>
          <w:tcPr>
            <w:tcW w:w="924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10,322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9,375</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83,168</w:t>
            </w:r>
          </w:p>
        </w:tc>
        <w:tc>
          <w:tcPr>
            <w:tcW w:w="0" w:type="dxa"/>
            <w:vAlign w:val="bottom"/>
          </w:tcPr>
          <w:p>
            <w:pPr>
              <w:spacing w:after="0"/>
              <w:rPr>
                <w:sz w:val="1"/>
                <w:szCs w:val="1"/>
                <w:color w:val="auto"/>
              </w:rPr>
            </w:pPr>
          </w:p>
        </w:tc>
      </w:tr>
      <w:tr>
        <w:trPr>
          <w:trHeight w:val="212"/>
        </w:trPr>
        <w:tc>
          <w:tcPr>
            <w:tcW w:w="9240" w:type="dxa"/>
            <w:vAlign w:val="bottom"/>
          </w:tcPr>
          <w:p>
            <w:pPr>
              <w:spacing w:after="0"/>
              <w:rPr>
                <w:sz w:val="20"/>
                <w:szCs w:val="20"/>
                <w:color w:val="auto"/>
              </w:rPr>
            </w:pPr>
            <w:r>
              <w:rPr>
                <w:rFonts w:ascii="Arial" w:cs="Arial" w:eastAsia="Arial" w:hAnsi="Arial"/>
                <w:sz w:val="17"/>
                <w:szCs w:val="17"/>
                <w:color w:val="auto"/>
              </w:rPr>
              <w:t>Debt issuance costs, net of accumulated amortization of $7,474 and $7,592, respectively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8,617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2,688,606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2,350,852</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Mortgages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311,037</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270,898</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Obligations under capital leases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149,361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148,815</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109,024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316,755</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1,127,508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653,675</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97,727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88,089</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31,268</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Security deposits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10,126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8,807</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liabilities and deferred credits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38,505</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1,882,337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1,556,812</w:t>
            </w:r>
          </w:p>
        </w:tc>
        <w:tc>
          <w:tcPr>
            <w:tcW w:w="0" w:type="dxa"/>
            <w:vAlign w:val="bottom"/>
          </w:tcPr>
          <w:p>
            <w:pPr>
              <w:spacing w:after="0"/>
              <w:rPr>
                <w:sz w:val="1"/>
                <w:szCs w:val="1"/>
                <w:color w:val="auto"/>
              </w:rPr>
            </w:pPr>
          </w:p>
        </w:tc>
      </w:tr>
      <w:tr>
        <w:trPr>
          <w:trHeight w:val="213"/>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19,193</w:t>
            </w:r>
          </w:p>
        </w:tc>
        <w:tc>
          <w:tcPr>
            <w:tcW w:w="0" w:type="dxa"/>
            <w:vAlign w:val="bottom"/>
          </w:tcPr>
          <w:p>
            <w:pPr>
              <w:spacing w:after="0"/>
              <w:rPr>
                <w:sz w:val="1"/>
                <w:szCs w:val="1"/>
                <w:color w:val="auto"/>
              </w:rPr>
            </w:pPr>
          </w:p>
        </w:tc>
      </w:tr>
      <w:tr>
        <w:trPr>
          <w:trHeight w:val="212"/>
        </w:trPr>
        <w:tc>
          <w:tcPr>
            <w:tcW w:w="924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Preferred stock, authorized 15,000,000 shares, $.01 par: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4"/>
              </w:rPr>
              <w:t>8.5% Series B Cumulative Redeemable Preferred Shares, (stated at liquidation preference $25 per share), 0 and 5,400,000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shares, respectively</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135,000</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Common shares, $.01 par, 100,000,000 shares authorized, 56,805,816 and 54,371,057 issued, respectively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Additional paid 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1,281,217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1,114,732</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Accumulated dividends in excess of net income</w:t>
            </w:r>
          </w:p>
        </w:tc>
        <w:tc>
          <w:tcPr>
            <w:tcW w:w="120" w:type="dxa"/>
            <w:vAlign w:val="bottom"/>
          </w:tcPr>
          <w:p>
            <w:pPr>
              <w:spacing w:after="0"/>
              <w:rPr>
                <w:sz w:val="18"/>
                <w:szCs w:val="18"/>
                <w:color w:val="auto"/>
              </w:rPr>
            </w:pPr>
          </w:p>
        </w:tc>
        <w:tc>
          <w:tcPr>
            <w:tcW w:w="1120" w:type="dxa"/>
            <w:vAlign w:val="bottom"/>
            <w:gridSpan w:val="2"/>
          </w:tcPr>
          <w:p>
            <w:pPr>
              <w:jc w:val="right"/>
              <w:ind w:right="274"/>
              <w:spacing w:after="0"/>
              <w:rPr>
                <w:sz w:val="20"/>
                <w:szCs w:val="20"/>
                <w:color w:val="auto"/>
              </w:rPr>
            </w:pPr>
            <w:r>
              <w:rPr>
                <w:rFonts w:ascii="Arial" w:cs="Arial" w:eastAsia="Arial" w:hAnsi="Arial"/>
                <w:sz w:val="17"/>
                <w:szCs w:val="17"/>
                <w:color w:val="auto"/>
              </w:rPr>
              <w:t>(467,369)</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(437,817)</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Treasury shares at cost, 1,485,279 and 1,480,360 respectively</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(28,807)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(28,794)</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Deferred compensation on restricted shares</w:t>
            </w:r>
          </w:p>
        </w:tc>
        <w:tc>
          <w:tcPr>
            <w:tcW w:w="120" w:type="dxa"/>
            <w:vAlign w:val="bottom"/>
          </w:tcPr>
          <w:p>
            <w:pPr>
              <w:spacing w:after="0"/>
              <w:rPr>
                <w:sz w:val="18"/>
                <w:szCs w:val="18"/>
                <w:color w:val="auto"/>
              </w:rPr>
            </w:pPr>
          </w:p>
        </w:tc>
        <w:tc>
          <w:tcPr>
            <w:tcW w:w="112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(9,704)</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Notes receivable from issuance of common shares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(1,531)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(1,792)</w:t>
            </w:r>
          </w:p>
        </w:tc>
        <w:tc>
          <w:tcPr>
            <w:tcW w:w="0" w:type="dxa"/>
            <w:vAlign w:val="bottom"/>
          </w:tcPr>
          <w:p>
            <w:pPr>
              <w:spacing w:after="0"/>
              <w:rPr>
                <w:sz w:val="1"/>
                <w:szCs w:val="1"/>
                <w:color w:val="auto"/>
              </w:rPr>
            </w:pPr>
          </w:p>
        </w:tc>
      </w:tr>
      <w:tr>
        <w:trPr>
          <w:trHeight w:val="212"/>
        </w:trPr>
        <w:tc>
          <w:tcPr>
            <w:tcW w:w="9240" w:type="dxa"/>
            <w:vAlign w:val="bottom"/>
          </w:tcPr>
          <w:p>
            <w:pPr>
              <w:ind w:left="420"/>
              <w:spacing w:after="0"/>
              <w:rPr>
                <w:sz w:val="20"/>
                <w:szCs w:val="20"/>
                <w:color w:val="auto"/>
              </w:rPr>
            </w:pPr>
            <w:r>
              <w:rPr>
                <w:rFonts w:ascii="Arial" w:cs="Arial" w:eastAsia="Arial" w:hAnsi="Arial"/>
                <w:sz w:val="17"/>
                <w:szCs w:val="17"/>
                <w:color w:val="auto"/>
              </w:rPr>
              <w:t>Accumulated other comprehensive income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784,078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774,847</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2,688,606</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2,350,852</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3"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2005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6"/>
              <w:spacing w:after="0" w:line="139" w:lineRule="exact"/>
              <w:rPr>
                <w:sz w:val="20"/>
                <w:szCs w:val="20"/>
                <w:color w:val="auto"/>
              </w:rPr>
            </w:pPr>
            <w:r>
              <w:rPr>
                <w:rFonts w:ascii="Arial" w:cs="Arial" w:eastAsia="Arial" w:hAnsi="Arial"/>
                <w:sz w:val="13"/>
                <w:szCs w:val="13"/>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6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8"/>
              </w:rPr>
              <w:t>except per</w:t>
            </w:r>
          </w:p>
        </w:tc>
        <w:tc>
          <w:tcPr>
            <w:tcW w:w="40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7"/>
              </w:rPr>
              <w:t>share</w:t>
            </w:r>
          </w:p>
        </w:tc>
        <w:tc>
          <w:tcPr>
            <w:tcW w:w="6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438,201</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14"/>
              <w:spacing w:after="0"/>
              <w:rPr>
                <w:sz w:val="20"/>
                <w:szCs w:val="20"/>
                <w:color w:val="auto"/>
              </w:rPr>
            </w:pPr>
            <w:r>
              <w:rPr>
                <w:rFonts w:ascii="Arial" w:cs="Arial" w:eastAsia="Arial" w:hAnsi="Arial"/>
                <w:sz w:val="17"/>
                <w:szCs w:val="17"/>
                <w:color w:val="auto"/>
                <w:w w:val="91"/>
              </w:rPr>
              <w:t>393,548</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368,299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9,551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5,095</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451,022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w w:val="91"/>
              </w:rPr>
              <w:t>408,469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383,612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7"/>
                <w:szCs w:val="17"/>
                <w:color w:val="auto"/>
              </w:rPr>
              <w:t>EXPENSES</w:t>
            </w: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84,736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44,898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14"/>
              <w:spacing w:after="0"/>
              <w:rPr>
                <w:sz w:val="20"/>
                <w:szCs w:val="20"/>
                <w:color w:val="auto"/>
              </w:rPr>
            </w:pPr>
            <w:r>
              <w:rPr>
                <w:rFonts w:ascii="Arial" w:cs="Arial" w:eastAsia="Arial" w:hAnsi="Arial"/>
                <w:sz w:val="17"/>
                <w:szCs w:val="17"/>
                <w:color w:val="auto"/>
              </w:rPr>
              <w:t>39,372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19,909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97,618</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88,927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251,986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232,944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232,052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7"/>
                <w:szCs w:val="17"/>
                <w:color w:val="auto"/>
              </w:rPr>
              <w:t>OPERATING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199,036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14"/>
              <w:spacing w:after="0"/>
              <w:rPr>
                <w:sz w:val="20"/>
                <w:szCs w:val="20"/>
                <w:color w:val="auto"/>
              </w:rPr>
            </w:pPr>
            <w:r>
              <w:rPr>
                <w:rFonts w:ascii="Arial" w:cs="Arial" w:eastAsia="Arial" w:hAnsi="Arial"/>
                <w:sz w:val="17"/>
                <w:szCs w:val="17"/>
                <w:color w:val="auto"/>
                <w:w w:val="91"/>
              </w:rPr>
              <w:t>175,525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151,560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interest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2,215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7"/>
                <w:szCs w:val="17"/>
                <w:color w:val="auto"/>
                <w:w w:val="90"/>
              </w:rPr>
              <w:t>(102,808)</w:t>
            </w:r>
          </w:p>
        </w:tc>
        <w:tc>
          <w:tcPr>
            <w:tcW w:w="80" w:type="dxa"/>
            <w:vAlign w:val="bottom"/>
          </w:tcPr>
          <w:p>
            <w:pPr>
              <w:spacing w:after="0"/>
              <w:rPr>
                <w:sz w:val="18"/>
                <w:szCs w:val="18"/>
                <w:color w:val="auto"/>
              </w:rPr>
            </w:pPr>
          </w:p>
        </w:tc>
        <w:tc>
          <w:tcPr>
            <w:tcW w:w="960" w:type="dxa"/>
            <w:vAlign w:val="bottom"/>
            <w:gridSpan w:val="2"/>
          </w:tcPr>
          <w:p>
            <w:pPr>
              <w:jc w:val="right"/>
              <w:ind w:right="254"/>
              <w:spacing w:after="0"/>
              <w:rPr>
                <w:sz w:val="20"/>
                <w:szCs w:val="20"/>
                <w:color w:val="auto"/>
              </w:rPr>
            </w:pPr>
            <w:r>
              <w:rPr>
                <w:rFonts w:ascii="Arial" w:cs="Arial" w:eastAsia="Arial" w:hAnsi="Arial"/>
                <w:sz w:val="17"/>
                <w:szCs w:val="17"/>
                <w:color w:val="auto"/>
                <w:w w:val="97"/>
              </w:rPr>
              <w:t>(88,566)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(85,058)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real estate partnership</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493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420"/>
              <w:spacing w:after="0"/>
              <w:rPr>
                <w:sz w:val="20"/>
                <w:szCs w:val="20"/>
                <w:color w:val="auto"/>
              </w:rPr>
            </w:pPr>
            <w:r>
              <w:rPr>
                <w:rFonts w:ascii="Arial" w:cs="Arial" w:eastAsia="Arial" w:hAnsi="Arial"/>
                <w:sz w:val="17"/>
                <w:szCs w:val="17"/>
                <w:color w:val="auto"/>
              </w:rPr>
              <w:t>Minority interests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7"/>
                <w:szCs w:val="17"/>
                <w:color w:val="auto"/>
              </w:rPr>
              <w:t>(4,353)</w:t>
            </w:r>
          </w:p>
        </w:tc>
        <w:tc>
          <w:tcPr>
            <w:tcW w:w="80" w:type="dxa"/>
            <w:vAlign w:val="bottom"/>
          </w:tcPr>
          <w:p>
            <w:pPr>
              <w:spacing w:after="0"/>
              <w:rPr>
                <w:sz w:val="18"/>
                <w:szCs w:val="18"/>
                <w:color w:val="auto"/>
              </w:rPr>
            </w:pPr>
          </w:p>
        </w:tc>
        <w:tc>
          <w:tcPr>
            <w:tcW w:w="960" w:type="dxa"/>
            <w:vAlign w:val="bottom"/>
            <w:gridSpan w:val="2"/>
          </w:tcPr>
          <w:p>
            <w:pPr>
              <w:jc w:val="right"/>
              <w:ind w:right="254"/>
              <w:spacing w:after="0"/>
              <w:rPr>
                <w:sz w:val="20"/>
                <w:szCs w:val="20"/>
                <w:color w:val="auto"/>
              </w:rPr>
            </w:pPr>
            <w:r>
              <w:rPr>
                <w:rFonts w:ascii="Arial" w:cs="Arial" w:eastAsia="Arial" w:hAnsi="Arial"/>
                <w:sz w:val="17"/>
                <w:szCs w:val="17"/>
                <w:color w:val="auto"/>
              </w:rPr>
              <w:t>(5,234)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(4,170)</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95,076</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84,433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(320)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420"/>
              <w:spacing w:after="0"/>
              <w:rPr>
                <w:sz w:val="20"/>
                <w:szCs w:val="20"/>
                <w:color w:val="auto"/>
              </w:rPr>
            </w:pPr>
            <w:r>
              <w:rPr>
                <w:rFonts w:ascii="Arial" w:cs="Arial" w:eastAsia="Arial" w:hAnsi="Arial"/>
                <w:sz w:val="17"/>
                <w:szCs w:val="17"/>
                <w:color w:val="auto"/>
              </w:rPr>
              <w:t>Gain on sale of real estate, net of taxes</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23,956</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Results from discontinued operations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23,636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30,179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7"/>
                <w:szCs w:val="17"/>
                <w:color w:val="auto"/>
              </w:rPr>
              <w:t>NET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118,712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14"/>
              <w:spacing w:after="0"/>
              <w:rPr>
                <w:sz w:val="20"/>
                <w:szCs w:val="20"/>
                <w:color w:val="auto"/>
              </w:rPr>
            </w:pPr>
            <w:r>
              <w:rPr>
                <w:rFonts w:ascii="Arial" w:cs="Arial" w:eastAsia="Arial" w:hAnsi="Arial"/>
                <w:sz w:val="17"/>
                <w:szCs w:val="17"/>
                <w:color w:val="auto"/>
                <w:w w:val="91"/>
              </w:rPr>
              <w:t>114,612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on preferred stock</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(10,423)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w w:val="97"/>
              </w:rPr>
              <w:t>(11,475)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(11,475)</w:t>
            </w:r>
          </w:p>
        </w:tc>
        <w:tc>
          <w:tcPr>
            <w:tcW w:w="0" w:type="dxa"/>
            <w:vAlign w:val="bottom"/>
          </w:tcPr>
          <w:p>
            <w:pPr>
              <w:spacing w:after="0"/>
              <w:rPr>
                <w:sz w:val="1"/>
                <w:szCs w:val="1"/>
                <w:color w:val="auto"/>
              </w:rPr>
            </w:pPr>
          </w:p>
        </w:tc>
      </w:tr>
      <w:tr>
        <w:trPr>
          <w:trHeight w:val="212"/>
        </w:trPr>
        <w:tc>
          <w:tcPr>
            <w:tcW w:w="6920" w:type="dxa"/>
            <w:vAlign w:val="bottom"/>
          </w:tcPr>
          <w:p>
            <w:pPr>
              <w:ind w:left="420"/>
              <w:spacing w:after="0"/>
              <w:rPr>
                <w:sz w:val="20"/>
                <w:szCs w:val="20"/>
                <w:color w:val="auto"/>
              </w:rPr>
            </w:pPr>
            <w:r>
              <w:rPr>
                <w:rFonts w:ascii="Arial" w:cs="Arial" w:eastAsia="Arial" w:hAnsi="Arial"/>
                <w:sz w:val="17"/>
                <w:szCs w:val="17"/>
                <w:color w:val="auto"/>
              </w:rPr>
              <w:t>Preferred stock redemption costs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7"/>
                <w:szCs w:val="17"/>
                <w:color w:val="auto"/>
              </w:rPr>
              <w:t>(4,775)</w:t>
            </w:r>
          </w:p>
        </w:tc>
        <w:tc>
          <w:tcPr>
            <w:tcW w:w="80" w:type="dxa"/>
            <w:vAlign w:val="bottom"/>
          </w:tcPr>
          <w:p>
            <w:pPr>
              <w:spacing w:after="0"/>
              <w:rPr>
                <w:sz w:val="18"/>
                <w:szCs w:val="18"/>
                <w:color w:val="auto"/>
              </w:rPr>
            </w:pPr>
          </w:p>
        </w:tc>
        <w:tc>
          <w:tcPr>
            <w:tcW w:w="960" w:type="dxa"/>
            <w:vAlign w:val="bottom"/>
            <w:gridSpan w:val="2"/>
          </w:tcPr>
          <w:p>
            <w:pPr>
              <w:jc w:val="right"/>
              <w:ind w:right="39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103,514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103,137</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EARNINGS PER COMMON SHARE, BASIC</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1.39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7"/>
                <w:szCs w:val="17"/>
                <w:color w:val="auto"/>
              </w:rPr>
              <w:t>(0.01)</w:t>
            </w:r>
          </w:p>
        </w:tc>
        <w:tc>
          <w:tcPr>
            <w:tcW w:w="80" w:type="dxa"/>
            <w:vAlign w:val="bottom"/>
          </w:tcPr>
          <w:p>
            <w:pPr>
              <w:spacing w:after="0"/>
              <w:rPr>
                <w:sz w:val="18"/>
                <w:szCs w:val="18"/>
                <w:color w:val="auto"/>
              </w:rPr>
            </w:pPr>
          </w:p>
        </w:tc>
        <w:tc>
          <w:tcPr>
            <w:tcW w:w="960" w:type="dxa"/>
            <w:vAlign w:val="bottom"/>
            <w:gridSpan w:val="2"/>
          </w:tcPr>
          <w:p>
            <w:pPr>
              <w:jc w:val="right"/>
              <w:ind w:right="254"/>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14"/>
              <w:spacing w:after="0"/>
              <w:rPr>
                <w:sz w:val="20"/>
                <w:szCs w:val="20"/>
                <w:color w:val="auto"/>
              </w:rPr>
            </w:pPr>
            <w:r>
              <w:rPr>
                <w:rFonts w:ascii="Arial" w:cs="Arial" w:eastAsia="Arial" w:hAnsi="Arial"/>
                <w:sz w:val="17"/>
                <w:szCs w:val="17"/>
                <w:color w:val="auto"/>
              </w:rPr>
              <w:t>1.96</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basic</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53,469</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52,533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1.37</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7"/>
                <w:szCs w:val="17"/>
                <w:color w:val="auto"/>
              </w:rPr>
              <w:t>(0.01)</w:t>
            </w:r>
          </w:p>
        </w:tc>
        <w:tc>
          <w:tcPr>
            <w:tcW w:w="80" w:type="dxa"/>
            <w:vAlign w:val="bottom"/>
          </w:tcPr>
          <w:p>
            <w:pPr>
              <w:spacing w:after="0"/>
              <w:rPr>
                <w:sz w:val="18"/>
                <w:szCs w:val="18"/>
                <w:color w:val="auto"/>
              </w:rPr>
            </w:pPr>
          </w:p>
        </w:tc>
        <w:tc>
          <w:tcPr>
            <w:tcW w:w="960" w:type="dxa"/>
            <w:vAlign w:val="bottom"/>
            <w:gridSpan w:val="2"/>
          </w:tcPr>
          <w:p>
            <w:pPr>
              <w:jc w:val="right"/>
              <w:ind w:right="254"/>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14"/>
              <w:spacing w:after="0"/>
              <w:rPr>
                <w:sz w:val="20"/>
                <w:szCs w:val="20"/>
                <w:color w:val="auto"/>
              </w:rPr>
            </w:pPr>
            <w:r>
              <w:rPr>
                <w:rFonts w:ascii="Arial" w:cs="Arial" w:eastAsia="Arial" w:hAnsi="Arial"/>
                <w:sz w:val="17"/>
                <w:szCs w:val="17"/>
                <w:color w:val="auto"/>
              </w:rPr>
              <w:t>1.94</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53,962</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53,050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3"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COMMON SHAREHOLDERS’ EQUITY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2006</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2005</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rPr>
              <w:t>2004</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rPr>
              <w:t>Paid-in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rPr>
              <w:t>Paid-in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6"/>
              </w:rPr>
              <w:t>Paid-in</w:t>
            </w: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6"/>
              </w:rPr>
              <w:t>Capital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9"/>
          </w:tcPr>
          <w:p>
            <w:pPr>
              <w:jc w:val="right"/>
              <w:ind w:right="300"/>
              <w:spacing w:after="0" w:line="139" w:lineRule="exact"/>
              <w:rPr>
                <w:sz w:val="20"/>
                <w:szCs w:val="20"/>
                <w:color w:val="auto"/>
              </w:rPr>
            </w:pPr>
            <w:r>
              <w:rPr>
                <w:rFonts w:ascii="Arial" w:cs="Arial" w:eastAsia="Arial" w:hAnsi="Arial"/>
                <w:sz w:val="13"/>
                <w:szCs w:val="13"/>
                <w:b w:val="1"/>
                <w:bCs w:val="1"/>
                <w:color w:val="auto"/>
              </w:rPr>
              <w:t>(In thousands, except share data)</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Common shares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8"/>
              </w:rPr>
              <w:t>54,371,057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544</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6"/>
              </w:rPr>
              <w:t>1,114,732</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w w:val="98"/>
              </w:rPr>
              <w:t>53,616,827</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536</w:t>
            </w: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w w:val="96"/>
              </w:rPr>
              <w:t>1,108,213</w:t>
            </w:r>
          </w:p>
        </w:tc>
        <w:tc>
          <w:tcPr>
            <w:tcW w:w="1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50,670,851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507</w:t>
            </w: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980,227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Cumulative effect of change in accounting principle</w:t>
            </w:r>
          </w:p>
        </w:tc>
        <w:tc>
          <w:tcPr>
            <w:tcW w:w="82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(6,416)</w:t>
            </w:r>
          </w:p>
        </w:tc>
        <w:tc>
          <w:tcPr>
            <w:tcW w:w="8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266,579</w:t>
            </w: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8,843</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409,920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10,947</w:t>
            </w:r>
          </w:p>
        </w:tc>
        <w:tc>
          <w:tcPr>
            <w:tcW w:w="1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348,888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8,586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Shares issued under dividend reinvestment plan</w:t>
            </w:r>
          </w:p>
        </w:tc>
        <w:tc>
          <w:tcPr>
            <w:tcW w:w="8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44,077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3,101</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62,579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3,424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82,391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Grants of common shares</w:t>
            </w:r>
          </w:p>
        </w:tc>
        <w:tc>
          <w:tcPr>
            <w:tcW w:w="82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78,591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4,061</w:t>
            </w:r>
          </w:p>
        </w:tc>
        <w:tc>
          <w:tcPr>
            <w:tcW w:w="1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84,617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3,632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Share-based compensation expense (SFAS No. 123 (R)</w:t>
            </w:r>
          </w:p>
        </w:tc>
        <w:tc>
          <w:tcPr>
            <w:tcW w:w="8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84,217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6,490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Reclassification for preferred stock redemption</w:t>
            </w:r>
          </w:p>
        </w:tc>
        <w:tc>
          <w:tcPr>
            <w:tcW w:w="82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4,775</w:t>
            </w:r>
          </w:p>
        </w:tc>
        <w:tc>
          <w:tcPr>
            <w:tcW w:w="82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Issuance of shares in public offering</w:t>
            </w:r>
          </w:p>
        </w:tc>
        <w:tc>
          <w:tcPr>
            <w:tcW w:w="8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2,002,670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149,077</w:t>
            </w:r>
          </w:p>
        </w:tc>
        <w:tc>
          <w:tcPr>
            <w:tcW w:w="8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2,186,749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99,011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Conversion and redemption of OP units</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37,216</w:t>
            </w: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615</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203,140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(12,806)</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203,130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8,686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Shares issued to purchase partnership interests</w:t>
            </w:r>
          </w:p>
        </w:tc>
        <w:tc>
          <w:tcPr>
            <w:tcW w:w="82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40,201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320" w:type="dxa"/>
            <w:vAlign w:val="bottom"/>
          </w:tcPr>
          <w:p>
            <w:pPr>
              <w:ind w:left="220"/>
              <w:spacing w:after="0" w:line="137" w:lineRule="exact"/>
              <w:rPr>
                <w:sz w:val="20"/>
                <w:szCs w:val="20"/>
                <w:color w:val="auto"/>
              </w:rPr>
            </w:pPr>
            <w:r>
              <w:rPr>
                <w:rFonts w:ascii="Arial" w:cs="Arial" w:eastAsia="Arial" w:hAnsi="Arial"/>
                <w:sz w:val="13"/>
                <w:szCs w:val="13"/>
                <w:color w:val="auto"/>
                <w:w w:val="99"/>
              </w:rPr>
              <w:t>Deferred stock compensation associated with variable accounting (APB</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20" w:type="dxa"/>
            <w:vAlign w:val="bottom"/>
          </w:tcPr>
          <w:p>
            <w:pPr>
              <w:ind w:left="420"/>
              <w:spacing w:after="0"/>
              <w:rPr>
                <w:sz w:val="20"/>
                <w:szCs w:val="20"/>
                <w:color w:val="auto"/>
              </w:rPr>
            </w:pPr>
            <w:r>
              <w:rPr>
                <w:rFonts w:ascii="Arial" w:cs="Arial" w:eastAsia="Arial" w:hAnsi="Arial"/>
                <w:sz w:val="13"/>
                <w:szCs w:val="13"/>
                <w:color w:val="auto"/>
              </w:rPr>
              <w:t>No. 25)</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8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w w:val="98"/>
              </w:rPr>
              <w:t>56,805,816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w w:val="96"/>
              </w:rPr>
              <w:t>1,281,217</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8"/>
              </w:rPr>
              <w:t>54,371,057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544</w:t>
            </w:r>
          </w:p>
        </w:tc>
        <w:tc>
          <w:tcPr>
            <w:tcW w:w="1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w w:val="96"/>
              </w:rPr>
              <w:t>1,114,732</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53,616,827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536</w:t>
            </w:r>
          </w:p>
        </w:tc>
        <w:tc>
          <w:tcPr>
            <w:tcW w:w="1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1,108,213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3"/>
                <w:szCs w:val="13"/>
                <w:color w:val="auto"/>
              </w:rPr>
              <w:t>Accumulated dividends in excess of net income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(437,817)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(416,026)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(386,738)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Net income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118,712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114,612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84,156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Dividends declared to common shareholders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(133,066)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(124,928)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(101,969)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Preferred share dividends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(10,423)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(11,475)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(11,475)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Preferred share redemption costs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(4,775)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3"/>
                <w:szCs w:val="13"/>
                <w:color w:val="auto"/>
              </w:rPr>
              <w:t>Balance, end of year</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(467,369)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(437,817)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(416,026)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Treasury shares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8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(1,480,360)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(28,794)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(1,480,202)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(28,786)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(1,470,275)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(28,445)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Unvested shares forfeited</w:t>
            </w: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(4,919)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(158)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(9,927)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3"/>
                <w:szCs w:val="13"/>
                <w:color w:val="auto"/>
              </w:rPr>
              <w:t>Balance, end of year</w:t>
            </w: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(1,485,279)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(28,807)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(1,480,360)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(28,794)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(1,480,202)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(28,786)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Deferred compensation on unvested shares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(9,704)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(8,641)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(5,474)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Cumulative effect of change in accounting principle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9,704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Shares issued, net of forfeitures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(3,494)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(3,099)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Vesting of shares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3"/>
                <w:szCs w:val="13"/>
                <w:color w:val="auto"/>
              </w:rPr>
              <w:t>Balance, end of year</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(9,704)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(8,641)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Notes receivable from issuance of common shares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(1,792)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(2,083)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(3,615)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Loans issued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(411)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Loans paid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291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1,943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(1,531)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(1,792)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(2,083)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3"/>
                <w:szCs w:val="13"/>
                <w:color w:val="auto"/>
              </w:rPr>
              <w:t>Accumulated other comprehensive income (loss)</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2,678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2,321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Change due to recognizing gain on securities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Change in valuation on interest rate swaps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(1,493)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2,381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Change due to termination of hedge relationship (included in income)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(1,185)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2,678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2,321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118,712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114,612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84,156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ind w:left="220"/>
              <w:spacing w:after="0" w:line="146" w:lineRule="exact"/>
              <w:rPr>
                <w:sz w:val="20"/>
                <w:szCs w:val="20"/>
                <w:color w:val="auto"/>
              </w:rPr>
            </w:pPr>
            <w:r>
              <w:rPr>
                <w:rFonts w:ascii="Arial" w:cs="Arial" w:eastAsia="Arial" w:hAnsi="Arial"/>
                <w:sz w:val="13"/>
                <w:szCs w:val="13"/>
                <w:color w:val="auto"/>
              </w:rPr>
              <w:t>Change due to recognizing gain on securities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Change in valuation on interest rate swaps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(1,493)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2,381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3"/>
                <w:szCs w:val="13"/>
                <w:color w:val="auto"/>
              </w:rPr>
              <w:t>Total comprehensive income</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117,219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114,969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86,564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53"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2006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2005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w w:val="98"/>
              </w:rPr>
              <w:t>(In thousands)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118,712</w:t>
            </w:r>
          </w:p>
        </w:tc>
        <w:tc>
          <w:tcPr>
            <w:tcW w:w="2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114,612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84,156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860"/>
              <w:spacing w:after="0"/>
              <w:rPr>
                <w:sz w:val="20"/>
                <w:szCs w:val="20"/>
                <w:color w:val="auto"/>
              </w:rPr>
            </w:pPr>
            <w:r>
              <w:rPr>
                <w:rFonts w:ascii="Arial" w:cs="Arial" w:eastAsia="Arial" w:hAnsi="Arial"/>
                <w:sz w:val="17"/>
                <w:szCs w:val="17"/>
                <w:color w:val="auto"/>
              </w:rPr>
              <w:t>Depreciation and amortization, including 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97,879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91,503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(23,956)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(30,748)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(14,052)</w:t>
            </w:r>
          </w:p>
        </w:tc>
        <w:tc>
          <w:tcPr>
            <w:tcW w:w="0" w:type="dxa"/>
            <w:vAlign w:val="bottom"/>
          </w:tcPr>
          <w:p>
            <w:pPr>
              <w:spacing w:after="0"/>
              <w:rPr>
                <w:sz w:val="1"/>
                <w:szCs w:val="1"/>
                <w:color w:val="auto"/>
              </w:rPr>
            </w:pPr>
          </w:p>
        </w:tc>
      </w:tr>
      <w:tr>
        <w:trPr>
          <w:trHeight w:val="212"/>
        </w:trPr>
        <w:tc>
          <w:tcPr>
            <w:tcW w:w="8440" w:type="dxa"/>
            <w:vAlign w:val="bottom"/>
          </w:tcPr>
          <w:p>
            <w:pPr>
              <w:ind w:left="860"/>
              <w:spacing w:after="0"/>
              <w:rPr>
                <w:sz w:val="20"/>
                <w:szCs w:val="20"/>
                <w:color w:val="auto"/>
              </w:rPr>
            </w:pPr>
            <w:r>
              <w:rPr>
                <w:rFonts w:ascii="Arial" w:cs="Arial" w:eastAsia="Arial" w:hAnsi="Arial"/>
                <w:sz w:val="17"/>
                <w:szCs w:val="17"/>
                <w:color w:val="auto"/>
              </w:rPr>
              <w:t>Equity in income from real estate partnership</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(656)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Minority interests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860"/>
              <w:spacing w:after="0"/>
              <w:rPr>
                <w:sz w:val="20"/>
                <w:szCs w:val="20"/>
                <w:color w:val="auto"/>
              </w:rPr>
            </w:pPr>
            <w:r>
              <w:rPr>
                <w:rFonts w:ascii="Arial" w:cs="Arial" w:eastAsia="Arial" w:hAnsi="Arial"/>
                <w:sz w:val="17"/>
                <w:szCs w:val="17"/>
                <w:color w:val="auto"/>
              </w:rPr>
              <w:t>Other,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860"/>
              <w:spacing w:after="0"/>
              <w:rPr>
                <w:sz w:val="20"/>
                <w:szCs w:val="20"/>
                <w:color w:val="auto"/>
              </w:rPr>
            </w:pPr>
            <w:r>
              <w:rPr>
                <w:rFonts w:ascii="Arial" w:cs="Arial" w:eastAsia="Arial" w:hAnsi="Arial"/>
                <w:sz w:val="17"/>
                <w:szCs w:val="17"/>
                <w:color w:val="auto"/>
              </w:rPr>
              <w:t>Increase in accounts receivable</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(3,786)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(3,274)</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(1,879)</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860"/>
              <w:spacing w:after="0"/>
              <w:rPr>
                <w:sz w:val="20"/>
                <w:szCs w:val="20"/>
                <w:color w:val="auto"/>
              </w:rPr>
            </w:pPr>
            <w:r>
              <w:rPr>
                <w:rFonts w:ascii="Arial" w:cs="Arial" w:eastAsia="Arial" w:hAnsi="Arial"/>
                <w:sz w:val="17"/>
                <w:szCs w:val="17"/>
                <w:color w:val="auto"/>
              </w:rPr>
              <w:t>(Decrease) increase in accounts payable, security deposits and prepaid rent</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(1,118)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(1,277)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Increase (decrease) in accrued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4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184,401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174,941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174,148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Acquisition of real estate</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w w:val="90"/>
              </w:rPr>
              <w:t>(266,984)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(96,920)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0"/>
              </w:rPr>
              <w:t>(101,688)</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(95,718)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(143,981)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(53,374)</w:t>
            </w: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Capital expenditures—other</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(23,961)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(25,676)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(38,112)</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sale of real estate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113,141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(4,960)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(9,426)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Leasing costs</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(8,628)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(8,628)</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(7,964)</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(Issuance) repayment of mortgage and other notes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(3,172)</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w w:val="90"/>
              </w:rPr>
              <w:t>(317,429)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w w:val="90"/>
              </w:rPr>
              <w:t>(152,730)</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0"/>
              </w:rPr>
              <w:t>(157,611)</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Net borrowings (repayment) under revolving credit facility, net of costs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43,457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(44,750)</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Issuance of senior debentures, net of costs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509,892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124,013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Issuance of note payable, net of costs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149,979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Repayment of senior debentures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(39,500)</w:t>
            </w: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Repayment of mortgages, capital leases and notes payable</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w w:val="90"/>
              </w:rPr>
              <w:t>(405,552)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(4,555)</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(3,623)</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Redemption of Series B preferred shares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0"/>
              </w:rPr>
              <w:t>(135,000)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Issuance of common shares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158,190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11,234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109,051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0"/>
              </w:rPr>
              <w:t>(139,845)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(130,500)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(108,756)</w:t>
            </w:r>
          </w:p>
        </w:tc>
        <w:tc>
          <w:tcPr>
            <w:tcW w:w="0" w:type="dxa"/>
            <w:vAlign w:val="bottom"/>
          </w:tcPr>
          <w:p>
            <w:pPr>
              <w:spacing w:after="0"/>
              <w:rPr>
                <w:sz w:val="1"/>
                <w:szCs w:val="1"/>
                <w:color w:val="auto"/>
              </w:rPr>
            </w:pPr>
          </w:p>
        </w:tc>
      </w:tr>
      <w:tr>
        <w:trPr>
          <w:trHeight w:val="212"/>
        </w:trPr>
        <w:tc>
          <w:tcPr>
            <w:tcW w:w="8440" w:type="dxa"/>
            <w:vAlign w:val="bottom"/>
          </w:tcPr>
          <w:p>
            <w:pPr>
              <w:ind w:left="420"/>
              <w:spacing w:after="0"/>
              <w:rPr>
                <w:sz w:val="20"/>
                <w:szCs w:val="20"/>
                <w:color w:val="auto"/>
              </w:rPr>
            </w:pPr>
            <w:r>
              <w:rPr>
                <w:rFonts w:ascii="Arial" w:cs="Arial" w:eastAsia="Arial" w:hAnsi="Arial"/>
                <w:sz w:val="17"/>
                <w:szCs w:val="17"/>
                <w:color w:val="auto"/>
              </w:rPr>
              <w:t>Distributions to minority interests</w:t>
            </w:r>
          </w:p>
        </w:tc>
        <w:tc>
          <w:tcPr>
            <w:tcW w:w="100" w:type="dxa"/>
            <w:vAlign w:val="bottom"/>
          </w:tcPr>
          <w:p>
            <w:pPr>
              <w:spacing w:after="0"/>
              <w:rPr>
                <w:sz w:val="18"/>
                <w:szCs w:val="18"/>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7"/>
                <w:szCs w:val="17"/>
                <w:color w:val="auto"/>
              </w:rPr>
              <w:t>(4,737)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(4,739)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135,884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(44,047)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(21,030)</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(21,836)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(4,493)</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30,475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4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11,495</w:t>
            </w:r>
          </w:p>
        </w:tc>
        <w:tc>
          <w:tcPr>
            <w:tcW w:w="2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8,639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53"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Federal Realty Investment Trust</w:t>
      </w:r>
    </w:p>
    <w:p>
      <w:pPr>
        <w:spacing w:after="0" w:line="96"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8"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2006, 2005 and 2004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SIGNIFICANT ACCOUNTING POLICIES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and Organization</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2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have elected to treat certain of our subsidiaries as taxable REIT subsidiaries, each of which we refer to as a TRS. In general, a TRS may engage in any real estate business and certain non-real estate businesses, subject to certain limitations under the Code. A TRS is subject to federal and state income taxes. The sales of condominiums at Santana Row beginning in August 2005 were conducted through a TRS. As a result of these condominium sales, our TRS incurred approximately $2.4 million and $3.5 million of income taxes in 2006 and 2005, respectively. Prior to 2005, our TRS activities were limited and they did not incur any significant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Estimates</w:t>
      </w:r>
    </w:p>
    <w:p>
      <w:pPr>
        <w:spacing w:after="0" w:line="9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9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00"/>
          </w:cols>
          <w:pgMar w:left="240" w:top="453"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40"/>
        <w:spacing w:after="0" w:line="273" w:lineRule="auto"/>
        <w:rPr>
          <w:sz w:val="20"/>
          <w:szCs w:val="20"/>
          <w:color w:val="auto"/>
        </w:rPr>
      </w:pPr>
      <w:r>
        <w:rPr>
          <w:rFonts w:ascii="Arial" w:cs="Arial" w:eastAsia="Arial" w:hAnsi="Arial"/>
          <w:sz w:val="17"/>
          <w:szCs w:val="17"/>
          <w:color w:val="auto"/>
        </w:rPr>
        <w:t>tenant credit risk may result in the nonrecognition of a portion of straight-line rental income until the collection of such income is reasonably assured. At December 31, 2006 and 2005, accounts receivable include approximately $24.8 million and $19.1 million, respectively, related to straight-line rents. At December 31, 2006 and 2005 our allowance for doubtful accounts was $6.2 million and $6.3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9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three to 15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application of SFAS No. 66 can be complex and requires us to make assumptions. We believe the criteria of SFAS No. 66 was met for all real estate sold during 2006, 2005 and 2004 and accordingly, the full gain related to these sales was recognized at the time of sale.</w:t>
      </w:r>
    </w:p>
    <w:p>
      <w:pPr>
        <w:spacing w:after="0" w:line="11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accordance with SFAS No. 141,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The value allocated to in-place leases is amortized over the related lease term and reflected as rental income in the statement of operations. If a tenant vacates its space prior to contractual termination of its lease, the unamortized balance of any in-place lease value is written off to rental income.</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We are the lessee of certain land and buildings. We classify our leases of land and building as operating or capital leases in accordance with the provisions of SFAS No. 13, “Accounting for Leases.”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accordance with SFAS No. 67, “Accounting for Costs and Initial Rental Operations of Real Estate Projects,” we capitalize certain costs related to the development and redevelopment of real estate including pre-construction costs, real estate taxes, insurance, construction costs and salaries and related costs of personnel directly involved. Additionally, in accordance with SFAS No. 34, “Capitalization of Interest Costs,”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placed-in service and depreciation commences.</w:t>
      </w:r>
    </w:p>
    <w:p>
      <w:pPr>
        <w:spacing w:after="0" w:line="118"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In accordance with SFAS No. 144, “Accounting for the Impairment or Disposal of Long-Lived Assets,” 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SFAS No. 144 also requires the sale or disposal of a “component of an entity” to be treated as discontinued operations. The properties sold by us typically meet the definition of a component of an entity and as such the revenues and expenses associated with sold properties are reclassified to discontinued operations for all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96"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color w:val="auto"/>
        </w:rPr>
        <w:t>We define cash as cash on hand, demand deposits with financial institutions and short term liquid investments with an initial maturity under three months. Cash balances in individual banks may exceed insurable amounts.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80"/>
          </w:cols>
          <w:pgMar w:left="240" w:top="453"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Assets</w:t>
      </w:r>
    </w:p>
    <w:p>
      <w:pPr>
        <w:spacing w:after="0" w:line="96"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lease costs are written off. Other assets also include the premiums paid for split dollar life insurance covering several officers and former officers which were approximately $4.6 million and $4.5 million at December 31, 2006 and December 31,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96"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9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2006, 2005 and 2004, and we do not anticipate it will have a significant effect in the future.</w:t>
      </w:r>
    </w:p>
    <w:p>
      <w:pPr>
        <w:spacing w:after="0" w:line="137"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In January 2004, we entered into an interest rate swap to fix the LIBOR portion of our $150 million term loan issued in October of 2003. This swap fixed the LIBOR portion at 2.401% through October 2006. The full notional amount of this swap qualified as a cash flow hedge until we repaid the $150 million term loan on July 17, 2006. We did not redesignate this swap and the related $1.2 million included in accumulated other comprehensive income was recognized into earnings.</w:t>
      </w:r>
    </w:p>
    <w:p>
      <w:pPr>
        <w:spacing w:after="0" w:line="92"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August 2002, in anticipation of a $150 million senior unsecured note offering, we entered into a treasury lock that fixed the five year treasury rate at 3.472% through August 19, 2002. On August 16, 2002, we priced the senior unsecured notes with a scheduled closing date of August 21, 2002 and closed on the associated rate lock. Five-year treasury rates declined between the pricing period and the settlement if the rate lock and therefore, we paid $1.5 million to settle the rate lock. As a result of the August 19, 2002 fire at Santana Row, we did not proceed with the note offering at that time. However, we consummated a $150 million, 6.125% Senior Unsecured Note offering on November 2002, and thus, the hedge loss is being amortized into interest expense over the life of these notes.</w:t>
      </w:r>
    </w:p>
    <w:p>
      <w:pPr>
        <w:spacing w:after="0" w:line="104"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We also purchased an interest rate swap that terminated March 2006, with a notional amount of $40.5 million upon issuance of our 6.99% Medium Term Notes, which reduced the effective interest rate from 6.99% to 6.894%.</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Development and Construction Loan Arrangements</w:t>
      </w:r>
    </w:p>
    <w:p>
      <w:pPr>
        <w:spacing w:after="0" w:line="9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380"/>
          </w:cols>
          <w:pgMar w:left="240" w:top="453"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defined in the Third Notice) and because the borrower has either a substantial investment in the project or has guaranteed all or a portion of our loan (or a combination thereof) the loans qualify for loan accounting. The amounts under ADC arrangements are presented as mortgage notes receivable at December 31, 2006 and 2005.</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Earnings Per Share</w:t>
      </w:r>
    </w:p>
    <w:p>
      <w:pPr>
        <w:spacing w:after="0" w:line="9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calculate basic and diluted earnings per share in accordance with SFAS No. 128, “Earnings Per Share.” Basic earnings per share (“EPS”) excludes dilution and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 In 2006, 2005 and 2004, operating partnership units were excluded from diluted EPS as the conversion of these units would have resulted in an anti-dilutive effect.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between basic and diluted EPS: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2005</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2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7"/>
              <w:spacing w:after="0" w:line="139"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6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8"/>
              </w:rPr>
              <w:t>except per</w:t>
            </w:r>
          </w:p>
        </w:tc>
        <w:tc>
          <w:tcPr>
            <w:tcW w:w="4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w w:val="97"/>
              </w:rPr>
              <w:t>share</w:t>
            </w:r>
          </w:p>
        </w:tc>
        <w:tc>
          <w:tcPr>
            <w:tcW w:w="6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rPr>
              <w:t>95,076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84,433</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64,041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dividends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w w:val="97"/>
              </w:rPr>
              <w:t>(10,423)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w w:val="97"/>
              </w:rPr>
              <w:t>(11,475)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(11,475)</w:t>
            </w:r>
          </w:p>
        </w:tc>
        <w:tc>
          <w:tcPr>
            <w:tcW w:w="0" w:type="dxa"/>
            <w:vAlign w:val="bottom"/>
          </w:tcPr>
          <w:p>
            <w:pPr>
              <w:spacing w:after="0"/>
              <w:rPr>
                <w:sz w:val="1"/>
                <w:szCs w:val="1"/>
                <w:color w:val="auto"/>
              </w:rPr>
            </w:pPr>
          </w:p>
        </w:tc>
      </w:tr>
      <w:tr>
        <w:trPr>
          <w:trHeight w:val="218"/>
        </w:trPr>
        <w:tc>
          <w:tcPr>
            <w:tcW w:w="5220" w:type="dxa"/>
            <w:vAlign w:val="bottom"/>
          </w:tcPr>
          <w:p>
            <w:pPr>
              <w:spacing w:after="0"/>
              <w:rPr>
                <w:sz w:val="20"/>
                <w:szCs w:val="20"/>
                <w:color w:val="auto"/>
              </w:rPr>
            </w:pPr>
            <w:r>
              <w:rPr>
                <w:rFonts w:ascii="Arial" w:cs="Arial" w:eastAsia="Arial" w:hAnsi="Arial"/>
                <w:sz w:val="17"/>
                <w:szCs w:val="17"/>
                <w:color w:val="auto"/>
              </w:rPr>
              <w:t>Preferred stock redemption costs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7"/>
                <w:szCs w:val="17"/>
                <w:color w:val="auto"/>
              </w:rPr>
              <w:t>(4,775)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from continuing operations available for common shareholders</w:t>
            </w:r>
          </w:p>
        </w:tc>
        <w:tc>
          <w:tcPr>
            <w:tcW w:w="3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72,958</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7"/>
                <w:szCs w:val="17"/>
                <w:color w:val="auto"/>
              </w:rPr>
              <w:t>(320)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74"/>
              <w:spacing w:after="0"/>
              <w:rPr>
                <w:sz w:val="20"/>
                <w:szCs w:val="20"/>
                <w:color w:val="auto"/>
              </w:rPr>
            </w:pPr>
            <w:r>
              <w:rPr>
                <w:rFonts w:ascii="Arial" w:cs="Arial" w:eastAsia="Arial" w:hAnsi="Arial"/>
                <w:sz w:val="17"/>
                <w:szCs w:val="17"/>
                <w:color w:val="auto"/>
              </w:rPr>
              <w:t>(569)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3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14,052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20"/>
                <w:szCs w:val="20"/>
                <w:color w:val="auto"/>
              </w:rPr>
            </w:pPr>
            <w:r>
              <w:rPr>
                <w:rFonts w:ascii="Arial" w:cs="Arial" w:eastAsia="Arial" w:hAnsi="Arial"/>
                <w:sz w:val="17"/>
                <w:szCs w:val="17"/>
                <w:color w:val="auto"/>
              </w:rPr>
              <w:t>Net income available for common shareholders, basic and dilutive</w:t>
            </w:r>
          </w:p>
        </w:tc>
        <w:tc>
          <w:tcPr>
            <w:tcW w:w="3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w w:val="91"/>
              </w:rPr>
              <w:t>103,514</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103,137</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72,681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Arial" w:cs="Arial" w:eastAsia="Arial" w:hAnsi="Arial"/>
                <w:sz w:val="17"/>
                <w:szCs w:val="17"/>
                <w:color w:val="auto"/>
              </w:rPr>
              <w:t>Weighted average common shares outstanding—basic</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rPr>
              <w:t>53,469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52,533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51,008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ind w:left="420"/>
              <w:spacing w:after="0"/>
              <w:rPr>
                <w:sz w:val="20"/>
                <w:szCs w:val="20"/>
                <w:color w:val="auto"/>
              </w:rPr>
            </w:pPr>
            <w:r>
              <w:rPr>
                <w:rFonts w:ascii="Arial" w:cs="Arial" w:eastAsia="Arial" w:hAnsi="Arial"/>
                <w:sz w:val="17"/>
                <w:szCs w:val="17"/>
                <w:color w:val="auto"/>
              </w:rPr>
              <w:t>Stock options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rPr>
              <w:t>389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Unvested stock</w:t>
            </w:r>
          </w:p>
        </w:tc>
        <w:tc>
          <w:tcPr>
            <w:tcW w:w="3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20"/>
                <w:szCs w:val="20"/>
                <w:color w:val="auto"/>
              </w:rPr>
            </w:pPr>
            <w:r>
              <w:rPr>
                <w:rFonts w:ascii="Arial" w:cs="Arial" w:eastAsia="Arial" w:hAnsi="Arial"/>
                <w:sz w:val="17"/>
                <w:szCs w:val="17"/>
                <w:color w:val="auto"/>
              </w:rPr>
              <w:t>Weighted average common shares outstanding—dilutive</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rPr>
              <w:t>53,962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53,050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51,547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Arial" w:cs="Arial" w:eastAsia="Arial" w:hAnsi="Arial"/>
                <w:sz w:val="17"/>
                <w:szCs w:val="17"/>
                <w:color w:val="auto"/>
              </w:rPr>
              <w:t>Continuing operations</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rPr>
              <w:t>1.50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1.39</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discontinued operations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0.58</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1.48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7"/>
                <w:szCs w:val="17"/>
                <w:color w:val="auto"/>
              </w:rPr>
              <w:t>(0.01)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74"/>
              <w:spacing w:after="0"/>
              <w:rPr>
                <w:sz w:val="20"/>
                <w:szCs w:val="20"/>
                <w:color w:val="auto"/>
              </w:rPr>
            </w:pPr>
            <w:r>
              <w:rPr>
                <w:rFonts w:ascii="Arial" w:cs="Arial" w:eastAsia="Arial" w:hAnsi="Arial"/>
                <w:sz w:val="17"/>
                <w:szCs w:val="17"/>
                <w:color w:val="auto"/>
              </w:rPr>
              <w:t>(0.01)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3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7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92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1.94</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220" w:type="dxa"/>
            <w:vAlign w:val="bottom"/>
          </w:tcPr>
          <w:p>
            <w:pPr>
              <w:spacing w:after="0"/>
              <w:rPr>
                <w:sz w:val="24"/>
                <w:szCs w:val="24"/>
                <w:color w:val="auto"/>
              </w:rPr>
            </w:pPr>
          </w:p>
        </w:tc>
        <w:tc>
          <w:tcPr>
            <w:tcW w:w="3480" w:type="dxa"/>
            <w:vAlign w:val="bottom"/>
            <w:gridSpan w:val="2"/>
          </w:tcPr>
          <w:p>
            <w:pPr>
              <w:jc w:val="right"/>
              <w:ind w:right="2820"/>
              <w:spacing w:after="0"/>
              <w:rPr>
                <w:sz w:val="20"/>
                <w:szCs w:val="20"/>
                <w:color w:val="auto"/>
              </w:rPr>
            </w:pPr>
            <w:r>
              <w:rPr>
                <w:rFonts w:ascii="Arial" w:cs="Arial" w:eastAsia="Arial" w:hAnsi="Arial"/>
                <w:sz w:val="17"/>
                <w:szCs w:val="17"/>
                <w:color w:val="auto"/>
              </w:rPr>
              <w:t>F-12</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Cumulative Effect of Change in Accounting Principle</w:t>
      </w:r>
    </w:p>
    <w:p>
      <w:pPr>
        <w:spacing w:after="0" w:line="96"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Prior to January 1, 2006, we accounted for stock based compensation under the recognition and measurement provisions of Accounting Principle Board Opinion (“APB”) No. 25, “Accounting for Stock Issued to Employees,” and related interpretations, as permitted by Financial Accounting Standard (“SFAS”) No. 123, “Accounting for Stock-Based Compensation.” Under APB No. 25, no stock based compensation costs were recognized in the Statement of Operations for stock options as our options granted had an exercise price equal to the market value of our common shares on the date of grant. 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No. 123(R). Prior to January 1, 2006, we used the Black-Scholes model to value stock options and we intend to continue to use this model to value stock options issued subsequent to January 1, 2006.</w:t>
      </w:r>
    </w:p>
    <w:p>
      <w:pPr>
        <w:spacing w:after="0" w:line="1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January 1, 2006, we recorded the cumulative effect of adopting SFAS No. 123(R). This cumulative effect resulted in decreasing accrued liabilities by $3.3 million and increasing shareholder equity by $3.3 million. These balance sheet changes related to deferred compensation on unvested shares. Under SFAS No. 123(R), deferred compensation is no longer recorded at the time unvested shares are issued. Share-based compensation expense is now recorded over the requisite service period with an offsetting credit to equity (generally additional paid-in capital).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Compensation Subsequent to the Adoption of SFAS No. 123(R)</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 summary of share-based compensation expense included in net income for the year ended December 31, 2006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8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Year Ended</w:t>
            </w:r>
          </w:p>
        </w:tc>
      </w:tr>
      <w:tr>
        <w:trPr>
          <w:trHeight w:val="171"/>
        </w:trPr>
        <w:tc>
          <w:tcPr>
            <w:tcW w:w="84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December 31, 2006</w:t>
            </w:r>
          </w:p>
        </w:tc>
      </w:tr>
      <w:tr>
        <w:trPr>
          <w:trHeight w:val="140"/>
        </w:trPr>
        <w:tc>
          <w:tcPr>
            <w:tcW w:w="8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0"/>
              <w:spacing w:after="0" w:line="140"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2"/>
                <w:szCs w:val="12"/>
                <w:color w:val="auto"/>
              </w:rPr>
            </w:pP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incurred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8440" w:type="dxa"/>
            <w:vAlign w:val="bottom"/>
          </w:tcPr>
          <w:p>
            <w:pPr>
              <w:ind w:left="840"/>
              <w:spacing w:after="0"/>
              <w:rPr>
                <w:sz w:val="20"/>
                <w:szCs w:val="20"/>
                <w:color w:val="auto"/>
              </w:rPr>
            </w:pPr>
            <w:r>
              <w:rPr>
                <w:rFonts w:ascii="Arial" w:cs="Arial" w:eastAsia="Arial" w:hAnsi="Arial"/>
                <w:sz w:val="17"/>
                <w:szCs w:val="17"/>
                <w:color w:val="auto"/>
              </w:rPr>
              <w:t>Grants of common shares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5,156</w:t>
            </w:r>
          </w:p>
        </w:tc>
        <w:tc>
          <w:tcPr>
            <w:tcW w:w="60" w:type="dxa"/>
            <w:vAlign w:val="bottom"/>
          </w:tcPr>
          <w:p>
            <w:pPr>
              <w:spacing w:after="0"/>
              <w:rPr>
                <w:sz w:val="18"/>
                <w:szCs w:val="18"/>
                <w:color w:val="auto"/>
              </w:rPr>
            </w:pPr>
          </w:p>
        </w:tc>
      </w:tr>
      <w:tr>
        <w:trPr>
          <w:trHeight w:val="212"/>
        </w:trPr>
        <w:tc>
          <w:tcPr>
            <w:tcW w:w="84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Grants of options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60" w:type="dxa"/>
            <w:vAlign w:val="bottom"/>
            <w:shd w:val="clear" w:color="auto" w:fill="CCEEFF"/>
          </w:tcPr>
          <w:p>
            <w:pPr>
              <w:spacing w:after="0"/>
              <w:rPr>
                <w:sz w:val="18"/>
                <w:szCs w:val="18"/>
                <w:color w:val="auto"/>
              </w:rPr>
            </w:pPr>
          </w:p>
        </w:tc>
      </w:tr>
      <w:tr>
        <w:trPr>
          <w:trHeight w:val="217"/>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6,490</w:t>
            </w:r>
          </w:p>
        </w:tc>
        <w:tc>
          <w:tcPr>
            <w:tcW w:w="60" w:type="dxa"/>
            <w:vAlign w:val="bottom"/>
          </w:tcPr>
          <w:p>
            <w:pPr>
              <w:spacing w:after="0"/>
              <w:rPr>
                <w:sz w:val="18"/>
                <w:szCs w:val="18"/>
                <w:color w:val="auto"/>
              </w:rPr>
            </w:pPr>
          </w:p>
        </w:tc>
      </w:tr>
      <w:tr>
        <w:trPr>
          <w:trHeight w:val="213"/>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Capitalized share-based compensation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(620)</w:t>
            </w:r>
          </w:p>
        </w:tc>
      </w:tr>
      <w:tr>
        <w:trPr>
          <w:trHeight w:val="217"/>
        </w:trPr>
        <w:tc>
          <w:tcPr>
            <w:tcW w:w="8440" w:type="dxa"/>
            <w:vAlign w:val="bottom"/>
          </w:tcPr>
          <w:p>
            <w:pPr>
              <w:spacing w:after="0"/>
              <w:rPr>
                <w:sz w:val="20"/>
                <w:szCs w:val="20"/>
                <w:color w:val="auto"/>
              </w:rPr>
            </w:pPr>
            <w:r>
              <w:rPr>
                <w:rFonts w:ascii="Arial" w:cs="Arial" w:eastAsia="Arial" w:hAnsi="Arial"/>
                <w:sz w:val="17"/>
                <w:szCs w:val="17"/>
                <w:color w:val="auto"/>
              </w:rPr>
              <w:t>Share-based compensation expensed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5,870</w:t>
            </w:r>
          </w:p>
        </w:tc>
        <w:tc>
          <w:tcPr>
            <w:tcW w:w="6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If we had not adopted SFAS No. 123(R), our net income for the twelve and three months ended December 31, 2006 would have excluded share-based compensation related to options of $1.3 million and $0.5 million, respectively, and included variable stock compensation related to our performance shares of $1.5 million and $0.6 million, respectively. Under SFAS No. 123(R), the compensation associated with our unvested performance shares is now fixed at their grant-date fair value.</w:t>
      </w:r>
    </w:p>
    <w:p>
      <w:pPr>
        <w:spacing w:after="0" w:line="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Accordingly, if we had not adopted SFAS No. 123(R), our income from continuing operations, net income, basic earnings per share and dilutive earnings per share for the twelve and three months ended December 31, 2006 would not have been materially different. While there are certain differences between SFAS No. 123 and 123(R), we believe the pro forma disclosures under SFAS No. 123 presented below approximate the effect of SFAS No. 123(R) for the twelve and three months ended December 31, 2005.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3"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Information for Period Prior to Adoption of SFAS No. 123(R)</w:t>
      </w:r>
    </w:p>
    <w:p>
      <w:pPr>
        <w:spacing w:after="0" w:line="96"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following table illustrates the effect on net income and earnings per share if we had applied the fair value recognition provisions of SFAS No. 123 to our stock based compensation.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2005</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760" w:type="dxa"/>
            <w:vAlign w:val="bottom"/>
            <w:gridSpan w:val="6"/>
            <w:shd w:val="clear" w:color="auto" w:fill="CCEEFF"/>
          </w:tcPr>
          <w:p>
            <w:pPr>
              <w:jc w:val="right"/>
              <w:ind w:right="440"/>
              <w:spacing w:after="0" w:line="139" w:lineRule="exact"/>
              <w:rPr>
                <w:sz w:val="20"/>
                <w:szCs w:val="20"/>
                <w:color w:val="auto"/>
              </w:rPr>
            </w:pPr>
            <w:r>
              <w:rPr>
                <w:rFonts w:ascii="Arial" w:cs="Arial" w:eastAsia="Arial" w:hAnsi="Arial"/>
                <w:sz w:val="13"/>
                <w:szCs w:val="13"/>
                <w:b w:val="1"/>
                <w:bCs w:val="1"/>
                <w:color w:val="auto"/>
                <w:w w:val="99"/>
              </w:rPr>
              <w:t>(In thousands, except per share data)</w:t>
            </w:r>
          </w:p>
        </w:tc>
        <w:tc>
          <w:tcPr>
            <w:tcW w:w="0" w:type="dxa"/>
            <w:vAlign w:val="bottom"/>
          </w:tcPr>
          <w:p>
            <w:pPr>
              <w:spacing w:after="0"/>
              <w:rPr>
                <w:sz w:val="1"/>
                <w:szCs w:val="1"/>
                <w:color w:val="auto"/>
              </w:rPr>
            </w:pPr>
          </w:p>
        </w:tc>
      </w:tr>
      <w:tr>
        <w:trPr>
          <w:trHeight w:val="212"/>
        </w:trPr>
        <w:tc>
          <w:tcPr>
            <w:tcW w:w="8420" w:type="dxa"/>
            <w:vAlign w:val="bottom"/>
          </w:tcPr>
          <w:p>
            <w:pPr>
              <w:spacing w:after="0"/>
              <w:rPr>
                <w:sz w:val="20"/>
                <w:szCs w:val="20"/>
                <w:color w:val="auto"/>
              </w:rPr>
            </w:pPr>
            <w:r>
              <w:rPr>
                <w:rFonts w:ascii="Arial" w:cs="Arial" w:eastAsia="Arial" w:hAnsi="Arial"/>
                <w:sz w:val="17"/>
                <w:szCs w:val="17"/>
                <w:color w:val="auto"/>
              </w:rPr>
              <w:t>Net income, as reported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color w:val="auto"/>
              </w:rPr>
              <w:t>114,612</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Stock-based employee compensation cost included in net income</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3,992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tcPr>
          <w:p>
            <w:pPr>
              <w:spacing w:after="0"/>
              <w:rPr>
                <w:sz w:val="20"/>
                <w:szCs w:val="20"/>
                <w:color w:val="auto"/>
              </w:rPr>
            </w:pPr>
            <w:r>
              <w:rPr>
                <w:rFonts w:ascii="Arial" w:cs="Arial" w:eastAsia="Arial" w:hAnsi="Arial"/>
                <w:sz w:val="17"/>
                <w:szCs w:val="17"/>
                <w:color w:val="auto"/>
              </w:rPr>
              <w:t>Stock-based employee compensation cost under the fair value method for all rewards</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7"/>
                <w:szCs w:val="17"/>
                <w:color w:val="auto"/>
              </w:rPr>
              <w:t>(3,802)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(2,800)</w:t>
            </w:r>
          </w:p>
        </w:tc>
        <w:tc>
          <w:tcPr>
            <w:tcW w:w="0" w:type="dxa"/>
            <w:vAlign w:val="bottom"/>
          </w:tcPr>
          <w:p>
            <w:pPr>
              <w:spacing w:after="0"/>
              <w:rPr>
                <w:sz w:val="1"/>
                <w:szCs w:val="1"/>
                <w:color w:val="auto"/>
              </w:rPr>
            </w:pPr>
          </w:p>
        </w:tc>
      </w:tr>
      <w:tr>
        <w:trPr>
          <w:trHeight w:val="26"/>
        </w:trPr>
        <w:tc>
          <w:tcPr>
            <w:tcW w:w="8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114,802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7"/>
                <w:szCs w:val="17"/>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 as reported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1.96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tcPr>
          <w:p>
            <w:pPr>
              <w:ind w:left="420"/>
              <w:spacing w:after="0"/>
              <w:rPr>
                <w:sz w:val="20"/>
                <w:szCs w:val="20"/>
                <w:color w:val="auto"/>
              </w:rPr>
            </w:pPr>
            <w:r>
              <w:rPr>
                <w:rFonts w:ascii="Arial" w:cs="Arial" w:eastAsia="Arial" w:hAnsi="Arial"/>
                <w:sz w:val="17"/>
                <w:szCs w:val="17"/>
                <w:color w:val="auto"/>
              </w:rPr>
              <w:t>Basic, pro forma</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color w:val="auto"/>
              </w:rPr>
              <w:t>1.97</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103,137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tcPr>
          <w:p>
            <w:pPr>
              <w:spacing w:after="0"/>
              <w:rPr>
                <w:sz w:val="20"/>
                <w:szCs w:val="20"/>
                <w:color w:val="auto"/>
              </w:rPr>
            </w:pPr>
            <w:r>
              <w:rPr>
                <w:rFonts w:ascii="Arial" w:cs="Arial" w:eastAsia="Arial" w:hAnsi="Arial"/>
                <w:sz w:val="17"/>
                <w:szCs w:val="17"/>
                <w:color w:val="auto"/>
              </w:rPr>
              <w:t>Stock-based employee compensation cost included in net income</w:t>
            </w: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7"/>
                <w:szCs w:val="17"/>
                <w:color w:val="auto"/>
              </w:rPr>
              <w:t>3,992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Stock-based employee compensation cost under the fair value method for all rewards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(3,802)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7"/>
                <w:szCs w:val="17"/>
                <w:color w:val="auto"/>
              </w:rPr>
              <w:t>Pro forma net income—diluted</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color w:val="auto"/>
              </w:rPr>
              <w:t>103,327</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tcPr>
          <w:p>
            <w:pPr>
              <w:ind w:left="420"/>
              <w:spacing w:after="0"/>
              <w:rPr>
                <w:sz w:val="20"/>
                <w:szCs w:val="20"/>
                <w:color w:val="auto"/>
              </w:rPr>
            </w:pPr>
            <w:r>
              <w:rPr>
                <w:rFonts w:ascii="Arial" w:cs="Arial" w:eastAsia="Arial" w:hAnsi="Arial"/>
                <w:sz w:val="17"/>
                <w:szCs w:val="17"/>
                <w:color w:val="auto"/>
              </w:rPr>
              <w:t>Diluted, as reported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color w:val="auto"/>
              </w:rPr>
              <w:t>1.94</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 pro forma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1.95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Preferred Stock</w:t>
      </w:r>
    </w:p>
    <w:p>
      <w:pPr>
        <w:spacing w:after="0" w:line="9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November 27, 2006, we redeemed our $135 million 8.5% Series B Cumulative Redeemable Preferred Shares at their face value. The original issuance costs of $4.8 million were charged to shareholders’ equity when the shares were issued. On July 31, 2003, the Emerging Issues Task Force provided clarification on the treatment of the difference between the redemption value and the carrying value, adjusting for issuance costs, for GAAP financial reporting. As a result, our Consolidated Statement of Operations for the year ended December 31, 2006 reflects a charge of $4.8 million in “Preferred stock redemption costs” as a reduction of net income in computing net income available for common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w:t>
      </w:r>
    </w:p>
    <w:p>
      <w:pPr>
        <w:spacing w:after="0" w:line="96"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In January 2003, the Financial Accounting Standards Board issued FASB Interpretation No. 46 (revised December 2003) (“FIN 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are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and our real estate partnership with affiliates of Clarion Lion Properties Fund and determined that these joint ventures do not meet the requirements of a variable interest entity and, therefore, consolidation of these ventures is not required. These investments are accounted for using the equity method. We have also evaluated the applicability of FIN 46-R to our mortgage loans receivable and determined that they are not variable interest entities.</w:t>
      </w:r>
    </w:p>
    <w:p>
      <w:pPr>
        <w:spacing w:after="0" w:line="113" w:lineRule="exact"/>
        <w:rPr>
          <w:sz w:val="20"/>
          <w:szCs w:val="20"/>
          <w:color w:val="auto"/>
        </w:rPr>
      </w:pPr>
    </w:p>
    <w:p>
      <w:pPr>
        <w:ind w:right="120"/>
        <w:spacing w:after="0" w:line="326" w:lineRule="auto"/>
        <w:rPr>
          <w:sz w:val="20"/>
          <w:szCs w:val="20"/>
          <w:color w:val="auto"/>
        </w:rPr>
      </w:pPr>
      <w:r>
        <w:rPr>
          <w:rFonts w:ascii="Arial" w:cs="Arial" w:eastAsia="Arial" w:hAnsi="Arial"/>
          <w:sz w:val="15"/>
          <w:szCs w:val="15"/>
          <w:color w:val="auto"/>
        </w:rPr>
        <w:t>Our investment balance in these restaurant joint ventures was approximately $8.6 million and $6.8 million at December 31, 2006 and 2005, respectively. Our equity in earnings from these restaurant joint ventures was $1.5 million, $1.3 million and $1.1 million in 2006, 2005 and 2004, respectively. Our investment balances and earnings from mortgage notes receivable and our real estate partnership are presented in our consolidated balance sheets and consolidated statements of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53"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From December 29, 2005 to June 5, 2006, a third party intermediary was the legal owner of Crow Canyon Commons, but we controlled the property and retained all of the economic benefit and risk associated with the property. Accordingly, we consolidated the property and its operations beginning December 29, 2005.</w:t>
      </w:r>
    </w:p>
    <w:p>
      <w:pPr>
        <w:spacing w:after="0" w:line="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We have determined that this property is held in a variable interest entity for which we are the primary beneficiary. Accordingly, beginning October 16, 2006, we consolidated this property and its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Statements of Cash Flows – Supplemental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the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8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2006</w:t>
            </w:r>
          </w:p>
        </w:tc>
        <w:tc>
          <w:tcPr>
            <w:tcW w:w="300" w:type="dxa"/>
            <w:vAlign w:val="bottom"/>
          </w:tcPr>
          <w:p>
            <w:pPr>
              <w:spacing w:after="0"/>
              <w:rPr>
                <w:sz w:val="13"/>
                <w:szCs w:val="13"/>
                <w:color w:val="auto"/>
              </w:rPr>
            </w:pPr>
          </w:p>
        </w:tc>
        <w:tc>
          <w:tcPr>
            <w:tcW w:w="3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2005</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5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77"/>
              </w:rPr>
              <w:t>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SUPPLEMENTAL DISCLOSURES: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ind w:left="420"/>
              <w:spacing w:after="0"/>
              <w:rPr>
                <w:sz w:val="20"/>
                <w:szCs w:val="20"/>
                <w:color w:val="auto"/>
              </w:rPr>
            </w:pPr>
            <w:r>
              <w:rPr>
                <w:rFonts w:ascii="Arial" w:cs="Arial" w:eastAsia="Arial" w:hAnsi="Arial"/>
                <w:sz w:val="17"/>
                <w:szCs w:val="17"/>
                <w:color w:val="auto"/>
              </w:rPr>
              <w:t>Total interest costs incurred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106,877</w:t>
            </w:r>
          </w:p>
        </w:tc>
        <w:tc>
          <w:tcPr>
            <w:tcW w:w="30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94,257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90,179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Interest capitalized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6"/>
              </w:rPr>
              <w:t>(5,691)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(5,121)</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ind w:left="42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102,808</w:t>
            </w:r>
          </w:p>
        </w:tc>
        <w:tc>
          <w:tcPr>
            <w:tcW w:w="30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88,566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85,058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92,054</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84,796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80,614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ind w:left="420"/>
              <w:spacing w:after="0"/>
              <w:rPr>
                <w:sz w:val="20"/>
                <w:szCs w:val="20"/>
                <w:color w:val="auto"/>
              </w:rPr>
            </w:pPr>
            <w:r>
              <w:rPr>
                <w:rFonts w:ascii="Arial" w:cs="Arial" w:eastAsia="Arial" w:hAnsi="Arial"/>
                <w:sz w:val="17"/>
                <w:szCs w:val="17"/>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5,979(1)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82</w:t>
            </w:r>
          </w:p>
        </w:tc>
        <w:tc>
          <w:tcPr>
            <w:tcW w:w="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NON-CASH FINANCING TRANSACTIONS: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ind w:left="420"/>
              <w:spacing w:after="0"/>
              <w:rPr>
                <w:sz w:val="20"/>
                <w:szCs w:val="20"/>
                <w:color w:val="auto"/>
              </w:rPr>
            </w:pPr>
            <w:r>
              <w:rPr>
                <w:rFonts w:ascii="Arial" w:cs="Arial" w:eastAsia="Arial" w:hAnsi="Arial"/>
                <w:sz w:val="17"/>
                <w:szCs w:val="17"/>
                <w:color w:val="auto"/>
              </w:rPr>
              <w:t>Mortgage loans assumed with acquisitions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44,297</w:t>
            </w:r>
          </w:p>
        </w:tc>
        <w:tc>
          <w:tcPr>
            <w:tcW w:w="30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22,258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Cash paid for income taxes for 2006 includes $5.5 million related to the sales of condominiums at Santana Row which were conducted through a TRS.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Pronouncements</w:t>
      </w:r>
    </w:p>
    <w:p>
      <w:pPr>
        <w:spacing w:after="0" w:line="96"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 an interpretation of FASB Statement No. 109, “Accounting for Income Taxes.” FIN 48 was issued to reduce the diversity in practice associated with certain aspects of recognition, disclosure and measurement related to accounting for uncertain income tax positions. We are required to adopt FIN 48 effective January 1, 2007. We do not believe the adoption of FIN 48 will have a material impact on our financial position, results of operations or cash flows.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September 2006, the Securities and Exchange Commission (SEC) issued Staff Accounting Bulletin No. 108 (“SAB 108”), “Considering the Effects of Prior Year Misstatements in Current Year Financial Statements.” SAB 108 was issued to provide consistency between how registrants quantify financial statements misstatements. Historically, there have been two widely-used methods for quantifying the effects of financial statement misstatements. These methods are commonly referred to as the “roll-over” method and “iron curtain” method. The roll-over method quantifies the amount by which the current income statement is misstated. The iron curtain quantifies the error as the cumulative amount by which the current year balance sheet is misstated.</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SAB 108 establishes an approach that requires quantification of financial statement misstatements based on the effects of the misstatement on each the income statement, balance sheet and the related disclosures. This approach is commonly referred to as the “dual approach.” We adopted SAB 108 during the fourth quarter of 2006 in connection with the preparation of our annual financial statements for the year ending December 31, 2006. The adoption of SAB 108 did not have a material impact on our financial positions, results of operations or cash flows.</w:t>
      </w:r>
    </w:p>
    <w:p>
      <w:pPr>
        <w:spacing w:after="0" w:line="13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3"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color w:val="auto"/>
        </w:rPr>
        <w:t>adopt SFAS No. 157 effective January 1, 2008. We do not believe the adoption of SFAS No. 157 will have a material impact on our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REAL ESTATE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real estate investments and related encumbrances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3"/>
                <w:szCs w:val="13"/>
                <w:b w:val="1"/>
                <w:bCs w:val="1"/>
                <w:color w:val="auto"/>
              </w:rPr>
              <w:t>Accumulated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w w:val="89"/>
              </w:rPr>
              <w:t>Depreciation and</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jc w:val="right"/>
              <w:ind w:right="196"/>
              <w:spacing w:after="0"/>
              <w:rPr>
                <w:sz w:val="20"/>
                <w:szCs w:val="20"/>
                <w:color w:val="auto"/>
              </w:rPr>
            </w:pPr>
            <w:r>
              <w:rPr>
                <w:rFonts w:ascii="Arial" w:cs="Arial" w:eastAsia="Arial" w:hAnsi="Arial"/>
                <w:sz w:val="13"/>
                <w:szCs w:val="13"/>
                <w:b w:val="1"/>
                <w:bCs w:val="1"/>
                <w:color w:val="auto"/>
              </w:rPr>
              <w:t>Cost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3"/>
                <w:szCs w:val="13"/>
                <w:b w:val="1"/>
                <w:bCs w:val="1"/>
                <w:color w:val="auto"/>
              </w:rPr>
              <w:t>Amortization</w:t>
            </w:r>
          </w:p>
        </w:tc>
        <w:tc>
          <w:tcPr>
            <w:tcW w:w="6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Encumbrances</w:t>
            </w:r>
          </w:p>
        </w:tc>
        <w:tc>
          <w:tcPr>
            <w:tcW w:w="0" w:type="dxa"/>
            <w:vAlign w:val="bottom"/>
          </w:tcPr>
          <w:p>
            <w:pPr>
              <w:spacing w:after="0"/>
              <w:rPr>
                <w:sz w:val="1"/>
                <w:szCs w:val="1"/>
                <w:color w:val="auto"/>
              </w:rPr>
            </w:pPr>
          </w:p>
        </w:tc>
      </w:tr>
      <w:tr>
        <w:trPr>
          <w:trHeight w:val="163"/>
        </w:trPr>
        <w:tc>
          <w:tcPr>
            <w:tcW w:w="6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December 31, 2006</w:t>
            </w:r>
          </w:p>
        </w:tc>
        <w:tc>
          <w:tcPr>
            <w:tcW w:w="620" w:type="dxa"/>
            <w:vAlign w:val="bottom"/>
            <w:vMerge w:val="restart"/>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w w:val="93"/>
              </w:rPr>
              <w:t>(In thousands)</w:t>
            </w:r>
          </w:p>
        </w:tc>
        <w:tc>
          <w:tcPr>
            <w:tcW w:w="6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700" w:type="dxa"/>
            <w:vAlign w:val="bottom"/>
            <w:tcBorders>
              <w:bottom w:val="single" w:sz="8" w:color="auto"/>
            </w:tcBorders>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$2,885,451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630,600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311,073</w:t>
            </w:r>
          </w:p>
        </w:tc>
        <w:tc>
          <w:tcPr>
            <w:tcW w:w="0" w:type="dxa"/>
            <w:vAlign w:val="bottom"/>
          </w:tcPr>
          <w:p>
            <w:pPr>
              <w:spacing w:after="0"/>
              <w:rPr>
                <w:sz w:val="1"/>
                <w:szCs w:val="1"/>
                <w:color w:val="auto"/>
              </w:rPr>
            </w:pPr>
          </w:p>
        </w:tc>
      </w:tr>
      <w:tr>
        <w:trPr>
          <w:trHeight w:val="212"/>
        </w:trPr>
        <w:tc>
          <w:tcPr>
            <w:tcW w:w="7320" w:type="dxa"/>
            <w:vAlign w:val="bottom"/>
            <w:gridSpan w:val="3"/>
          </w:tcPr>
          <w:p>
            <w:pPr>
              <w:spacing w:after="0"/>
              <w:rPr>
                <w:sz w:val="20"/>
                <w:szCs w:val="20"/>
                <w:color w:val="auto"/>
              </w:rPr>
            </w:pPr>
            <w:r>
              <w:rPr>
                <w:rFonts w:ascii="Arial" w:cs="Arial" w:eastAsia="Arial" w:hAnsi="Arial"/>
                <w:sz w:val="17"/>
                <w:szCs w:val="17"/>
                <w:color w:val="auto"/>
              </w:rPr>
              <w:t>Retail properties under capital leases</w:t>
            </w:r>
          </w:p>
        </w:tc>
        <w:tc>
          <w:tcPr>
            <w:tcW w:w="800" w:type="dxa"/>
            <w:vAlign w:val="bottom"/>
          </w:tcPr>
          <w:p>
            <w:pPr>
              <w:jc w:val="right"/>
              <w:spacing w:after="0"/>
              <w:rPr>
                <w:sz w:val="20"/>
                <w:szCs w:val="20"/>
                <w:color w:val="auto"/>
              </w:rPr>
            </w:pPr>
            <w:r>
              <w:rPr>
                <w:rFonts w:ascii="Arial" w:cs="Arial" w:eastAsia="Arial" w:hAnsi="Arial"/>
                <w:sz w:val="17"/>
                <w:szCs w:val="17"/>
                <w:color w:val="auto"/>
              </w:rPr>
              <w:t>291,944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101,951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7"/>
                <w:szCs w:val="17"/>
                <w:color w:val="auto"/>
              </w:rPr>
              <w:t>149,361</w:t>
            </w:r>
          </w:p>
        </w:tc>
        <w:tc>
          <w:tcPr>
            <w:tcW w:w="0" w:type="dxa"/>
            <w:vAlign w:val="bottom"/>
          </w:tcPr>
          <w:p>
            <w:pPr>
              <w:spacing w:after="0"/>
              <w:rPr>
                <w:sz w:val="1"/>
                <w:szCs w:val="1"/>
                <w:color w:val="auto"/>
              </w:rPr>
            </w:pPr>
          </w:p>
        </w:tc>
      </w:tr>
      <w:tr>
        <w:trPr>
          <w:trHeight w:val="212"/>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7,956</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3,204,258</w:t>
            </w:r>
          </w:p>
        </w:tc>
        <w:tc>
          <w:tcPr>
            <w:tcW w:w="720" w:type="dxa"/>
            <w:vAlign w:val="bottom"/>
            <w:gridSpan w:val="2"/>
          </w:tcPr>
          <w:p>
            <w:pPr>
              <w:ind w:left="62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740,507</w:t>
            </w:r>
          </w:p>
        </w:tc>
        <w:tc>
          <w:tcPr>
            <w:tcW w:w="8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120"/>
              <w:spacing w:after="0"/>
              <w:rPr>
                <w:sz w:val="20"/>
                <w:szCs w:val="20"/>
                <w:color w:val="auto"/>
              </w:rPr>
            </w:pPr>
            <w:r>
              <w:rPr>
                <w:rFonts w:ascii="Arial" w:cs="Arial" w:eastAsia="Arial" w:hAnsi="Arial"/>
                <w:sz w:val="17"/>
                <w:szCs w:val="17"/>
                <w:color w:val="auto"/>
                <w:w w:val="89"/>
              </w:rPr>
              <w:t>460,434(1)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December 31, 2005</w:t>
            </w:r>
          </w:p>
        </w:tc>
        <w:tc>
          <w:tcPr>
            <w:tcW w:w="6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00" w:type="dxa"/>
            <w:vAlign w:val="bottom"/>
            <w:tcBorders>
              <w:bottom w:val="single" w:sz="8" w:color="auto"/>
            </w:tcBorders>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$2,540,395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563,391</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270,898</w:t>
            </w:r>
          </w:p>
        </w:tc>
        <w:tc>
          <w:tcPr>
            <w:tcW w:w="0" w:type="dxa"/>
            <w:vAlign w:val="bottom"/>
          </w:tcPr>
          <w:p>
            <w:pPr>
              <w:spacing w:after="0"/>
              <w:rPr>
                <w:sz w:val="1"/>
                <w:szCs w:val="1"/>
                <w:color w:val="auto"/>
              </w:rPr>
            </w:pPr>
          </w:p>
        </w:tc>
      </w:tr>
      <w:tr>
        <w:trPr>
          <w:trHeight w:val="212"/>
        </w:trPr>
        <w:tc>
          <w:tcPr>
            <w:tcW w:w="7320" w:type="dxa"/>
            <w:vAlign w:val="bottom"/>
            <w:gridSpan w:val="3"/>
          </w:tcPr>
          <w:p>
            <w:pPr>
              <w:spacing w:after="0"/>
              <w:rPr>
                <w:sz w:val="20"/>
                <w:szCs w:val="20"/>
                <w:color w:val="auto"/>
              </w:rPr>
            </w:pPr>
            <w:r>
              <w:rPr>
                <w:rFonts w:ascii="Arial" w:cs="Arial" w:eastAsia="Arial" w:hAnsi="Arial"/>
                <w:sz w:val="17"/>
                <w:szCs w:val="17"/>
                <w:color w:val="auto"/>
              </w:rPr>
              <w:t>Retail properties under capital leases</w:t>
            </w:r>
          </w:p>
        </w:tc>
        <w:tc>
          <w:tcPr>
            <w:tcW w:w="800" w:type="dxa"/>
            <w:vAlign w:val="bottom"/>
          </w:tcPr>
          <w:p>
            <w:pPr>
              <w:jc w:val="right"/>
              <w:spacing w:after="0"/>
              <w:rPr>
                <w:sz w:val="20"/>
                <w:szCs w:val="20"/>
                <w:color w:val="auto"/>
              </w:rPr>
            </w:pPr>
            <w:r>
              <w:rPr>
                <w:rFonts w:ascii="Arial" w:cs="Arial" w:eastAsia="Arial" w:hAnsi="Arial"/>
                <w:sz w:val="17"/>
                <w:szCs w:val="17"/>
                <w:color w:val="auto"/>
              </w:rPr>
              <w:t>262,083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92,943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7"/>
                <w:szCs w:val="17"/>
                <w:color w:val="auto"/>
              </w:rPr>
              <w:t>148,815</w:t>
            </w:r>
          </w:p>
        </w:tc>
        <w:tc>
          <w:tcPr>
            <w:tcW w:w="0" w:type="dxa"/>
            <w:vAlign w:val="bottom"/>
          </w:tcPr>
          <w:p>
            <w:pPr>
              <w:spacing w:after="0"/>
              <w:rPr>
                <w:sz w:val="1"/>
                <w:szCs w:val="1"/>
                <w:color w:val="auto"/>
              </w:rPr>
            </w:pPr>
          </w:p>
        </w:tc>
      </w:tr>
      <w:tr>
        <w:trPr>
          <w:trHeight w:val="212"/>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2,829,321</w:t>
            </w:r>
          </w:p>
        </w:tc>
        <w:tc>
          <w:tcPr>
            <w:tcW w:w="720" w:type="dxa"/>
            <w:vAlign w:val="bottom"/>
            <w:gridSpan w:val="2"/>
          </w:tcPr>
          <w:p>
            <w:pPr>
              <w:ind w:left="62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663,750</w:t>
            </w:r>
          </w:p>
        </w:tc>
        <w:tc>
          <w:tcPr>
            <w:tcW w:w="8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120"/>
              <w:spacing w:after="0"/>
              <w:rPr>
                <w:sz w:val="20"/>
                <w:szCs w:val="20"/>
                <w:color w:val="auto"/>
              </w:rPr>
            </w:pPr>
            <w:r>
              <w:rPr>
                <w:rFonts w:ascii="Arial" w:cs="Arial" w:eastAsia="Arial" w:hAnsi="Arial"/>
                <w:sz w:val="17"/>
                <w:szCs w:val="17"/>
                <w:color w:val="auto"/>
              </w:rPr>
              <w:t>419,713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encumbrances as of December 31, 2006, differs from the balance sheet due to the net unamortized discount on mortgages payable.</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Retail and mixed-use properties includes the residential portion of our Santana Row development property. The residential property investments are comprised of our investments in Rollingwood Apartments and Crest Apartments at Congressional Plaza.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significant acquisitions in 2006 and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Date</w:t>
            </w:r>
          </w:p>
        </w:tc>
        <w:tc>
          <w:tcPr>
            <w:tcW w:w="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160" w:type="dxa"/>
            <w:vAlign w:val="bottom"/>
          </w:tcPr>
          <w:p>
            <w:pPr>
              <w:ind w:left="820"/>
              <w:spacing w:after="0"/>
              <w:rPr>
                <w:sz w:val="20"/>
                <w:szCs w:val="20"/>
                <w:color w:val="auto"/>
              </w:rPr>
            </w:pPr>
            <w:r>
              <w:rPr>
                <w:rFonts w:ascii="Arial" w:cs="Arial" w:eastAsia="Arial" w:hAnsi="Arial"/>
                <w:sz w:val="13"/>
                <w:szCs w:val="13"/>
                <w:b w:val="1"/>
                <w:bCs w:val="1"/>
                <w:color w:val="auto"/>
              </w:rPr>
              <w:t>Property</w:t>
            </w:r>
          </w:p>
        </w:tc>
        <w:tc>
          <w:tcPr>
            <w:tcW w:w="560" w:type="dxa"/>
            <w:vAlign w:val="bottom"/>
          </w:tcPr>
          <w:p>
            <w:pPr>
              <w:spacing w:after="0"/>
              <w:rPr>
                <w:sz w:val="13"/>
                <w:szCs w:val="13"/>
                <w:color w:val="auto"/>
              </w:rPr>
            </w:pPr>
          </w:p>
        </w:tc>
        <w:tc>
          <w:tcPr>
            <w:tcW w:w="1700" w:type="dxa"/>
            <w:vAlign w:val="bottom"/>
          </w:tcPr>
          <w:p>
            <w:pPr>
              <w:ind w:left="560"/>
              <w:spacing w:after="0"/>
              <w:rPr>
                <w:sz w:val="20"/>
                <w:szCs w:val="20"/>
                <w:color w:val="auto"/>
              </w:rPr>
            </w:pPr>
            <w:r>
              <w:rPr>
                <w:rFonts w:ascii="Arial" w:cs="Arial" w:eastAsia="Arial" w:hAnsi="Arial"/>
                <w:sz w:val="13"/>
                <w:szCs w:val="13"/>
                <w:b w:val="1"/>
                <w:bCs w:val="1"/>
                <w:color w:val="auto"/>
              </w:rPr>
              <w:t>City, State</w:t>
            </w:r>
          </w:p>
        </w:tc>
        <w:tc>
          <w:tcPr>
            <w:tcW w:w="5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Leasable Area</w:t>
            </w:r>
          </w:p>
        </w:tc>
        <w:tc>
          <w:tcPr>
            <w:tcW w:w="300" w:type="dxa"/>
            <w:vAlign w:val="bottom"/>
          </w:tcPr>
          <w:p>
            <w:pPr>
              <w:spacing w:after="0"/>
              <w:rPr>
                <w:sz w:val="13"/>
                <w:szCs w:val="13"/>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3"/>
              </w:rPr>
              <w:t>Purchase Price (1)</w:t>
            </w:r>
          </w:p>
        </w:tc>
        <w:tc>
          <w:tcPr>
            <w:tcW w:w="0" w:type="dxa"/>
            <w:vAlign w:val="bottom"/>
          </w:tcPr>
          <w:p>
            <w:pPr>
              <w:spacing w:after="0"/>
              <w:rPr>
                <w:sz w:val="1"/>
                <w:szCs w:val="1"/>
                <w:color w:val="auto"/>
              </w:rPr>
            </w:pPr>
          </w:p>
        </w:tc>
      </w:tr>
      <w:tr>
        <w:trPr>
          <w:trHeight w:val="163"/>
        </w:trPr>
        <w:tc>
          <w:tcPr>
            <w:tcW w:w="26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900" w:type="dxa"/>
            <w:vAlign w:val="bottom"/>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 square feet)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20</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4900 Hampden Lane</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Bethesda, MD</w:t>
            </w: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35,000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January 27</w:t>
            </w:r>
          </w:p>
        </w:tc>
        <w:tc>
          <w:tcPr>
            <w:tcW w:w="9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7770 Richmond Hwy</w:t>
            </w:r>
          </w:p>
        </w:tc>
        <w:tc>
          <w:tcPr>
            <w:tcW w:w="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Alexandria, VA</w:t>
            </w:r>
          </w:p>
        </w:tc>
        <w:tc>
          <w:tcPr>
            <w:tcW w:w="1800" w:type="dxa"/>
            <w:vAlign w:val="bottom"/>
            <w:gridSpan w:val="3"/>
          </w:tcPr>
          <w:p>
            <w:pPr>
              <w:jc w:val="right"/>
              <w:ind w:right="280"/>
              <w:spacing w:after="0"/>
              <w:rPr>
                <w:sz w:val="20"/>
                <w:szCs w:val="20"/>
                <w:color w:val="auto"/>
              </w:rPr>
            </w:pPr>
            <w:r>
              <w:rPr>
                <w:rFonts w:ascii="Arial" w:cs="Arial" w:eastAsia="Arial" w:hAnsi="Arial"/>
                <w:sz w:val="17"/>
                <w:szCs w:val="17"/>
                <w:color w:val="auto"/>
              </w:rPr>
              <w:t>60,000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29</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New Britain, PA</w:t>
            </w: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126,000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9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Key Road Plaza</w:t>
            </w:r>
          </w:p>
        </w:tc>
        <w:tc>
          <w:tcPr>
            <w:tcW w:w="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Keene, NH</w:t>
            </w:r>
          </w:p>
        </w:tc>
        <w:tc>
          <w:tcPr>
            <w:tcW w:w="1800" w:type="dxa"/>
            <w:vAlign w:val="bottom"/>
            <w:gridSpan w:val="3"/>
          </w:tcPr>
          <w:p>
            <w:pPr>
              <w:jc w:val="right"/>
              <w:ind w:right="280"/>
              <w:spacing w:after="0"/>
              <w:rPr>
                <w:sz w:val="20"/>
                <w:szCs w:val="20"/>
                <w:color w:val="auto"/>
              </w:rPr>
            </w:pPr>
            <w:r>
              <w:rPr>
                <w:rFonts w:ascii="Arial" w:cs="Arial" w:eastAsia="Arial" w:hAnsi="Arial"/>
                <w:sz w:val="17"/>
                <w:szCs w:val="17"/>
                <w:color w:val="auto"/>
              </w:rPr>
              <w:t>76,000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Riverside Plaza</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Keene, NH</w:t>
            </w: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218,000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9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Bath Shopping Center</w:t>
            </w:r>
          </w:p>
        </w:tc>
        <w:tc>
          <w:tcPr>
            <w:tcW w:w="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Bath, ME</w:t>
            </w:r>
          </w:p>
        </w:tc>
        <w:tc>
          <w:tcPr>
            <w:tcW w:w="1800" w:type="dxa"/>
            <w:vAlign w:val="bottom"/>
            <w:gridSpan w:val="3"/>
          </w:tcPr>
          <w:p>
            <w:pPr>
              <w:jc w:val="right"/>
              <w:ind w:right="280"/>
              <w:spacing w:after="0"/>
              <w:rPr>
                <w:sz w:val="20"/>
                <w:szCs w:val="20"/>
                <w:color w:val="auto"/>
              </w:rPr>
            </w:pPr>
            <w:r>
              <w:rPr>
                <w:rFonts w:ascii="Arial" w:cs="Arial" w:eastAsia="Arial" w:hAnsi="Arial"/>
                <w:sz w:val="17"/>
                <w:szCs w:val="17"/>
                <w:color w:val="auto"/>
              </w:rPr>
              <w:t>101,000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22.8(3)</w:t>
            </w: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Linden Square</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Wellesley, MA</w:t>
            </w: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261,000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99.6(4)</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9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North Dartmouth</w:t>
            </w:r>
          </w:p>
        </w:tc>
        <w:tc>
          <w:tcPr>
            <w:tcW w:w="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North Dartmouth, MA</w:t>
            </w:r>
          </w:p>
        </w:tc>
        <w:tc>
          <w:tcPr>
            <w:tcW w:w="1800" w:type="dxa"/>
            <w:vAlign w:val="bottom"/>
            <w:gridSpan w:val="3"/>
          </w:tcPr>
          <w:p>
            <w:pPr>
              <w:jc w:val="right"/>
              <w:ind w:right="280"/>
              <w:spacing w:after="0"/>
              <w:rPr>
                <w:sz w:val="20"/>
                <w:szCs w:val="20"/>
                <w:color w:val="auto"/>
              </w:rPr>
            </w:pPr>
            <w:r>
              <w:rPr>
                <w:rFonts w:ascii="Arial" w:cs="Arial" w:eastAsia="Arial" w:hAnsi="Arial"/>
                <w:sz w:val="17"/>
                <w:szCs w:val="17"/>
                <w:color w:val="auto"/>
              </w:rPr>
              <w:t>183,000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25</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Chelsea Commons</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Chelsea, MA</w:t>
            </w: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Various after September 13</w:t>
            </w:r>
          </w:p>
        </w:tc>
        <w:tc>
          <w:tcPr>
            <w:tcW w:w="9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Rockville Town Square</w:t>
            </w:r>
          </w:p>
        </w:tc>
        <w:tc>
          <w:tcPr>
            <w:tcW w:w="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Rockville, MD</w:t>
            </w:r>
          </w:p>
        </w:tc>
        <w:tc>
          <w:tcPr>
            <w:tcW w:w="1800" w:type="dxa"/>
            <w:vAlign w:val="bottom"/>
            <w:gridSpan w:val="3"/>
          </w:tcPr>
          <w:p>
            <w:pPr>
              <w:jc w:val="right"/>
              <w:ind w:right="280"/>
              <w:spacing w:after="0"/>
              <w:rPr>
                <w:sz w:val="20"/>
                <w:szCs w:val="20"/>
                <w:color w:val="auto"/>
              </w:rPr>
            </w:pPr>
            <w:r>
              <w:rPr>
                <w:rFonts w:ascii="Arial" w:cs="Arial" w:eastAsia="Arial" w:hAnsi="Arial"/>
                <w:sz w:val="17"/>
                <w:szCs w:val="17"/>
                <w:color w:val="auto"/>
              </w:rPr>
              <w:t>152,000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16</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Melville Mall</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Huntington, NY</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248,000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1,640,000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 ended December 31, 2005</w:t>
            </w: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620" w:type="dxa"/>
            <w:vAlign w:val="bottom"/>
            <w:tcBorders>
              <w:bottom w:val="single" w:sz="8" w:color="auto"/>
            </w:tcBorders>
            <w:gridSpan w:val="2"/>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w:t>
            </w: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Assembly Sq./Sturtevant St.</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Somerville, MA</w:t>
            </w: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551,000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66.4(8)</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December 29</w:t>
            </w:r>
          </w:p>
        </w:tc>
        <w:tc>
          <w:tcPr>
            <w:tcW w:w="9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Crow Canyon Commons</w:t>
            </w:r>
          </w:p>
        </w:tc>
        <w:tc>
          <w:tcPr>
            <w:tcW w:w="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San Ramon, CA</w:t>
            </w:r>
          </w:p>
        </w:tc>
        <w:tc>
          <w:tcPr>
            <w:tcW w:w="5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228,000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47.5(9)</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779,000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right="60" w:hanging="454"/>
        <w:spacing w:after="0" w:line="287"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not specifically noted, the net assets acquired that were allocated to other assets for “above market leases” and liabilities for “below market leases” were not significant.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53"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440" w:hanging="454"/>
        <w:spacing w:after="0" w:line="263"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Approximately $0.4 million and $3.9 million of the net assets acquired were allocated to other assets for “above market leases” and liabilities for “below market leases,” respectively.</w:t>
      </w:r>
    </w:p>
    <w:p>
      <w:pPr>
        <w:ind w:left="460" w:right="60" w:hanging="454"/>
        <w:spacing w:after="0" w:line="26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Approximately $2.2 million of the net assets acquired were allocated to other assets for “above market leases.” Purchase price includes the assumption of debt with a fair value of approximately $11.1 million.</w:t>
      </w:r>
    </w:p>
    <w:p>
      <w:pPr>
        <w:ind w:left="460" w:right="440" w:hanging="454"/>
        <w:spacing w:after="0" w:line="26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Approximately $2.2 million and $1.1 million of the net assets acquired were allocated to other assets for “above market leases” and liabilities for “below market leases,” respectively.</w:t>
      </w:r>
    </w:p>
    <w:p>
      <w:pPr>
        <w:ind w:left="460" w:right="440" w:hanging="454"/>
        <w:spacing w:after="0" w:line="26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Approximately $2.5 million and $0.1 million of the net assets acquired were allocated to other assets for “above market leases” and liabilities for “below market leases,” respectively. Purchase price includes the assumption of debt with a fair value of approximately $8.0 million.</w:t>
      </w:r>
    </w:p>
    <w:p>
      <w:pPr>
        <w:ind w:left="460" w:right="220" w:hanging="454"/>
        <w:spacing w:after="0" w:line="26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intend to acquire an additional 32,000 square feet of gross leasable area. No square footage has been placed in service. The Grand Opening is scheduled for May 2007.</w:t>
      </w:r>
    </w:p>
    <w:p>
      <w:pPr>
        <w:ind w:left="460" w:right="100" w:hanging="454"/>
        <w:spacing w:after="0" w:line="26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Trust controls and consolidates Melville Mall at its approximate fair value of $60.0 million. We gained control of Melville Mall through a 20-year master lease and $34.1 million secondary financing to the owner. The master lease includes a purchase option in 2021 for $5.0 million plus the assumption of the owner’s $25.8 million first mortgage. Approximately $0.1 million and $4.5 million of the net assets acquired were allocated to other assets for “above market leases” and liabilities for “below market leases”, respectively.</w:t>
      </w:r>
    </w:p>
    <w:p>
      <w:pPr>
        <w:ind w:left="460" w:right="440" w:hanging="454"/>
        <w:spacing w:after="0" w:line="26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Approximately $3.4 million and $5.1 million of the net assets acquired were allocated to other assets for “above market leases” and liabilities for “below market leases”, respectively.</w:t>
      </w:r>
    </w:p>
    <w:p>
      <w:pPr>
        <w:ind w:left="460" w:right="440" w:hanging="454"/>
        <w:spacing w:after="0" w:line="28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Approximately $0.8 million and $3.1 million of the net assets acquired were allocated to other assets for “above market leases” and liabilities for “below market leases”, respectively. Additionally, the purchase price includes $22.3 million for an assumed mortgage.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significant dispositions in 2006 and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Acquired</w:t>
            </w:r>
          </w:p>
        </w:tc>
        <w:tc>
          <w:tcPr>
            <w:tcW w:w="340" w:type="dxa"/>
            <w:vAlign w:val="bottom"/>
          </w:tcPr>
          <w:p>
            <w:pPr>
              <w:spacing w:after="0"/>
              <w:rPr>
                <w:sz w:val="12"/>
                <w:szCs w:val="12"/>
                <w:color w:val="auto"/>
              </w:rPr>
            </w:pPr>
          </w:p>
        </w:tc>
        <w:tc>
          <w:tcPr>
            <w:tcW w:w="138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2"/>
                <w:szCs w:val="12"/>
                <w:color w:val="auto"/>
              </w:rPr>
            </w:pPr>
          </w:p>
        </w:tc>
        <w:tc>
          <w:tcPr>
            <w:tcW w:w="460" w:type="dxa"/>
            <w:vAlign w:val="bottom"/>
          </w:tcPr>
          <w:p>
            <w:pPr>
              <w:jc w:val="right"/>
              <w:ind w:right="59"/>
              <w:spacing w:after="0" w:line="146" w:lineRule="exact"/>
              <w:rPr>
                <w:sz w:val="20"/>
                <w:szCs w:val="20"/>
                <w:color w:val="auto"/>
              </w:rPr>
            </w:pPr>
            <w:r>
              <w:rPr>
                <w:rFonts w:ascii="Arial" w:cs="Arial" w:eastAsia="Arial" w:hAnsi="Arial"/>
                <w:sz w:val="13"/>
                <w:szCs w:val="13"/>
                <w:b w:val="1"/>
                <w:bCs w:val="1"/>
                <w:color w:val="auto"/>
                <w:w w:val="88"/>
              </w:rPr>
              <w:t>Sales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auto"/>
            </w:tcBorders>
            <w:gridSpan w:val="2"/>
          </w:tcPr>
          <w:p>
            <w:pPr>
              <w:ind w:left="1020"/>
              <w:spacing w:after="0"/>
              <w:rPr>
                <w:sz w:val="20"/>
                <w:szCs w:val="20"/>
                <w:color w:val="auto"/>
              </w:rPr>
            </w:pPr>
            <w:r>
              <w:rPr>
                <w:rFonts w:ascii="Arial" w:cs="Arial" w:eastAsia="Arial" w:hAnsi="Arial"/>
                <w:sz w:val="13"/>
                <w:szCs w:val="13"/>
                <w:b w:val="1"/>
                <w:bCs w:val="1"/>
                <w:color w:val="auto"/>
              </w:rPr>
              <w:t>Sales Date</w:t>
            </w:r>
          </w:p>
        </w:tc>
        <w:tc>
          <w:tcPr>
            <w:tcW w:w="340" w:type="dxa"/>
            <w:vAlign w:val="bottom"/>
          </w:tcPr>
          <w:p>
            <w:pPr>
              <w:spacing w:after="0"/>
              <w:rPr>
                <w:sz w:val="14"/>
                <w:szCs w:val="14"/>
                <w:color w:val="auto"/>
              </w:rPr>
            </w:pPr>
          </w:p>
        </w:tc>
        <w:tc>
          <w:tcPr>
            <w:tcW w:w="244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Property</w:t>
            </w:r>
          </w:p>
        </w:tc>
        <w:tc>
          <w:tcPr>
            <w:tcW w:w="320" w:type="dxa"/>
            <w:vAlign w:val="bottom"/>
          </w:tcPr>
          <w:p>
            <w:pPr>
              <w:spacing w:after="0"/>
              <w:rPr>
                <w:sz w:val="14"/>
                <w:szCs w:val="14"/>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or Built</w:t>
            </w:r>
          </w:p>
        </w:tc>
        <w:tc>
          <w:tcPr>
            <w:tcW w:w="3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Leasable Area</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4"/>
              </w:rPr>
              <w:t>Price</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9"/>
              </w:rPr>
              <w:t>Gain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(In square feet)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800" w:type="dxa"/>
            <w:vAlign w:val="bottom"/>
            <w:gridSpan w:val="3"/>
          </w:tcPr>
          <w:p>
            <w:pPr>
              <w:jc w:val="right"/>
              <w:ind w:right="256"/>
              <w:spacing w:after="0"/>
              <w:rPr>
                <w:sz w:val="20"/>
                <w:szCs w:val="20"/>
                <w:color w:val="auto"/>
              </w:rPr>
            </w:pPr>
            <w:r>
              <w:rPr>
                <w:rFonts w:ascii="Arial" w:cs="Arial" w:eastAsia="Arial" w:hAnsi="Arial"/>
                <w:sz w:val="13"/>
                <w:szCs w:val="13"/>
                <w:b w:val="1"/>
                <w:bCs w:val="1"/>
                <w:color w:val="auto"/>
                <w:w w:val="82"/>
              </w:rPr>
              <w:t>millions)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January-August</w:t>
            </w:r>
          </w:p>
        </w:tc>
        <w:tc>
          <w:tcPr>
            <w:tcW w:w="3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Santana Row Condominiums</w:t>
            </w:r>
          </w:p>
        </w:tc>
        <w:tc>
          <w:tcPr>
            <w:tcW w:w="1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San Jose, CA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16.5(2)</w:t>
            </w:r>
          </w:p>
        </w:tc>
        <w:tc>
          <w:tcPr>
            <w:tcW w:w="0" w:type="dxa"/>
            <w:vAlign w:val="bottom"/>
          </w:tcPr>
          <w:p>
            <w:pPr>
              <w:spacing w:after="0"/>
              <w:rPr>
                <w:sz w:val="1"/>
                <w:szCs w:val="1"/>
                <w:color w:val="auto"/>
              </w:rPr>
            </w:pPr>
          </w:p>
        </w:tc>
      </w:tr>
      <w:tr>
        <w:trPr>
          <w:trHeight w:val="220"/>
        </w:trPr>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(89 units)(1)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June 5</w:t>
            </w:r>
          </w:p>
        </w:tc>
        <w:tc>
          <w:tcPr>
            <w:tcW w:w="3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Greenlawn Plaza</w:t>
            </w:r>
          </w:p>
        </w:tc>
        <w:tc>
          <w:tcPr>
            <w:tcW w:w="1680" w:type="dxa"/>
            <w:vAlign w:val="bottom"/>
            <w:gridSpan w:val="2"/>
          </w:tcPr>
          <w:p>
            <w:pPr>
              <w:ind w:left="320"/>
              <w:spacing w:after="0"/>
              <w:rPr>
                <w:sz w:val="20"/>
                <w:szCs w:val="20"/>
                <w:color w:val="auto"/>
              </w:rPr>
            </w:pPr>
            <w:r>
              <w:rPr>
                <w:rFonts w:ascii="Arial" w:cs="Arial" w:eastAsia="Arial" w:hAnsi="Arial"/>
                <w:sz w:val="17"/>
                <w:szCs w:val="17"/>
                <w:color w:val="auto"/>
              </w:rPr>
              <w:t>Huntington, NY</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2000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102,000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 ended December 31, 2005</w:t>
            </w: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2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15</w:t>
            </w: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420 &amp; 501 South Mill</w:t>
            </w:r>
          </w:p>
        </w:tc>
        <w:tc>
          <w:tcPr>
            <w:tcW w:w="1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Tempe, AZ</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7"/>
                <w:szCs w:val="17"/>
                <w:color w:val="auto"/>
              </w:rPr>
              <w:t>June 2</w:t>
            </w:r>
          </w:p>
        </w:tc>
        <w:tc>
          <w:tcPr>
            <w:tcW w:w="3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Cone &amp; Andary Buildings</w:t>
            </w:r>
          </w:p>
        </w:tc>
        <w:tc>
          <w:tcPr>
            <w:tcW w:w="1680" w:type="dxa"/>
            <w:vAlign w:val="bottom"/>
            <w:gridSpan w:val="2"/>
          </w:tcPr>
          <w:p>
            <w:pPr>
              <w:ind w:left="320"/>
              <w:spacing w:after="0"/>
              <w:rPr>
                <w:sz w:val="20"/>
                <w:szCs w:val="20"/>
                <w:color w:val="auto"/>
              </w:rPr>
            </w:pPr>
            <w:r>
              <w:rPr>
                <w:rFonts w:ascii="Arial" w:cs="Arial" w:eastAsia="Arial" w:hAnsi="Arial"/>
                <w:sz w:val="17"/>
                <w:szCs w:val="17"/>
                <w:color w:val="auto"/>
              </w:rPr>
              <w:t>Winter Park, FL</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28,000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12</w:t>
            </w: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Shaw’s Plaza</w:t>
            </w:r>
          </w:p>
        </w:tc>
        <w:tc>
          <w:tcPr>
            <w:tcW w:w="1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Carverm MA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7"/>
                <w:szCs w:val="17"/>
                <w:color w:val="auto"/>
              </w:rPr>
              <w:t>Various after August 26</w:t>
            </w:r>
          </w:p>
        </w:tc>
        <w:tc>
          <w:tcPr>
            <w:tcW w:w="34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Santana Row Condominiums</w:t>
            </w:r>
          </w:p>
        </w:tc>
        <w:tc>
          <w:tcPr>
            <w:tcW w:w="1680" w:type="dxa"/>
            <w:vAlign w:val="bottom"/>
            <w:gridSpan w:val="2"/>
          </w:tcPr>
          <w:p>
            <w:pPr>
              <w:ind w:left="320"/>
              <w:spacing w:after="0"/>
              <w:rPr>
                <w:sz w:val="20"/>
                <w:szCs w:val="20"/>
                <w:color w:val="auto"/>
              </w:rPr>
            </w:pPr>
            <w:r>
              <w:rPr>
                <w:rFonts w:ascii="Arial" w:cs="Arial" w:eastAsia="Arial" w:hAnsi="Arial"/>
                <w:sz w:val="17"/>
                <w:szCs w:val="17"/>
                <w:color w:val="auto"/>
              </w:rPr>
              <w:t>San Jose, CA</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2002</w:t>
            </w:r>
          </w:p>
        </w:tc>
        <w:tc>
          <w:tcPr>
            <w:tcW w:w="340" w:type="dxa"/>
            <w:vAlign w:val="bottom"/>
          </w:tcPr>
          <w:p>
            <w:pPr>
              <w:spacing w:after="0"/>
              <w:rPr>
                <w:sz w:val="17"/>
                <w:szCs w:val="17"/>
                <w:color w:val="auto"/>
              </w:rPr>
            </w:pPr>
          </w:p>
        </w:tc>
        <w:tc>
          <w:tcPr>
            <w:tcW w:w="1380" w:type="dxa"/>
            <w:vAlign w:val="bottom"/>
            <w:gridSpan w:val="2"/>
          </w:tcPr>
          <w:p>
            <w:pPr>
              <w:ind w:left="760"/>
              <w:spacing w:after="0"/>
              <w:rPr>
                <w:sz w:val="20"/>
                <w:szCs w:val="20"/>
                <w:color w:val="auto"/>
              </w:rPr>
            </w:pPr>
            <w:r>
              <w:rPr>
                <w:rFonts w:ascii="Arial" w:cs="Arial" w:eastAsia="Arial" w:hAnsi="Arial"/>
                <w:sz w:val="17"/>
                <w:szCs w:val="17"/>
                <w:color w:val="auto"/>
              </w:rPr>
              <w:t>N/A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89.2</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(130 units)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As of August 25, 2006, we had sold all of the 219 condominium units we currently intend to sell at Santana Row.</w:t>
      </w:r>
    </w:p>
    <w:p>
      <w:pPr>
        <w:spacing w:after="0" w:line="21" w:lineRule="exact"/>
        <w:rPr>
          <w:rFonts w:ascii="Arial" w:cs="Arial" w:eastAsia="Arial" w:hAnsi="Arial"/>
          <w:sz w:val="17"/>
          <w:szCs w:val="17"/>
          <w:color w:val="auto"/>
        </w:rPr>
      </w:pPr>
    </w:p>
    <w:p>
      <w:pPr>
        <w:ind w:left="460" w:hanging="454"/>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Gain of $16.5 million is net of $2.4 million in taxes.</w:t>
      </w:r>
    </w:p>
    <w:p>
      <w:pPr>
        <w:spacing w:after="0" w:line="16" w:lineRule="exact"/>
        <w:rPr>
          <w:rFonts w:ascii="Arial" w:cs="Arial" w:eastAsia="Arial" w:hAnsi="Arial"/>
          <w:sz w:val="17"/>
          <w:szCs w:val="17"/>
          <w:color w:val="auto"/>
        </w:rPr>
      </w:pPr>
    </w:p>
    <w:p>
      <w:pPr>
        <w:ind w:left="460" w:right="100" w:hanging="454"/>
        <w:spacing w:after="0" w:line="260"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This property was contributed to our real estate partnership in which we own a 30% interest. Accordingly, we recognized a partial gain of $7.4 million on this sale related to the 70% equity interest contributed.</w:t>
      </w:r>
    </w:p>
    <w:p>
      <w:pPr>
        <w:ind w:left="460" w:hanging="454"/>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Gain of $23.5 million is net of $3.4 million in taxes.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MORTGAGE NOTES RECEIVABLE</w:t>
      </w:r>
    </w:p>
    <w:p>
      <w:pPr>
        <w:spacing w:after="0" w:line="10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At December 31, 2006 and 2005, we had mortgage notes receivable with an aggregate carrying amount of $40.8 million and $40.5 million, respectively, which are both net of a valuation allowance of $5.0 million. These mortgage notes are due over various terms from August 2016 to May 2021. At December 31, 2006 and 2005, our mortgages had a weighted average interest rate of 10.0% and 11.90%, respectively. Under the terms of certain of these mortgages, we receive additional interest based upon the gross income of the secured properties and, upon sale of the properties, we will share in the appreciation of the properties.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53"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4, 2006, we amended the $17.7 million second mortgage note receivable which is secured by a hotel in San Jose, California. The amended note decreased the interest rate from 14% to 9% per annum, requires monthly payments of principal and interest based on a 15-year amortization schedule and matures on August 20, 2016.</w:t>
      </w:r>
    </w:p>
    <w:p>
      <w:pPr>
        <w:spacing w:after="0" w:line="128"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We made a $5.9 million loan secured by a building in San Francisco, California in January 2001 that was originally due February 28, 2003 but was not repaid on the due date. The loan was renegotiated with an interest rate of 6.0% and repaid in full on August 23, 2005.</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REAL ESTATE PARTNERSHIP</w:t>
      </w:r>
    </w:p>
    <w:p>
      <w:pPr>
        <w:spacing w:after="0" w:line="10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$37 million and $86 million, respectively, of equity capital to acquire properties.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In 2004, the venture acquired four shopping centers in the East for $75.8 million and in 2006, the venture acquired an additional two shopping centers in the East for $45.5 million. As of December 31, 2006, we have made total contributions of $14.4 million and received total distributions of $2.0 million. We account for our interest in the Partnership using the equity method.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summarized operating results and the financial position of the Partnership: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5"/>
          </w:tcPr>
          <w:p>
            <w:pPr>
              <w:spacing w:after="0"/>
              <w:rPr>
                <w:sz w:val="20"/>
                <w:szCs w:val="20"/>
                <w:color w:val="auto"/>
              </w:rPr>
            </w:pPr>
            <w:r>
              <w:rPr>
                <w:rFonts w:ascii="Arial" w:cs="Arial" w:eastAsia="Arial" w:hAnsi="Arial"/>
                <w:sz w:val="13"/>
                <w:szCs w:val="13"/>
                <w:b w:val="1"/>
                <w:bCs w:val="1"/>
                <w:color w:val="auto"/>
                <w:w w:val="92"/>
              </w:rPr>
              <w:t>Period from Inception</w:t>
            </w: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5"/>
          </w:tcPr>
          <w:p>
            <w:pPr>
              <w:jc w:val="center"/>
              <w:spacing w:after="0" w:line="146" w:lineRule="exact"/>
              <w:rPr>
                <w:sz w:val="20"/>
                <w:szCs w:val="20"/>
                <w:color w:val="auto"/>
              </w:rPr>
            </w:pPr>
            <w:r>
              <w:rPr>
                <w:rFonts w:ascii="Arial" w:cs="Arial" w:eastAsia="Arial" w:hAnsi="Arial"/>
                <w:sz w:val="13"/>
                <w:szCs w:val="13"/>
                <w:b w:val="1"/>
                <w:bCs w:val="1"/>
                <w:color w:val="auto"/>
                <w:w w:val="92"/>
              </w:rPr>
              <w:t>(July 1, 2004) to</w:t>
            </w: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39" w:lineRule="exact"/>
              <w:rPr>
                <w:sz w:val="20"/>
                <w:szCs w:val="20"/>
                <w:color w:val="auto"/>
              </w:rPr>
            </w:pPr>
            <w:r>
              <w:rPr>
                <w:rFonts w:ascii="Arial" w:cs="Arial" w:eastAsia="Arial" w:hAnsi="Arial"/>
                <w:sz w:val="13"/>
                <w:szCs w:val="13"/>
                <w:b w:val="1"/>
                <w:bCs w:val="1"/>
                <w:color w:val="auto"/>
              </w:rPr>
              <w:t>2006</w:t>
            </w: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39" w:lineRule="exact"/>
              <w:rPr>
                <w:sz w:val="20"/>
                <w:szCs w:val="20"/>
                <w:color w:val="auto"/>
              </w:rPr>
            </w:pPr>
            <w:r>
              <w:rPr>
                <w:rFonts w:ascii="Arial" w:cs="Arial" w:eastAsia="Arial" w:hAnsi="Arial"/>
                <w:sz w:val="13"/>
                <w:szCs w:val="13"/>
                <w:b w:val="1"/>
                <w:bCs w:val="1"/>
                <w:color w:val="auto"/>
              </w:rPr>
              <w:t>2005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ind w:left="17"/>
              <w:spacing w:after="0" w:line="139" w:lineRule="exact"/>
              <w:rPr>
                <w:sz w:val="20"/>
                <w:szCs w:val="20"/>
                <w:color w:val="auto"/>
              </w:rPr>
            </w:pPr>
            <w:r>
              <w:rPr>
                <w:rFonts w:ascii="Arial" w:cs="Arial" w:eastAsia="Arial" w:hAnsi="Arial"/>
                <w:sz w:val="13"/>
                <w:szCs w:val="13"/>
                <w:b w:val="1"/>
                <w:bCs w:val="1"/>
                <w:color w:val="auto"/>
                <w:w w:val="89"/>
              </w:rPr>
              <w:t>2004</w:t>
            </w:r>
          </w:p>
        </w:tc>
        <w:tc>
          <w:tcPr>
            <w:tcW w:w="4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w w:val="91"/>
              </w:rPr>
              <w:t>(In thousands)</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OPERATING RESULTS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7"/>
                <w:szCs w:val="17"/>
                <w:color w:val="auto"/>
              </w:rPr>
              <w:t>Revenue</w:t>
            </w:r>
          </w:p>
        </w:tc>
        <w:tc>
          <w:tcPr>
            <w:tcW w:w="2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880"/>
              <w:spacing w:after="0"/>
              <w:rPr>
                <w:sz w:val="20"/>
                <w:szCs w:val="20"/>
                <w:color w:val="auto"/>
              </w:rPr>
            </w:pPr>
            <w:r>
              <w:rPr>
                <w:rFonts w:ascii="Arial" w:cs="Arial" w:eastAsia="Arial" w:hAnsi="Arial"/>
                <w:sz w:val="17"/>
                <w:szCs w:val="17"/>
                <w:color w:val="auto"/>
              </w:rPr>
              <w:t>10,523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8,384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2,489</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7"/>
                <w:szCs w:val="17"/>
                <w:color w:val="auto"/>
              </w:rPr>
              <w:t>2,767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operating expenses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2,828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2"/>
        </w:trPr>
        <w:tc>
          <w:tcPr>
            <w:tcW w:w="458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7"/>
                <w:szCs w:val="17"/>
                <w:color w:val="auto"/>
              </w:rPr>
              <w:t>3,506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9,101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7"/>
                <w:szCs w:val="17"/>
                <w:color w:val="auto"/>
              </w:rPr>
              <w:t>Net income</w:t>
            </w:r>
          </w:p>
        </w:tc>
        <w:tc>
          <w:tcPr>
            <w:tcW w:w="2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880"/>
              <w:spacing w:after="0"/>
              <w:rPr>
                <w:sz w:val="20"/>
                <w:szCs w:val="20"/>
                <w:color w:val="auto"/>
              </w:rPr>
            </w:pPr>
            <w:r>
              <w:rPr>
                <w:rFonts w:ascii="Arial" w:cs="Arial" w:eastAsia="Arial" w:hAnsi="Arial"/>
                <w:sz w:val="17"/>
                <w:szCs w:val="17"/>
                <w:color w:val="auto"/>
              </w:rPr>
              <w:t>1,422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Our share of net income from real estate partnership</w:t>
            </w:r>
          </w:p>
        </w:tc>
        <w:tc>
          <w:tcPr>
            <w:tcW w:w="2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89"/>
              </w:rPr>
              <w:t>December 31,</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54"/>
              <w:spacing w:after="0" w:line="139" w:lineRule="exact"/>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w w:val="89"/>
              </w:rPr>
              <w:t>2005</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20"/>
              <w:spacing w:after="0" w:line="139" w:lineRule="exact"/>
              <w:rPr>
                <w:sz w:val="20"/>
                <w:szCs w:val="20"/>
                <w:color w:val="auto"/>
              </w:rPr>
            </w:pPr>
            <w:r>
              <w:rPr>
                <w:rFonts w:ascii="Arial" w:cs="Arial" w:eastAsia="Arial" w:hAnsi="Arial"/>
                <w:sz w:val="13"/>
                <w:szCs w:val="13"/>
                <w:b w:val="1"/>
                <w:bCs w:val="1"/>
                <w:color w:val="auto"/>
              </w:rPr>
              <w:t>(In</w:t>
            </w:r>
          </w:p>
        </w:tc>
        <w:tc>
          <w:tcPr>
            <w:tcW w:w="1000" w:type="dxa"/>
            <w:vAlign w:val="bottom"/>
            <w:gridSpan w:val="4"/>
          </w:tcPr>
          <w:p>
            <w:pPr>
              <w:jc w:val="right"/>
              <w:ind w:right="375"/>
              <w:spacing w:after="0" w:line="139" w:lineRule="exact"/>
              <w:rPr>
                <w:sz w:val="20"/>
                <w:szCs w:val="20"/>
                <w:color w:val="auto"/>
              </w:rPr>
            </w:pPr>
            <w:r>
              <w:rPr>
                <w:rFonts w:ascii="Arial" w:cs="Arial" w:eastAsia="Arial" w:hAnsi="Arial"/>
                <w:sz w:val="13"/>
                <w:szCs w:val="13"/>
                <w:b w:val="1"/>
                <w:bCs w:val="1"/>
                <w:color w:val="auto"/>
                <w:w w:val="74"/>
              </w:rPr>
              <w:t>thousands)</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BALANCE SHEETS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7"/>
                <w:szCs w:val="17"/>
                <w:color w:val="auto"/>
              </w:rPr>
              <w:t>Real estate, net</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ind w:right="54"/>
              <w:spacing w:after="0"/>
              <w:rPr>
                <w:sz w:val="20"/>
                <w:szCs w:val="20"/>
                <w:color w:val="auto"/>
              </w:rPr>
            </w:pPr>
            <w:r>
              <w:rPr>
                <w:rFonts w:ascii="Arial" w:cs="Arial" w:eastAsia="Arial" w:hAnsi="Arial"/>
                <w:sz w:val="17"/>
                <w:szCs w:val="17"/>
                <w:color w:val="auto"/>
                <w:w w:val="94"/>
              </w:rPr>
              <w:t>123,478</w:t>
            </w:r>
          </w:p>
        </w:tc>
        <w:tc>
          <w:tcPr>
            <w:tcW w:w="400" w:type="dxa"/>
            <w:vAlign w:val="bottom"/>
            <w:gridSpan w:val="2"/>
          </w:tcPr>
          <w:p>
            <w:pPr>
              <w:jc w:val="center"/>
              <w:ind w:left="3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79,050</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2,116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7"/>
                <w:szCs w:val="17"/>
                <w:color w:val="auto"/>
              </w:rPr>
              <w:t>Other assets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54"/>
              <w:spacing w:after="0"/>
              <w:rPr>
                <w:sz w:val="20"/>
                <w:szCs w:val="20"/>
                <w:color w:val="auto"/>
              </w:rPr>
            </w:pPr>
            <w:r>
              <w:rPr>
                <w:rFonts w:ascii="Arial" w:cs="Arial" w:eastAsia="Arial" w:hAnsi="Arial"/>
                <w:sz w:val="17"/>
                <w:szCs w:val="17"/>
                <w:color w:val="auto"/>
              </w:rPr>
              <w:t>4,064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3,599</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w w:val="94"/>
              </w:rPr>
              <w:t>129,658</w:t>
            </w:r>
          </w:p>
        </w:tc>
        <w:tc>
          <w:tcPr>
            <w:tcW w:w="4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84,101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Mortgages payable</w:t>
            </w: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ind w:right="54"/>
              <w:spacing w:after="0"/>
              <w:rPr>
                <w:sz w:val="20"/>
                <w:szCs w:val="20"/>
                <w:color w:val="auto"/>
              </w:rPr>
            </w:pPr>
            <w:r>
              <w:rPr>
                <w:rFonts w:ascii="Arial" w:cs="Arial" w:eastAsia="Arial" w:hAnsi="Arial"/>
                <w:sz w:val="17"/>
                <w:szCs w:val="17"/>
                <w:color w:val="auto"/>
              </w:rPr>
              <w:t>77,425</w:t>
            </w:r>
          </w:p>
        </w:tc>
        <w:tc>
          <w:tcPr>
            <w:tcW w:w="400" w:type="dxa"/>
            <w:vAlign w:val="bottom"/>
            <w:gridSpan w:val="2"/>
          </w:tcPr>
          <w:p>
            <w:pPr>
              <w:jc w:val="center"/>
              <w:ind w:left="3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47,225</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6,716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5,506</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7"/>
                <w:szCs w:val="17"/>
                <w:color w:val="auto"/>
              </w:rPr>
              <w:t>Partners’ capital</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54"/>
              <w:spacing w:after="0"/>
              <w:rPr>
                <w:sz w:val="20"/>
                <w:szCs w:val="20"/>
                <w:color w:val="auto"/>
              </w:rPr>
            </w:pPr>
            <w:r>
              <w:rPr>
                <w:rFonts w:ascii="Arial" w:cs="Arial" w:eastAsia="Arial" w:hAnsi="Arial"/>
                <w:sz w:val="17"/>
                <w:szCs w:val="17"/>
                <w:color w:val="auto"/>
              </w:rPr>
              <w:t>45,517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31,370</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 and partners’ capital</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w w:val="94"/>
              </w:rPr>
              <w:t>129,658</w:t>
            </w:r>
          </w:p>
        </w:tc>
        <w:tc>
          <w:tcPr>
            <w:tcW w:w="4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84,101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Our share of unconsolidated debt</w:t>
            </w: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ind w:right="54"/>
              <w:spacing w:after="0"/>
              <w:rPr>
                <w:sz w:val="20"/>
                <w:szCs w:val="20"/>
                <w:color w:val="auto"/>
              </w:rPr>
            </w:pPr>
            <w:r>
              <w:rPr>
                <w:rFonts w:ascii="Arial" w:cs="Arial" w:eastAsia="Arial" w:hAnsi="Arial"/>
                <w:sz w:val="17"/>
                <w:szCs w:val="17"/>
                <w:color w:val="auto"/>
              </w:rPr>
              <w:t>23,228</w:t>
            </w:r>
          </w:p>
        </w:tc>
        <w:tc>
          <w:tcPr>
            <w:tcW w:w="400" w:type="dxa"/>
            <w:vAlign w:val="bottom"/>
            <w:gridSpan w:val="2"/>
          </w:tcPr>
          <w:p>
            <w:pPr>
              <w:jc w:val="center"/>
              <w:ind w:left="3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14,168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Our investment in real estate partnership</w:t>
            </w: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10,322</w:t>
            </w:r>
          </w:p>
        </w:tc>
        <w:tc>
          <w:tcPr>
            <w:tcW w:w="4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80" w:type="dxa"/>
            <w:vAlign w:val="bottom"/>
            <w:gridSpan w:val="2"/>
            <w:vMerge w:val="restart"/>
          </w:tcPr>
          <w:p>
            <w:pPr>
              <w:jc w:val="right"/>
              <w:ind w:right="1380"/>
              <w:spacing w:after="0"/>
              <w:rPr>
                <w:sz w:val="20"/>
                <w:szCs w:val="20"/>
                <w:color w:val="auto"/>
              </w:rPr>
            </w:pPr>
            <w:r>
              <w:rPr>
                <w:rFonts w:ascii="Arial" w:cs="Arial" w:eastAsia="Arial" w:hAnsi="Arial"/>
                <w:sz w:val="17"/>
                <w:szCs w:val="17"/>
                <w:color w:val="auto"/>
              </w:rPr>
              <w:t>F-18</w:t>
            </w: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580" w:type="dxa"/>
            <w:vAlign w:val="bottom"/>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For mortgage notes totaling $36.7 million at December 31, 2006 that are secured by three properties owned by subsidiaries of the 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ACQUIRED IN-PLACE LEASES</w:t>
      </w:r>
    </w:p>
    <w:p>
      <w:pPr>
        <w:spacing w:after="0" w:line="10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Acquired above market leases are included in prepaid expenses and other assets and had a balance, net of amortization, of $13.4 million and $6.0 million at December 31, 2006 and 2005, respectively. Acquired below market leases are included in other liabilities and deferred credits and had a balance, net of amortization, of $33.2 million and $25.7 million at December 31, 2006 and 2005, respectively. The value allocated to in-place leases is amortized over the related lease term and reflected as additional rental income for below market leases or a reduction of rental income for above market leases in the statement of operations. Rental income included net amortization from acquired in-place leases of $2.5 million, $1.6 million and $1.7 million in 2006, 2005 and 2004,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expense for acquired in-place leases during the next five years and thereafter, assuming no early lease terminations,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93"/>
              </w:rPr>
              <w:t>Above Market</w:t>
            </w:r>
          </w:p>
        </w:tc>
        <w:tc>
          <w:tcPr>
            <w:tcW w:w="7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3"/>
              </w:rPr>
              <w:t>Below Market</w:t>
            </w:r>
          </w:p>
        </w:tc>
      </w:tr>
      <w:tr>
        <w:trPr>
          <w:trHeight w:val="158"/>
        </w:trPr>
        <w:tc>
          <w:tcPr>
            <w:tcW w:w="37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5"/>
              </w:rPr>
              <w:t>Leases</w:t>
            </w: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5"/>
              </w:rPr>
              <w:t>Leases</w:t>
            </w:r>
          </w:p>
        </w:tc>
      </w:tr>
      <w:tr>
        <w:trPr>
          <w:trHeight w:val="139"/>
        </w:trPr>
        <w:tc>
          <w:tcPr>
            <w:tcW w:w="3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line="139"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2"/>
        </w:trPr>
        <w:tc>
          <w:tcPr>
            <w:tcW w:w="3700" w:type="dxa"/>
            <w:vAlign w:val="bottom"/>
          </w:tcPr>
          <w:p>
            <w:pPr>
              <w:spacing w:after="0"/>
              <w:rPr>
                <w:sz w:val="20"/>
                <w:szCs w:val="20"/>
                <w:color w:val="auto"/>
              </w:rPr>
            </w:pPr>
            <w:r>
              <w:rPr>
                <w:rFonts w:ascii="Arial" w:cs="Arial" w:eastAsia="Arial" w:hAnsi="Arial"/>
                <w:sz w:val="17"/>
                <w:szCs w:val="17"/>
                <w:color w:val="auto"/>
              </w:rPr>
              <w:t>2007</w:t>
            </w:r>
          </w:p>
        </w:tc>
        <w:tc>
          <w:tcPr>
            <w:tcW w:w="5480" w:type="dxa"/>
            <w:vAlign w:val="bottom"/>
            <w:gridSpan w:val="2"/>
          </w:tcPr>
          <w:p>
            <w:pPr>
              <w:ind w:left="53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1,632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4,636</w:t>
            </w: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w:t>
            </w:r>
          </w:p>
        </w:tc>
      </w:tr>
      <w:tr>
        <w:trPr>
          <w:trHeight w:val="212"/>
        </w:trPr>
        <w:tc>
          <w:tcPr>
            <w:tcW w:w="3700" w:type="dxa"/>
            <w:vAlign w:val="bottom"/>
          </w:tcPr>
          <w:p>
            <w:pPr>
              <w:spacing w:after="0"/>
              <w:rPr>
                <w:sz w:val="20"/>
                <w:szCs w:val="20"/>
                <w:color w:val="auto"/>
              </w:rPr>
            </w:pPr>
            <w:r>
              <w:rPr>
                <w:rFonts w:ascii="Arial" w:cs="Arial" w:eastAsia="Arial" w:hAnsi="Arial"/>
                <w:sz w:val="17"/>
                <w:szCs w:val="17"/>
                <w:color w:val="auto"/>
              </w:rPr>
              <w:t>2009</w:t>
            </w: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1,295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2,336</w:t>
            </w: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w:t>
            </w:r>
          </w:p>
        </w:tc>
      </w:tr>
      <w:tr>
        <w:trPr>
          <w:trHeight w:val="212"/>
        </w:trPr>
        <w:tc>
          <w:tcPr>
            <w:tcW w:w="3700" w:type="dxa"/>
            <w:vAlign w:val="bottom"/>
          </w:tcPr>
          <w:p>
            <w:pPr>
              <w:spacing w:after="0"/>
              <w:rPr>
                <w:sz w:val="20"/>
                <w:szCs w:val="20"/>
                <w:color w:val="auto"/>
              </w:rPr>
            </w:pPr>
            <w:r>
              <w:rPr>
                <w:rFonts w:ascii="Arial" w:cs="Arial" w:eastAsia="Arial" w:hAnsi="Arial"/>
                <w:sz w:val="17"/>
                <w:szCs w:val="17"/>
                <w:color w:val="auto"/>
              </w:rPr>
              <w:t>2011</w:t>
            </w: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889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1,859</w:t>
            </w: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5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7,011</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18,824</w:t>
            </w:r>
          </w:p>
        </w:tc>
      </w:tr>
      <w:tr>
        <w:trPr>
          <w:trHeight w:val="217"/>
        </w:trPr>
        <w:tc>
          <w:tcPr>
            <w:tcW w:w="3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13,364</w:t>
            </w:r>
          </w:p>
        </w:tc>
        <w:tc>
          <w:tcPr>
            <w:tcW w:w="9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33,201</w:t>
            </w:r>
          </w:p>
        </w:tc>
      </w:tr>
      <w:tr>
        <w:trPr>
          <w:trHeight w:val="20"/>
        </w:trPr>
        <w:tc>
          <w:tcPr>
            <w:tcW w:w="3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49"/>
        </w:trPr>
        <w:tc>
          <w:tcPr>
            <w:tcW w:w="3700" w:type="dxa"/>
            <w:vAlign w:val="bottom"/>
          </w:tcPr>
          <w:p>
            <w:pPr>
              <w:spacing w:after="0"/>
              <w:rPr>
                <w:sz w:val="24"/>
                <w:szCs w:val="24"/>
                <w:color w:val="auto"/>
              </w:rPr>
            </w:pPr>
          </w:p>
        </w:tc>
        <w:tc>
          <w:tcPr>
            <w:tcW w:w="5480" w:type="dxa"/>
            <w:vAlign w:val="bottom"/>
            <w:gridSpan w:val="2"/>
          </w:tcPr>
          <w:p>
            <w:pPr>
              <w:ind w:left="1860"/>
              <w:spacing w:after="0"/>
              <w:rPr>
                <w:sz w:val="20"/>
                <w:szCs w:val="20"/>
                <w:color w:val="auto"/>
              </w:rPr>
            </w:pPr>
            <w:r>
              <w:rPr>
                <w:rFonts w:ascii="Arial" w:cs="Arial" w:eastAsia="Arial" w:hAnsi="Arial"/>
                <w:sz w:val="17"/>
                <w:szCs w:val="17"/>
                <w:color w:val="auto"/>
              </w:rPr>
              <w:t>F-19</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2006 and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1"/>
              </w:rPr>
              <w:t>Principal Balance as of</w:t>
            </w:r>
          </w:p>
        </w:tc>
        <w:tc>
          <w:tcPr>
            <w:tcW w:w="16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Interest Rate as of</w:t>
            </w:r>
          </w:p>
        </w:tc>
        <w:tc>
          <w:tcPr>
            <w:tcW w:w="1740" w:type="dxa"/>
            <w:vAlign w:val="bottom"/>
          </w:tcPr>
          <w:p>
            <w:pPr>
              <w:spacing w:after="0"/>
              <w:rPr>
                <w:sz w:val="13"/>
                <w:szCs w:val="13"/>
                <w:color w:val="auto"/>
              </w:rPr>
            </w:pPr>
          </w:p>
        </w:tc>
      </w:tr>
      <w:tr>
        <w:trPr>
          <w:trHeight w:val="158"/>
        </w:trPr>
        <w:tc>
          <w:tcPr>
            <w:tcW w:w="5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3"/>
                <w:szCs w:val="13"/>
                <w:b w:val="1"/>
                <w:bCs w:val="1"/>
                <w:color w:val="auto"/>
                <w:w w:val="89"/>
              </w:rPr>
              <w:t>December 31,</w:t>
            </w:r>
          </w:p>
        </w:tc>
        <w:tc>
          <w:tcPr>
            <w:tcW w:w="7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December 31,</w:t>
            </w:r>
          </w:p>
        </w:tc>
        <w:tc>
          <w:tcPr>
            <w:tcW w:w="1740" w:type="dxa"/>
            <w:vAlign w:val="bottom"/>
          </w:tcPr>
          <w:p>
            <w:pPr>
              <w:spacing w:after="0"/>
              <w:rPr>
                <w:sz w:val="13"/>
                <w:szCs w:val="13"/>
                <w:color w:val="auto"/>
              </w:rPr>
            </w:pPr>
          </w:p>
        </w:tc>
      </w:tr>
      <w:tr>
        <w:trPr>
          <w:trHeight w:val="145"/>
        </w:trPr>
        <w:tc>
          <w:tcPr>
            <w:tcW w:w="514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Description of Debt</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39"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39" w:lineRule="exact"/>
              <w:rPr>
                <w:sz w:val="20"/>
                <w:szCs w:val="20"/>
                <w:color w:val="auto"/>
              </w:rPr>
            </w:pPr>
            <w:r>
              <w:rPr>
                <w:rFonts w:ascii="Arial" w:cs="Arial" w:eastAsia="Arial" w:hAnsi="Arial"/>
                <w:sz w:val="13"/>
                <w:szCs w:val="13"/>
                <w:b w:val="1"/>
                <w:bCs w:val="1"/>
                <w:color w:val="auto"/>
              </w:rPr>
              <w:t>2005</w:t>
            </w:r>
          </w:p>
        </w:tc>
        <w:tc>
          <w:tcPr>
            <w:tcW w:w="4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9"/>
              </w:rPr>
              <w:t>2006</w:t>
            </w:r>
          </w:p>
        </w:tc>
        <w:tc>
          <w:tcPr>
            <w:tcW w:w="480" w:type="dxa"/>
            <w:vAlign w:val="bottom"/>
          </w:tcPr>
          <w:p>
            <w:pPr>
              <w:spacing w:after="0"/>
              <w:rPr>
                <w:sz w:val="12"/>
                <w:szCs w:val="12"/>
                <w:color w:val="auto"/>
              </w:rPr>
            </w:pPr>
          </w:p>
        </w:tc>
        <w:tc>
          <w:tcPr>
            <w:tcW w:w="1740" w:type="dxa"/>
            <w:vAlign w:val="bottom"/>
            <w:tcBorders>
              <w:bottom w:val="single" w:sz="8" w:color="auto"/>
            </w:tcBorders>
          </w:tcPr>
          <w:p>
            <w:pPr>
              <w:jc w:val="right"/>
              <w:ind w:right="374"/>
              <w:spacing w:after="0" w:line="139" w:lineRule="exact"/>
              <w:rPr>
                <w:sz w:val="20"/>
                <w:szCs w:val="20"/>
                <w:color w:val="auto"/>
              </w:rPr>
            </w:pPr>
            <w:r>
              <w:rPr>
                <w:rFonts w:ascii="Arial" w:cs="Arial" w:eastAsia="Arial" w:hAnsi="Arial"/>
                <w:sz w:val="13"/>
                <w:szCs w:val="13"/>
                <w:b w:val="1"/>
                <w:bCs w:val="1"/>
                <w:color w:val="auto"/>
              </w:rPr>
              <w:t>Maturity Date</w:t>
            </w:r>
          </w:p>
        </w:tc>
      </w:tr>
      <w:tr>
        <w:trPr>
          <w:trHeight w:val="146"/>
        </w:trPr>
        <w:tc>
          <w:tcPr>
            <w:tcW w:w="5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(Dollars</w:t>
            </w:r>
          </w:p>
        </w:tc>
        <w:tc>
          <w:tcPr>
            <w:tcW w:w="1280" w:type="dxa"/>
            <w:vAlign w:val="bottom"/>
            <w:gridSpan w:val="3"/>
          </w:tcPr>
          <w:p>
            <w:pPr>
              <w:jc w:val="center"/>
              <w:ind w:right="314"/>
              <w:spacing w:after="0" w:line="146" w:lineRule="exact"/>
              <w:rPr>
                <w:sz w:val="20"/>
                <w:szCs w:val="20"/>
                <w:color w:val="auto"/>
              </w:rPr>
            </w:pPr>
            <w:r>
              <w:rPr>
                <w:rFonts w:ascii="Arial" w:cs="Arial" w:eastAsia="Arial" w:hAnsi="Arial"/>
                <w:sz w:val="13"/>
                <w:szCs w:val="13"/>
                <w:b w:val="1"/>
                <w:bCs w:val="1"/>
                <w:color w:val="auto"/>
                <w:w w:val="89"/>
              </w:rPr>
              <w:t>in thousands)</w:t>
            </w: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Mortgage loans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Leesburg Plaza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9,760</w:t>
            </w:r>
          </w:p>
        </w:tc>
        <w:tc>
          <w:tcPr>
            <w:tcW w:w="400" w:type="dxa"/>
            <w:vAlign w:val="bottom"/>
          </w:tcPr>
          <w:p>
            <w:pPr>
              <w:spacing w:after="0"/>
              <w:rPr>
                <w:sz w:val="18"/>
                <w:szCs w:val="18"/>
                <w:color w:val="auto"/>
              </w:rPr>
            </w:pPr>
          </w:p>
        </w:tc>
        <w:tc>
          <w:tcPr>
            <w:tcW w:w="180" w:type="dxa"/>
            <w:vAlign w:val="bottom"/>
          </w:tcPr>
          <w:p>
            <w:pPr>
              <w:jc w:val="center"/>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9,881</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6.510%</w:t>
            </w:r>
          </w:p>
        </w:tc>
        <w:tc>
          <w:tcPr>
            <w:tcW w:w="1740" w:type="dxa"/>
            <w:vAlign w:val="bottom"/>
          </w:tcPr>
          <w:p>
            <w:pPr>
              <w:jc w:val="right"/>
              <w:spacing w:after="0"/>
              <w:rPr>
                <w:sz w:val="20"/>
                <w:szCs w:val="20"/>
                <w:color w:val="auto"/>
              </w:rPr>
            </w:pPr>
            <w:r>
              <w:rPr>
                <w:rFonts w:ascii="Arial" w:cs="Arial" w:eastAsia="Arial" w:hAnsi="Arial"/>
                <w:sz w:val="17"/>
                <w:szCs w:val="17"/>
                <w:color w:val="auto"/>
              </w:rPr>
              <w:t>October 1, 2008</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164 E. Houston St.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7.500%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6, 2008</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Mercer Mall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4,512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4,578</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8.375%</w:t>
            </w:r>
          </w:p>
        </w:tc>
        <w:tc>
          <w:tcPr>
            <w:tcW w:w="1740" w:type="dxa"/>
            <w:vAlign w:val="bottom"/>
          </w:tcPr>
          <w:p>
            <w:pPr>
              <w:jc w:val="right"/>
              <w:spacing w:after="0"/>
              <w:rPr>
                <w:sz w:val="20"/>
                <w:szCs w:val="20"/>
                <w:color w:val="auto"/>
              </w:rPr>
            </w:pPr>
            <w:r>
              <w:rPr>
                <w:rFonts w:ascii="Arial" w:cs="Arial" w:eastAsia="Arial" w:hAnsi="Arial"/>
                <w:sz w:val="17"/>
                <w:szCs w:val="17"/>
                <w:color w:val="auto"/>
              </w:rPr>
              <w:t>April 1, 2009</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Federal Plaza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6.750%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1, 2011</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Tysons Station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6,366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6,505</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7.400%</w:t>
            </w:r>
          </w:p>
        </w:tc>
        <w:tc>
          <w:tcPr>
            <w:tcW w:w="1740" w:type="dxa"/>
            <w:vAlign w:val="bottom"/>
          </w:tcPr>
          <w:p>
            <w:pPr>
              <w:jc w:val="right"/>
              <w:spacing w:after="0"/>
              <w:rPr>
                <w:sz w:val="20"/>
                <w:szCs w:val="20"/>
                <w:color w:val="auto"/>
              </w:rPr>
            </w:pPr>
            <w:r>
              <w:rPr>
                <w:rFonts w:ascii="Arial" w:cs="Arial" w:eastAsia="Arial" w:hAnsi="Arial"/>
                <w:sz w:val="17"/>
                <w:szCs w:val="17"/>
                <w:color w:val="auto"/>
              </w:rPr>
              <w:t>September 1, 2011</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Crow Canyon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22,258</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5.400%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11, 2013</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Melville Mall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25,702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5.250%</w:t>
            </w:r>
          </w:p>
        </w:tc>
        <w:tc>
          <w:tcPr>
            <w:tcW w:w="1740" w:type="dxa"/>
            <w:vAlign w:val="bottom"/>
          </w:tcPr>
          <w:p>
            <w:pPr>
              <w:jc w:val="right"/>
              <w:spacing w:after="0"/>
              <w:rPr>
                <w:sz w:val="20"/>
                <w:szCs w:val="20"/>
                <w:color w:val="auto"/>
              </w:rPr>
            </w:pPr>
            <w:r>
              <w:rPr>
                <w:rFonts w:ascii="Arial" w:cs="Arial" w:eastAsia="Arial" w:hAnsi="Arial"/>
                <w:sz w:val="17"/>
                <w:szCs w:val="17"/>
                <w:color w:val="auto"/>
              </w:rPr>
              <w:t>September 1, 2014</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Barracks Road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42,614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43,193</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7.950%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Hauppauge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16,065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16,283</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7.950%</w:t>
            </w:r>
          </w:p>
        </w:tc>
        <w:tc>
          <w:tcPr>
            <w:tcW w:w="1740" w:type="dxa"/>
            <w:vAlign w:val="bottom"/>
          </w:tcPr>
          <w:p>
            <w:pPr>
              <w:jc w:val="right"/>
              <w:spacing w:after="0"/>
              <w:rPr>
                <w:sz w:val="20"/>
                <w:szCs w:val="20"/>
                <w:color w:val="auto"/>
              </w:rPr>
            </w:pPr>
            <w:r>
              <w:rPr>
                <w:rFonts w:ascii="Arial" w:cs="Arial" w:eastAsia="Arial" w:hAnsi="Arial"/>
                <w:sz w:val="17"/>
                <w:szCs w:val="17"/>
                <w:color w:val="auto"/>
              </w:rPr>
              <w:t>November 1, 2015</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Lawrence Park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30,615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7.950%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Wildwood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26,550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26,910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7.950%</w:t>
            </w:r>
          </w:p>
        </w:tc>
        <w:tc>
          <w:tcPr>
            <w:tcW w:w="1740" w:type="dxa"/>
            <w:vAlign w:val="bottom"/>
          </w:tcPr>
          <w:p>
            <w:pPr>
              <w:jc w:val="right"/>
              <w:spacing w:after="0"/>
              <w:rPr>
                <w:sz w:val="20"/>
                <w:szCs w:val="20"/>
                <w:color w:val="auto"/>
              </w:rPr>
            </w:pPr>
            <w:r>
              <w:rPr>
                <w:rFonts w:ascii="Arial" w:cs="Arial" w:eastAsia="Arial" w:hAnsi="Arial"/>
                <w:sz w:val="17"/>
                <w:szCs w:val="17"/>
                <w:color w:val="auto"/>
              </w:rPr>
              <w:t>November 1, 2015</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Wynnewood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7.950%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Brick Plaza</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31,631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32,099</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7.415%</w:t>
            </w:r>
          </w:p>
        </w:tc>
        <w:tc>
          <w:tcPr>
            <w:tcW w:w="1740" w:type="dxa"/>
            <w:vAlign w:val="bottom"/>
          </w:tcPr>
          <w:p>
            <w:pPr>
              <w:jc w:val="right"/>
              <w:spacing w:after="0"/>
              <w:rPr>
                <w:sz w:val="20"/>
                <w:szCs w:val="20"/>
                <w:color w:val="auto"/>
              </w:rPr>
            </w:pPr>
            <w:r>
              <w:rPr>
                <w:rFonts w:ascii="Arial" w:cs="Arial" w:eastAsia="Arial" w:hAnsi="Arial"/>
                <w:sz w:val="17"/>
                <w:szCs w:val="17"/>
                <w:color w:val="auto"/>
              </w:rPr>
              <w:t>November 1, 2015</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Mount Vernon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12,556</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5.660%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15, 2028</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Bath</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9,999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7.130%</w:t>
            </w:r>
          </w:p>
        </w:tc>
        <w:tc>
          <w:tcPr>
            <w:tcW w:w="1740" w:type="dxa"/>
            <w:vAlign w:val="bottom"/>
          </w:tcPr>
          <w:p>
            <w:pPr>
              <w:jc w:val="right"/>
              <w:spacing w:after="0"/>
              <w:rPr>
                <w:sz w:val="20"/>
                <w:szCs w:val="20"/>
                <w:color w:val="auto"/>
              </w:rPr>
            </w:pPr>
            <w:r>
              <w:rPr>
                <w:rFonts w:ascii="Arial" w:cs="Arial" w:eastAsia="Arial" w:hAnsi="Arial"/>
                <w:sz w:val="17"/>
                <w:szCs w:val="17"/>
                <w:color w:val="auto"/>
              </w:rPr>
              <w:t>July 1, 2028</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Chelsea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5.360%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15, 2031</w:t>
            </w:r>
          </w:p>
        </w:tc>
      </w:tr>
      <w:tr>
        <w:trPr>
          <w:trHeight w:val="217"/>
        </w:trPr>
        <w:tc>
          <w:tcPr>
            <w:tcW w:w="5460" w:type="dxa"/>
            <w:vAlign w:val="bottom"/>
            <w:gridSpan w:val="2"/>
          </w:tcPr>
          <w:p>
            <w:pPr>
              <w:spacing w:after="0"/>
              <w:rPr>
                <w:sz w:val="20"/>
                <w:szCs w:val="20"/>
                <w:color w:val="auto"/>
              </w:rPr>
            </w:pPr>
            <w:r>
              <w:rPr>
                <w:rFonts w:ascii="Arial" w:cs="Arial" w:eastAsia="Arial" w:hAnsi="Arial"/>
                <w:sz w:val="17"/>
                <w:szCs w:val="17"/>
                <w:color w:val="auto"/>
              </w:rPr>
              <w:t>Subtotal</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311,073</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270,898</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unamortized mortgage discount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5"/>
        </w:trPr>
        <w:tc>
          <w:tcPr>
            <w:tcW w:w="5460" w:type="dxa"/>
            <w:vAlign w:val="bottom"/>
            <w:gridSpan w:val="2"/>
          </w:tcPr>
          <w:p>
            <w:pPr>
              <w:ind w:left="420"/>
              <w:spacing w:after="0"/>
              <w:rPr>
                <w:sz w:val="20"/>
                <w:szCs w:val="20"/>
                <w:color w:val="auto"/>
              </w:rPr>
            </w:pPr>
            <w:r>
              <w:rPr>
                <w:rFonts w:ascii="Arial" w:cs="Arial" w:eastAsia="Arial" w:hAnsi="Arial"/>
                <w:sz w:val="17"/>
                <w:szCs w:val="17"/>
                <w:color w:val="auto"/>
              </w:rPr>
              <w:t>Total mortgage loans</w:t>
            </w: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311,037</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270,898</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Notes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Revolving credit facility</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LIBOR+0.425%</w:t>
            </w:r>
          </w:p>
        </w:tc>
        <w:tc>
          <w:tcPr>
            <w:tcW w:w="1740" w:type="dxa"/>
            <w:vAlign w:val="bottom"/>
          </w:tcPr>
          <w:p>
            <w:pPr>
              <w:jc w:val="right"/>
              <w:spacing w:after="0"/>
              <w:rPr>
                <w:sz w:val="20"/>
                <w:szCs w:val="20"/>
                <w:color w:val="auto"/>
              </w:rPr>
            </w:pPr>
            <w:r>
              <w:rPr>
                <w:rFonts w:ascii="Arial" w:cs="Arial" w:eastAsia="Arial" w:hAnsi="Arial"/>
                <w:sz w:val="17"/>
                <w:szCs w:val="17"/>
                <w:color w:val="auto"/>
              </w:rPr>
              <w:t>July 27, 2010</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 facility</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8, 2006</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Term note with banks</w:t>
            </w:r>
          </w:p>
        </w:tc>
        <w:tc>
          <w:tcPr>
            <w:tcW w:w="80" w:type="dxa"/>
            <w:vAlign w:val="bottom"/>
          </w:tcPr>
          <w:p>
            <w:pPr>
              <w:spacing w:after="0"/>
              <w:rPr>
                <w:sz w:val="18"/>
                <w:szCs w:val="18"/>
                <w:color w:val="auto"/>
              </w:rPr>
            </w:pPr>
          </w:p>
        </w:tc>
        <w:tc>
          <w:tcPr>
            <w:tcW w:w="120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100,000</w:t>
            </w:r>
          </w:p>
        </w:tc>
        <w:tc>
          <w:tcPr>
            <w:tcW w:w="4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October 8, 2006</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note with banks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8, 2008</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Perring Plaza renovation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1,624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1,810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10.000%</w:t>
            </w:r>
          </w:p>
        </w:tc>
        <w:tc>
          <w:tcPr>
            <w:tcW w:w="1740" w:type="dxa"/>
            <w:vAlign w:val="bottom"/>
          </w:tcPr>
          <w:p>
            <w:pPr>
              <w:jc w:val="right"/>
              <w:spacing w:after="0"/>
              <w:rPr>
                <w:sz w:val="20"/>
                <w:szCs w:val="20"/>
                <w:color w:val="auto"/>
              </w:rPr>
            </w:pPr>
            <w:r>
              <w:rPr>
                <w:rFonts w:ascii="Arial" w:cs="Arial" w:eastAsia="Arial" w:hAnsi="Arial"/>
                <w:sz w:val="17"/>
                <w:szCs w:val="17"/>
                <w:color w:val="auto"/>
              </w:rPr>
              <w:t>January 31, 2013</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Escondido (Municipal bonds)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3.760%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 2016</w:t>
            </w:r>
          </w:p>
        </w:tc>
      </w:tr>
      <w:tr>
        <w:trPr>
          <w:trHeight w:val="218"/>
        </w:trPr>
        <w:tc>
          <w:tcPr>
            <w:tcW w:w="5460" w:type="dxa"/>
            <w:vAlign w:val="bottom"/>
            <w:gridSpan w:val="2"/>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120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w:t>
            </w:r>
          </w:p>
        </w:tc>
        <w:tc>
          <w:tcPr>
            <w:tcW w:w="4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Various</w:t>
            </w:r>
          </w:p>
        </w:tc>
      </w:tr>
      <w:tr>
        <w:trPr>
          <w:trHeight w:val="212"/>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notes payable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109,024</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316,755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Senior notes and debentures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6.99% medium term notes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March 10, 2006</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6.125% notes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150,000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6.325%</w:t>
            </w:r>
          </w:p>
        </w:tc>
        <w:tc>
          <w:tcPr>
            <w:tcW w:w="1740" w:type="dxa"/>
            <w:vAlign w:val="bottom"/>
          </w:tcPr>
          <w:p>
            <w:pPr>
              <w:jc w:val="right"/>
              <w:spacing w:after="0"/>
              <w:rPr>
                <w:sz w:val="20"/>
                <w:szCs w:val="20"/>
                <w:color w:val="auto"/>
              </w:rPr>
            </w:pPr>
            <w:r>
              <w:rPr>
                <w:rFonts w:ascii="Arial" w:cs="Arial" w:eastAsia="Arial" w:hAnsi="Arial"/>
                <w:sz w:val="17"/>
                <w:szCs w:val="17"/>
                <w:color w:val="auto"/>
              </w:rPr>
              <w:t>November 15, 2007</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8.75% notes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8.750%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1, 2009</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4.50% notes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4.500%</w:t>
            </w:r>
          </w:p>
        </w:tc>
        <w:tc>
          <w:tcPr>
            <w:tcW w:w="1740" w:type="dxa"/>
            <w:vAlign w:val="bottom"/>
          </w:tcPr>
          <w:p>
            <w:pPr>
              <w:jc w:val="right"/>
              <w:spacing w:after="0"/>
              <w:rPr>
                <w:sz w:val="20"/>
                <w:szCs w:val="20"/>
                <w:color w:val="auto"/>
              </w:rPr>
            </w:pPr>
            <w:r>
              <w:rPr>
                <w:rFonts w:ascii="Arial" w:cs="Arial" w:eastAsia="Arial" w:hAnsi="Arial"/>
                <w:sz w:val="17"/>
                <w:szCs w:val="17"/>
                <w:color w:val="auto"/>
              </w:rPr>
              <w:t>February 15, 2011</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6.00% notes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6.000%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15, 2012</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5.40% notes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135,000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5.400%</w:t>
            </w:r>
          </w:p>
        </w:tc>
        <w:tc>
          <w:tcPr>
            <w:tcW w:w="1740" w:type="dxa"/>
            <w:vAlign w:val="bottom"/>
          </w:tcPr>
          <w:p>
            <w:pPr>
              <w:jc w:val="right"/>
              <w:spacing w:after="0"/>
              <w:rPr>
                <w:sz w:val="20"/>
                <w:szCs w:val="20"/>
                <w:color w:val="auto"/>
              </w:rPr>
            </w:pPr>
            <w:r>
              <w:rPr>
                <w:rFonts w:ascii="Arial" w:cs="Arial" w:eastAsia="Arial" w:hAnsi="Arial"/>
                <w:sz w:val="17"/>
                <w:szCs w:val="17"/>
                <w:color w:val="auto"/>
              </w:rPr>
              <w:t>December 1, 2013</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5.65% notes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5.650%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1, 2016</w:t>
            </w:r>
          </w:p>
        </w:tc>
      </w:tr>
      <w:tr>
        <w:trPr>
          <w:trHeight w:val="212"/>
        </w:trPr>
        <w:tc>
          <w:tcPr>
            <w:tcW w:w="5460" w:type="dxa"/>
            <w:vAlign w:val="bottom"/>
            <w:gridSpan w:val="2"/>
          </w:tcPr>
          <w:p>
            <w:pPr>
              <w:spacing w:after="0"/>
              <w:rPr>
                <w:sz w:val="20"/>
                <w:szCs w:val="20"/>
                <w:color w:val="auto"/>
              </w:rPr>
            </w:pPr>
            <w:r>
              <w:rPr>
                <w:rFonts w:ascii="Arial" w:cs="Arial" w:eastAsia="Arial" w:hAnsi="Arial"/>
                <w:sz w:val="17"/>
                <w:szCs w:val="17"/>
                <w:color w:val="auto"/>
              </w:rPr>
              <w:t>6.20% notes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6.200%</w:t>
            </w:r>
          </w:p>
        </w:tc>
        <w:tc>
          <w:tcPr>
            <w:tcW w:w="1740" w:type="dxa"/>
            <w:vAlign w:val="bottom"/>
          </w:tcPr>
          <w:p>
            <w:pPr>
              <w:jc w:val="right"/>
              <w:spacing w:after="0"/>
              <w:rPr>
                <w:sz w:val="20"/>
                <w:szCs w:val="20"/>
                <w:color w:val="auto"/>
              </w:rPr>
            </w:pPr>
            <w:r>
              <w:rPr>
                <w:rFonts w:ascii="Arial" w:cs="Arial" w:eastAsia="Arial" w:hAnsi="Arial"/>
                <w:sz w:val="17"/>
                <w:szCs w:val="17"/>
                <w:color w:val="auto"/>
              </w:rPr>
              <w:t>January 15, 2017</w:t>
            </w:r>
          </w:p>
        </w:tc>
      </w:tr>
      <w:tr>
        <w:trPr>
          <w:trHeight w:val="212"/>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7.48% debentures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7.480%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15, 2026</w:t>
            </w:r>
          </w:p>
        </w:tc>
      </w:tr>
      <w:tr>
        <w:trPr>
          <w:trHeight w:val="218"/>
        </w:trPr>
        <w:tc>
          <w:tcPr>
            <w:tcW w:w="5460" w:type="dxa"/>
            <w:vAlign w:val="bottom"/>
            <w:gridSpan w:val="2"/>
          </w:tcPr>
          <w:p>
            <w:pPr>
              <w:spacing w:after="0"/>
              <w:rPr>
                <w:sz w:val="20"/>
                <w:szCs w:val="20"/>
                <w:color w:val="auto"/>
              </w:rPr>
            </w:pPr>
            <w:r>
              <w:rPr>
                <w:rFonts w:ascii="Arial" w:cs="Arial" w:eastAsia="Arial" w:hAnsi="Arial"/>
                <w:sz w:val="17"/>
                <w:szCs w:val="17"/>
                <w:color w:val="auto"/>
              </w:rPr>
              <w:t>6.82% medium term notes</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6.820%</w:t>
            </w:r>
          </w:p>
        </w:tc>
        <w:tc>
          <w:tcPr>
            <w:tcW w:w="1740" w:type="dxa"/>
            <w:vAlign w:val="bottom"/>
          </w:tcPr>
          <w:p>
            <w:pPr>
              <w:jc w:val="right"/>
              <w:spacing w:after="0"/>
              <w:rPr>
                <w:sz w:val="20"/>
                <w:szCs w:val="20"/>
                <w:color w:val="auto"/>
              </w:rPr>
            </w:pPr>
            <w:r>
              <w:rPr>
                <w:rFonts w:ascii="Arial" w:cs="Arial" w:eastAsia="Arial" w:hAnsi="Arial"/>
                <w:sz w:val="17"/>
                <w:szCs w:val="17"/>
                <w:color w:val="auto"/>
              </w:rPr>
              <w:t>August 1, 2027</w:t>
            </w:r>
          </w:p>
        </w:tc>
      </w:tr>
      <w:tr>
        <w:trPr>
          <w:trHeight w:val="212"/>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Subtotal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655,500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8"/>
        </w:trPr>
        <w:tc>
          <w:tcPr>
            <w:tcW w:w="5460" w:type="dxa"/>
            <w:vAlign w:val="bottom"/>
            <w:gridSpan w:val="2"/>
          </w:tcPr>
          <w:p>
            <w:pPr>
              <w:spacing w:after="0"/>
              <w:rPr>
                <w:sz w:val="20"/>
                <w:szCs w:val="20"/>
                <w:color w:val="auto"/>
              </w:rPr>
            </w:pPr>
            <w:r>
              <w:rPr>
                <w:rFonts w:ascii="Arial" w:cs="Arial" w:eastAsia="Arial" w:hAnsi="Arial"/>
                <w:sz w:val="17"/>
                <w:szCs w:val="17"/>
                <w:color w:val="auto"/>
              </w:rPr>
              <w:t>Net amortized debt premium (discount)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2,508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(1,825)</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2"/>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senior notes and debentures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1,127,508</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653,675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5"/>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Capital lease obligations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149,361</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148,815</w:t>
            </w:r>
          </w:p>
        </w:tc>
        <w:tc>
          <w:tcPr>
            <w:tcW w:w="400" w:type="dxa"/>
            <w:vAlign w:val="bottom"/>
          </w:tcPr>
          <w:p>
            <w:pPr>
              <w:spacing w:after="0"/>
              <w:rPr>
                <w:sz w:val="19"/>
                <w:szCs w:val="19"/>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7"/>
                <w:szCs w:val="17"/>
                <w:color w:val="auto"/>
              </w:rPr>
              <w:t>Various</w:t>
            </w:r>
          </w:p>
        </w:tc>
        <w:tc>
          <w:tcPr>
            <w:tcW w:w="1740" w:type="dxa"/>
            <w:vAlign w:val="bottom"/>
          </w:tcPr>
          <w:p>
            <w:pPr>
              <w:jc w:val="right"/>
              <w:spacing w:after="0"/>
              <w:rPr>
                <w:sz w:val="20"/>
                <w:szCs w:val="20"/>
                <w:color w:val="auto"/>
              </w:rPr>
            </w:pPr>
            <w:r>
              <w:rPr>
                <w:rFonts w:ascii="Arial" w:cs="Arial" w:eastAsia="Arial" w:hAnsi="Arial"/>
                <w:sz w:val="17"/>
                <w:szCs w:val="17"/>
                <w:color w:val="auto"/>
              </w:rPr>
              <w:t>Various through 2077</w:t>
            </w:r>
          </w:p>
        </w:tc>
      </w:tr>
      <w:tr>
        <w:trPr>
          <w:trHeight w:val="212"/>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and capital lease obligations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1,696,930</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ind w:right="1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1,390,143</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48"/>
        </w:trPr>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794"/>
              <w:spacing w:after="0"/>
              <w:rPr>
                <w:sz w:val="20"/>
                <w:szCs w:val="20"/>
                <w:color w:val="auto"/>
              </w:rPr>
            </w:pPr>
            <w:r>
              <w:rPr>
                <w:rFonts w:ascii="Arial" w:cs="Arial" w:eastAsia="Arial" w:hAnsi="Arial"/>
                <w:sz w:val="17"/>
                <w:szCs w:val="17"/>
                <w:color w:val="auto"/>
                <w:w w:val="91"/>
              </w:rPr>
              <w:t>F-20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On March 10, 2006, we repaid our 6.99% medium term notes with a principal amount of $40.5 million. These notes were repaid with funds borrowed on our revolving credit facility.</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17, 2006 we issued $120.0 million of fixed rate notes, which mature on July 15, 2012 and bear interest at 6.0%, and $130.0 million of fixed rate notes, which mature on January 15, 2017 and bear interest at 6.2%. Our net proceeds from these note offerings after issuance discounts and underwriting fees were $247.9 million. These proceeds, along with $2.4 million borrowed on our revolving credit facility, were used to repay all the principal of our $150.0 million five-year term loan due October 2008 and $100.0 million three-year term loan due October 2006 and $0.3 million of related accrued interest on July 17, 2006.</w:t>
      </w:r>
    </w:p>
    <w:p>
      <w:pPr>
        <w:spacing w:after="0" w:line="117"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In order to hedge our exposure to interest rate fluctuations on the $150.0 million five-year term loan due October 2008, we entered into an interest rate swap in January 2004, which fixed the LIBOR portion of the interest rate on this term loan at 2.401% through October 8, 2006. The full notional amount of this swap qualified as a cash flow hedge until we repaid this term loan on July 17, 2006. On July 17, 2006, we did not redesignate this swap and the related $1.2 million included in accumulated other comprehensive income was recognized into earnings.</w:t>
      </w:r>
    </w:p>
    <w:p>
      <w:pPr>
        <w:spacing w:after="0" w:line="13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July 28, 2006, we replaced our existing revolving credit facility with a new $300.0 million unsecured revolving credit facility. The new revolving credit facility matures on July 27, 2010, subject to a one-year extension at our option, and initially bears interest at LIBOR plus 42.5 basis points. The spread over LIBOR is subject to adjustment based on our credit rating.</w:t>
      </w:r>
    </w:p>
    <w:p>
      <w:pPr>
        <w:spacing w:after="0" w:line="12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connection with the acquisitions of Bath Shopping Center and Chelsea Commons on August 24, 2006 and August 25, 2006, we assumed two mortgage notes, one in connection with each property, with fair values of approximately $11.1 million and $8.0 million, respectively. The Bath Shopping Center and Chelsea Commons mortgages mature on July 1, 2028 and January 15, 2031, respectively, and bear interest at 7.13% and 5.36%, respectively. Both notes require monthly payments of principal and interest.</w:t>
      </w:r>
    </w:p>
    <w:p>
      <w:pPr>
        <w:spacing w:after="0" w:line="130"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On August 24, 2006, we entered into a $150 million unsecured credit agreement (the “Bridge Loan”) bearing interest at LIBOR plus 42.5 basis points and maturing on December 29, 2006. The Bridge Loan was used to provide interim financing for the acquisition of properties and was fully repaid on September 19, 2006, using the proceeds from the issuance of common stock.</w:t>
      </w:r>
    </w:p>
    <w:p>
      <w:pPr>
        <w:spacing w:after="0" w:line="128"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On September 28, 2006, we reopened the 6.0% and 6.2% fixed rate notes that were initially issued on July 17, 2006. We issued an additional $55.0 million of fixed rate notes, which mature on July 15, 2012 and bear interest at 6.0%, and an additional $70.0 million of fixed rate notes, which mature on January 15, 2017, and bear interest at 6.2%. The additional note issuances are fully fungible, rank equally with and form a single issue and series with the initial notes issued on July 17, 2006.</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Our net proceeds from the September 2006 note offerings after issuance premiums, underwriting fees and accrued interest were $130.1 million. These proceeds were used to reduce the borrowings under our unsecured credit facility and for general corporate purposes.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16, 2006, we acquired the leasehold interest in Melville Mall which had an existing mortgage note with a fair value of approximately $25.2 million. This mortgage note bears interest at 5.25% per annum, requires monthly payments of interest and principal based on a 25-year amortization schedule and matures on September 1, 2014. Because we control this property and retain substantially all of the economic benefits and risks associated with it, we consolidate it, its operations and this mortgage.</w:t>
      </w:r>
    </w:p>
    <w:p>
      <w:pPr>
        <w:spacing w:after="0" w:line="13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December 1, 2006, we issued $135.0 million of fixed rate notes, which mature on December 1, 2013 and bear interest at 5.4%. Our net proceeds from these note offerings after underwriting fees were $134.2 million. The proceeds were used for general corporate purposes, including repaying amounts outstanding under our revolving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53"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The maximum amount of borrowings outstanding under our revolving credit facility during 2006, 2005 and 2004 was $297.0 million, $159.7 million and $165.0 million, respectively and the average amount of borrowings outstanding was $106.0 million , $105.1 million and $74.4 million, respectively. Our revolving credit facility had a weighted average interest rate, before amortization of debt fees, of 5.6%, 3.7% and 2.2%.</w:t>
      </w:r>
    </w:p>
    <w:p>
      <w:pPr>
        <w:spacing w:after="0" w:line="128" w:lineRule="exact"/>
        <w:rPr>
          <w:sz w:val="20"/>
          <w:szCs w:val="20"/>
          <w:color w:val="auto"/>
        </w:rPr>
      </w:pPr>
    </w:p>
    <w:p>
      <w:pPr>
        <w:ind w:right="360"/>
        <w:spacing w:after="0" w:line="320"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December 31, 2006, we were in compliance with all loan covenants.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on mortgage loans, notes payable, senior notes and debentures as of December 31,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58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95"/>
              </w:rPr>
              <w:t>Mortgage</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Notes</w:t>
            </w:r>
          </w:p>
        </w:tc>
        <w:tc>
          <w:tcPr>
            <w:tcW w:w="6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Senior Notes and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8"/>
              <w:spacing w:after="0"/>
              <w:rPr>
                <w:sz w:val="20"/>
                <w:szCs w:val="20"/>
                <w:color w:val="auto"/>
              </w:rPr>
            </w:pPr>
            <w:r>
              <w:rPr>
                <w:rFonts w:ascii="Arial" w:cs="Arial" w:eastAsia="Arial" w:hAnsi="Arial"/>
                <w:sz w:val="13"/>
                <w:szCs w:val="13"/>
                <w:b w:val="1"/>
                <w:bCs w:val="1"/>
                <w:color w:val="auto"/>
              </w:rPr>
              <w:t>Total</w:t>
            </w:r>
          </w:p>
        </w:tc>
      </w:tr>
      <w:tr>
        <w:trPr>
          <w:trHeight w:val="158"/>
        </w:trPr>
        <w:tc>
          <w:tcPr>
            <w:tcW w:w="11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Notes</w:t>
            </w:r>
          </w:p>
        </w:tc>
        <w:tc>
          <w:tcPr>
            <w:tcW w:w="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Payable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2"/>
              </w:rPr>
              <w:t>Debentures</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8"/>
              </w:rPr>
              <w:t>Principal</w:t>
            </w:r>
          </w:p>
        </w:tc>
      </w:tr>
      <w:tr>
        <w:trPr>
          <w:trHeight w:val="139"/>
        </w:trPr>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716"/>
              <w:spacing w:after="0" w:line="139" w:lineRule="exact"/>
              <w:rPr>
                <w:sz w:val="20"/>
                <w:szCs w:val="20"/>
                <w:color w:val="auto"/>
              </w:rPr>
            </w:pPr>
            <w:r>
              <w:rPr>
                <w:rFonts w:ascii="Arial" w:cs="Arial" w:eastAsia="Arial" w:hAnsi="Arial"/>
                <w:sz w:val="13"/>
                <w:szCs w:val="13"/>
                <w:b w:val="1"/>
                <w:bCs w:val="1"/>
                <w:color w:val="auto"/>
                <w:w w:val="91"/>
              </w:rPr>
              <w:t>(In thousands)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2"/>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1180" w:type="dxa"/>
            <w:vAlign w:val="bottom"/>
          </w:tcPr>
          <w:p>
            <w:pPr>
              <w:spacing w:after="0"/>
              <w:rPr>
                <w:sz w:val="20"/>
                <w:szCs w:val="20"/>
                <w:color w:val="auto"/>
              </w:rPr>
            </w:pPr>
            <w:r>
              <w:rPr>
                <w:rFonts w:ascii="Arial" w:cs="Arial" w:eastAsia="Arial" w:hAnsi="Arial"/>
                <w:sz w:val="17"/>
                <w:szCs w:val="17"/>
                <w:color w:val="auto"/>
              </w:rPr>
              <w:t>2007</w:t>
            </w:r>
          </w:p>
        </w:tc>
        <w:tc>
          <w:tcPr>
            <w:tcW w:w="4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900"/>
              <w:spacing w:after="0"/>
              <w:rPr>
                <w:sz w:val="20"/>
                <w:szCs w:val="20"/>
                <w:color w:val="auto"/>
              </w:rPr>
            </w:pPr>
            <w:r>
              <w:rPr>
                <w:rFonts w:ascii="Arial" w:cs="Arial" w:eastAsia="Arial" w:hAnsi="Arial"/>
                <w:sz w:val="17"/>
                <w:szCs w:val="17"/>
                <w:color w:val="auto"/>
              </w:rPr>
              <w:t>4,793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204</w:t>
            </w:r>
          </w:p>
        </w:tc>
        <w:tc>
          <w:tcPr>
            <w:tcW w:w="8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150,000</w:t>
            </w:r>
          </w:p>
        </w:tc>
        <w:tc>
          <w:tcPr>
            <w:tcW w:w="5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154,997</w:t>
            </w:r>
          </w:p>
        </w:tc>
      </w:tr>
      <w:tr>
        <w:trPr>
          <w:trHeight w:val="212"/>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14,968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15,194</w:t>
            </w:r>
          </w:p>
        </w:tc>
      </w:tr>
      <w:tr>
        <w:trPr>
          <w:trHeight w:val="212"/>
        </w:trPr>
        <w:tc>
          <w:tcPr>
            <w:tcW w:w="1180" w:type="dxa"/>
            <w:vAlign w:val="bottom"/>
          </w:tcPr>
          <w:p>
            <w:pPr>
              <w:spacing w:after="0"/>
              <w:rPr>
                <w:sz w:val="20"/>
                <w:szCs w:val="20"/>
                <w:color w:val="auto"/>
              </w:rPr>
            </w:pPr>
            <w:r>
              <w:rPr>
                <w:rFonts w:ascii="Arial" w:cs="Arial" w:eastAsia="Arial" w:hAnsi="Arial"/>
                <w:sz w:val="17"/>
                <w:szCs w:val="17"/>
                <w:color w:val="auto"/>
              </w:rPr>
              <w:t>2009</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7"/>
                <w:szCs w:val="17"/>
                <w:color w:val="auto"/>
              </w:rPr>
              <w:t>9,972</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249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175,000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185,221</w:t>
            </w:r>
          </w:p>
        </w:tc>
      </w:tr>
      <w:tr>
        <w:trPr>
          <w:trHeight w:val="212"/>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6,016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98,275(1)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104,291</w:t>
            </w:r>
          </w:p>
        </w:tc>
      </w:tr>
      <w:tr>
        <w:trPr>
          <w:trHeight w:val="212"/>
        </w:trPr>
        <w:tc>
          <w:tcPr>
            <w:tcW w:w="1180" w:type="dxa"/>
            <w:vAlign w:val="bottom"/>
          </w:tcPr>
          <w:p>
            <w:pPr>
              <w:spacing w:after="0"/>
              <w:rPr>
                <w:sz w:val="20"/>
                <w:szCs w:val="20"/>
                <w:color w:val="auto"/>
              </w:rPr>
            </w:pPr>
            <w:r>
              <w:rPr>
                <w:rFonts w:ascii="Arial" w:cs="Arial" w:eastAsia="Arial" w:hAnsi="Arial"/>
                <w:sz w:val="17"/>
                <w:szCs w:val="17"/>
                <w:color w:val="auto"/>
              </w:rPr>
              <w:t>2011</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7"/>
                <w:szCs w:val="17"/>
                <w:color w:val="auto"/>
              </w:rPr>
              <w:t>43,245</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304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75,000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118,549</w:t>
            </w:r>
          </w:p>
        </w:tc>
      </w:tr>
      <w:tr>
        <w:trPr>
          <w:trHeight w:val="212"/>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w w:val="91"/>
              </w:rPr>
              <w:t>232,079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725,000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966,845</w:t>
            </w:r>
          </w:p>
        </w:tc>
      </w:tr>
      <w:tr>
        <w:trPr>
          <w:trHeight w:val="20"/>
        </w:trPr>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7"/>
        </w:trPr>
        <w:tc>
          <w:tcPr>
            <w:tcW w:w="11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700"/>
              <w:spacing w:after="0"/>
              <w:rPr>
                <w:sz w:val="20"/>
                <w:szCs w:val="20"/>
                <w:color w:val="auto"/>
              </w:rPr>
            </w:pPr>
            <w:r>
              <w:rPr>
                <w:rFonts w:ascii="Arial" w:cs="Arial" w:eastAsia="Arial" w:hAnsi="Arial"/>
                <w:sz w:val="17"/>
                <w:szCs w:val="17"/>
                <w:color w:val="auto"/>
                <w:w w:val="92"/>
              </w:rPr>
              <w:t>311,073(2)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109,024</w:t>
            </w:r>
          </w:p>
        </w:tc>
        <w:tc>
          <w:tcPr>
            <w:tcW w:w="8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7"/>
                <w:szCs w:val="17"/>
                <w:color w:val="auto"/>
              </w:rPr>
              <w:t>1,125,000(2)</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1,545,097</w:t>
            </w:r>
          </w:p>
        </w:tc>
      </w:tr>
      <w:tr>
        <w:trPr>
          <w:trHeight w:val="20"/>
        </w:trPr>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97" w:lineRule="exact"/>
        <w:rPr>
          <w:sz w:val="20"/>
          <w:szCs w:val="20"/>
          <w:color w:val="auto"/>
        </w:rPr>
      </w:pPr>
    </w:p>
    <w:p>
      <w:pPr>
        <w:ind w:left="460" w:hanging="454"/>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Maturities in 2010 include $98 million drawn under the Trust’s $300 million four-year revolving credit facility.</w:t>
      </w:r>
    </w:p>
    <w:p>
      <w:pPr>
        <w:spacing w:after="0" w:line="21" w:lineRule="exact"/>
        <w:rPr>
          <w:rFonts w:ascii="Arial" w:cs="Arial" w:eastAsia="Arial" w:hAnsi="Arial"/>
          <w:sz w:val="17"/>
          <w:szCs w:val="17"/>
          <w:color w:val="auto"/>
        </w:rPr>
      </w:pPr>
    </w:p>
    <w:p>
      <w:pPr>
        <w:ind w:left="460" w:right="100" w:hanging="454"/>
        <w:spacing w:after="0" w:line="280"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senior notes, debentures and mortgage payables.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2006,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5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5"/>
              </w:rPr>
              <w:t>(In thousands)</w:t>
            </w:r>
          </w:p>
        </w:tc>
      </w:tr>
      <w:tr>
        <w:trPr>
          <w:trHeight w:val="212"/>
        </w:trPr>
        <w:tc>
          <w:tcPr>
            <w:tcW w:w="1054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10540" w:type="dxa"/>
            <w:vAlign w:val="bottom"/>
          </w:tcPr>
          <w:p>
            <w:pPr>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14,182</w:t>
            </w:r>
          </w:p>
        </w:tc>
        <w:tc>
          <w:tcPr>
            <w:tcW w:w="60" w:type="dxa"/>
            <w:vAlign w:val="bottom"/>
          </w:tcPr>
          <w:p>
            <w:pPr>
              <w:spacing w:after="0"/>
              <w:rPr>
                <w:sz w:val="18"/>
                <w:szCs w:val="18"/>
                <w:color w:val="auto"/>
              </w:rPr>
            </w:pPr>
          </w:p>
        </w:tc>
      </w:tr>
      <w:tr>
        <w:trPr>
          <w:trHeight w:val="212"/>
        </w:trPr>
        <w:tc>
          <w:tcPr>
            <w:tcW w:w="1054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14,260</w:t>
            </w:r>
          </w:p>
        </w:tc>
        <w:tc>
          <w:tcPr>
            <w:tcW w:w="60" w:type="dxa"/>
            <w:vAlign w:val="bottom"/>
            <w:shd w:val="clear" w:color="auto" w:fill="CCEEFF"/>
          </w:tcPr>
          <w:p>
            <w:pPr>
              <w:spacing w:after="0"/>
              <w:rPr>
                <w:sz w:val="18"/>
                <w:szCs w:val="18"/>
                <w:color w:val="auto"/>
              </w:rPr>
            </w:pPr>
          </w:p>
        </w:tc>
      </w:tr>
      <w:tr>
        <w:trPr>
          <w:trHeight w:val="212"/>
        </w:trPr>
        <w:tc>
          <w:tcPr>
            <w:tcW w:w="10540" w:type="dxa"/>
            <w:vAlign w:val="bottom"/>
          </w:tcPr>
          <w:p>
            <w:pPr>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14,334</w:t>
            </w:r>
          </w:p>
        </w:tc>
        <w:tc>
          <w:tcPr>
            <w:tcW w:w="60" w:type="dxa"/>
            <w:vAlign w:val="bottom"/>
          </w:tcPr>
          <w:p>
            <w:pPr>
              <w:spacing w:after="0"/>
              <w:rPr>
                <w:sz w:val="18"/>
                <w:szCs w:val="18"/>
                <w:color w:val="auto"/>
              </w:rPr>
            </w:pPr>
          </w:p>
        </w:tc>
      </w:tr>
      <w:tr>
        <w:trPr>
          <w:trHeight w:val="212"/>
        </w:trPr>
        <w:tc>
          <w:tcPr>
            <w:tcW w:w="1054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14,335</w:t>
            </w:r>
          </w:p>
        </w:tc>
        <w:tc>
          <w:tcPr>
            <w:tcW w:w="60" w:type="dxa"/>
            <w:vAlign w:val="bottom"/>
            <w:shd w:val="clear" w:color="auto" w:fill="CCEEFF"/>
          </w:tcPr>
          <w:p>
            <w:pPr>
              <w:spacing w:after="0"/>
              <w:rPr>
                <w:sz w:val="18"/>
                <w:szCs w:val="18"/>
                <w:color w:val="auto"/>
              </w:rPr>
            </w:pPr>
          </w:p>
        </w:tc>
      </w:tr>
      <w:tr>
        <w:trPr>
          <w:trHeight w:val="212"/>
        </w:trPr>
        <w:tc>
          <w:tcPr>
            <w:tcW w:w="10540" w:type="dxa"/>
            <w:vAlign w:val="bottom"/>
          </w:tcPr>
          <w:p>
            <w:pPr>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14,335</w:t>
            </w:r>
          </w:p>
        </w:tc>
        <w:tc>
          <w:tcPr>
            <w:tcW w:w="60" w:type="dxa"/>
            <w:vAlign w:val="bottom"/>
          </w:tcPr>
          <w:p>
            <w:pPr>
              <w:spacing w:after="0"/>
              <w:rPr>
                <w:sz w:val="18"/>
                <w:szCs w:val="18"/>
                <w:color w:val="auto"/>
              </w:rPr>
            </w:pPr>
          </w:p>
        </w:tc>
      </w:tr>
      <w:tr>
        <w:trPr>
          <w:trHeight w:val="212"/>
        </w:trPr>
        <w:tc>
          <w:tcPr>
            <w:tcW w:w="1054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433,305</w:t>
            </w:r>
          </w:p>
        </w:tc>
        <w:tc>
          <w:tcPr>
            <w:tcW w:w="60" w:type="dxa"/>
            <w:vAlign w:val="bottom"/>
            <w:shd w:val="clear" w:color="auto" w:fill="CCEEFF"/>
          </w:tcPr>
          <w:p>
            <w:pPr>
              <w:spacing w:after="0"/>
              <w:rPr>
                <w:sz w:val="18"/>
                <w:szCs w:val="18"/>
                <w:color w:val="auto"/>
              </w:rPr>
            </w:pPr>
          </w:p>
        </w:tc>
      </w:tr>
      <w:tr>
        <w:trPr>
          <w:trHeight w:val="217"/>
        </w:trPr>
        <w:tc>
          <w:tcPr>
            <w:tcW w:w="10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504,751</w:t>
            </w:r>
          </w:p>
        </w:tc>
        <w:tc>
          <w:tcPr>
            <w:tcW w:w="60" w:type="dxa"/>
            <w:vAlign w:val="bottom"/>
          </w:tcPr>
          <w:p>
            <w:pPr>
              <w:spacing w:after="0"/>
              <w:rPr>
                <w:sz w:val="18"/>
                <w:szCs w:val="18"/>
                <w:color w:val="auto"/>
              </w:rPr>
            </w:pPr>
          </w:p>
        </w:tc>
      </w:tr>
      <w:tr>
        <w:trPr>
          <w:trHeight w:val="213"/>
        </w:trPr>
        <w:tc>
          <w:tcPr>
            <w:tcW w:w="1054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(355,390)</w:t>
            </w:r>
          </w:p>
        </w:tc>
      </w:tr>
      <w:tr>
        <w:trPr>
          <w:trHeight w:val="217"/>
        </w:trPr>
        <w:tc>
          <w:tcPr>
            <w:tcW w:w="10540" w:type="dxa"/>
            <w:vAlign w:val="bottom"/>
          </w:tcPr>
          <w:p>
            <w:pPr>
              <w:spacing w:after="0"/>
              <w:rPr>
                <w:sz w:val="20"/>
                <w:szCs w:val="20"/>
                <w:color w:val="auto"/>
              </w:rPr>
            </w:pPr>
            <w:r>
              <w:rPr>
                <w:rFonts w:ascii="Arial" w:cs="Arial" w:eastAsia="Arial" w:hAnsi="Arial"/>
                <w:sz w:val="17"/>
                <w:szCs w:val="17"/>
                <w:color w:val="auto"/>
              </w:rPr>
              <w:t>Present value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149,361</w:t>
            </w:r>
          </w:p>
        </w:tc>
        <w:tc>
          <w:tcPr>
            <w:tcW w:w="60" w:type="dxa"/>
            <w:vAlign w:val="bottom"/>
          </w:tcPr>
          <w:p>
            <w:pPr>
              <w:spacing w:after="0"/>
              <w:rPr>
                <w:sz w:val="18"/>
                <w:szCs w:val="18"/>
                <w:color w:val="auto"/>
              </w:rPr>
            </w:pPr>
          </w:p>
        </w:tc>
      </w:tr>
      <w:tr>
        <w:trPr>
          <w:trHeight w:val="20"/>
        </w:trPr>
        <w:tc>
          <w:tcPr>
            <w:tcW w:w="10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minimum payments under certain capital leases are revised every ten years when the owner refinances its debt related to these properties. In December 2005, our minimum payments were reduced in connection with the owner’s refinancing. As a result of the reduction in our minimum payments, we decreased both the related capital lease obligations and the carrying amounts of the related buildings by $9.0 million.</w:t>
      </w:r>
    </w:p>
    <w:p>
      <w:pPr>
        <w:spacing w:after="0" w:line="128" w:lineRule="exact"/>
        <w:rPr>
          <w:sz w:val="20"/>
          <w:szCs w:val="20"/>
          <w:color w:val="auto"/>
        </w:rPr>
      </w:pPr>
    </w:p>
    <w:p>
      <w:pPr>
        <w:ind w:right="220"/>
        <w:spacing w:after="0" w:line="320" w:lineRule="auto"/>
        <w:rPr>
          <w:sz w:val="20"/>
          <w:szCs w:val="20"/>
          <w:color w:val="auto"/>
        </w:rPr>
      </w:pPr>
      <w:r>
        <w:rPr>
          <w:rFonts w:ascii="Arial" w:cs="Arial" w:eastAsia="Arial" w:hAnsi="Arial"/>
          <w:sz w:val="16"/>
          <w:szCs w:val="16"/>
          <w:color w:val="auto"/>
        </w:rPr>
        <w:t>Certain of our capital lease obligations require payments based on the performance of the related properties in addition to the minimum payment amounts set forth above. The additional performance based payments were $5.6 million, $4.6 million and $3.9 million in 2006, 2005 and 2004, respectively.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53"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OF FINANCIAL INSTRUMENTS</w:t>
      </w:r>
    </w:p>
    <w:p>
      <w:pPr>
        <w:spacing w:after="0" w:line="1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are generally used to estimate the fair value of our mortgages and notes payable, using current interest rates for similar mortgages and notes.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December 31, 2006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tcPr>
          <w:p>
            <w:pPr>
              <w:ind w:left="260"/>
              <w:spacing w:after="0"/>
              <w:rPr>
                <w:sz w:val="20"/>
                <w:szCs w:val="20"/>
                <w:color w:val="auto"/>
              </w:rPr>
            </w:pPr>
            <w:r>
              <w:rPr>
                <w:rFonts w:ascii="Arial" w:cs="Arial" w:eastAsia="Arial" w:hAnsi="Arial"/>
                <w:sz w:val="13"/>
                <w:szCs w:val="13"/>
                <w:b w:val="1"/>
                <w:bCs w:val="1"/>
                <w:color w:val="auto"/>
              </w:rPr>
              <w:t>December 31, 2005</w:t>
            </w:r>
          </w:p>
        </w:tc>
      </w:tr>
      <w:tr>
        <w:trPr>
          <w:trHeight w:val="126"/>
        </w:trPr>
        <w:tc>
          <w:tcPr>
            <w:tcW w:w="4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r>
      <w:tr>
        <w:trPr>
          <w:trHeight w:val="158"/>
        </w:trPr>
        <w:tc>
          <w:tcPr>
            <w:tcW w:w="4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93"/>
              </w:rPr>
              <w:t>Fair Value</w:t>
            </w:r>
          </w:p>
        </w:tc>
      </w:tr>
      <w:tr>
        <w:trPr>
          <w:trHeight w:val="139"/>
        </w:trPr>
        <w:tc>
          <w:tcPr>
            <w:tcW w:w="4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ind w:left="380"/>
              <w:spacing w:after="0" w:line="139" w:lineRule="exact"/>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2"/>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Mortgages and notes payable</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420,061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449,130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7"/>
              </w:rPr>
              <w:t>587,653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599,667</w:t>
            </w:r>
          </w:p>
        </w:tc>
      </w:tr>
      <w:tr>
        <w:trPr>
          <w:trHeight w:val="217"/>
        </w:trPr>
        <w:tc>
          <w:tcPr>
            <w:tcW w:w="4660" w:type="dxa"/>
            <w:vAlign w:val="bottom"/>
          </w:tcPr>
          <w:p>
            <w:pPr>
              <w:spacing w:after="0"/>
              <w:rPr>
                <w:sz w:val="20"/>
                <w:szCs w:val="20"/>
                <w:color w:val="auto"/>
              </w:rPr>
            </w:pPr>
            <w:r>
              <w:rPr>
                <w:rFonts w:ascii="Arial" w:cs="Arial" w:eastAsia="Arial" w:hAnsi="Arial"/>
                <w:sz w:val="17"/>
                <w:szCs w:val="17"/>
                <w:color w:val="auto"/>
              </w:rPr>
              <w:t>Senior notes</w:t>
            </w:r>
          </w:p>
        </w:tc>
        <w:tc>
          <w:tcPr>
            <w:tcW w:w="2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1,127,508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1,146,767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Pr>
          <w:p>
            <w:pPr>
              <w:ind w:left="100"/>
              <w:spacing w:after="0"/>
              <w:rPr>
                <w:sz w:val="20"/>
                <w:szCs w:val="20"/>
                <w:color w:val="auto"/>
              </w:rPr>
            </w:pPr>
            <w:r>
              <w:rPr>
                <w:rFonts w:ascii="Arial" w:cs="Arial" w:eastAsia="Arial" w:hAnsi="Arial"/>
                <w:sz w:val="17"/>
                <w:szCs w:val="17"/>
                <w:color w:val="auto"/>
                <w:w w:val="87"/>
              </w:rPr>
              <w:t>653,675</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675,278</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through our management agent, engaged in fraud by failing to disclose a condemnation action at the property that was pending when the lease was signed. A trial as to liability only began on February 26, 2007 and if we are found liable, a trial will be held to determine the amount of damages. Based on the evidence and information available to us, we believe there is a reasonable possibility that a verdict may be rendered against us.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would recover against the third party management company; however, if a verdict is rendered against us, there may be a material adverse impact on our net income in the period during which our indemnification claim is pending.</w:t>
      </w:r>
    </w:p>
    <w:p>
      <w:pPr>
        <w:spacing w:after="0" w:line="12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The plaintiff is seeking an unspecified amount of monetary damages. A trial as to liability only was held and on June 27, 2006, a jury rendered a verdict against us. A case management conference has been scheduled for March 23, 2007, at which time we expect a schedule to be set for additional discovery and a trial date on the issue of damages. The complaint did not specify the amount of damages claimed and we cannot make a reasonable estimate of potential damages until experts are retained and additional discovery is completed on the damages issue. If we are not successful in overturning the jury verdict, there likely will be a material adverse impact on our net income in the period in which it is both probable that we will have to pay the damages and such damages can be reasonably estimated.</w:t>
      </w:r>
    </w:p>
    <w:p>
      <w:pPr>
        <w:spacing w:after="0" w:line="11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Any increases to our estimated warranty losses would usually result in a decrease in net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53"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and future increases in costs of claims, when making these determinations. If our liability costs exceed these accruals, it will reduce our net income.</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December 31, 2006 and 2005, our reserves for warranties and general liability costs were $10.4 million and $6.2 million, respectively. Any potential losses which exceed our estimates would result in a decrease in our net income. During 2006 and 2005, we made payments related to warranty claims of $0.5 million and $0, respectively.</w:t>
      </w:r>
    </w:p>
    <w:p>
      <w:pPr>
        <w:spacing w:after="0" w:line="12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2006, our estimated maximum liability upon exercise of the put option would range from approximately $40 million to $45 million. In conjunction with the construction of the apartments at the property that were completed in 2003, 8.03% of the third party’s interest in Congressional Plaza was re-allocated to us, effective January 1, 2004, thereby lowering the third party’s ownership percentage from 37.50% to its current level of 29.47%, as a result of our having funded approximately $7 million of the third party’s share of the redevelopment cost.</w:t>
      </w:r>
    </w:p>
    <w:p>
      <w:pPr>
        <w:spacing w:after="0" w:line="11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Under the terms of various other partnership agreements for entities, the partners have the right to exchange their operating units for cash or the same number of our common shares, at our option. As of December 31, 2006, a total of 377,210 operating units are outstanding.</w:t>
      </w:r>
    </w:p>
    <w:p>
      <w:pPr>
        <w:spacing w:after="0" w:line="11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As of December 31, 2006, we have funded approximately $1.3 million related to this obligation. In anticipation of further shortfalls of incremental tax revenues to the City, we have accrued approximately $0.3 million as of December 31, 2006 to cover additional payments we may be obligated to make as part of the project costs.</w:t>
      </w:r>
    </w:p>
    <w:p>
      <w:pPr>
        <w:spacing w:after="0" w:line="137"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We have three leases in which the lessor has a put option, which would require us to purchase the properties during the remaining lease term. If the lessor were to exercise this option in 2007, the purchase price would be approximately $63.0 million.</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in connection with renovation and development projects, the Trust has contractual obligations of approximately $101.0 million.</w:t>
      </w:r>
    </w:p>
    <w:p>
      <w:pPr>
        <w:spacing w:after="0" w:line="17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360"/>
          </w:cols>
          <w:pgMar w:left="240" w:top="453"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2006:</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87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89"/>
              </w:rPr>
              <w:t>(In thousands)</w:t>
            </w:r>
          </w:p>
        </w:tc>
      </w:tr>
      <w:tr>
        <w:trPr>
          <w:trHeight w:val="212"/>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2"/>
        </w:trPr>
        <w:tc>
          <w:tcPr>
            <w:tcW w:w="8760" w:type="dxa"/>
            <w:vAlign w:val="bottom"/>
          </w:tcPr>
          <w:p>
            <w:pPr>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4,598</w:t>
            </w:r>
          </w:p>
        </w:tc>
      </w:tr>
      <w:tr>
        <w:trPr>
          <w:trHeight w:val="212"/>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w:t>
            </w:r>
          </w:p>
        </w:tc>
      </w:tr>
      <w:tr>
        <w:trPr>
          <w:trHeight w:val="212"/>
        </w:trPr>
        <w:tc>
          <w:tcPr>
            <w:tcW w:w="8760" w:type="dxa"/>
            <w:vAlign w:val="bottom"/>
          </w:tcPr>
          <w:p>
            <w:pPr>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4,529</w:t>
            </w:r>
          </w:p>
        </w:tc>
      </w:tr>
      <w:tr>
        <w:trPr>
          <w:trHeight w:val="212"/>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w:t>
            </w:r>
          </w:p>
        </w:tc>
      </w:tr>
      <w:tr>
        <w:trPr>
          <w:trHeight w:val="212"/>
        </w:trPr>
        <w:tc>
          <w:tcPr>
            <w:tcW w:w="8760" w:type="dxa"/>
            <w:vAlign w:val="bottom"/>
          </w:tcPr>
          <w:p>
            <w:pPr>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4,574</w:t>
            </w:r>
          </w:p>
        </w:tc>
      </w:tr>
      <w:tr>
        <w:trPr>
          <w:trHeight w:val="212"/>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257,967</w:t>
            </w:r>
          </w:p>
        </w:tc>
      </w:tr>
      <w:tr>
        <w:trPr>
          <w:trHeight w:val="217"/>
        </w:trPr>
        <w:tc>
          <w:tcPr>
            <w:tcW w:w="87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280,789</w:t>
            </w:r>
          </w:p>
        </w:tc>
      </w:tr>
      <w:tr>
        <w:trPr>
          <w:trHeight w:val="20"/>
        </w:trPr>
        <w:tc>
          <w:tcPr>
            <w:tcW w:w="8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DIVIDENDS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 summary of dividends declared and paid per share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41"/>
              <w:spacing w:after="0"/>
              <w:rPr>
                <w:sz w:val="20"/>
                <w:szCs w:val="20"/>
                <w:color w:val="auto"/>
              </w:rPr>
            </w:pPr>
            <w:r>
              <w:rPr>
                <w:rFonts w:ascii="Arial" w:cs="Arial" w:eastAsia="Arial" w:hAnsi="Arial"/>
                <w:sz w:val="13"/>
                <w:szCs w:val="13"/>
                <w:b w:val="1"/>
                <w:bCs w:val="1"/>
                <w:color w:val="auto"/>
                <w:w w:val="95"/>
              </w:rPr>
              <w:t>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2"/>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6"/>
          </w:tcPr>
          <w:p>
            <w:pPr>
              <w:ind w:left="180"/>
              <w:spacing w:after="0"/>
              <w:rPr>
                <w:sz w:val="20"/>
                <w:szCs w:val="20"/>
                <w:color w:val="auto"/>
              </w:rPr>
            </w:pPr>
            <w:r>
              <w:rPr>
                <w:rFonts w:ascii="Arial" w:cs="Arial" w:eastAsia="Arial" w:hAnsi="Arial"/>
                <w:sz w:val="13"/>
                <w:szCs w:val="13"/>
                <w:b w:val="1"/>
                <w:bCs w:val="1"/>
                <w:color w:val="auto"/>
              </w:rPr>
              <w:t>Year Ended</w:t>
            </w:r>
          </w:p>
        </w:tc>
      </w:tr>
      <w:tr>
        <w:trPr>
          <w:trHeight w:val="158"/>
        </w:trPr>
        <w:tc>
          <w:tcPr>
            <w:tcW w:w="6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3"/>
                <w:szCs w:val="13"/>
                <w:b w:val="1"/>
                <w:bCs w:val="1"/>
                <w:color w:val="auto"/>
                <w:w w:val="92"/>
              </w:rPr>
              <w:t>December 31, 2006</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3"/>
                <w:szCs w:val="13"/>
                <w:b w:val="1"/>
                <w:bCs w:val="1"/>
                <w:color w:val="auto"/>
                <w:w w:val="90"/>
              </w:rPr>
              <w:t>December 31, 2005</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7"/>
          </w:tcPr>
          <w:p>
            <w:pPr>
              <w:jc w:val="right"/>
              <w:ind w:right="76"/>
              <w:spacing w:after="0"/>
              <w:rPr>
                <w:sz w:val="20"/>
                <w:szCs w:val="20"/>
                <w:color w:val="auto"/>
              </w:rPr>
            </w:pPr>
            <w:r>
              <w:rPr>
                <w:rFonts w:ascii="Arial" w:cs="Arial" w:eastAsia="Arial" w:hAnsi="Arial"/>
                <w:sz w:val="13"/>
                <w:szCs w:val="13"/>
                <w:b w:val="1"/>
                <w:bCs w:val="1"/>
                <w:color w:val="auto"/>
                <w:w w:val="95"/>
              </w:rPr>
              <w:t>December 31, 2004</w:t>
            </w:r>
          </w:p>
        </w:tc>
      </w:tr>
      <w:tr>
        <w:trPr>
          <w:trHeight w:val="139"/>
        </w:trPr>
        <w:tc>
          <w:tcPr>
            <w:tcW w:w="684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w w:val="94"/>
              </w:rPr>
              <w:t>Declared</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Paid</w:t>
            </w: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w w:val="98"/>
              </w:rPr>
              <w:t>Declared</w:t>
            </w: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3"/>
                <w:szCs w:val="13"/>
                <w:b w:val="1"/>
                <w:bCs w:val="1"/>
                <w:color w:val="auto"/>
              </w:rPr>
              <w:t>Paid</w:t>
            </w:r>
          </w:p>
        </w:tc>
        <w:tc>
          <w:tcPr>
            <w:tcW w:w="220" w:type="dxa"/>
            <w:vAlign w:val="bottom"/>
          </w:tcPr>
          <w:p>
            <w:pPr>
              <w:spacing w:after="0"/>
              <w:rPr>
                <w:sz w:val="12"/>
                <w:szCs w:val="12"/>
                <w:color w:val="auto"/>
              </w:rPr>
            </w:pPr>
          </w:p>
        </w:tc>
        <w:tc>
          <w:tcPr>
            <w:tcW w:w="600" w:type="dxa"/>
            <w:vAlign w:val="bottom"/>
            <w:tcBorders>
              <w:bottom w:val="single" w:sz="8" w:color="auto"/>
            </w:tcBorders>
            <w:gridSpan w:val="4"/>
          </w:tcPr>
          <w:p>
            <w:pPr>
              <w:ind w:left="40"/>
              <w:spacing w:after="0" w:line="139" w:lineRule="exact"/>
              <w:rPr>
                <w:sz w:val="20"/>
                <w:szCs w:val="20"/>
                <w:color w:val="auto"/>
              </w:rPr>
            </w:pPr>
            <w:r>
              <w:rPr>
                <w:rFonts w:ascii="Arial" w:cs="Arial" w:eastAsia="Arial" w:hAnsi="Arial"/>
                <w:sz w:val="13"/>
                <w:szCs w:val="13"/>
                <w:b w:val="1"/>
                <w:bCs w:val="1"/>
                <w:color w:val="auto"/>
                <w:w w:val="98"/>
              </w:rPr>
              <w:t>Declared</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6"/>
              <w:spacing w:after="0" w:line="139" w:lineRule="exact"/>
              <w:rPr>
                <w:sz w:val="20"/>
                <w:szCs w:val="20"/>
                <w:color w:val="auto"/>
              </w:rPr>
            </w:pPr>
            <w:r>
              <w:rPr>
                <w:rFonts w:ascii="Arial" w:cs="Arial" w:eastAsia="Arial" w:hAnsi="Arial"/>
                <w:sz w:val="13"/>
                <w:szCs w:val="13"/>
                <w:b w:val="1"/>
                <w:bCs w:val="1"/>
                <w:color w:val="auto"/>
              </w:rPr>
              <w:t>Paid</w:t>
            </w:r>
          </w:p>
        </w:tc>
      </w:tr>
      <w:tr>
        <w:trPr>
          <w:trHeight w:val="205"/>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2.440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9"/>
              </w:rPr>
              <w:t>2.320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1.990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1.975</w:t>
            </w:r>
          </w:p>
        </w:tc>
      </w:tr>
      <w:tr>
        <w:trPr>
          <w:trHeight w:val="217"/>
        </w:trPr>
        <w:tc>
          <w:tcPr>
            <w:tcW w:w="6840" w:type="dxa"/>
            <w:vAlign w:val="bottom"/>
          </w:tcPr>
          <w:p>
            <w:pPr>
              <w:spacing w:after="0"/>
              <w:rPr>
                <w:sz w:val="20"/>
                <w:szCs w:val="20"/>
                <w:color w:val="auto"/>
              </w:rPr>
            </w:pPr>
            <w:r>
              <w:rPr>
                <w:rFonts w:ascii="Arial" w:cs="Arial" w:eastAsia="Arial" w:hAnsi="Arial"/>
                <w:sz w:val="17"/>
                <w:szCs w:val="17"/>
                <w:color w:val="auto"/>
              </w:rPr>
              <w:t>8.5% Series B Cumulative Redeemable Preferred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1.753</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ind w:left="60"/>
              <w:spacing w:after="0"/>
              <w:rPr>
                <w:sz w:val="20"/>
                <w:szCs w:val="20"/>
                <w:color w:val="auto"/>
              </w:rPr>
            </w:pPr>
            <w:r>
              <w:rPr>
                <w:rFonts w:ascii="Arial" w:cs="Arial" w:eastAsia="Arial" w:hAnsi="Arial"/>
                <w:sz w:val="17"/>
                <w:szCs w:val="17"/>
                <w:color w:val="auto"/>
                <w:w w:val="84"/>
              </w:rPr>
              <w:t>2.284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2.125</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ind w:left="20"/>
              <w:spacing w:after="0"/>
              <w:rPr>
                <w:sz w:val="20"/>
                <w:szCs w:val="20"/>
                <w:color w:val="auto"/>
              </w:rPr>
            </w:pPr>
            <w:r>
              <w:rPr>
                <w:rFonts w:ascii="Arial" w:cs="Arial" w:eastAsia="Arial" w:hAnsi="Arial"/>
                <w:sz w:val="17"/>
                <w:szCs w:val="17"/>
                <w:color w:val="auto"/>
                <w:w w:val="89"/>
              </w:rPr>
              <w:t>2.125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7"/>
                <w:szCs w:val="17"/>
                <w:color w:val="auto"/>
              </w:rPr>
              <w:t>2.125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w w:val="84"/>
              </w:rPr>
              <w:t>2.125</w:t>
            </w:r>
          </w:p>
        </w:tc>
      </w:tr>
      <w:tr>
        <w:trPr>
          <w:trHeight w:val="362"/>
        </w:trPr>
        <w:tc>
          <w:tcPr>
            <w:tcW w:w="6840" w:type="dxa"/>
            <w:vAlign w:val="bottom"/>
          </w:tcPr>
          <w:p>
            <w:pPr>
              <w:spacing w:after="0"/>
              <w:rPr>
                <w:sz w:val="20"/>
                <w:szCs w:val="20"/>
                <w:color w:val="auto"/>
              </w:rPr>
            </w:pPr>
            <w:r>
              <w:rPr>
                <w:rFonts w:ascii="Arial" w:cs="Arial" w:eastAsia="Arial" w:hAnsi="Arial"/>
                <w:sz w:val="17"/>
                <w:szCs w:val="17"/>
                <w:color w:val="auto"/>
              </w:rPr>
              <w:t>A summary of the income tax status of dividends per share paid is as follows: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7"/>
        </w:trPr>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1"/>
          </w:tcPr>
          <w:p>
            <w:pPr>
              <w:ind w:left="240"/>
              <w:spacing w:after="0"/>
              <w:rPr>
                <w:sz w:val="20"/>
                <w:szCs w:val="20"/>
                <w:color w:val="auto"/>
              </w:rPr>
            </w:pPr>
            <w:r>
              <w:rPr>
                <w:rFonts w:ascii="Arial" w:cs="Arial" w:eastAsia="Arial" w:hAnsi="Arial"/>
                <w:sz w:val="13"/>
                <w:szCs w:val="13"/>
                <w:b w:val="1"/>
                <w:bCs w:val="1"/>
                <w:color w:val="auto"/>
              </w:rPr>
              <w:t>Year Ended December 31,</w:t>
            </w:r>
          </w:p>
        </w:tc>
      </w:tr>
      <w:tr>
        <w:trPr>
          <w:trHeight w:val="139"/>
        </w:trPr>
        <w:tc>
          <w:tcPr>
            <w:tcW w:w="6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39"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39"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39" w:lineRule="exact"/>
              <w:rPr>
                <w:sz w:val="20"/>
                <w:szCs w:val="20"/>
                <w:color w:val="auto"/>
              </w:rPr>
            </w:pPr>
            <w:r>
              <w:rPr>
                <w:rFonts w:ascii="Arial" w:cs="Arial" w:eastAsia="Arial" w:hAnsi="Arial"/>
                <w:sz w:val="13"/>
                <w:szCs w:val="13"/>
                <w:b w:val="1"/>
                <w:bCs w:val="1"/>
                <w:color w:val="auto"/>
              </w:rPr>
              <w:t>2004</w:t>
            </w:r>
          </w:p>
        </w:tc>
      </w:tr>
      <w:tr>
        <w:trPr>
          <w:trHeight w:val="205"/>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2"/>
        </w:trPr>
        <w:tc>
          <w:tcPr>
            <w:tcW w:w="6840" w:type="dxa"/>
            <w:vAlign w:val="bottom"/>
          </w:tcPr>
          <w:p>
            <w:pPr>
              <w:ind w:left="420"/>
              <w:spacing w:after="0"/>
              <w:rPr>
                <w:sz w:val="20"/>
                <w:szCs w:val="20"/>
                <w:color w:val="auto"/>
              </w:rPr>
            </w:pPr>
            <w:r>
              <w:rPr>
                <w:rFonts w:ascii="Arial" w:cs="Arial" w:eastAsia="Arial" w:hAnsi="Arial"/>
                <w:sz w:val="17"/>
                <w:szCs w:val="17"/>
                <w:color w:val="auto"/>
              </w:rPr>
              <w:t>Ordinary dividend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1.813</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89"/>
              </w:rPr>
              <w:t>1.601</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1.876</w:t>
            </w:r>
          </w:p>
        </w:tc>
      </w:tr>
      <w:tr>
        <w:trPr>
          <w:trHeight w:val="212"/>
        </w:trPr>
        <w:tc>
          <w:tcPr>
            <w:tcW w:w="6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Ordinary dividend eligible for 15% rate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0.066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0.093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r>
      <w:tr>
        <w:trPr>
          <w:trHeight w:val="212"/>
        </w:trPr>
        <w:tc>
          <w:tcPr>
            <w:tcW w:w="6840" w:type="dxa"/>
            <w:vAlign w:val="bottom"/>
          </w:tcPr>
          <w:p>
            <w:pPr>
              <w:ind w:left="420"/>
              <w:spacing w:after="0"/>
              <w:rPr>
                <w:sz w:val="20"/>
                <w:szCs w:val="20"/>
                <w:color w:val="auto"/>
              </w:rPr>
            </w:pPr>
            <w:r>
              <w:rPr>
                <w:rFonts w:ascii="Arial" w:cs="Arial" w:eastAsia="Arial" w:hAnsi="Arial"/>
                <w:sz w:val="17"/>
                <w:szCs w:val="17"/>
                <w:color w:val="auto"/>
              </w:rPr>
              <w:t>Return of capital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w w:val="84"/>
              </w:rPr>
              <w:t>0.561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r>
      <w:tr>
        <w:trPr>
          <w:trHeight w:val="212"/>
        </w:trPr>
        <w:tc>
          <w:tcPr>
            <w:tcW w:w="6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gain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0.626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0.099</w:t>
            </w: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17"/>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2.440</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89"/>
              </w:rPr>
              <w:t>2.320</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1.975</w:t>
            </w: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8.5% Series B Cumulative Redeemable Preferred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2"/>
        </w:trPr>
        <w:tc>
          <w:tcPr>
            <w:tcW w:w="6840" w:type="dxa"/>
            <w:vAlign w:val="bottom"/>
          </w:tcPr>
          <w:p>
            <w:pPr>
              <w:ind w:left="420"/>
              <w:spacing w:after="0"/>
              <w:rPr>
                <w:sz w:val="20"/>
                <w:szCs w:val="20"/>
                <w:color w:val="auto"/>
              </w:rPr>
            </w:pPr>
            <w:r>
              <w:rPr>
                <w:rFonts w:ascii="Arial" w:cs="Arial" w:eastAsia="Arial" w:hAnsi="Arial"/>
                <w:sz w:val="17"/>
                <w:szCs w:val="17"/>
                <w:color w:val="auto"/>
              </w:rPr>
              <w:t>Ordinary dividend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2.284</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89"/>
              </w:rPr>
              <w:t>1.551</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2.019</w:t>
            </w:r>
          </w:p>
        </w:tc>
      </w:tr>
      <w:tr>
        <w:trPr>
          <w:trHeight w:val="212"/>
        </w:trPr>
        <w:tc>
          <w:tcPr>
            <w:tcW w:w="6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gain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0.574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0.106</w:t>
            </w: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17"/>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2.284</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89"/>
              </w:rPr>
              <w:t>2.125</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2.125</w:t>
            </w: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color w:val="auto"/>
        </w:rPr>
        <w:t>On November 6, 2006, the Trustees declared a quarterly cash dividend of $0.575 per common share, payable January 16, 2007 to common shareholders of record on January 2, 2007. Dividends declared in 2006 include a $0.20 special dividend paid on March 30, 2006. On November 27, 2006, the Trust redeemed all 5,400,000 outstanding shares of its Series B Cumulative Redeemable Preferred Shares. Dividends on the Series B Preferred Shares ceased to accrue on November 27, 2006.</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SHAREHOLDERS’ EQUITY</w:t>
      </w:r>
    </w:p>
    <w:p>
      <w:pPr>
        <w:spacing w:after="0" w:line="102" w:lineRule="exact"/>
        <w:rPr>
          <w:sz w:val="20"/>
          <w:szCs w:val="20"/>
          <w:color w:val="auto"/>
        </w:rPr>
      </w:pPr>
    </w:p>
    <w:p>
      <w:pPr>
        <w:jc w:val="both"/>
        <w:ind w:right="200"/>
        <w:spacing w:after="0" w:line="326" w:lineRule="auto"/>
        <w:rPr>
          <w:sz w:val="20"/>
          <w:szCs w:val="20"/>
          <w:color w:val="auto"/>
        </w:rPr>
      </w:pPr>
      <w:r>
        <w:rPr>
          <w:rFonts w:ascii="Arial" w:cs="Arial" w:eastAsia="Arial" w:hAnsi="Arial"/>
          <w:sz w:val="15"/>
          <w:szCs w:val="15"/>
          <w:color w:val="auto"/>
        </w:rPr>
        <w:t>On September 19, 2006, we issued 2.0 million common shares at $74.51 per share (after deducting underwriting discounts and fees) netting approximately $149.1 million in cash proceeds before other expenses of the offering. The proceeds were used on an interim basis to repay debt from the acquisition of three properties in New England and for general corporate purposes. Ultimately, the proceeds were used to redeem the Series B preferred shares on November 27, 2006.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53"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On November 27, 2006, we redeemed all 5,400,000 outstanding shares of our 8.5% Series B Cumulative Redeemable Preferred Shares, no par value. The Series B</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were redeemed at their redemption price of $25.00 per share, plus accrued and unpaid dividends through the redemption date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$0.16 per share, for an aggregate redemption price of approximately $25.16 per share or $135.9 million in total. The redemption also resulted in a deemed dividend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$4.8 million for the difference between the redemption amount and carrying cost. Dividends on the Series B Preferred Shares ceased to accrue on November 27,</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2006.</w:t>
      </w:r>
    </w:p>
    <w:p>
      <w:pPr>
        <w:spacing w:after="0" w:line="170"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color w:val="auto"/>
        </w:rPr>
        <w:t>We have a Dividend Reinvestment Plan, whereby shareholders may use their dividends and optional cash payments to purchase shares. In 2006, 2005 and 2004, 44,077 shares, 62,579 shares and 82,391 shares, respectively, were issued under the Plan.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OPERATING LEASES</w:t>
      </w:r>
    </w:p>
    <w:p>
      <w:pPr>
        <w:spacing w:after="0" w:line="10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Our 111 shopping center and mixed use properties at December 31, 2006 are located in 14 states and the District of Columbia. There are approximately 2,300 tenants providing a wide range of retail products and services. These tenants range from sole proprietorships to national retailers; no one tenant or corporate group of tenants accounts for more than 2.5% of annualized base rent.</w:t>
      </w:r>
    </w:p>
    <w:p>
      <w:pPr>
        <w:spacing w:after="0" w:line="12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usually provide for percentage rents based on the tenant’s level of sales achieved and cost recoveries for the tenant’s share of certain operating costs. Leases on apartments are generally for a period of one year or less.</w:t>
      </w:r>
    </w:p>
    <w:p>
      <w:pPr>
        <w:spacing w:after="0" w:line="109"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Minimum future commercial property rentals from noncancelable operating leases, before any reserve for uncollectible amounts and assuming no early lease terminations, at our operating properties as of December 31, 2006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1"/>
              </w:rPr>
              <w:t>(In thousands)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2007</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337,417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317,799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2009</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287,047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2011</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214,736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7"/>
              </w:rPr>
              <w:t>1,548,439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2,958,570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12.  COMPONENTS OF RENTAL INCOME AND EXPENSE</w:t>
            </w: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360" w:type="dxa"/>
            <w:vAlign w:val="bottom"/>
            <w:gridSpan w:val="2"/>
            <w:vMerge w:val="continue"/>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360" w:type="dxa"/>
            <w:vAlign w:val="bottom"/>
            <w:gridSpan w:val="2"/>
          </w:tcPr>
          <w:p>
            <w:pPr>
              <w:spacing w:after="0"/>
              <w:rPr>
                <w:sz w:val="20"/>
                <w:szCs w:val="20"/>
                <w:color w:val="auto"/>
              </w:rPr>
            </w:pPr>
            <w:r>
              <w:rPr>
                <w:rFonts w:ascii="Arial" w:cs="Arial" w:eastAsia="Arial" w:hAnsi="Arial"/>
                <w:sz w:val="17"/>
                <w:szCs w:val="17"/>
                <w:color w:val="auto"/>
              </w:rPr>
              <w:t>The principal components of rental income are as follows:</w:t>
            </w: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jc w:val="right"/>
              <w:ind w:right="5"/>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39" w:lineRule="exact"/>
              <w:rPr>
                <w:sz w:val="20"/>
                <w:szCs w:val="20"/>
                <w:color w:val="auto"/>
              </w:rPr>
            </w:pPr>
            <w:r>
              <w:rPr>
                <w:rFonts w:ascii="Arial" w:cs="Arial" w:eastAsia="Arial" w:hAnsi="Arial"/>
                <w:sz w:val="13"/>
                <w:szCs w:val="13"/>
                <w:b w:val="1"/>
                <w:bCs w:val="1"/>
                <w:color w:val="auto"/>
              </w:rPr>
              <w:t>2006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b w:val="1"/>
                <w:bCs w:val="1"/>
                <w:color w:val="auto"/>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7"/>
              <w:spacing w:after="0" w:line="139" w:lineRule="exact"/>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336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306,287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284,904</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Arial" w:cs="Arial" w:eastAsia="Arial" w:hAnsi="Arial"/>
                <w:sz w:val="17"/>
                <w:szCs w:val="17"/>
                <w:color w:val="auto"/>
              </w:rPr>
              <w:t>Cost reimbursement</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83,387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75,649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71,456</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0" w:type="dxa"/>
            <w:vAlign w:val="bottom"/>
          </w:tcPr>
          <w:p>
            <w:pPr>
              <w:spacing w:after="0"/>
              <w:rPr>
                <w:sz w:val="1"/>
                <w:szCs w:val="1"/>
                <w:color w:val="auto"/>
              </w:rPr>
            </w:pPr>
          </w:p>
        </w:tc>
      </w:tr>
      <w:tr>
        <w:trPr>
          <w:trHeight w:val="218"/>
        </w:trPr>
        <w:tc>
          <w:tcPr>
            <w:tcW w:w="5360" w:type="dxa"/>
            <w:vAlign w:val="bottom"/>
            <w:gridSpan w:val="2"/>
          </w:tcPr>
          <w:p>
            <w:pPr>
              <w:spacing w:after="0"/>
              <w:rPr>
                <w:sz w:val="20"/>
                <w:szCs w:val="20"/>
                <w:color w:val="auto"/>
              </w:rPr>
            </w:pPr>
            <w:r>
              <w:rPr>
                <w:rFonts w:ascii="Arial" w:cs="Arial" w:eastAsia="Arial" w:hAnsi="Arial"/>
                <w:sz w:val="17"/>
                <w:szCs w:val="17"/>
                <w:color w:val="auto"/>
              </w:rPr>
              <w:t>Other</w:t>
            </w:r>
          </w:p>
        </w:tc>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6,408</w:t>
            </w:r>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438,201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368,299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360" w:type="dxa"/>
            <w:vAlign w:val="bottom"/>
            <w:gridSpan w:val="2"/>
          </w:tcPr>
          <w:p>
            <w:pPr>
              <w:jc w:val="right"/>
              <w:ind w:right="2765"/>
              <w:spacing w:after="0"/>
              <w:rPr>
                <w:sz w:val="20"/>
                <w:szCs w:val="20"/>
                <w:color w:val="auto"/>
              </w:rPr>
            </w:pPr>
            <w:r>
              <w:rPr>
                <w:rFonts w:ascii="Arial" w:cs="Arial" w:eastAsia="Arial" w:hAnsi="Arial"/>
                <w:sz w:val="17"/>
                <w:szCs w:val="17"/>
                <w:color w:val="auto"/>
              </w:rPr>
              <w:t>F-26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Minimum rents include $5.7 million, $7.6 million and $3.6 million for 2006, 2005 and 2004, respectively, to recognize minimum rents on a straight-line basis. Straight-line rental income in 2005 includes the impact of changes in estimates of the collectibility of certain long-term receivables which increased straight-line rental income by $1.2 million. In addition, minimum rents include $2.5 million, $1.6 million and $1.7 million for 2006, 2005 and 2004, respectively, to recognize income from the amortization of in-place leases in accordance with SFAS No. 141.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components of rental expense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bottom w:val="single" w:sz="8" w:color="auto"/>
            </w:tcBorders>
            <w:gridSpan w:val="6"/>
          </w:tcPr>
          <w:p>
            <w:pPr>
              <w:jc w:val="right"/>
              <w:ind w:right="384"/>
              <w:spacing w:after="0"/>
              <w:rPr>
                <w:sz w:val="20"/>
                <w:szCs w:val="20"/>
                <w:color w:val="auto"/>
              </w:rPr>
            </w:pPr>
            <w:r>
              <w:rPr>
                <w:rFonts w:ascii="Arial" w:cs="Arial" w:eastAsia="Arial" w:hAnsi="Arial"/>
                <w:sz w:val="13"/>
                <w:szCs w:val="13"/>
                <w:b w:val="1"/>
                <w:bCs w:val="1"/>
                <w:color w:val="auto"/>
              </w:rPr>
              <w:t>Year Ended December 31,</w:t>
            </w:r>
          </w:p>
        </w:tc>
      </w:tr>
      <w:tr>
        <w:trPr>
          <w:trHeight w:val="139"/>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87"/>
              <w:spacing w:after="0" w:line="139" w:lineRule="exact"/>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84"/>
              <w:spacing w:after="0" w:line="139"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ind w:right="84"/>
              <w:spacing w:after="0" w:line="139" w:lineRule="exact"/>
              <w:rPr>
                <w:sz w:val="20"/>
                <w:szCs w:val="20"/>
                <w:color w:val="auto"/>
              </w:rPr>
            </w:pPr>
            <w:r>
              <w:rPr>
                <w:rFonts w:ascii="Arial" w:cs="Arial" w:eastAsia="Arial" w:hAnsi="Arial"/>
                <w:sz w:val="13"/>
                <w:szCs w:val="13"/>
                <w:b w:val="1"/>
                <w:bCs w:val="1"/>
                <w:color w:val="auto"/>
              </w:rPr>
              <w:t>2004</w:t>
            </w:r>
          </w:p>
        </w:tc>
      </w:tr>
      <w:tr>
        <w:trPr>
          <w:trHeight w:val="139"/>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2"/>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Repairs and maintenance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$29,756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$ 27,410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$ 23,897</w:t>
            </w:r>
          </w:p>
        </w:tc>
      </w:tr>
      <w:tr>
        <w:trPr>
          <w:trHeight w:val="212"/>
        </w:trPr>
        <w:tc>
          <w:tcPr>
            <w:tcW w:w="9020" w:type="dxa"/>
            <w:vAlign w:val="bottom"/>
          </w:tcPr>
          <w:p>
            <w:pPr>
              <w:spacing w:after="0"/>
              <w:rPr>
                <w:sz w:val="20"/>
                <w:szCs w:val="20"/>
                <w:color w:val="auto"/>
              </w:rPr>
            </w:pPr>
            <w:r>
              <w:rPr>
                <w:rFonts w:ascii="Arial" w:cs="Arial" w:eastAsia="Arial" w:hAnsi="Arial"/>
                <w:sz w:val="17"/>
                <w:szCs w:val="17"/>
                <w:color w:val="auto"/>
              </w:rPr>
              <w:t>Management fees and costs</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13,175</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11,976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13,251</w:t>
            </w:r>
          </w:p>
        </w:tc>
      </w:tr>
      <w:tr>
        <w:trPr>
          <w:trHeight w:val="212"/>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Utilities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15,210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14,121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15,220</w:t>
            </w:r>
          </w:p>
        </w:tc>
      </w:tr>
      <w:tr>
        <w:trPr>
          <w:trHeight w:val="212"/>
        </w:trPr>
        <w:tc>
          <w:tcPr>
            <w:tcW w:w="9020" w:type="dxa"/>
            <w:vAlign w:val="bottom"/>
          </w:tcPr>
          <w:p>
            <w:pPr>
              <w:spacing w:after="0"/>
              <w:rPr>
                <w:sz w:val="20"/>
                <w:szCs w:val="20"/>
                <w:color w:val="auto"/>
              </w:rPr>
            </w:pPr>
            <w:r>
              <w:rPr>
                <w:rFonts w:ascii="Arial" w:cs="Arial" w:eastAsia="Arial" w:hAnsi="Arial"/>
                <w:sz w:val="17"/>
                <w:szCs w:val="17"/>
                <w:color w:val="auto"/>
              </w:rPr>
              <w:t>Payroll—properties</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6,935</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7,260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7,757</w:t>
            </w:r>
          </w:p>
        </w:tc>
      </w:tr>
      <w:tr>
        <w:trPr>
          <w:trHeight w:val="212"/>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Ground rent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6,138</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5,281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5,389</w:t>
            </w:r>
          </w:p>
        </w:tc>
      </w:tr>
      <w:tr>
        <w:trPr>
          <w:trHeight w:val="212"/>
        </w:trPr>
        <w:tc>
          <w:tcPr>
            <w:tcW w:w="9020" w:type="dxa"/>
            <w:vAlign w:val="bottom"/>
          </w:tcPr>
          <w:p>
            <w:pPr>
              <w:spacing w:after="0"/>
              <w:rPr>
                <w:sz w:val="20"/>
                <w:szCs w:val="20"/>
                <w:color w:val="auto"/>
              </w:rPr>
            </w:pPr>
            <w:r>
              <w:rPr>
                <w:rFonts w:ascii="Arial" w:cs="Arial" w:eastAsia="Arial" w:hAnsi="Arial"/>
                <w:sz w:val="17"/>
                <w:szCs w:val="17"/>
                <w:color w:val="auto"/>
              </w:rPr>
              <w:t>Insurance</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6,034</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6,197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7,512</w:t>
            </w:r>
          </w:p>
        </w:tc>
      </w:tr>
      <w:tr>
        <w:trPr>
          <w:trHeight w:val="212"/>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10,882</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16,914</w:t>
            </w:r>
          </w:p>
        </w:tc>
      </w:tr>
      <w:tr>
        <w:trPr>
          <w:trHeight w:val="217"/>
        </w:trPr>
        <w:tc>
          <w:tcPr>
            <w:tcW w:w="9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88,130</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$ 84,736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$ 89,940</w:t>
            </w:r>
          </w:p>
        </w:tc>
      </w:tr>
      <w:tr>
        <w:trPr>
          <w:trHeight w:val="20"/>
        </w:trPr>
        <w:tc>
          <w:tcPr>
            <w:tcW w:w="9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DISCONTINUED OPERATIONS</w:t>
      </w:r>
    </w:p>
    <w:p>
      <w:pPr>
        <w:spacing w:after="0" w:line="102"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Results of properties sold constitute discontinued operations and as such, the operations of these properties are classified as discontinued operations for all periods presented. A summary of the financial information for the discontinued operations is as follows:</w:t>
      </w:r>
    </w:p>
    <w:p>
      <w:pPr>
        <w:spacing w:after="0" w:line="151" w:lineRule="exact"/>
        <w:rPr>
          <w:sz w:val="20"/>
          <w:szCs w:val="20"/>
          <w:color w:val="auto"/>
        </w:rPr>
      </w:pPr>
    </w:p>
    <w:p>
      <w:pPr>
        <w:ind w:left="95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5715</wp:posOffset>
            </wp:positionV>
            <wp:extent cx="14382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38275" cy="8255"/>
                    </a:xfrm>
                    <a:prstGeom prst="rect">
                      <a:avLst/>
                    </a:prstGeom>
                    <a:noFill/>
                  </pic:spPr>
                </pic:pic>
              </a:graphicData>
            </a:graphic>
          </wp:anchor>
        </w:drawing>
      </w:r>
    </w:p>
    <w:p>
      <w:pPr>
        <w:spacing w:after="0" w:line="1" w:lineRule="exact"/>
        <w:rPr>
          <w:sz w:val="20"/>
          <w:szCs w:val="20"/>
          <w:color w:val="auto"/>
        </w:rPr>
      </w:pPr>
    </w:p>
    <w:p>
      <w:pPr>
        <w:ind w:left="9240"/>
        <w:spacing w:after="0"/>
        <w:tabs>
          <w:tab w:leader="none" w:pos="10060" w:val="left"/>
          <w:tab w:leader="none" w:pos="10980" w:val="left"/>
        </w:tabs>
        <w:rPr>
          <w:sz w:val="20"/>
          <w:szCs w:val="20"/>
          <w:color w:val="auto"/>
        </w:rPr>
      </w:pPr>
      <w:r>
        <w:rPr>
          <w:rFonts w:ascii="Arial" w:cs="Arial" w:eastAsia="Arial" w:hAnsi="Arial"/>
          <w:sz w:val="13"/>
          <w:szCs w:val="13"/>
          <w:b w:val="1"/>
          <w:bCs w:val="1"/>
          <w:color w:val="auto"/>
        </w:rPr>
        <w:t>2006</w:t>
      </w:r>
      <w:r>
        <w:rPr>
          <w:sz w:val="20"/>
          <w:szCs w:val="20"/>
          <w:color w:val="auto"/>
        </w:rPr>
        <w:tab/>
      </w:r>
      <w:r>
        <w:rPr>
          <w:rFonts w:ascii="Arial" w:cs="Arial" w:eastAsia="Arial" w:hAnsi="Arial"/>
          <w:sz w:val="13"/>
          <w:szCs w:val="13"/>
          <w:b w:val="1"/>
          <w:bCs w:val="1"/>
          <w:color w:val="auto"/>
        </w:rPr>
        <w:t>2005</w:t>
      </w:r>
      <w:r>
        <w:rPr>
          <w:sz w:val="20"/>
          <w:szCs w:val="20"/>
          <w:color w:val="auto"/>
        </w:rPr>
        <w:tab/>
      </w:r>
      <w:r>
        <w:rPr>
          <w:rFonts w:ascii="Arial" w:cs="Arial" w:eastAsia="Arial" w:hAnsi="Arial"/>
          <w:sz w:val="11"/>
          <w:szCs w:val="11"/>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-635</wp:posOffset>
            </wp:positionV>
            <wp:extent cx="260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985"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-635</wp:posOffset>
            </wp:positionV>
            <wp:extent cx="311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-635</wp:posOffset>
            </wp:positionV>
            <wp:extent cx="3613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315" cy="8255"/>
                    </a:xfrm>
                    <a:prstGeom prst="rect">
                      <a:avLst/>
                    </a:prstGeom>
                    <a:noFill/>
                  </pic:spPr>
                </pic:pic>
              </a:graphicData>
            </a:graphic>
          </wp:anchor>
        </w:drawing>
      </w:r>
    </w:p>
    <w:p>
      <w:pPr>
        <w:ind w:left="9880"/>
        <w:spacing w:after="0"/>
        <w:rPr>
          <w:sz w:val="20"/>
          <w:szCs w:val="20"/>
          <w:color w:val="auto"/>
        </w:rPr>
      </w:pPr>
      <w:r>
        <w:rPr>
          <w:rFonts w:ascii="Arial" w:cs="Arial" w:eastAsia="Arial" w:hAnsi="Arial"/>
          <w:sz w:val="13"/>
          <w:szCs w:val="13"/>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Rental revenue from discontinued operations</w:t>
            </w:r>
          </w:p>
        </w:tc>
        <w:tc>
          <w:tcPr>
            <w:tcW w:w="3660" w:type="dxa"/>
            <w:vAlign w:val="bottom"/>
            <w:shd w:val="clear" w:color="auto" w:fill="CCEEFF"/>
          </w:tcPr>
          <w:p>
            <w:pPr>
              <w:ind w:left="3020"/>
              <w:spacing w:after="0"/>
              <w:rPr>
                <w:sz w:val="20"/>
                <w:szCs w:val="20"/>
                <w:color w:val="auto"/>
              </w:rPr>
            </w:pPr>
            <w:r>
              <w:rPr>
                <w:rFonts w:ascii="Arial" w:cs="Arial" w:eastAsia="Arial" w:hAnsi="Arial"/>
                <w:sz w:val="17"/>
                <w:szCs w:val="17"/>
                <w:color w:val="auto"/>
              </w:rPr>
              <w:t>$ 824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9"/>
              </w:rPr>
              <w:t>7,367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13,120</w:t>
            </w:r>
          </w:p>
        </w:tc>
      </w:tr>
      <w:tr>
        <w:trPr>
          <w:trHeight w:val="217"/>
        </w:trPr>
        <w:tc>
          <w:tcPr>
            <w:tcW w:w="614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3660" w:type="dxa"/>
            <w:vAlign w:val="bottom"/>
          </w:tcPr>
          <w:p>
            <w:pPr>
              <w:ind w:left="3020"/>
              <w:spacing w:after="0"/>
              <w:rPr>
                <w:sz w:val="20"/>
                <w:szCs w:val="20"/>
                <w:color w:val="auto"/>
              </w:rPr>
            </w:pPr>
            <w:r>
              <w:rPr>
                <w:rFonts w:ascii="Arial" w:cs="Arial" w:eastAsia="Arial" w:hAnsi="Arial"/>
                <w:sz w:val="17"/>
                <w:szCs w:val="17"/>
                <w:color w:val="auto"/>
              </w:rPr>
              <w:t>$(320)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74"/>
              <w:spacing w:after="0"/>
              <w:rPr>
                <w:sz w:val="20"/>
                <w:szCs w:val="20"/>
                <w:color w:val="auto"/>
              </w:rPr>
            </w:pPr>
            <w:r>
              <w:rPr>
                <w:rFonts w:ascii="Arial" w:cs="Arial" w:eastAsia="Arial" w:hAnsi="Arial"/>
                <w:sz w:val="17"/>
                <w:szCs w:val="17"/>
                <w:color w:val="auto"/>
              </w:rPr>
              <w:t>(569)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6,063</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SHARE-BASED COMPENSATION PLANS</w:t>
      </w:r>
    </w:p>
    <w:p>
      <w:pPr>
        <w:spacing w:after="0" w:line="1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of December 31, 2006, we have grants outstanding under two share-based compensation plans. Our 1993 Long Term Incentive Plan (‘the 1993 Plan”) authorized the grant of share options, common shares and other share-based awards for up to 5,500,000 shares of common stock. The 1993 Plan expired in May 2003. In May 2001, our shareholders approved our 2001 Long Term Incentive Plan (“the 2001 Plan”) which authorized the grant of share options, common shares and other share-based awards for an additional 1,750,000 shares of common stock.</w:t>
      </w:r>
    </w:p>
    <w:p>
      <w:pPr>
        <w:spacing w:after="0" w:line="130"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Option awards under the 2001 Plan and the 1993 Plan are required to have an exercise price at least equal to the closing trading price of our common shares on the date of grant. Options and share awards under these plans generally vest over 3 to 5 years and option awards typically have a 10-year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w:t>
      </w:r>
    </w:p>
    <w:p>
      <w:pPr>
        <w:spacing w:after="0" w:line="117"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As a result of the exercise of options, we had notes outstanding from our officers and employees for $1.5 million and $1.8 million at December 31, 2006 and 2005, respectively. These notes bear interest at LIBOR plus a market-rate spread with the rate adjusted annually on the anniversary date. These notes are collateralized by the shares with recourse to the borrower and have five-year terms. Options awards made in 2001 and later do not provide for employees to be able to exercise their options with a loan from the Trust.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53"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employee terminations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weighted-average assumption used to value options: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4"/>
          </w:tcPr>
          <w:p>
            <w:pPr>
              <w:jc w:val="center"/>
              <w:ind w:right="69"/>
              <w:spacing w:after="0"/>
              <w:rPr>
                <w:sz w:val="20"/>
                <w:szCs w:val="20"/>
                <w:color w:val="auto"/>
              </w:rPr>
            </w:pPr>
            <w:r>
              <w:rPr>
                <w:rFonts w:ascii="Arial" w:cs="Arial" w:eastAsia="Arial" w:hAnsi="Arial"/>
                <w:sz w:val="13"/>
                <w:szCs w:val="13"/>
                <w:b w:val="1"/>
                <w:bCs w:val="1"/>
                <w:color w:val="auto"/>
                <w:w w:val="92"/>
              </w:rPr>
              <w:t>Year Ended</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60" w:type="dxa"/>
            <w:vAlign w:val="bottom"/>
            <w:gridSpan w:val="4"/>
          </w:tcPr>
          <w:p>
            <w:pPr>
              <w:jc w:val="center"/>
              <w:ind w:right="980"/>
              <w:spacing w:after="0"/>
              <w:rPr>
                <w:sz w:val="20"/>
                <w:szCs w:val="20"/>
                <w:color w:val="auto"/>
              </w:rPr>
            </w:pPr>
            <w:r>
              <w:rPr>
                <w:rFonts w:ascii="Arial" w:cs="Arial" w:eastAsia="Arial" w:hAnsi="Arial"/>
                <w:sz w:val="13"/>
                <w:szCs w:val="13"/>
                <w:b w:val="1"/>
                <w:bCs w:val="1"/>
                <w:color w:val="auto"/>
                <w:w w:val="92"/>
              </w:rPr>
              <w:t>Year Ended</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4"/>
          </w:tcPr>
          <w:p>
            <w:pPr>
              <w:jc w:val="center"/>
              <w:ind w:right="69"/>
              <w:spacing w:after="0" w:line="146" w:lineRule="exact"/>
              <w:rPr>
                <w:sz w:val="20"/>
                <w:szCs w:val="20"/>
                <w:color w:val="auto"/>
              </w:rPr>
            </w:pPr>
            <w:r>
              <w:rPr>
                <w:rFonts w:ascii="Arial" w:cs="Arial" w:eastAsia="Arial" w:hAnsi="Arial"/>
                <w:sz w:val="13"/>
                <w:szCs w:val="13"/>
                <w:b w:val="1"/>
                <w:bCs w:val="1"/>
                <w:color w:val="auto"/>
                <w:w w:val="92"/>
              </w:rPr>
              <w:t>December 31,</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4"/>
          </w:tcPr>
          <w:p>
            <w:pPr>
              <w:jc w:val="center"/>
              <w:ind w:right="960"/>
              <w:spacing w:after="0" w:line="146" w:lineRule="exact"/>
              <w:rPr>
                <w:sz w:val="20"/>
                <w:szCs w:val="20"/>
                <w:color w:val="auto"/>
              </w:rPr>
            </w:pPr>
            <w:r>
              <w:rPr>
                <w:rFonts w:ascii="Arial" w:cs="Arial" w:eastAsia="Arial" w:hAnsi="Arial"/>
                <w:sz w:val="13"/>
                <w:szCs w:val="13"/>
                <w:b w:val="1"/>
                <w:bCs w:val="1"/>
                <w:color w:val="auto"/>
                <w:w w:val="89"/>
              </w:rPr>
              <w:t>December 31,</w:t>
            </w:r>
          </w:p>
        </w:tc>
        <w:tc>
          <w:tcPr>
            <w:tcW w:w="920" w:type="dxa"/>
            <w:vAlign w:val="bottom"/>
            <w:gridSpan w:val="4"/>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9"/>
              </w:rPr>
              <w:t>2006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2005</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89"/>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18.0%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2"/>
        </w:trPr>
        <w:tc>
          <w:tcPr>
            <w:tcW w:w="64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7"/>
                <w:szCs w:val="17"/>
                <w:color w:val="auto"/>
              </w:rPr>
              <w:t>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7"/>
        </w:trPr>
        <w:tc>
          <w:tcPr>
            <w:tcW w:w="642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7"/>
                <w:szCs w:val="17"/>
                <w:color w:val="auto"/>
              </w:rPr>
              <w:t>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362"/>
        </w:trPr>
        <w:tc>
          <w:tcPr>
            <w:tcW w:w="6420" w:type="dxa"/>
            <w:vAlign w:val="bottom"/>
          </w:tcPr>
          <w:p>
            <w:pPr>
              <w:spacing w:after="0"/>
              <w:rPr>
                <w:sz w:val="20"/>
                <w:szCs w:val="20"/>
                <w:color w:val="auto"/>
              </w:rPr>
            </w:pPr>
            <w:r>
              <w:rPr>
                <w:rFonts w:ascii="Arial" w:cs="Arial" w:eastAsia="Arial" w:hAnsi="Arial"/>
                <w:sz w:val="17"/>
                <w:szCs w:val="17"/>
                <w:color w:val="auto"/>
              </w:rPr>
              <w:t>The following table provides a summary of option activity for 2006, 2005, 2004: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24"/>
                <w:szCs w:val="24"/>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800" w:type="dxa"/>
            <w:vAlign w:val="bottom"/>
            <w:gridSpan w:val="3"/>
          </w:tcPr>
          <w:p>
            <w:pPr>
              <w:ind w:left="160"/>
              <w:spacing w:after="0" w:line="146" w:lineRule="exact"/>
              <w:rPr>
                <w:sz w:val="20"/>
                <w:szCs w:val="20"/>
                <w:color w:val="auto"/>
              </w:rPr>
            </w:pPr>
            <w:r>
              <w:rPr>
                <w:rFonts w:ascii="Arial" w:cs="Arial" w:eastAsia="Arial" w:hAnsi="Arial"/>
                <w:sz w:val="13"/>
                <w:szCs w:val="13"/>
                <w:b w:val="1"/>
                <w:bCs w:val="1"/>
                <w:color w:val="auto"/>
              </w:rPr>
              <w:t>Shares</w:t>
            </w:r>
          </w:p>
        </w:tc>
        <w:tc>
          <w:tcPr>
            <w:tcW w:w="560" w:type="dxa"/>
            <w:vAlign w:val="bottom"/>
          </w:tcPr>
          <w:p>
            <w:pPr>
              <w:spacing w:after="0"/>
              <w:rPr>
                <w:sz w:val="12"/>
                <w:szCs w:val="12"/>
                <w:color w:val="auto"/>
              </w:rPr>
            </w:pPr>
          </w:p>
        </w:tc>
        <w:tc>
          <w:tcPr>
            <w:tcW w:w="96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2"/>
                <w:szCs w:val="12"/>
                <w:color w:val="auto"/>
              </w:rPr>
            </w:pPr>
          </w:p>
        </w:tc>
        <w:tc>
          <w:tcPr>
            <w:tcW w:w="1520" w:type="dxa"/>
            <w:vAlign w:val="bottom"/>
            <w:gridSpan w:val="3"/>
          </w:tcPr>
          <w:p>
            <w:pPr>
              <w:jc w:val="center"/>
              <w:ind w:right="500"/>
              <w:spacing w:after="0" w:line="146"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800" w:type="dxa"/>
            <w:vAlign w:val="bottom"/>
            <w:gridSpan w:val="3"/>
          </w:tcPr>
          <w:p>
            <w:pPr>
              <w:ind w:left="180"/>
              <w:spacing w:after="0" w:line="146" w:lineRule="exact"/>
              <w:rPr>
                <w:sz w:val="20"/>
                <w:szCs w:val="20"/>
                <w:color w:val="auto"/>
              </w:rPr>
            </w:pPr>
            <w:r>
              <w:rPr>
                <w:rFonts w:ascii="Arial" w:cs="Arial" w:eastAsia="Arial" w:hAnsi="Arial"/>
                <w:sz w:val="13"/>
                <w:szCs w:val="13"/>
                <w:b w:val="1"/>
                <w:bCs w:val="1"/>
                <w:color w:val="auto"/>
              </w:rPr>
              <w:t>Under</w:t>
            </w:r>
          </w:p>
        </w:tc>
        <w:tc>
          <w:tcPr>
            <w:tcW w:w="560" w:type="dxa"/>
            <w:vAlign w:val="bottom"/>
          </w:tcPr>
          <w:p>
            <w:pPr>
              <w:spacing w:after="0"/>
              <w:rPr>
                <w:sz w:val="12"/>
                <w:szCs w:val="12"/>
                <w:color w:val="auto"/>
              </w:rPr>
            </w:pPr>
          </w:p>
        </w:tc>
        <w:tc>
          <w:tcPr>
            <w:tcW w:w="96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w w:val="85"/>
              </w:rPr>
              <w:t>Exercise</w:t>
            </w:r>
          </w:p>
        </w:tc>
        <w:tc>
          <w:tcPr>
            <w:tcW w:w="240" w:type="dxa"/>
            <w:vAlign w:val="bottom"/>
          </w:tcPr>
          <w:p>
            <w:pPr>
              <w:spacing w:after="0"/>
              <w:rPr>
                <w:sz w:val="12"/>
                <w:szCs w:val="12"/>
                <w:color w:val="auto"/>
              </w:rPr>
            </w:pPr>
          </w:p>
        </w:tc>
        <w:tc>
          <w:tcPr>
            <w:tcW w:w="1520" w:type="dxa"/>
            <w:vAlign w:val="bottom"/>
            <w:gridSpan w:val="3"/>
          </w:tcPr>
          <w:p>
            <w:pPr>
              <w:jc w:val="center"/>
              <w:ind w:right="500"/>
              <w:spacing w:after="0" w:line="146"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3"/>
                <w:szCs w:val="13"/>
                <w:b w:val="1"/>
                <w:bCs w:val="1"/>
                <w:color w:val="auto"/>
              </w:rPr>
              <w:t>Option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4"/>
              </w:rPr>
              <w:t>Price</w:t>
            </w:r>
          </w:p>
        </w:tc>
        <w:tc>
          <w:tcPr>
            <w:tcW w:w="240" w:type="dxa"/>
            <w:vAlign w:val="bottom"/>
          </w:tcPr>
          <w:p>
            <w:pPr>
              <w:spacing w:after="0"/>
              <w:rPr>
                <w:sz w:val="14"/>
                <w:szCs w:val="14"/>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4"/>
              </w:rPr>
              <w:t>Contractual Term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40"/>
        </w:trPr>
        <w:tc>
          <w:tcPr>
            <w:tcW w:w="6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20"/>
              <w:spacing w:after="0" w:line="140" w:lineRule="exact"/>
              <w:rPr>
                <w:sz w:val="20"/>
                <w:szCs w:val="20"/>
                <w:color w:val="auto"/>
              </w:rPr>
            </w:pPr>
            <w:r>
              <w:rPr>
                <w:rFonts w:ascii="Arial" w:cs="Arial" w:eastAsia="Arial" w:hAnsi="Arial"/>
                <w:sz w:val="13"/>
                <w:szCs w:val="13"/>
                <w:b w:val="1"/>
                <w:bCs w:val="1"/>
                <w:color w:val="auto"/>
                <w:w w:val="96"/>
              </w:rPr>
              <w:t>(In years)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3"/>
          </w:tcPr>
          <w:p>
            <w:pPr>
              <w:jc w:val="center"/>
              <w:spacing w:after="0" w:line="140" w:lineRule="exact"/>
              <w:rPr>
                <w:sz w:val="20"/>
                <w:szCs w:val="20"/>
                <w:color w:val="auto"/>
              </w:rPr>
            </w:pPr>
            <w:r>
              <w:rPr>
                <w:rFonts w:ascii="Arial" w:cs="Arial" w:eastAsia="Arial" w:hAnsi="Arial"/>
                <w:sz w:val="13"/>
                <w:szCs w:val="13"/>
                <w:b w:val="1"/>
                <w:bCs w:val="1"/>
                <w:color w:val="auto"/>
                <w:w w:val="91"/>
              </w:rPr>
              <w:t>(In thousands)</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1,462,040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24.86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20"/>
                <w:szCs w:val="20"/>
                <w:color w:val="auto"/>
              </w:rPr>
            </w:pPr>
            <w:r>
              <w:rPr>
                <w:rFonts w:ascii="Arial" w:cs="Arial" w:eastAsia="Arial" w:hAnsi="Arial"/>
                <w:sz w:val="17"/>
                <w:szCs w:val="17"/>
                <w:color w:val="auto"/>
              </w:rPr>
              <w:t>Granted</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187,500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42.86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(348,868)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24.62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20" w:type="dxa"/>
            <w:vAlign w:val="bottom"/>
          </w:tcPr>
          <w:p>
            <w:pPr>
              <w:spacing w:after="0"/>
              <w:rPr>
                <w:sz w:val="20"/>
                <w:szCs w:val="20"/>
                <w:color w:val="auto"/>
              </w:rPr>
            </w:pPr>
            <w:r>
              <w:rPr>
                <w:rFonts w:ascii="Arial" w:cs="Arial" w:eastAsia="Arial" w:hAnsi="Arial"/>
                <w:sz w:val="17"/>
                <w:szCs w:val="17"/>
                <w:color w:val="auto"/>
              </w:rPr>
              <w:t>Forfeited or expired</w:t>
            </w: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(69,331)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30.58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2004</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1,231,341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27.34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20"/>
                <w:szCs w:val="20"/>
                <w:color w:val="auto"/>
              </w:rPr>
            </w:pPr>
            <w:r>
              <w:rPr>
                <w:rFonts w:ascii="Arial" w:cs="Arial" w:eastAsia="Arial" w:hAnsi="Arial"/>
                <w:sz w:val="17"/>
                <w:szCs w:val="17"/>
                <w:color w:val="auto"/>
              </w:rPr>
              <w:t>Granted</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164,500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58.46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(409,889)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26.71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20" w:type="dxa"/>
            <w:vAlign w:val="bottom"/>
          </w:tcPr>
          <w:p>
            <w:pPr>
              <w:spacing w:after="0"/>
              <w:rPr>
                <w:sz w:val="20"/>
                <w:szCs w:val="20"/>
                <w:color w:val="auto"/>
              </w:rPr>
            </w:pPr>
            <w:r>
              <w:rPr>
                <w:rFonts w:ascii="Arial" w:cs="Arial" w:eastAsia="Arial" w:hAnsi="Arial"/>
                <w:sz w:val="17"/>
                <w:szCs w:val="17"/>
                <w:color w:val="auto"/>
              </w:rPr>
              <w:t>Forfeited or expired</w:t>
            </w: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(27,497)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41.78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2005</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958,455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32.52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20"/>
                <w:szCs w:val="20"/>
                <w:color w:val="auto"/>
              </w:rPr>
            </w:pPr>
            <w:r>
              <w:rPr>
                <w:rFonts w:ascii="Arial" w:cs="Arial" w:eastAsia="Arial" w:hAnsi="Arial"/>
                <w:sz w:val="17"/>
                <w:szCs w:val="17"/>
                <w:color w:val="auto"/>
              </w:rPr>
              <w:t>Granted</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366,966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69.01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(266,539)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33.18</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20" w:type="dxa"/>
            <w:vAlign w:val="bottom"/>
          </w:tcPr>
          <w:p>
            <w:pPr>
              <w:spacing w:after="0"/>
              <w:rPr>
                <w:sz w:val="20"/>
                <w:szCs w:val="20"/>
                <w:color w:val="auto"/>
              </w:rPr>
            </w:pPr>
            <w:r>
              <w:rPr>
                <w:rFonts w:ascii="Arial" w:cs="Arial" w:eastAsia="Arial" w:hAnsi="Arial"/>
                <w:sz w:val="17"/>
                <w:szCs w:val="17"/>
                <w:color w:val="auto"/>
              </w:rPr>
              <w:t>Forfeited or expired</w:t>
            </w: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(149,801)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36.86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2006</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909,081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46.36</w:t>
            </w:r>
          </w:p>
        </w:tc>
        <w:tc>
          <w:tcPr>
            <w:tcW w:w="176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35,127</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7"/>
                <w:szCs w:val="17"/>
                <w:color w:val="auto"/>
              </w:rPr>
              <w:t>Exercisable at December 31, 2006</w:t>
            </w: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439,644</w:t>
            </w:r>
          </w:p>
        </w:tc>
        <w:tc>
          <w:tcPr>
            <w:tcW w:w="100" w:type="dxa"/>
            <w:vAlign w:val="bottom"/>
          </w:tcPr>
          <w:p>
            <w:pPr>
              <w:spacing w:after="0"/>
              <w:rPr>
                <w:sz w:val="17"/>
                <w:szCs w:val="17"/>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25.89</w:t>
            </w:r>
          </w:p>
        </w:tc>
        <w:tc>
          <w:tcPr>
            <w:tcW w:w="1760" w:type="dxa"/>
            <w:vAlign w:val="bottom"/>
            <w:gridSpan w:val="4"/>
          </w:tcPr>
          <w:p>
            <w:pPr>
              <w:jc w:val="right"/>
              <w:ind w:right="500"/>
              <w:spacing w:after="0"/>
              <w:rPr>
                <w:sz w:val="20"/>
                <w:szCs w:val="20"/>
                <w:color w:val="auto"/>
              </w:rPr>
            </w:pPr>
            <w:r>
              <w:rPr>
                <w:rFonts w:ascii="Arial" w:cs="Arial" w:eastAsia="Arial" w:hAnsi="Arial"/>
                <w:sz w:val="17"/>
                <w:szCs w:val="17"/>
                <w:color w:val="auto"/>
              </w:rPr>
              <w:t>4.2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25,988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weighted-average grant-date fair value of options granted during 2006, 2005 and 2004 was $7.97 per share, $7.01 per share and $6.13 per share, respectively. The total cash received from options exercised during 2006, 2005 and 2004 was $8.8 million, $10.9 million and $8.6 million, respectively. The total intrinsic value of options exercised during the year ended December 31, 2006 was $10.9 million.</w:t>
      </w:r>
    </w:p>
    <w:p>
      <w:pPr>
        <w:spacing w:after="0" w:line="128"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color w:val="auto"/>
        </w:rPr>
        <w:t>In 2004 and 2003, tax loans were made in connection with restricted share grants to certain of our officers and in connection with the Share Purchase Plans. The balance of these loans was $300,000 at December 31, 2004. These loans were paid in full in May, 2005.</w:t>
      </w:r>
    </w:p>
    <w:p>
      <w:pPr>
        <w:spacing w:after="0" w:line="115"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In 2005 and 2004, 78,591 common shares and 84,617 common shares, respectively, were awarded to key employees, under various incentive compensation programs designed to directly link a significant portion of their current and long term compensation to the prosperity of the Trust and its shareholders.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453"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share activity for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Weighted-</w:t>
            </w:r>
          </w:p>
        </w:tc>
      </w:tr>
      <w:tr>
        <w:trPr>
          <w:trHeight w:val="146"/>
        </w:trPr>
        <w:tc>
          <w:tcPr>
            <w:tcW w:w="9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r>
      <w:tr>
        <w:trPr>
          <w:trHeight w:val="146"/>
        </w:trPr>
        <w:tc>
          <w:tcPr>
            <w:tcW w:w="9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23"/>
              <w:spacing w:after="0" w:line="146" w:lineRule="exact"/>
              <w:rPr>
                <w:sz w:val="20"/>
                <w:szCs w:val="20"/>
                <w:color w:val="auto"/>
              </w:rPr>
            </w:pPr>
            <w:r>
              <w:rPr>
                <w:rFonts w:ascii="Arial" w:cs="Arial" w:eastAsia="Arial" w:hAnsi="Arial"/>
                <w:sz w:val="13"/>
                <w:szCs w:val="13"/>
                <w:b w:val="1"/>
                <w:bCs w:val="1"/>
                <w:color w:val="auto"/>
                <w:w w:val="97"/>
              </w:rPr>
              <w:t>Grant-</w:t>
            </w:r>
          </w:p>
        </w:tc>
      </w:tr>
      <w:tr>
        <w:trPr>
          <w:trHeight w:val="146"/>
        </w:trPr>
        <w:tc>
          <w:tcPr>
            <w:tcW w:w="9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23"/>
              <w:spacing w:after="0" w:line="146" w:lineRule="exact"/>
              <w:rPr>
                <w:sz w:val="20"/>
                <w:szCs w:val="20"/>
                <w:color w:val="auto"/>
              </w:rPr>
            </w:pPr>
            <w:r>
              <w:rPr>
                <w:rFonts w:ascii="Arial" w:cs="Arial" w:eastAsia="Arial" w:hAnsi="Arial"/>
                <w:sz w:val="13"/>
                <w:szCs w:val="13"/>
                <w:b w:val="1"/>
                <w:bCs w:val="1"/>
                <w:color w:val="auto"/>
                <w:w w:val="92"/>
              </w:rPr>
              <w:t>Date</w:t>
            </w:r>
          </w:p>
        </w:tc>
      </w:tr>
      <w:tr>
        <w:trPr>
          <w:trHeight w:val="146"/>
        </w:trPr>
        <w:tc>
          <w:tcPr>
            <w:tcW w:w="9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23"/>
              <w:spacing w:after="0" w:line="146" w:lineRule="exact"/>
              <w:rPr>
                <w:sz w:val="20"/>
                <w:szCs w:val="20"/>
                <w:color w:val="auto"/>
              </w:rPr>
            </w:pPr>
            <w:r>
              <w:rPr>
                <w:rFonts w:ascii="Arial" w:cs="Arial" w:eastAsia="Arial" w:hAnsi="Arial"/>
                <w:sz w:val="13"/>
                <w:szCs w:val="13"/>
                <w:b w:val="1"/>
                <w:bCs w:val="1"/>
                <w:color w:val="auto"/>
              </w:rPr>
              <w:t>Fair</w:t>
            </w:r>
          </w:p>
        </w:tc>
      </w:tr>
      <w:tr>
        <w:trPr>
          <w:trHeight w:val="172"/>
        </w:trPr>
        <w:tc>
          <w:tcPr>
            <w:tcW w:w="970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480" w:type="dxa"/>
            <w:vAlign w:val="bottom"/>
          </w:tcPr>
          <w:p>
            <w:pPr>
              <w:jc w:val="center"/>
              <w:ind w:right="3"/>
              <w:spacing w:after="0"/>
              <w:rPr>
                <w:sz w:val="20"/>
                <w:szCs w:val="20"/>
                <w:color w:val="auto"/>
              </w:rPr>
            </w:pPr>
            <w:r>
              <w:rPr>
                <w:rFonts w:ascii="Arial" w:cs="Arial" w:eastAsia="Arial" w:hAnsi="Arial"/>
                <w:sz w:val="13"/>
                <w:szCs w:val="13"/>
                <w:b w:val="1"/>
                <w:bCs w:val="1"/>
                <w:color w:val="auto"/>
                <w:w w:val="92"/>
              </w:rPr>
              <w:t>Value</w:t>
            </w:r>
          </w:p>
        </w:tc>
      </w:tr>
      <w:tr>
        <w:trPr>
          <w:trHeight w:val="205"/>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2005</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227,407</w:t>
            </w: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38.28</w:t>
            </w:r>
          </w:p>
        </w:tc>
      </w:tr>
      <w:tr>
        <w:trPr>
          <w:trHeight w:val="212"/>
        </w:trPr>
        <w:tc>
          <w:tcPr>
            <w:tcW w:w="9700" w:type="dxa"/>
            <w:vAlign w:val="bottom"/>
          </w:tcPr>
          <w:p>
            <w:pPr>
              <w:spacing w:after="0"/>
              <w:rPr>
                <w:sz w:val="20"/>
                <w:szCs w:val="20"/>
                <w:color w:val="auto"/>
              </w:rPr>
            </w:pPr>
            <w:r>
              <w:rPr>
                <w:rFonts w:ascii="Arial" w:cs="Arial" w:eastAsia="Arial" w:hAnsi="Arial"/>
                <w:sz w:val="17"/>
                <w:szCs w:val="17"/>
                <w:color w:val="auto"/>
              </w:rPr>
              <w:t>Granted</w:t>
            </w:r>
          </w:p>
        </w:tc>
        <w:tc>
          <w:tcPr>
            <w:tcW w:w="620" w:type="dxa"/>
            <w:vAlign w:val="bottom"/>
          </w:tcPr>
          <w:p>
            <w:pPr>
              <w:jc w:val="right"/>
              <w:spacing w:after="0"/>
              <w:rPr>
                <w:sz w:val="20"/>
                <w:szCs w:val="20"/>
                <w:color w:val="auto"/>
              </w:rPr>
            </w:pPr>
            <w:r>
              <w:rPr>
                <w:rFonts w:ascii="Arial" w:cs="Arial" w:eastAsia="Arial" w:hAnsi="Arial"/>
                <w:sz w:val="17"/>
                <w:szCs w:val="17"/>
                <w:color w:val="auto"/>
              </w:rPr>
              <w:t>84,217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68.18</w:t>
            </w:r>
          </w:p>
        </w:tc>
      </w:tr>
      <w:tr>
        <w:trPr>
          <w:trHeight w:val="212"/>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0"/>
              </w:rPr>
              <w:t>(103,453)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40.10</w:t>
            </w:r>
          </w:p>
        </w:tc>
      </w:tr>
      <w:tr>
        <w:trPr>
          <w:trHeight w:val="218"/>
        </w:trPr>
        <w:tc>
          <w:tcPr>
            <w:tcW w:w="9700" w:type="dxa"/>
            <w:vAlign w:val="bottom"/>
          </w:tcPr>
          <w:p>
            <w:pPr>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(4,477)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51.18</w:t>
            </w:r>
          </w:p>
        </w:tc>
      </w:tr>
      <w:tr>
        <w:trPr>
          <w:trHeight w:val="212"/>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2006</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203,694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49.43</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The weighted-average grant-date fair value of stock awarded in 2006, 2005 and 2004 was $68.18, $51.35 and $42.94, respectively. The total vesting-date fair value of shares vested during the year ended December 31, 2006 was $7.0 million.</w:t>
      </w:r>
    </w:p>
    <w:p>
      <w:pPr>
        <w:spacing w:after="0" w:line="115" w:lineRule="exact"/>
        <w:rPr>
          <w:sz w:val="20"/>
          <w:szCs w:val="20"/>
          <w:color w:val="auto"/>
        </w:rPr>
      </w:pPr>
    </w:p>
    <w:p>
      <w:pPr>
        <w:jc w:val="both"/>
        <w:ind w:right="140"/>
        <w:spacing w:after="0" w:line="326" w:lineRule="auto"/>
        <w:rPr>
          <w:sz w:val="20"/>
          <w:szCs w:val="20"/>
          <w:color w:val="auto"/>
        </w:rPr>
      </w:pPr>
      <w:r>
        <w:rPr>
          <w:rFonts w:ascii="Arial" w:cs="Arial" w:eastAsia="Arial" w:hAnsi="Arial"/>
          <w:sz w:val="15"/>
          <w:szCs w:val="15"/>
          <w:color w:val="auto"/>
        </w:rPr>
        <w:t>We recorded stock compensation expense of $6.5 million, $3.9 million and $3.5 million for 2006, 2005 and 2004, respectively, under our long term incentive plans. As of December 31, 2006, there was $8.6 million of total unrecognized compensation cost related to unvested share-based compensation arrangements (i.e. options and unvested shares) granted under our plans. This cost is expected to be recognized over the next 4.9 years with a weighted-average period of 1.2 years.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On February 12, 2007, common shares and options were awarded under various incentive compensation plans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Award</w:t>
            </w:r>
          </w:p>
        </w:tc>
        <w:tc>
          <w:tcPr>
            <w:tcW w:w="2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Vesting Term</w:t>
            </w:r>
          </w:p>
        </w:tc>
        <w:tc>
          <w:tcPr>
            <w:tcW w:w="240" w:type="dxa"/>
            <w:vAlign w:val="bottom"/>
          </w:tcPr>
          <w:p>
            <w:pPr>
              <w:spacing w:after="0"/>
              <w:rPr>
                <w:sz w:val="14"/>
                <w:szCs w:val="14"/>
                <w:color w:val="auto"/>
              </w:rPr>
            </w:pPr>
          </w:p>
        </w:tc>
        <w:tc>
          <w:tcPr>
            <w:tcW w:w="272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Beneficiary</w:t>
            </w:r>
          </w:p>
        </w:tc>
      </w:tr>
      <w:tr>
        <w:trPr>
          <w:trHeight w:val="206"/>
        </w:trPr>
        <w:tc>
          <w:tcPr>
            <w:tcW w:w="90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2"/>
              </w:rPr>
              <w:t>89,183</w:t>
            </w:r>
          </w:p>
        </w:tc>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shares</w:t>
            </w:r>
          </w:p>
        </w:tc>
        <w:tc>
          <w:tcPr>
            <w:tcW w:w="1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3 years</w:t>
            </w:r>
          </w:p>
        </w:tc>
        <w:tc>
          <w:tcPr>
            <w:tcW w:w="28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Officers and key employees</w:t>
            </w:r>
          </w:p>
        </w:tc>
      </w:tr>
      <w:tr>
        <w:trPr>
          <w:trHeight w:val="212"/>
        </w:trPr>
        <w:tc>
          <w:tcPr>
            <w:tcW w:w="900" w:type="dxa"/>
            <w:vAlign w:val="bottom"/>
          </w:tcPr>
          <w:p>
            <w:pPr>
              <w:ind w:left="400"/>
              <w:spacing w:after="0"/>
              <w:rPr>
                <w:sz w:val="20"/>
                <w:szCs w:val="20"/>
                <w:color w:val="auto"/>
              </w:rPr>
            </w:pPr>
            <w:r>
              <w:rPr>
                <w:rFonts w:ascii="Arial" w:cs="Arial" w:eastAsia="Arial" w:hAnsi="Arial"/>
                <w:sz w:val="17"/>
                <w:szCs w:val="17"/>
                <w:color w:val="auto"/>
                <w:w w:val="92"/>
              </w:rPr>
              <w:t>42,404</w:t>
            </w:r>
          </w:p>
        </w:tc>
        <w:tc>
          <w:tcPr>
            <w:tcW w:w="3340" w:type="dxa"/>
            <w:vAlign w:val="bottom"/>
          </w:tcPr>
          <w:p>
            <w:pPr>
              <w:ind w:left="20"/>
              <w:spacing w:after="0"/>
              <w:rPr>
                <w:sz w:val="20"/>
                <w:szCs w:val="20"/>
                <w:color w:val="auto"/>
              </w:rPr>
            </w:pPr>
            <w:r>
              <w:rPr>
                <w:rFonts w:ascii="Arial" w:cs="Arial" w:eastAsia="Arial" w:hAnsi="Arial"/>
                <w:sz w:val="17"/>
                <w:szCs w:val="17"/>
                <w:color w:val="auto"/>
              </w:rPr>
              <w:t>Options</w:t>
            </w:r>
          </w:p>
        </w:tc>
        <w:tc>
          <w:tcPr>
            <w:tcW w:w="1400" w:type="dxa"/>
            <w:vAlign w:val="bottom"/>
            <w:gridSpan w:val="2"/>
          </w:tcPr>
          <w:p>
            <w:pPr>
              <w:ind w:left="220"/>
              <w:spacing w:after="0"/>
              <w:rPr>
                <w:sz w:val="20"/>
                <w:szCs w:val="20"/>
                <w:color w:val="auto"/>
              </w:rPr>
            </w:pPr>
            <w:r>
              <w:rPr>
                <w:rFonts w:ascii="Arial" w:cs="Arial" w:eastAsia="Arial" w:hAnsi="Arial"/>
                <w:sz w:val="17"/>
                <w:szCs w:val="17"/>
                <w:color w:val="auto"/>
              </w:rPr>
              <w:t>5 years</w:t>
            </w:r>
          </w:p>
        </w:tc>
        <w:tc>
          <w:tcPr>
            <w:tcW w:w="2820" w:type="dxa"/>
            <w:vAlign w:val="bottom"/>
          </w:tcPr>
          <w:p>
            <w:pPr>
              <w:spacing w:after="0"/>
              <w:rPr>
                <w:sz w:val="18"/>
                <w:szCs w:val="18"/>
                <w:color w:val="auto"/>
              </w:rPr>
            </w:pPr>
          </w:p>
        </w:tc>
        <w:tc>
          <w:tcPr>
            <w:tcW w:w="2960" w:type="dxa"/>
            <w:vAlign w:val="bottom"/>
            <w:gridSpan w:val="2"/>
          </w:tcPr>
          <w:p>
            <w:pPr>
              <w:ind w:left="240"/>
              <w:spacing w:after="0"/>
              <w:rPr>
                <w:sz w:val="20"/>
                <w:szCs w:val="20"/>
                <w:color w:val="auto"/>
              </w:rPr>
            </w:pPr>
            <w:r>
              <w:rPr>
                <w:rFonts w:ascii="Arial" w:cs="Arial" w:eastAsia="Arial" w:hAnsi="Arial"/>
                <w:sz w:val="17"/>
                <w:szCs w:val="17"/>
                <w:color w:val="auto"/>
              </w:rPr>
              <w:t>Officers and key employees</w:t>
            </w:r>
          </w:p>
        </w:tc>
      </w:tr>
      <w:tr>
        <w:trPr>
          <w:trHeight w:val="212"/>
        </w:trPr>
        <w:tc>
          <w:tcPr>
            <w:tcW w:w="4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2,637 Shares</w:t>
            </w:r>
          </w:p>
        </w:tc>
        <w:tc>
          <w:tcPr>
            <w:tcW w:w="1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Immediate</w:t>
            </w:r>
          </w:p>
        </w:tc>
        <w:tc>
          <w:tcPr>
            <w:tcW w:w="28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Trustees</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All of the restricted share awards granted on February 12, 2007, were made under our 2001 Plan.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SAVINGS AND RETIREMENT PLANS</w:t>
      </w:r>
    </w:p>
    <w:p>
      <w:pPr>
        <w:spacing w:after="0" w:line="102"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We have a savings and retirement plan in accordance with the provisions of Section 401(k) of the Internal Revenue Code. Generally, employees can elect, at their discretion, to contribute a portion of their compensation up to a maximum of $15,000, $14,000 and $13,000 for 2006, 2005 and 2004, respectively. Under the plan, we contribute 50% of each employee’s first 5% of contributions. In addition, we may make discretionary contributions within the limits of deductibility set forth by the Code. Our employees are immediately eligible to become plan participants. Effective as of January 1, 2005 employees are eligible to receive matching contributions immediately on their participation, however, these matching payments will not vest until their first anniversary of employment. Our expense for the years ended December 31, 2006, 2005 and 2004 was approximately $342,000, $333,000 and $252,000, respectively.</w:t>
      </w:r>
    </w:p>
    <w:p>
      <w:pPr>
        <w:spacing w:after="0" w:line="11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The plan allows the participants to defer income until the earlier of age 65 or termination of employment. As of December 31, 2006, we are liable to participants for approximately $5.5 million under this plan. Although this is an unfunded plan, we have purchased certain investments to match this obligation. Our obligation under this plan and the related investments are both included in the accompanying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53"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EVENTS</w:t>
      </w:r>
    </w:p>
    <w:p>
      <w:pPr>
        <w:spacing w:after="0" w:line="102"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color w:val="auto"/>
        </w:rPr>
        <w:t>On January 30, 2007, we acquired 1020 Revere Beach Parkway, a 17,000 square foot vacant building for $2.5 million. This property is located in the Boston suburb of Chelsea, Massachusetts adjacent to our Chelsea Commons property. The Trust’s leasing and development teams are currently evaluating re-tenanting scenarios.</w:t>
      </w:r>
    </w:p>
    <w:p>
      <w:pPr>
        <w:spacing w:after="0" w:line="70"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On February 13, 2007, the Trustees declared a quarterly dividend of $0.575 per common share payable on April 16, 2007 to shareholders of record on March 13, 2007.</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SEGMENT INFORMATION</w:t>
      </w:r>
    </w:p>
    <w:p>
      <w:pPr>
        <w:spacing w:after="0" w:line="10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operate our portfolio of properties in two geographic operating regions: East and West, which constitute our segments under Statement of Financial Accounting Standard No. 131, “Disclosures about Segments of an Enterprise and Related Information.” Based on changes in our property management structure in 2004, we determined that our portfolio should be divided into two operating regions (East and West), rather than three (Northeast, Mid-Atlantic and West) as previously reported.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operations by geographic region is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3"/>
                <w:szCs w:val="13"/>
                <w:b w:val="1"/>
                <w:bCs w:val="1"/>
                <w:color w:val="auto"/>
                <w:w w:val="92"/>
              </w:rPr>
              <w:t>Year Ended December 31, 2006</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b w:val="1"/>
                <w:bCs w:val="1"/>
                <w:color w:val="auto"/>
              </w:rPr>
              <w:t>East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39" w:lineRule="exact"/>
              <w:rPr>
                <w:sz w:val="20"/>
                <w:szCs w:val="20"/>
                <w:color w:val="auto"/>
              </w:rPr>
            </w:pPr>
            <w:r>
              <w:rPr>
                <w:rFonts w:ascii="Arial" w:cs="Arial" w:eastAsia="Arial" w:hAnsi="Arial"/>
                <w:sz w:val="13"/>
                <w:szCs w:val="13"/>
                <w:b w:val="1"/>
                <w:bCs w:val="1"/>
                <w:color w:val="auto"/>
              </w:rPr>
              <w:t>West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60"/>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(In</w:t>
            </w:r>
          </w:p>
        </w:tc>
        <w:tc>
          <w:tcPr>
            <w:tcW w:w="1160" w:type="dxa"/>
            <w:vAlign w:val="bottom"/>
            <w:gridSpan w:val="4"/>
          </w:tcPr>
          <w:p>
            <w:pPr>
              <w:jc w:val="right"/>
              <w:ind w:right="415"/>
              <w:spacing w:after="0" w:line="139" w:lineRule="exact"/>
              <w:rPr>
                <w:sz w:val="20"/>
                <w:szCs w:val="20"/>
                <w:color w:val="auto"/>
              </w:rPr>
            </w:pPr>
            <w:r>
              <w:rPr>
                <w:rFonts w:ascii="Arial" w:cs="Arial" w:eastAsia="Arial" w:hAnsi="Arial"/>
                <w:sz w:val="13"/>
                <w:szCs w:val="13"/>
                <w:b w:val="1"/>
                <w:bCs w:val="1"/>
                <w:color w:val="auto"/>
                <w:w w:val="91"/>
              </w:rPr>
              <w:t>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340,968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97,233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438,201</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Other property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4,763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7"/>
                <w:szCs w:val="17"/>
                <w:color w:val="auto"/>
              </w:rPr>
              <w:t>2,963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7,726</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1,932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Rental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(60,606)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4"/>
              <w:spacing w:after="0"/>
              <w:rPr>
                <w:sz w:val="20"/>
                <w:szCs w:val="20"/>
                <w:color w:val="auto"/>
              </w:rPr>
            </w:pPr>
            <w:r>
              <w:rPr>
                <w:rFonts w:ascii="Arial" w:cs="Arial" w:eastAsia="Arial" w:hAnsi="Arial"/>
                <w:sz w:val="17"/>
                <w:szCs w:val="17"/>
                <w:color w:val="auto"/>
                <w:w w:val="97"/>
              </w:rPr>
              <w:t>(27,524)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(88,130)</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(9,035)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(44,898)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Property operating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252,425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65,569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317,994</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(21,340)</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(66,427)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4"/>
              <w:spacing w:after="0"/>
              <w:rPr>
                <w:sz w:val="20"/>
                <w:szCs w:val="20"/>
                <w:color w:val="auto"/>
              </w:rPr>
            </w:pPr>
            <w:r>
              <w:rPr>
                <w:rFonts w:ascii="Arial" w:cs="Arial" w:eastAsia="Arial" w:hAnsi="Arial"/>
                <w:sz w:val="17"/>
                <w:szCs w:val="17"/>
                <w:color w:val="auto"/>
                <w:w w:val="97"/>
              </w:rPr>
              <w:t>(29,433)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(1,758)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(97,618)</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2,545</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Interest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(102,808)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(102,808)</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Income before continuing operations and minority interests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188,150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54"/>
              <w:spacing w:after="0"/>
              <w:rPr>
                <w:sz w:val="20"/>
                <w:szCs w:val="20"/>
                <w:color w:val="auto"/>
              </w:rPr>
            </w:pPr>
            <w:r>
              <w:rPr>
                <w:rFonts w:ascii="Arial" w:cs="Arial" w:eastAsia="Arial" w:hAnsi="Arial"/>
                <w:sz w:val="17"/>
                <w:szCs w:val="17"/>
                <w:color w:val="auto"/>
              </w:rPr>
              <w:t>36,529</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(125,250)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99,429</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(4,353)</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23,956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188,150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54"/>
              <w:spacing w:after="0"/>
              <w:rPr>
                <w:sz w:val="20"/>
                <w:szCs w:val="20"/>
                <w:color w:val="auto"/>
              </w:rPr>
            </w:pPr>
            <w:r>
              <w:rPr>
                <w:rFonts w:ascii="Arial" w:cs="Arial" w:eastAsia="Arial" w:hAnsi="Arial"/>
                <w:sz w:val="17"/>
                <w:szCs w:val="17"/>
                <w:color w:val="auto"/>
              </w:rPr>
              <w:t>36,529</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(105,967)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118,712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1,725,790</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w w:val="91"/>
              </w:rPr>
              <w:t>876,400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86,416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2,688,606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820" w:type="dxa"/>
            <w:vAlign w:val="bottom"/>
          </w:tcPr>
          <w:p>
            <w:pPr>
              <w:spacing w:after="0"/>
              <w:rPr>
                <w:sz w:val="24"/>
                <w:szCs w:val="24"/>
                <w:color w:val="auto"/>
              </w:rPr>
            </w:pPr>
          </w:p>
        </w:tc>
        <w:tc>
          <w:tcPr>
            <w:tcW w:w="2340" w:type="dxa"/>
            <w:vAlign w:val="bottom"/>
            <w:gridSpan w:val="2"/>
          </w:tcPr>
          <w:p>
            <w:pPr>
              <w:jc w:val="right"/>
              <w:ind w:right="1194"/>
              <w:spacing w:after="0"/>
              <w:rPr>
                <w:sz w:val="20"/>
                <w:szCs w:val="20"/>
                <w:color w:val="auto"/>
              </w:rPr>
            </w:pPr>
            <w:r>
              <w:rPr>
                <w:rFonts w:ascii="Arial" w:cs="Arial" w:eastAsia="Arial" w:hAnsi="Arial"/>
                <w:sz w:val="17"/>
                <w:szCs w:val="17"/>
                <w:color w:val="auto"/>
              </w:rPr>
              <w:t>F-30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3"/>
                <w:szCs w:val="13"/>
                <w:b w:val="1"/>
                <w:bCs w:val="1"/>
                <w:color w:val="auto"/>
                <w:w w:val="92"/>
              </w:rPr>
              <w:t>Year Ended December 31, 2005</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b w:val="1"/>
                <w:bCs w:val="1"/>
                <w:color w:val="auto"/>
              </w:rPr>
              <w:t>East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39" w:lineRule="exact"/>
              <w:rPr>
                <w:sz w:val="20"/>
                <w:szCs w:val="20"/>
                <w:color w:val="auto"/>
              </w:rPr>
            </w:pPr>
            <w:r>
              <w:rPr>
                <w:rFonts w:ascii="Arial" w:cs="Arial" w:eastAsia="Arial" w:hAnsi="Arial"/>
                <w:sz w:val="13"/>
                <w:szCs w:val="13"/>
                <w:b w:val="1"/>
                <w:bCs w:val="1"/>
                <w:color w:val="auto"/>
              </w:rPr>
              <w:t>West</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60"/>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20"/>
              <w:spacing w:after="0"/>
              <w:rPr>
                <w:sz w:val="20"/>
                <w:szCs w:val="20"/>
                <w:color w:val="auto"/>
              </w:rPr>
            </w:pPr>
            <w:r>
              <w:rPr>
                <w:rFonts w:ascii="Arial" w:cs="Arial" w:eastAsia="Arial" w:hAnsi="Arial"/>
                <w:sz w:val="11"/>
                <w:szCs w:val="11"/>
                <w:b w:val="1"/>
                <w:bCs w:val="1"/>
                <w:color w:val="auto"/>
                <w:w w:val="74"/>
              </w:rPr>
              <w:t>(In</w:t>
            </w:r>
          </w:p>
        </w:tc>
        <w:tc>
          <w:tcPr>
            <w:tcW w:w="1160" w:type="dxa"/>
            <w:vAlign w:val="bottom"/>
            <w:gridSpan w:val="3"/>
          </w:tcPr>
          <w:p>
            <w:pPr>
              <w:jc w:val="right"/>
              <w:ind w:right="395"/>
              <w:spacing w:after="0" w:line="139" w:lineRule="exact"/>
              <w:rPr>
                <w:sz w:val="20"/>
                <w:szCs w:val="20"/>
                <w:color w:val="auto"/>
              </w:rPr>
            </w:pPr>
            <w:r>
              <w:rPr>
                <w:rFonts w:ascii="Arial" w:cs="Arial" w:eastAsia="Arial" w:hAnsi="Arial"/>
                <w:sz w:val="13"/>
                <w:szCs w:val="13"/>
                <w:b w:val="1"/>
                <w:bCs w:val="1"/>
                <w:color w:val="auto"/>
                <w:w w:val="94"/>
              </w:rPr>
              <w:t>thousands)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310,063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CCEEFF"/>
            </w:tcBorders>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83,485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393,548</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Other property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4"/>
              <w:spacing w:after="0"/>
              <w:rPr>
                <w:sz w:val="20"/>
                <w:szCs w:val="20"/>
                <w:color w:val="auto"/>
              </w:rPr>
            </w:pPr>
            <w:r>
              <w:rPr>
                <w:rFonts w:ascii="Arial" w:cs="Arial" w:eastAsia="Arial" w:hAnsi="Arial"/>
                <w:sz w:val="17"/>
                <w:szCs w:val="17"/>
                <w:color w:val="auto"/>
              </w:rPr>
              <w:t>5,388</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9,551</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2,552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5,370</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Rental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(58,348)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4"/>
              <w:spacing w:after="0"/>
              <w:rPr>
                <w:sz w:val="20"/>
                <w:szCs w:val="20"/>
                <w:color w:val="auto"/>
              </w:rPr>
            </w:pPr>
            <w:r>
              <w:rPr>
                <w:rFonts w:ascii="Arial" w:cs="Arial" w:eastAsia="Arial" w:hAnsi="Arial"/>
                <w:sz w:val="17"/>
                <w:szCs w:val="17"/>
                <w:color w:val="auto"/>
                <w:w w:val="97"/>
              </w:rPr>
              <w:t>(26,388)</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(84,736)</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(6,762)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(39,372)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Property operating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226,086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58,275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284,361</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(19,909)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(19,909)</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(62,395)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4"/>
              <w:spacing w:after="0"/>
              <w:rPr>
                <w:sz w:val="20"/>
                <w:szCs w:val="20"/>
                <w:color w:val="auto"/>
              </w:rPr>
            </w:pPr>
            <w:r>
              <w:rPr>
                <w:rFonts w:ascii="Arial" w:cs="Arial" w:eastAsia="Arial" w:hAnsi="Arial"/>
                <w:sz w:val="17"/>
                <w:szCs w:val="17"/>
                <w:color w:val="auto"/>
                <w:w w:val="97"/>
              </w:rPr>
              <w:t>(25,063)</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(1,469)</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(88,927)</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2,215</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Interest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(88,566)</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(88,566)</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Income before continuing operations and minority interests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165,812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34"/>
              <w:spacing w:after="0"/>
              <w:rPr>
                <w:sz w:val="20"/>
                <w:szCs w:val="20"/>
                <w:color w:val="auto"/>
              </w:rPr>
            </w:pPr>
            <w:r>
              <w:rPr>
                <w:rFonts w:ascii="Arial" w:cs="Arial" w:eastAsia="Arial" w:hAnsi="Arial"/>
                <w:sz w:val="17"/>
                <w:szCs w:val="17"/>
                <w:color w:val="auto"/>
              </w:rPr>
              <w:t>33,306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(109,451)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89,667</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(5,234)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(5,234)</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(569)</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30,748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165,812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34"/>
              <w:spacing w:after="0"/>
              <w:rPr>
                <w:sz w:val="20"/>
                <w:szCs w:val="20"/>
                <w:color w:val="auto"/>
              </w:rPr>
            </w:pPr>
            <w:r>
              <w:rPr>
                <w:rFonts w:ascii="Arial" w:cs="Arial" w:eastAsia="Arial" w:hAnsi="Arial"/>
                <w:sz w:val="17"/>
                <w:szCs w:val="17"/>
                <w:color w:val="auto"/>
              </w:rPr>
              <w:t>33,306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(84,506)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114,612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1,368,925</w:t>
            </w:r>
          </w:p>
        </w:tc>
        <w:tc>
          <w:tcPr>
            <w:tcW w:w="2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4"/>
            <w:shd w:val="clear" w:color="auto" w:fill="CCEEFF"/>
          </w:tcPr>
          <w:p>
            <w:pPr>
              <w:jc w:val="right"/>
              <w:ind w:right="334"/>
              <w:spacing w:after="0"/>
              <w:rPr>
                <w:sz w:val="20"/>
                <w:szCs w:val="20"/>
                <w:color w:val="auto"/>
              </w:rPr>
            </w:pPr>
            <w:r>
              <w:rPr>
                <w:rFonts w:ascii="Arial" w:cs="Arial" w:eastAsia="Arial" w:hAnsi="Arial"/>
                <w:sz w:val="17"/>
                <w:szCs w:val="17"/>
                <w:color w:val="auto"/>
              </w:rPr>
              <w:t>$ 908,621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73,306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2,350,852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3"/>
                <w:szCs w:val="13"/>
                <w:b w:val="1"/>
                <w:bCs w:val="1"/>
                <w:color w:val="auto"/>
                <w:w w:val="92"/>
              </w:rPr>
              <w:t>Year Ended December 31, 2004</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b w:val="1"/>
                <w:bCs w:val="1"/>
                <w:color w:val="auto"/>
              </w:rPr>
              <w:t>East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39" w:lineRule="exact"/>
              <w:rPr>
                <w:sz w:val="20"/>
                <w:szCs w:val="20"/>
                <w:color w:val="auto"/>
              </w:rPr>
            </w:pPr>
            <w:r>
              <w:rPr>
                <w:rFonts w:ascii="Arial" w:cs="Arial" w:eastAsia="Arial" w:hAnsi="Arial"/>
                <w:sz w:val="13"/>
                <w:szCs w:val="13"/>
                <w:b w:val="1"/>
                <w:bCs w:val="1"/>
                <w:color w:val="auto"/>
              </w:rPr>
              <w:t>West</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60"/>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20"/>
              <w:spacing w:after="0"/>
              <w:rPr>
                <w:sz w:val="20"/>
                <w:szCs w:val="20"/>
                <w:color w:val="auto"/>
              </w:rPr>
            </w:pPr>
            <w:r>
              <w:rPr>
                <w:rFonts w:ascii="Arial" w:cs="Arial" w:eastAsia="Arial" w:hAnsi="Arial"/>
                <w:sz w:val="11"/>
                <w:szCs w:val="11"/>
                <w:b w:val="1"/>
                <w:bCs w:val="1"/>
                <w:color w:val="auto"/>
                <w:w w:val="74"/>
              </w:rPr>
              <w:t>(In</w:t>
            </w:r>
          </w:p>
        </w:tc>
        <w:tc>
          <w:tcPr>
            <w:tcW w:w="1160" w:type="dxa"/>
            <w:vAlign w:val="bottom"/>
            <w:gridSpan w:val="3"/>
          </w:tcPr>
          <w:p>
            <w:pPr>
              <w:jc w:val="right"/>
              <w:ind w:right="395"/>
              <w:spacing w:after="0" w:line="139" w:lineRule="exact"/>
              <w:rPr>
                <w:sz w:val="20"/>
                <w:szCs w:val="20"/>
                <w:color w:val="auto"/>
              </w:rPr>
            </w:pPr>
            <w:r>
              <w:rPr>
                <w:rFonts w:ascii="Arial" w:cs="Arial" w:eastAsia="Arial" w:hAnsi="Arial"/>
                <w:sz w:val="13"/>
                <w:szCs w:val="13"/>
                <w:b w:val="1"/>
                <w:bCs w:val="1"/>
                <w:color w:val="auto"/>
                <w:w w:val="94"/>
              </w:rPr>
              <w:t>thousands)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293,291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368,299</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Other property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6,516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10,398</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4,915</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Rental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(60,453)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94"/>
              <w:spacing w:after="0"/>
              <w:rPr>
                <w:sz w:val="20"/>
                <w:szCs w:val="20"/>
                <w:color w:val="auto"/>
              </w:rPr>
            </w:pPr>
            <w:r>
              <w:rPr>
                <w:rFonts w:ascii="Arial" w:cs="Arial" w:eastAsia="Arial" w:hAnsi="Arial"/>
                <w:sz w:val="17"/>
                <w:szCs w:val="17"/>
                <w:color w:val="auto"/>
                <w:w w:val="94"/>
              </w:rPr>
              <w:t>(29,487)</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(89,940)</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(5,732)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(37,351)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Property operating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207,940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48,381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256,321</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(18,164)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(18,164)</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(62,590)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94"/>
              <w:spacing w:after="0"/>
              <w:rPr>
                <w:sz w:val="20"/>
                <w:szCs w:val="20"/>
                <w:color w:val="auto"/>
              </w:rPr>
            </w:pPr>
            <w:r>
              <w:rPr>
                <w:rFonts w:ascii="Arial" w:cs="Arial" w:eastAsia="Arial" w:hAnsi="Arial"/>
                <w:sz w:val="17"/>
                <w:szCs w:val="17"/>
                <w:color w:val="auto"/>
                <w:w w:val="94"/>
              </w:rPr>
              <w:t>(22,581)</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(1,426)</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(86,597)</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1,504</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Interest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(85,058)</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(85,058)</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Income before continuing operations and minority interests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146,747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25,907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(104,443)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68,211</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(4,170)</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6,063</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14,052</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14,052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146,747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25,907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(88,498)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84,156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1,264,135</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$ 911,136</w:t>
            </w:r>
          </w:p>
        </w:tc>
        <w:tc>
          <w:tcPr>
            <w:tcW w:w="4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91,625</w:t>
            </w:r>
          </w:p>
        </w:tc>
        <w:tc>
          <w:tcPr>
            <w:tcW w:w="4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2,266,896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820" w:type="dxa"/>
            <w:vAlign w:val="bottom"/>
          </w:tcPr>
          <w:p>
            <w:pPr>
              <w:spacing w:after="0"/>
              <w:rPr>
                <w:sz w:val="24"/>
                <w:szCs w:val="24"/>
                <w:color w:val="auto"/>
              </w:rPr>
            </w:pPr>
          </w:p>
        </w:tc>
        <w:tc>
          <w:tcPr>
            <w:tcW w:w="2340" w:type="dxa"/>
            <w:vAlign w:val="bottom"/>
            <w:gridSpan w:val="2"/>
          </w:tcPr>
          <w:p>
            <w:pPr>
              <w:jc w:val="right"/>
              <w:ind w:right="1194"/>
              <w:spacing w:after="0"/>
              <w:rPr>
                <w:sz w:val="20"/>
                <w:szCs w:val="20"/>
                <w:color w:val="auto"/>
              </w:rPr>
            </w:pPr>
            <w:r>
              <w:rPr>
                <w:rFonts w:ascii="Arial" w:cs="Arial" w:eastAsia="Arial" w:hAnsi="Arial"/>
                <w:sz w:val="17"/>
                <w:szCs w:val="17"/>
                <w:color w:val="auto"/>
              </w:rPr>
              <w:t>F-31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SELECTED QUARTERLY FINANCIAL DATA (UNAUDITED)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Summarized quarterly financial data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60"/>
              <w:spacing w:after="0"/>
              <w:rPr>
                <w:sz w:val="20"/>
                <w:szCs w:val="20"/>
                <w:color w:val="auto"/>
              </w:rPr>
            </w:pPr>
            <w:r>
              <w:rPr>
                <w:rFonts w:ascii="Arial" w:cs="Arial" w:eastAsia="Arial" w:hAnsi="Arial"/>
                <w:sz w:val="13"/>
                <w:szCs w:val="13"/>
                <w:b w:val="1"/>
                <w:bCs w:val="1"/>
                <w:color w:val="auto"/>
                <w:w w:val="99"/>
              </w:rPr>
              <w:t>First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21"/>
              <w:spacing w:after="0"/>
              <w:rPr>
                <w:sz w:val="20"/>
                <w:szCs w:val="20"/>
                <w:color w:val="auto"/>
              </w:rPr>
            </w:pPr>
            <w:r>
              <w:rPr>
                <w:rFonts w:ascii="Arial" w:cs="Arial" w:eastAsia="Arial" w:hAnsi="Arial"/>
                <w:sz w:val="13"/>
                <w:szCs w:val="13"/>
                <w:b w:val="1"/>
                <w:bCs w:val="1"/>
                <w:color w:val="auto"/>
                <w:w w:val="85"/>
              </w:rPr>
              <w:t>Second</w:t>
            </w:r>
          </w:p>
        </w:tc>
        <w:tc>
          <w:tcPr>
            <w:tcW w:w="14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0"/>
              <w:spacing w:after="0"/>
              <w:rPr>
                <w:sz w:val="20"/>
                <w:szCs w:val="20"/>
                <w:color w:val="auto"/>
              </w:rPr>
            </w:pPr>
            <w:r>
              <w:rPr>
                <w:rFonts w:ascii="Arial" w:cs="Arial" w:eastAsia="Arial" w:hAnsi="Arial"/>
                <w:sz w:val="13"/>
                <w:szCs w:val="13"/>
                <w:b w:val="1"/>
                <w:bCs w:val="1"/>
                <w:color w:val="auto"/>
                <w:w w:val="97"/>
              </w:rPr>
              <w:t>Fourth</w:t>
            </w:r>
          </w:p>
        </w:tc>
      </w:tr>
      <w:tr>
        <w:trPr>
          <w:trHeight w:val="158"/>
        </w:trPr>
        <w:tc>
          <w:tcPr>
            <w:tcW w:w="7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r>
      <w:tr>
        <w:trPr>
          <w:trHeight w:val="139"/>
        </w:trPr>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tcPr>
          <w:p>
            <w:pPr>
              <w:ind w:left="100"/>
              <w:spacing w:after="0" w:line="139" w:lineRule="exact"/>
              <w:rPr>
                <w:sz w:val="20"/>
                <w:szCs w:val="20"/>
                <w:color w:val="auto"/>
              </w:rPr>
            </w:pPr>
            <w:r>
              <w:rPr>
                <w:rFonts w:ascii="Arial" w:cs="Arial" w:eastAsia="Arial" w:hAnsi="Arial"/>
                <w:sz w:val="13"/>
                <w:szCs w:val="13"/>
                <w:b w:val="1"/>
                <w:bCs w:val="1"/>
                <w:color w:val="auto"/>
              </w:rPr>
              <w:t>(In thousands,</w:t>
            </w:r>
          </w:p>
        </w:tc>
        <w:tc>
          <w:tcPr>
            <w:tcW w:w="220" w:type="dxa"/>
            <w:vAlign w:val="bottom"/>
          </w:tcPr>
          <w:p>
            <w:pPr>
              <w:jc w:val="right"/>
              <w:spacing w:after="0"/>
              <w:rPr>
                <w:sz w:val="20"/>
                <w:szCs w:val="20"/>
                <w:color w:val="auto"/>
              </w:rPr>
            </w:pPr>
            <w:r>
              <w:rPr>
                <w:rFonts w:ascii="Arial" w:cs="Arial" w:eastAsia="Arial" w:hAnsi="Arial"/>
                <w:sz w:val="8"/>
                <w:szCs w:val="8"/>
                <w:b w:val="1"/>
                <w:bCs w:val="1"/>
                <w:color w:val="auto"/>
                <w:w w:val="78"/>
              </w:rPr>
              <w:t>except</w:t>
            </w:r>
          </w:p>
        </w:tc>
        <w:tc>
          <w:tcPr>
            <w:tcW w:w="1000" w:type="dxa"/>
            <w:vAlign w:val="bottom"/>
            <w:gridSpan w:val="3"/>
          </w:tcPr>
          <w:p>
            <w:pPr>
              <w:jc w:val="right"/>
              <w:ind w:right="40"/>
              <w:spacing w:after="0" w:line="139" w:lineRule="exact"/>
              <w:rPr>
                <w:sz w:val="20"/>
                <w:szCs w:val="20"/>
                <w:color w:val="auto"/>
              </w:rPr>
            </w:pPr>
            <w:r>
              <w:rPr>
                <w:rFonts w:ascii="Arial" w:cs="Arial" w:eastAsia="Arial" w:hAnsi="Arial"/>
                <w:sz w:val="13"/>
                <w:szCs w:val="13"/>
                <w:b w:val="1"/>
                <w:bCs w:val="1"/>
                <w:color w:val="auto"/>
              </w:rPr>
              <w:t>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7"/>
                <w:szCs w:val="17"/>
                <w:color w:val="auto"/>
              </w:rPr>
              <w:t>Rental income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104,964</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7"/>
                <w:szCs w:val="17"/>
                <w:color w:val="auto"/>
              </w:rPr>
              <w:t>105,533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110,511</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117,193</w:t>
            </w: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38,256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24,984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24,441</w:t>
            </w:r>
          </w:p>
        </w:tc>
      </w:tr>
      <w:tr>
        <w:trPr>
          <w:trHeight w:val="212"/>
        </w:trPr>
        <w:tc>
          <w:tcPr>
            <w:tcW w:w="752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28,162</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7"/>
                <w:szCs w:val="17"/>
                <w:color w:val="auto"/>
              </w:rPr>
              <w:t>35,387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22,115</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17,850</w:t>
            </w: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0.67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r>
      <w:tr>
        <w:trPr>
          <w:trHeight w:val="217"/>
        </w:trPr>
        <w:tc>
          <w:tcPr>
            <w:tcW w:w="7520" w:type="dxa"/>
            <w:vAlign w:val="bottom"/>
          </w:tcPr>
          <w:p>
            <w:pPr>
              <w:spacing w:after="0"/>
              <w:rPr>
                <w:sz w:val="20"/>
                <w:szCs w:val="20"/>
                <w:color w:val="auto"/>
              </w:rPr>
            </w:pPr>
            <w:r>
              <w:rPr>
                <w:rFonts w:ascii="Arial" w:cs="Arial" w:eastAsia="Arial" w:hAnsi="Arial"/>
                <w:sz w:val="17"/>
                <w:szCs w:val="17"/>
                <w:color w:val="auto"/>
              </w:rPr>
              <w:t>Earnings per common share —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0.53</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7"/>
                <w:szCs w:val="17"/>
                <w:color w:val="auto"/>
              </w:rPr>
              <w:t>0.66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0.41</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0.32</w:t>
            </w:r>
          </w:p>
        </w:tc>
      </w:tr>
      <w:tr>
        <w:trPr>
          <w:trHeight w:val="339"/>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60"/>
              <w:spacing w:after="0"/>
              <w:rPr>
                <w:sz w:val="20"/>
                <w:szCs w:val="20"/>
                <w:color w:val="auto"/>
              </w:rPr>
            </w:pPr>
            <w:r>
              <w:rPr>
                <w:rFonts w:ascii="Arial" w:cs="Arial" w:eastAsia="Arial" w:hAnsi="Arial"/>
                <w:sz w:val="13"/>
                <w:szCs w:val="13"/>
                <w:b w:val="1"/>
                <w:bCs w:val="1"/>
                <w:color w:val="auto"/>
                <w:w w:val="99"/>
              </w:rPr>
              <w:t>First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321"/>
              <w:spacing w:after="0"/>
              <w:rPr>
                <w:sz w:val="20"/>
                <w:szCs w:val="20"/>
                <w:color w:val="auto"/>
              </w:rPr>
            </w:pPr>
            <w:r>
              <w:rPr>
                <w:rFonts w:ascii="Arial" w:cs="Arial" w:eastAsia="Arial" w:hAnsi="Arial"/>
                <w:sz w:val="13"/>
                <w:szCs w:val="13"/>
                <w:b w:val="1"/>
                <w:bCs w:val="1"/>
                <w:color w:val="auto"/>
                <w:w w:val="85"/>
              </w:rPr>
              <w:t>Second</w:t>
            </w:r>
          </w:p>
        </w:tc>
        <w:tc>
          <w:tcPr>
            <w:tcW w:w="140" w:type="dxa"/>
            <w:vAlign w:val="bottom"/>
          </w:tcPr>
          <w:p>
            <w:pPr>
              <w:spacing w:after="0"/>
              <w:rPr>
                <w:sz w:val="24"/>
                <w:szCs w:val="2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60"/>
              <w:spacing w:after="0"/>
              <w:rPr>
                <w:sz w:val="20"/>
                <w:szCs w:val="20"/>
                <w:color w:val="auto"/>
              </w:rPr>
            </w:pPr>
            <w:r>
              <w:rPr>
                <w:rFonts w:ascii="Arial" w:cs="Arial" w:eastAsia="Arial" w:hAnsi="Arial"/>
                <w:sz w:val="13"/>
                <w:szCs w:val="13"/>
                <w:b w:val="1"/>
                <w:bCs w:val="1"/>
                <w:color w:val="auto"/>
                <w:w w:val="97"/>
              </w:rPr>
              <w:t>Fourth</w:t>
            </w:r>
          </w:p>
        </w:tc>
      </w:tr>
      <w:tr>
        <w:trPr>
          <w:trHeight w:val="158"/>
        </w:trPr>
        <w:tc>
          <w:tcPr>
            <w:tcW w:w="7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Quarter</w:t>
            </w:r>
          </w:p>
        </w:tc>
      </w:tr>
      <w:tr>
        <w:trPr>
          <w:trHeight w:val="139"/>
        </w:trPr>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tcPr>
          <w:p>
            <w:pPr>
              <w:ind w:left="100"/>
              <w:spacing w:after="0" w:line="139" w:lineRule="exact"/>
              <w:rPr>
                <w:sz w:val="20"/>
                <w:szCs w:val="20"/>
                <w:color w:val="auto"/>
              </w:rPr>
            </w:pPr>
            <w:r>
              <w:rPr>
                <w:rFonts w:ascii="Arial" w:cs="Arial" w:eastAsia="Arial" w:hAnsi="Arial"/>
                <w:sz w:val="13"/>
                <w:szCs w:val="13"/>
                <w:b w:val="1"/>
                <w:bCs w:val="1"/>
                <w:color w:val="auto"/>
              </w:rPr>
              <w:t>(In thousands,</w:t>
            </w:r>
          </w:p>
        </w:tc>
        <w:tc>
          <w:tcPr>
            <w:tcW w:w="220" w:type="dxa"/>
            <w:vAlign w:val="bottom"/>
          </w:tcPr>
          <w:p>
            <w:pPr>
              <w:jc w:val="right"/>
              <w:spacing w:after="0"/>
              <w:rPr>
                <w:sz w:val="20"/>
                <w:szCs w:val="20"/>
                <w:color w:val="auto"/>
              </w:rPr>
            </w:pPr>
            <w:r>
              <w:rPr>
                <w:rFonts w:ascii="Arial" w:cs="Arial" w:eastAsia="Arial" w:hAnsi="Arial"/>
                <w:sz w:val="8"/>
                <w:szCs w:val="8"/>
                <w:b w:val="1"/>
                <w:bCs w:val="1"/>
                <w:color w:val="auto"/>
                <w:w w:val="78"/>
              </w:rPr>
              <w:t>except</w:t>
            </w:r>
          </w:p>
        </w:tc>
        <w:tc>
          <w:tcPr>
            <w:tcW w:w="1000" w:type="dxa"/>
            <w:vAlign w:val="bottom"/>
            <w:gridSpan w:val="3"/>
          </w:tcPr>
          <w:p>
            <w:pPr>
              <w:jc w:val="right"/>
              <w:ind w:right="40"/>
              <w:spacing w:after="0" w:line="139" w:lineRule="exact"/>
              <w:rPr>
                <w:sz w:val="20"/>
                <w:szCs w:val="20"/>
                <w:color w:val="auto"/>
              </w:rPr>
            </w:pPr>
            <w:r>
              <w:rPr>
                <w:rFonts w:ascii="Arial" w:cs="Arial" w:eastAsia="Arial" w:hAnsi="Arial"/>
                <w:sz w:val="13"/>
                <w:szCs w:val="13"/>
                <w:b w:val="1"/>
                <w:bCs w:val="1"/>
                <w:color w:val="auto"/>
              </w:rPr>
              <w:t>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2005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7"/>
                <w:szCs w:val="17"/>
                <w:color w:val="auto"/>
              </w:rPr>
              <w:t>Rental income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97,783</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7"/>
                <w:szCs w:val="17"/>
                <w:color w:val="auto"/>
              </w:rPr>
              <w:t>95,762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96,772</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103,231</w:t>
            </w: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24,807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30,680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35,128</w:t>
            </w:r>
          </w:p>
        </w:tc>
      </w:tr>
      <w:tr>
        <w:trPr>
          <w:trHeight w:val="212"/>
        </w:trPr>
        <w:tc>
          <w:tcPr>
            <w:tcW w:w="752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21,128</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7"/>
                <w:szCs w:val="17"/>
                <w:color w:val="auto"/>
              </w:rPr>
              <w:t>21,938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27,811</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32,260</w:t>
            </w: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0.42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0.53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r>
      <w:tr>
        <w:trPr>
          <w:trHeight w:val="217"/>
        </w:trPr>
        <w:tc>
          <w:tcPr>
            <w:tcW w:w="7520" w:type="dxa"/>
            <w:vAlign w:val="bottom"/>
          </w:tcPr>
          <w:p>
            <w:pPr>
              <w:spacing w:after="0"/>
              <w:rPr>
                <w:sz w:val="20"/>
                <w:szCs w:val="20"/>
                <w:color w:val="auto"/>
              </w:rPr>
            </w:pPr>
            <w:r>
              <w:rPr>
                <w:rFonts w:ascii="Arial" w:cs="Arial" w:eastAsia="Arial" w:hAnsi="Arial"/>
                <w:sz w:val="17"/>
                <w:szCs w:val="17"/>
                <w:color w:val="auto"/>
              </w:rPr>
              <w:t>Earnings per common share —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0.40</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7"/>
                <w:szCs w:val="17"/>
                <w:color w:val="auto"/>
              </w:rPr>
              <w:t>0.41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0.52</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397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191" w:lineRule="exact"/>
        <w:rPr>
          <w:sz w:val="20"/>
          <w:szCs w:val="20"/>
          <w:color w:val="auto"/>
        </w:rPr>
      </w:pPr>
    </w:p>
    <w:p>
      <w:pPr>
        <w:ind w:left="460" w:right="100" w:hanging="454"/>
        <w:spacing w:after="0" w:line="287"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required by SFAS No. 144, rental income has been reduced to reflect the results of discontinued operations. Rental income from these discontinued assets, by quarter, is summarized as follows: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41"/>
              <w:spacing w:after="0"/>
              <w:rPr>
                <w:sz w:val="20"/>
                <w:szCs w:val="20"/>
                <w:color w:val="auto"/>
              </w:rPr>
            </w:pPr>
            <w:r>
              <w:rPr>
                <w:rFonts w:ascii="Arial" w:cs="Arial" w:eastAsia="Arial" w:hAnsi="Arial"/>
                <w:sz w:val="13"/>
                <w:szCs w:val="13"/>
                <w:b w:val="1"/>
                <w:bCs w:val="1"/>
                <w:color w:val="auto"/>
                <w:w w:val="92"/>
              </w:rPr>
              <w:t>First</w:t>
            </w:r>
          </w:p>
        </w:tc>
        <w:tc>
          <w:tcPr>
            <w:tcW w:w="5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Second</w:t>
            </w:r>
          </w:p>
        </w:tc>
        <w:tc>
          <w:tcPr>
            <w:tcW w:w="52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Fourth</w:t>
            </w:r>
          </w:p>
        </w:tc>
      </w:tr>
      <w:tr>
        <w:trPr>
          <w:trHeight w:val="158"/>
        </w:trPr>
        <w:tc>
          <w:tcPr>
            <w:tcW w:w="44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Quarter</w:t>
            </w:r>
          </w:p>
        </w:tc>
        <w:tc>
          <w:tcPr>
            <w:tcW w:w="52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97"/>
              </w:rPr>
              <w:t>Quarter</w:t>
            </w:r>
          </w:p>
        </w:tc>
        <w:tc>
          <w:tcPr>
            <w:tcW w:w="5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200" w:type="dxa"/>
            <w:vAlign w:val="bottom"/>
          </w:tcPr>
          <w:p>
            <w:pPr>
              <w:spacing w:after="0"/>
              <w:rPr>
                <w:sz w:val="13"/>
                <w:szCs w:val="13"/>
                <w:color w:val="auto"/>
              </w:rPr>
            </w:pP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Quarter</w:t>
            </w:r>
          </w:p>
        </w:tc>
      </w:tr>
      <w:tr>
        <w:trPr>
          <w:trHeight w:val="139"/>
        </w:trPr>
        <w:tc>
          <w:tcPr>
            <w:tcW w:w="4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(In</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w w:val="71"/>
              </w:rPr>
              <w:t>thousands)</w:t>
            </w:r>
          </w:p>
        </w:tc>
        <w:tc>
          <w:tcPr>
            <w:tcW w:w="500" w:type="dxa"/>
            <w:vAlign w:val="bottom"/>
            <w:tcBorders>
              <w:top w:val="single" w:sz="8" w:color="auto"/>
            </w:tcBorders>
            <w:gridSpan w:val="2"/>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r>
      <w:tr>
        <w:trPr>
          <w:trHeight w:val="212"/>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2006 rental income (loss) from discontinued operations</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4460" w:type="dxa"/>
            <w:vAlign w:val="bottom"/>
          </w:tcPr>
          <w:p>
            <w:pPr>
              <w:spacing w:after="0"/>
              <w:rPr>
                <w:sz w:val="20"/>
                <w:szCs w:val="20"/>
                <w:color w:val="auto"/>
              </w:rPr>
            </w:pPr>
            <w:r>
              <w:rPr>
                <w:rFonts w:ascii="Arial" w:cs="Arial" w:eastAsia="Arial" w:hAnsi="Arial"/>
                <w:sz w:val="17"/>
                <w:szCs w:val="17"/>
                <w:color w:val="auto"/>
              </w:rPr>
              <w:t>2005 rental income from discontinued operations</w:t>
            </w:r>
          </w:p>
        </w:tc>
        <w:tc>
          <w:tcPr>
            <w:tcW w:w="2660" w:type="dxa"/>
            <w:vAlign w:val="bottom"/>
            <w:gridSpan w:val="2"/>
          </w:tcPr>
          <w:p>
            <w:pPr>
              <w:ind w:left="256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2,314</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2,415</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1,577</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1,061</w:t>
            </w:r>
          </w:p>
        </w:tc>
      </w:tr>
      <w:tr>
        <w:trPr>
          <w:trHeight w:val="349"/>
        </w:trPr>
        <w:tc>
          <w:tcPr>
            <w:tcW w:w="4460" w:type="dxa"/>
            <w:vAlign w:val="bottom"/>
          </w:tcPr>
          <w:p>
            <w:pPr>
              <w:spacing w:after="0"/>
              <w:rPr>
                <w:sz w:val="24"/>
                <w:szCs w:val="24"/>
                <w:color w:val="auto"/>
              </w:rPr>
            </w:pPr>
          </w:p>
        </w:tc>
        <w:tc>
          <w:tcPr>
            <w:tcW w:w="2660" w:type="dxa"/>
            <w:vAlign w:val="bottom"/>
            <w:gridSpan w:val="2"/>
          </w:tcPr>
          <w:p>
            <w:pPr>
              <w:ind w:left="640"/>
              <w:spacing w:after="0"/>
              <w:rPr>
                <w:sz w:val="20"/>
                <w:szCs w:val="20"/>
                <w:color w:val="auto"/>
              </w:rPr>
            </w:pPr>
            <w:r>
              <w:rPr>
                <w:rFonts w:ascii="Arial" w:cs="Arial" w:eastAsia="Arial" w:hAnsi="Arial"/>
                <w:sz w:val="17"/>
                <w:szCs w:val="17"/>
                <w:color w:val="auto"/>
              </w:rPr>
              <w:t>F-32</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FEDERAL REALTY INVESTMENT TRUST</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SCHEDULE III</w:t>
      </w:r>
    </w:p>
    <w:p>
      <w:pPr>
        <w:jc w:val="center"/>
        <w:ind w:right="100"/>
        <w:spacing w:after="0" w:line="236" w:lineRule="auto"/>
        <w:rPr>
          <w:sz w:val="20"/>
          <w:szCs w:val="20"/>
          <w:color w:val="auto"/>
        </w:rPr>
      </w:pPr>
      <w:r>
        <w:rPr>
          <w:rFonts w:ascii="Arial" w:cs="Arial" w:eastAsia="Arial" w:hAnsi="Arial"/>
          <w:sz w:val="21"/>
          <w:szCs w:val="21"/>
          <w:b w:val="1"/>
          <w:bCs w:val="1"/>
          <w:color w:val="auto"/>
        </w:rPr>
        <w:t>SUMMARY OF REAL ESTATE AND ACCUMULATED</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DEPRECIATION</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2006</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(Dollars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40" w:type="dxa"/>
            <w:vAlign w:val="bottom"/>
          </w:tcPr>
          <w:p>
            <w:pPr>
              <w:ind w:left="300"/>
              <w:spacing w:after="0"/>
              <w:rPr>
                <w:sz w:val="20"/>
                <w:szCs w:val="20"/>
                <w:color w:val="auto"/>
              </w:rPr>
            </w:pPr>
            <w:r>
              <w:rPr>
                <w:rFonts w:ascii="Arial" w:cs="Arial" w:eastAsia="Arial" w:hAnsi="Arial"/>
                <w:sz w:val="13"/>
                <w:szCs w:val="13"/>
                <w:b w:val="1"/>
                <w:bCs w:val="1"/>
                <w:color w:val="auto"/>
              </w:rPr>
              <w:t>COLUMN A</w:t>
            </w:r>
          </w:p>
        </w:tc>
        <w:tc>
          <w:tcPr>
            <w:tcW w:w="300" w:type="dxa"/>
            <w:vAlign w:val="bottom"/>
          </w:tcPr>
          <w:p>
            <w:pPr>
              <w:spacing w:after="0"/>
              <w:rPr>
                <w:sz w:val="13"/>
                <w:szCs w:val="13"/>
                <w:color w:val="auto"/>
              </w:rPr>
            </w:pPr>
          </w:p>
        </w:tc>
        <w:tc>
          <w:tcPr>
            <w:tcW w:w="1600" w:type="dxa"/>
            <w:vAlign w:val="bottom"/>
            <w:gridSpan w:val="6"/>
          </w:tcPr>
          <w:p>
            <w:pPr>
              <w:ind w:left="40"/>
              <w:spacing w:after="0"/>
              <w:rPr>
                <w:sz w:val="20"/>
                <w:szCs w:val="20"/>
                <w:color w:val="auto"/>
              </w:rPr>
            </w:pPr>
            <w:r>
              <w:rPr>
                <w:rFonts w:ascii="Arial" w:cs="Arial" w:eastAsia="Arial" w:hAnsi="Arial"/>
                <w:sz w:val="13"/>
                <w:szCs w:val="13"/>
                <w:b w:val="1"/>
                <w:bCs w:val="1"/>
                <w:color w:val="auto"/>
              </w:rPr>
              <w:t>COLUMN B COLUMN C</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COLUMN D</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COLUMN 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COLUMN G COLUMN H</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6"/>
        </w:trPr>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gridSpan w:val="11"/>
            <w:vMerge w:val="restart"/>
          </w:tcPr>
          <w:p>
            <w:pPr>
              <w:spacing w:after="0"/>
              <w:rPr>
                <w:sz w:val="20"/>
                <w:szCs w:val="20"/>
                <w:color w:val="auto"/>
              </w:rPr>
            </w:pPr>
            <w:r>
              <w:rPr>
                <w:rFonts w:ascii="Arial" w:cs="Arial" w:eastAsia="Arial" w:hAnsi="Arial"/>
                <w:sz w:val="13"/>
                <w:szCs w:val="13"/>
                <w:b w:val="1"/>
                <w:bCs w:val="1"/>
                <w:color w:val="auto"/>
                <w:w w:val="92"/>
              </w:rPr>
              <w:t>Gross amount at which carried at close of period</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Life on which</w:t>
            </w: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60"/>
              <w:spacing w:after="0" w:line="146" w:lineRule="exact"/>
              <w:rPr>
                <w:sz w:val="20"/>
                <w:szCs w:val="20"/>
                <w:color w:val="auto"/>
              </w:rPr>
            </w:pPr>
            <w:r>
              <w:rPr>
                <w:rFonts w:ascii="Arial" w:cs="Arial" w:eastAsia="Arial" w:hAnsi="Arial"/>
                <w:sz w:val="13"/>
                <w:szCs w:val="13"/>
                <w:b w:val="1"/>
                <w:bCs w:val="1"/>
                <w:color w:val="auto"/>
                <w:w w:val="89"/>
              </w:rPr>
              <w:t>Cost</w:t>
            </w:r>
          </w:p>
        </w:tc>
        <w:tc>
          <w:tcPr>
            <w:tcW w:w="28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Capitalized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6" w:lineRule="exact"/>
              <w:rPr>
                <w:sz w:val="20"/>
                <w:szCs w:val="20"/>
                <w:color w:val="auto"/>
              </w:rPr>
            </w:pPr>
            <w:r>
              <w:rPr>
                <w:rFonts w:ascii="Arial" w:cs="Arial" w:eastAsia="Arial" w:hAnsi="Arial"/>
                <w:sz w:val="13"/>
                <w:szCs w:val="13"/>
                <w:b w:val="1"/>
                <w:bCs w:val="1"/>
                <w:color w:val="auto"/>
              </w:rPr>
              <w:t>Building and</w:t>
            </w:r>
          </w:p>
        </w:tc>
        <w:tc>
          <w:tcPr>
            <w:tcW w:w="900" w:type="dxa"/>
            <w:vAlign w:val="bottom"/>
            <w:gridSpan w:val="3"/>
          </w:tcPr>
          <w:p>
            <w:pPr>
              <w:jc w:val="center"/>
              <w:ind w:right="100"/>
              <w:spacing w:after="0" w:line="146" w:lineRule="exact"/>
              <w:rPr>
                <w:sz w:val="20"/>
                <w:szCs w:val="20"/>
                <w:color w:val="auto"/>
              </w:rPr>
            </w:pPr>
            <w:r>
              <w:rPr>
                <w:rFonts w:ascii="Arial" w:cs="Arial" w:eastAsia="Arial" w:hAnsi="Arial"/>
                <w:sz w:val="13"/>
                <w:szCs w:val="13"/>
                <w:b w:val="1"/>
                <w:bCs w:val="1"/>
                <w:color w:val="auto"/>
                <w:w w:val="88"/>
              </w:rPr>
              <w:t>Subsequent to</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3"/>
              </w:rPr>
              <w:t>Building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Depreciation and</w:t>
            </w:r>
          </w:p>
        </w:tc>
        <w:tc>
          <w:tcPr>
            <w:tcW w:w="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Date of</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72"/>
        </w:trPr>
        <w:tc>
          <w:tcPr>
            <w:tcW w:w="1340" w:type="dxa"/>
            <w:vAlign w:val="bottom"/>
          </w:tcPr>
          <w:p>
            <w:pPr>
              <w:ind w:left="320"/>
              <w:spacing w:after="0"/>
              <w:rPr>
                <w:sz w:val="20"/>
                <w:szCs w:val="20"/>
                <w:color w:val="auto"/>
              </w:rPr>
            </w:pPr>
            <w:r>
              <w:rPr>
                <w:rFonts w:ascii="Arial" w:cs="Arial" w:eastAsia="Arial" w:hAnsi="Arial"/>
                <w:sz w:val="13"/>
                <w:szCs w:val="13"/>
                <w:b w:val="1"/>
                <w:bCs w:val="1"/>
                <w:color w:val="auto"/>
              </w:rPr>
              <w:t>Descriptions</w:t>
            </w:r>
          </w:p>
        </w:tc>
        <w:tc>
          <w:tcPr>
            <w:tcW w:w="300" w:type="dxa"/>
            <w:vAlign w:val="bottom"/>
          </w:tcPr>
          <w:p>
            <w:pPr>
              <w:spacing w:after="0"/>
              <w:rPr>
                <w:sz w:val="14"/>
                <w:szCs w:val="14"/>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88"/>
              </w:rPr>
              <w:t>Encumbrance</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Land</w:t>
            </w:r>
          </w:p>
        </w:tc>
        <w:tc>
          <w:tcPr>
            <w:tcW w:w="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4"/>
              </w:rPr>
              <w:t>Improvements</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Acquisition</w:t>
            </w:r>
          </w:p>
        </w:tc>
        <w:tc>
          <w:tcPr>
            <w:tcW w:w="1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Land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Improvements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Amortization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Construction</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150 POST STREET</w:t>
            </w:r>
          </w:p>
        </w:tc>
        <w:tc>
          <w:tcPr>
            <w:tcW w:w="30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(San Francisco)</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 $</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11,685</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11,685</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24,537</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36,222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6,167</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1908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10/23/97</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4"/>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7770 RICHMOND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40" w:type="dxa"/>
            <w:vAlign w:val="bottom"/>
          </w:tcPr>
          <w:p>
            <w:pPr>
              <w:ind w:left="220"/>
              <w:spacing w:after="0" w:line="146" w:lineRule="exact"/>
              <w:rPr>
                <w:sz w:val="20"/>
                <w:szCs w:val="20"/>
                <w:color w:val="auto"/>
              </w:rPr>
            </w:pPr>
            <w:r>
              <w:rPr>
                <w:rFonts w:ascii="Arial" w:cs="Arial" w:eastAsia="Arial" w:hAnsi="Arial"/>
                <w:sz w:val="13"/>
                <w:szCs w:val="13"/>
                <w:color w:val="auto"/>
              </w:rPr>
              <w:t>HIGHWAY</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(Virginia)</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VA</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1,025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9,018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10,043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258</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1974</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01/27/06</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ALLWOOD (New</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3,048</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3,884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12/12/88</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ANDORRA</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(Pennsylvania)</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PA</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2,432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2,432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20,591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23,023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10,604</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1953</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01/12/88</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ASSEMBLY SQUARE</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(Massachusetts)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35,268</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34,196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42,586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35,268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76,782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112,050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2,979</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2005</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03/01/05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BALA CYNWYD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(Pennsylvania)</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PA</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3,565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14,466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3,566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22,715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26,281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8,699</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1955</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09/22/93</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BARRACKS ROAD</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42,615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4,363</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4,363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37,953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42,316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25,797</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12/31/85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BATH SHOPPING</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CENTER (Maine)</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ME</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9,999</w:t>
            </w: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2,264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17,489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2,264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17,489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19,753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176</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1978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08/24/06</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7" w:lineRule="exact"/>
              <w:rPr>
                <w:sz w:val="20"/>
                <w:szCs w:val="20"/>
                <w:color w:val="auto"/>
              </w:rPr>
            </w:pPr>
            <w:r>
              <w:rPr>
                <w:rFonts w:ascii="Arial" w:cs="Arial" w:eastAsia="Arial" w:hAnsi="Arial"/>
                <w:sz w:val="13"/>
                <w:szCs w:val="13"/>
                <w:color w:val="auto"/>
                <w:w w:val="90"/>
              </w:rPr>
              <w:t>12/31/93</w:t>
            </w: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12,576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17,448</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24,944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73,552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15,750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98,496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114,246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20,590</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1945-2000</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&amp; 1/20/06</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35 -50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BLUESTAR (New</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Jersey)</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NJ</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23,261</w:t>
            </w:r>
          </w:p>
        </w:tc>
        <w:tc>
          <w:tcPr>
            <w:tcW w:w="12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29,922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37,084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37,084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20,844</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1959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12/12/88</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BRICK PLAZA (New</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31,631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24,715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3,788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52,082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55,870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27,056</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12/28/89</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880" w:type="dxa"/>
            <w:vAlign w:val="bottom"/>
            <w:gridSpan w:val="3"/>
          </w:tcPr>
          <w:p>
            <w:pPr>
              <w:spacing w:after="0" w:line="146" w:lineRule="exact"/>
              <w:rPr>
                <w:sz w:val="20"/>
                <w:szCs w:val="20"/>
                <w:color w:val="auto"/>
              </w:rPr>
            </w:pPr>
            <w:r>
              <w:rPr>
                <w:rFonts w:ascii="Arial" w:cs="Arial" w:eastAsia="Arial" w:hAnsi="Arial"/>
                <w:sz w:val="13"/>
                <w:szCs w:val="13"/>
                <w:color w:val="auto"/>
              </w:rPr>
              <w:t>BRISTOL (Connecticut) CT</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3,856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15,959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4,401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3,856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20,360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24,216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7,049</w:t>
            </w:r>
          </w:p>
        </w:tc>
        <w:tc>
          <w:tcPr>
            <w:tcW w:w="4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6"/>
              </w:rPr>
              <w:t>1959</w:t>
            </w:r>
          </w:p>
        </w:tc>
        <w:tc>
          <w:tcPr>
            <w:tcW w:w="78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6"/>
              </w:rPr>
              <w:t>9/22/95</w:t>
            </w: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BRUNSWICK (New</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9,683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22,550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22,550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11,541</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1957</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12/12/88</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w w:val="98"/>
              </w:rPr>
              <w:t>CHELSEA COMMONS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(Massachusetts)</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MA</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8,384</w:t>
            </w: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3,779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14,254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3,779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14,255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18,034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134</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1962</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08/25/06</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7"/>
              </w:rPr>
              <w:t>CLIFTON (New Jersey)</w:t>
            </w:r>
          </w:p>
        </w:tc>
        <w:tc>
          <w:tcPr>
            <w:tcW w:w="5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NJ</w:t>
            </w:r>
          </w:p>
        </w:tc>
        <w:tc>
          <w:tcPr>
            <w:tcW w:w="5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2,834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3,646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5,019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5,019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2,999</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6"/>
              </w:rPr>
              <w:t>1959</w:t>
            </w:r>
          </w:p>
        </w:tc>
        <w:tc>
          <w:tcPr>
            <w:tcW w:w="78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12/12/88</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CONGRESSIONAL</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PLAZA (Maryland)</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2,793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7,424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59,541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66,965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67,985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30,448</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1965</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04/01/65</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COURTHOUSE</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1,750</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1,750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2,848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1975</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12/17/97</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CROSSROADS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40" w:type="dxa"/>
            <w:vAlign w:val="bottom"/>
          </w:tcPr>
          <w:p>
            <w:pPr>
              <w:ind w:left="220"/>
              <w:spacing w:after="0"/>
              <w:rPr>
                <w:sz w:val="20"/>
                <w:szCs w:val="20"/>
                <w:color w:val="auto"/>
              </w:rPr>
            </w:pPr>
            <w:r>
              <w:rPr>
                <w:rFonts w:ascii="Arial" w:cs="Arial" w:eastAsia="Arial" w:hAnsi="Arial"/>
                <w:sz w:val="13"/>
                <w:szCs w:val="13"/>
                <w:color w:val="auto"/>
              </w:rPr>
              <w:t>(Illinois)</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IL</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4,635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11,611</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4,635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18,176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22,811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8,149</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1959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07/19/93</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CROW CANYON</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COMMONS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4"/>
              </w:rPr>
              <w:t>Late</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(California)</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21,945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50,585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51,305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51,305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1970's</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12/29/05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520"/>
          </w:cols>
          <w:pgMar w:left="240" w:top="453" w:right="1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FEDERAL REALTY INVESTMENT TRUST</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SCHEDULE III</w:t>
      </w:r>
    </w:p>
    <w:p>
      <w:pPr>
        <w:jc w:val="center"/>
        <w:ind w:right="20"/>
        <w:spacing w:after="0" w:line="236" w:lineRule="auto"/>
        <w:rPr>
          <w:sz w:val="20"/>
          <w:szCs w:val="20"/>
          <w:color w:val="auto"/>
        </w:rPr>
      </w:pPr>
      <w:r>
        <w:rPr>
          <w:rFonts w:ascii="Arial" w:cs="Arial" w:eastAsia="Arial" w:hAnsi="Arial"/>
          <w:sz w:val="21"/>
          <w:szCs w:val="21"/>
          <w:b w:val="1"/>
          <w:bCs w:val="1"/>
          <w:color w:val="auto"/>
        </w:rPr>
        <w:t>SUMMARY OF REAL ESTATE AND ACCUMULATED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DEPRECIATION—CONTINUED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2006</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60" w:type="dxa"/>
            <w:vAlign w:val="bottom"/>
          </w:tcPr>
          <w:p>
            <w:pPr>
              <w:spacing w:after="0"/>
              <w:rPr>
                <w:sz w:val="20"/>
                <w:szCs w:val="20"/>
                <w:color w:val="auto"/>
              </w:rPr>
            </w:pPr>
            <w:r>
              <w:rPr>
                <w:rFonts w:ascii="Arial" w:cs="Arial" w:eastAsia="Arial" w:hAnsi="Arial"/>
                <w:sz w:val="13"/>
                <w:szCs w:val="13"/>
                <w:b w:val="1"/>
                <w:bCs w:val="1"/>
                <w:color w:val="auto"/>
              </w:rPr>
              <w:t>COLUMN A</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tcPr>
          <w:p>
            <w:pPr>
              <w:ind w:left="40"/>
              <w:spacing w:after="0"/>
              <w:rPr>
                <w:sz w:val="20"/>
                <w:szCs w:val="20"/>
                <w:color w:val="auto"/>
              </w:rPr>
            </w:pPr>
            <w:r>
              <w:rPr>
                <w:rFonts w:ascii="Arial" w:cs="Arial" w:eastAsia="Arial" w:hAnsi="Arial"/>
                <w:sz w:val="13"/>
                <w:szCs w:val="13"/>
                <w:b w:val="1"/>
                <w:bCs w:val="1"/>
                <w:color w:val="auto"/>
              </w:rPr>
              <w:t>COLUMN B COLUMN C</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COLUMN D</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COLUMN E</w:t>
            </w: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COLUMN F</w:t>
            </w:r>
          </w:p>
        </w:tc>
        <w:tc>
          <w:tcPr>
            <w:tcW w:w="4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COLUMN G COLUMN H</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6"/>
        </w:trPr>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vMerge w:val="restart"/>
          </w:tcPr>
          <w:p>
            <w:pPr>
              <w:jc w:val="right"/>
              <w:ind w:right="20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gridSpan w:val="6"/>
            <w:vMerge w:val="restart"/>
          </w:tcPr>
          <w:p>
            <w:pPr>
              <w:jc w:val="right"/>
              <w:ind w:right="40"/>
              <w:spacing w:after="0"/>
              <w:rPr>
                <w:sz w:val="20"/>
                <w:szCs w:val="20"/>
                <w:color w:val="auto"/>
              </w:rPr>
            </w:pPr>
            <w:r>
              <w:rPr>
                <w:rFonts w:ascii="Arial" w:cs="Arial" w:eastAsia="Arial" w:hAnsi="Arial"/>
                <w:sz w:val="13"/>
                <w:szCs w:val="13"/>
                <w:b w:val="1"/>
                <w:bCs w:val="1"/>
                <w:color w:val="auto"/>
                <w:w w:val="90"/>
              </w:rPr>
              <w:t>Gross amount at which carried at close of period</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Life on which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900" w:type="dxa"/>
            <w:vAlign w:val="bottom"/>
            <w:gridSpan w:val="2"/>
            <w:vMerge w:val="restart"/>
          </w:tcPr>
          <w:p>
            <w:pPr>
              <w:jc w:val="center"/>
              <w:ind w:right="80"/>
              <w:spacing w:after="0" w:line="146" w:lineRule="exact"/>
              <w:rPr>
                <w:sz w:val="20"/>
                <w:szCs w:val="20"/>
                <w:color w:val="auto"/>
              </w:rPr>
            </w:pPr>
            <w:r>
              <w:rPr>
                <w:rFonts w:ascii="Arial" w:cs="Arial" w:eastAsia="Arial" w:hAnsi="Arial"/>
                <w:sz w:val="13"/>
                <w:szCs w:val="13"/>
                <w:b w:val="1"/>
                <w:bCs w:val="1"/>
                <w:color w:val="auto"/>
                <w:w w:val="89"/>
              </w:rPr>
              <w:t>Cost</w:t>
            </w:r>
          </w:p>
        </w:tc>
        <w:tc>
          <w:tcPr>
            <w:tcW w:w="2800" w:type="dxa"/>
            <w:vAlign w:val="bottom"/>
            <w:gridSpan w:val="6"/>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restart"/>
          </w:tcPr>
          <w:p>
            <w:pPr>
              <w:jc w:val="center"/>
              <w:ind w:right="20"/>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6"/>
              </w:rPr>
              <w:t>Capitalized</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80"/>
              <w:spacing w:after="0" w:line="146" w:lineRule="exact"/>
              <w:rPr>
                <w:sz w:val="20"/>
                <w:szCs w:val="20"/>
                <w:color w:val="auto"/>
              </w:rPr>
            </w:pPr>
            <w:r>
              <w:rPr>
                <w:rFonts w:ascii="Arial" w:cs="Arial" w:eastAsia="Arial" w:hAnsi="Arial"/>
                <w:sz w:val="13"/>
                <w:szCs w:val="13"/>
                <w:b w:val="1"/>
                <w:bCs w:val="1"/>
                <w:color w:val="auto"/>
                <w:w w:val="96"/>
              </w:rPr>
              <w:t>Building and</w:t>
            </w:r>
          </w:p>
        </w:tc>
        <w:tc>
          <w:tcPr>
            <w:tcW w:w="90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88"/>
              </w:rPr>
              <w:t>Subsequent to</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rPr>
              <w:t>Building and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and</w:t>
            </w:r>
          </w:p>
        </w:tc>
        <w:tc>
          <w:tcPr>
            <w:tcW w:w="40" w:type="dxa"/>
            <w:vAlign w:val="bottom"/>
          </w:tcPr>
          <w:p>
            <w:pPr>
              <w:spacing w:after="0"/>
              <w:rPr>
                <w:sz w:val="12"/>
                <w:szCs w:val="12"/>
                <w:color w:val="auto"/>
              </w:rPr>
            </w:pPr>
          </w:p>
        </w:tc>
        <w:tc>
          <w:tcPr>
            <w:tcW w:w="76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Date of</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40" w:type="dxa"/>
            <w:vAlign w:val="bottom"/>
          </w:tcPr>
          <w:p>
            <w:pPr>
              <w:spacing w:after="0"/>
              <w:rPr>
                <w:sz w:val="12"/>
                <w:szCs w:val="12"/>
                <w:color w:val="auto"/>
              </w:rPr>
            </w:pPr>
          </w:p>
        </w:tc>
        <w:tc>
          <w:tcPr>
            <w:tcW w:w="8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65"/>
        </w:trPr>
        <w:tc>
          <w:tcPr>
            <w:tcW w:w="1260" w:type="dxa"/>
            <w:vAlign w:val="bottom"/>
          </w:tcPr>
          <w:p>
            <w:pPr>
              <w:spacing w:after="0"/>
              <w:rPr>
                <w:sz w:val="20"/>
                <w:szCs w:val="20"/>
                <w:color w:val="auto"/>
              </w:rPr>
            </w:pPr>
            <w:r>
              <w:rPr>
                <w:rFonts w:ascii="Arial" w:cs="Arial" w:eastAsia="Arial" w:hAnsi="Arial"/>
                <w:sz w:val="13"/>
                <w:szCs w:val="13"/>
                <w:b w:val="1"/>
                <w:bCs w:val="1"/>
                <w:color w:val="auto"/>
              </w:rPr>
              <w:t>Descriptions</w:t>
            </w:r>
          </w:p>
        </w:tc>
        <w:tc>
          <w:tcPr>
            <w:tcW w:w="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Encumbrance</w:t>
            </w:r>
          </w:p>
        </w:tc>
        <w:tc>
          <w:tcPr>
            <w:tcW w:w="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Land</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9"/>
              </w:rPr>
              <w:t>Improvements</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Acquisition</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Land</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Improvements</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w w:val="88"/>
              </w:rPr>
              <w:t>Construction</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r>
        <w:trPr>
          <w:trHeight w:val="137"/>
        </w:trPr>
        <w:tc>
          <w:tcPr>
            <w:tcW w:w="126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3"/>
                <w:szCs w:val="13"/>
                <w:color w:val="auto"/>
              </w:rPr>
              <w:t>DEDHAM PLAZA</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(Massachusetts)</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12,287</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4,579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12,287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17,497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29,784</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7,617</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12/31/93</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EASTGATE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(North Carolina)</w:t>
            </w:r>
          </w:p>
        </w:tc>
        <w:tc>
          <w:tcPr>
            <w:tcW w:w="280" w:type="dxa"/>
            <w:vAlign w:val="bottom"/>
          </w:tcPr>
          <w:p>
            <w:pPr>
              <w:ind w:left="40"/>
              <w:spacing w:after="0"/>
              <w:rPr>
                <w:sz w:val="20"/>
                <w:szCs w:val="20"/>
                <w:color w:val="auto"/>
              </w:rPr>
            </w:pPr>
            <w:r>
              <w:rPr>
                <w:rFonts w:ascii="Arial" w:cs="Arial" w:eastAsia="Arial" w:hAnsi="Arial"/>
                <w:sz w:val="13"/>
                <w:szCs w:val="13"/>
                <w:color w:val="auto"/>
              </w:rPr>
              <w:t>NC</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1,608</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5,775</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9,953</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1,608</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15,728</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17,336</w:t>
            </w:r>
          </w:p>
        </w:tc>
        <w:tc>
          <w:tcPr>
            <w:tcW w:w="1240" w:type="dxa"/>
            <w:vAlign w:val="bottom"/>
          </w:tcPr>
          <w:p>
            <w:pPr>
              <w:jc w:val="right"/>
              <w:spacing w:after="0"/>
              <w:rPr>
                <w:sz w:val="20"/>
                <w:szCs w:val="20"/>
                <w:color w:val="auto"/>
              </w:rPr>
            </w:pPr>
            <w:r>
              <w:rPr>
                <w:rFonts w:ascii="Arial" w:cs="Arial" w:eastAsia="Arial" w:hAnsi="Arial"/>
                <w:sz w:val="13"/>
                <w:szCs w:val="13"/>
                <w:color w:val="auto"/>
              </w:rPr>
              <w:t>9,114</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12/18/86</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w w:val="99"/>
              </w:rPr>
              <w:t>ELLISBURG CIRCLE</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(New Jersey)</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4,028</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11,309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4,013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22,886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26,899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11,491</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10/16/92</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ESCONDIDO</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60" w:type="dxa"/>
            <w:vAlign w:val="bottom"/>
          </w:tcPr>
          <w:p>
            <w:pPr>
              <w:ind w:left="220"/>
              <w:spacing w:after="0" w:line="146" w:lineRule="exact"/>
              <w:rPr>
                <w:sz w:val="20"/>
                <w:szCs w:val="20"/>
                <w:color w:val="auto"/>
              </w:rPr>
            </w:pPr>
            <w:r>
              <w:rPr>
                <w:rFonts w:ascii="Arial" w:cs="Arial" w:eastAsia="Arial" w:hAnsi="Arial"/>
                <w:sz w:val="13"/>
                <w:szCs w:val="13"/>
                <w:color w:val="auto"/>
              </w:rPr>
              <w:t>PROMENADE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(California)</w:t>
            </w:r>
          </w:p>
        </w:tc>
        <w:tc>
          <w:tcPr>
            <w:tcW w:w="280" w:type="dxa"/>
            <w:vAlign w:val="bottom"/>
          </w:tcPr>
          <w:p>
            <w:pPr>
              <w:ind w:left="40"/>
              <w:spacing w:after="0"/>
              <w:rPr>
                <w:sz w:val="20"/>
                <w:szCs w:val="20"/>
                <w:color w:val="auto"/>
              </w:rPr>
            </w:pPr>
            <w:r>
              <w:rPr>
                <w:rFonts w:ascii="Arial" w:cs="Arial" w:eastAsia="Arial" w:hAnsi="Arial"/>
                <w:sz w:val="13"/>
                <w:szCs w:val="13"/>
                <w:color w:val="auto"/>
              </w:rPr>
              <w:t>CA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11,505</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12,147</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2,828</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11,505</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14,975</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26,480</w:t>
            </w:r>
          </w:p>
        </w:tc>
        <w:tc>
          <w:tcPr>
            <w:tcW w:w="1240" w:type="dxa"/>
            <w:vAlign w:val="bottom"/>
          </w:tcPr>
          <w:p>
            <w:pPr>
              <w:jc w:val="right"/>
              <w:spacing w:after="0"/>
              <w:rPr>
                <w:sz w:val="20"/>
                <w:szCs w:val="20"/>
                <w:color w:val="auto"/>
              </w:rPr>
            </w:pPr>
            <w:r>
              <w:rPr>
                <w:rFonts w:ascii="Arial" w:cs="Arial" w:eastAsia="Arial" w:hAnsi="Arial"/>
                <w:sz w:val="13"/>
                <w:szCs w:val="13"/>
                <w:color w:val="auto"/>
              </w:rPr>
              <w:t>4,202</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1987</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12/31/96</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FALLS PLAZA</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 xml:space="preserve">22 </w:t>
            </w:r>
            <w:r>
              <w:rPr>
                <w:rFonts w:ascii="Arial" w:cs="Arial" w:eastAsia="Arial" w:hAnsi="Arial"/>
                <w:sz w:val="22"/>
                <w:szCs w:val="22"/>
                <w:color w:val="auto"/>
                <w:w w:val="88"/>
                <w:vertAlign w:val="superscript"/>
              </w:rPr>
              <w:t>3</w:t>
            </w:r>
            <w:r>
              <w:rPr>
                <w:rFonts w:ascii="Arial" w:cs="Arial" w:eastAsia="Arial" w:hAnsi="Arial"/>
                <w:sz w:val="13"/>
                <w:szCs w:val="13"/>
                <w:color w:val="auto"/>
                <w:w w:val="88"/>
              </w:rPr>
              <w:t>/4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6,907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8,167</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2,690</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1962</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09/30/67</w:t>
            </w:r>
          </w:p>
        </w:tc>
        <w:tc>
          <w:tcPr>
            <w:tcW w:w="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FALLS PLAZA East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(Virginia)</w:t>
            </w:r>
          </w:p>
        </w:tc>
        <w:tc>
          <w:tcPr>
            <w:tcW w:w="280" w:type="dxa"/>
            <w:vAlign w:val="bottom"/>
          </w:tcPr>
          <w:p>
            <w:pPr>
              <w:ind w:left="40"/>
              <w:spacing w:after="0"/>
              <w:rPr>
                <w:sz w:val="20"/>
                <w:szCs w:val="20"/>
                <w:color w:val="auto"/>
              </w:rPr>
            </w:pPr>
            <w:r>
              <w:rPr>
                <w:rFonts w:ascii="Arial" w:cs="Arial" w:eastAsia="Arial" w:hAnsi="Arial"/>
                <w:sz w:val="13"/>
                <w:szCs w:val="13"/>
                <w:color w:val="auto"/>
              </w:rPr>
              <w:t>VA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538</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535</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2,266</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559</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2,780</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3,339</w:t>
            </w:r>
          </w:p>
        </w:tc>
        <w:tc>
          <w:tcPr>
            <w:tcW w:w="1240" w:type="dxa"/>
            <w:vAlign w:val="bottom"/>
          </w:tcPr>
          <w:p>
            <w:pPr>
              <w:jc w:val="right"/>
              <w:spacing w:after="0"/>
              <w:rPr>
                <w:sz w:val="20"/>
                <w:szCs w:val="20"/>
                <w:color w:val="auto"/>
              </w:rPr>
            </w:pPr>
            <w:r>
              <w:rPr>
                <w:rFonts w:ascii="Arial" w:cs="Arial" w:eastAsia="Arial" w:hAnsi="Arial"/>
                <w:sz w:val="13"/>
                <w:szCs w:val="13"/>
                <w:color w:val="auto"/>
              </w:rPr>
              <w:t>3,033</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1960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10/05/72</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25 years</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FEASTERVILLE</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1,431</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8,643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1,402</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10,243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11,645</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6,511</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07/23/80</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FEDERAL PLAZA</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(Maryland)</w:t>
            </w:r>
          </w:p>
        </w:tc>
        <w:tc>
          <w:tcPr>
            <w:tcW w:w="280" w:type="dxa"/>
            <w:vAlign w:val="bottom"/>
          </w:tcPr>
          <w:p>
            <w:pPr>
              <w:ind w:left="40"/>
              <w:spacing w:after="0"/>
              <w:rPr>
                <w:sz w:val="20"/>
                <w:szCs w:val="20"/>
                <w:color w:val="auto"/>
              </w:rPr>
            </w:pPr>
            <w:r>
              <w:rPr>
                <w:rFonts w:ascii="Arial" w:cs="Arial" w:eastAsia="Arial" w:hAnsi="Arial"/>
                <w:sz w:val="13"/>
                <w:szCs w:val="13"/>
                <w:color w:val="auto"/>
              </w:rPr>
              <w:t>MD</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34,192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10,216</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17,895</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34,211</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10,216</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52,106</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62,322</w:t>
            </w:r>
          </w:p>
        </w:tc>
        <w:tc>
          <w:tcPr>
            <w:tcW w:w="1240" w:type="dxa"/>
            <w:vAlign w:val="bottom"/>
          </w:tcPr>
          <w:p>
            <w:pPr>
              <w:jc w:val="right"/>
              <w:spacing w:after="0"/>
              <w:rPr>
                <w:sz w:val="20"/>
                <w:szCs w:val="20"/>
                <w:color w:val="auto"/>
              </w:rPr>
            </w:pPr>
            <w:r>
              <w:rPr>
                <w:rFonts w:ascii="Arial" w:cs="Arial" w:eastAsia="Arial" w:hAnsi="Arial"/>
                <w:sz w:val="13"/>
                <w:szCs w:val="13"/>
                <w:color w:val="auto"/>
              </w:rPr>
              <w:t>24,795</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1970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06/29/89</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FIFTH AVENUE (4)</w:t>
            </w:r>
          </w:p>
        </w:tc>
        <w:tc>
          <w:tcPr>
            <w:tcW w:w="2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w w:val="99"/>
              </w:rPr>
              <w:t>CA</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3,844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1,352</w:t>
            </w:r>
          </w:p>
        </w:tc>
        <w:tc>
          <w:tcPr>
            <w:tcW w:w="9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7,502</w:t>
            </w:r>
          </w:p>
        </w:tc>
        <w:tc>
          <w:tcPr>
            <w:tcW w:w="8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3,844</w:t>
            </w:r>
          </w:p>
        </w:tc>
        <w:tc>
          <w:tcPr>
            <w:tcW w:w="12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8,854</w:t>
            </w:r>
          </w:p>
        </w:tc>
        <w:tc>
          <w:tcPr>
            <w:tcW w:w="6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12,698</w:t>
            </w:r>
          </w:p>
        </w:tc>
        <w:tc>
          <w:tcPr>
            <w:tcW w:w="1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2,382</w:t>
            </w:r>
          </w:p>
        </w:tc>
        <w:tc>
          <w:tcPr>
            <w:tcW w:w="80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1888-1995</w:t>
            </w:r>
          </w:p>
        </w:tc>
        <w:tc>
          <w:tcPr>
            <w:tcW w:w="78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3"/>
              </w:rPr>
              <w:t>1996-1997</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ind w:left="400"/>
              <w:spacing w:after="0" w:line="146" w:lineRule="exact"/>
              <w:rPr>
                <w:sz w:val="20"/>
                <w:szCs w:val="20"/>
                <w:color w:val="auto"/>
              </w:rPr>
            </w:pPr>
            <w:r>
              <w:rPr>
                <w:rFonts w:ascii="Arial" w:cs="Arial" w:eastAsia="Arial" w:hAnsi="Arial"/>
                <w:sz w:val="13"/>
                <w:szCs w:val="13"/>
                <w:color w:val="auto"/>
                <w:w w:val="84"/>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FINLEY SQUARE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(Illinois)</w:t>
            </w:r>
          </w:p>
        </w:tc>
        <w:tc>
          <w:tcPr>
            <w:tcW w:w="280" w:type="dxa"/>
            <w:vAlign w:val="bottom"/>
          </w:tcPr>
          <w:p>
            <w:pPr>
              <w:ind w:left="40"/>
              <w:spacing w:after="0"/>
              <w:rPr>
                <w:sz w:val="20"/>
                <w:szCs w:val="20"/>
                <w:color w:val="auto"/>
              </w:rPr>
            </w:pPr>
            <w:r>
              <w:rPr>
                <w:rFonts w:ascii="Arial" w:cs="Arial" w:eastAsia="Arial" w:hAnsi="Arial"/>
                <w:sz w:val="13"/>
                <w:szCs w:val="13"/>
                <w:color w:val="auto"/>
              </w:rPr>
              <w:t>IL</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9,252</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9,544</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10,281</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9,252</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19,825</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29,077</w:t>
            </w:r>
          </w:p>
        </w:tc>
        <w:tc>
          <w:tcPr>
            <w:tcW w:w="1240" w:type="dxa"/>
            <w:vAlign w:val="bottom"/>
          </w:tcPr>
          <w:p>
            <w:pPr>
              <w:jc w:val="right"/>
              <w:spacing w:after="0"/>
              <w:rPr>
                <w:sz w:val="20"/>
                <w:szCs w:val="20"/>
                <w:color w:val="auto"/>
              </w:rPr>
            </w:pPr>
            <w:r>
              <w:rPr>
                <w:rFonts w:ascii="Arial" w:cs="Arial" w:eastAsia="Arial" w:hAnsi="Arial"/>
                <w:sz w:val="13"/>
                <w:szCs w:val="13"/>
                <w:color w:val="auto"/>
              </w:rPr>
              <w:t>8,688</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1974</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04/27/95</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FLOURTOWN</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4,374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9,662</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5,999</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1957</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04/25/80</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line="146" w:lineRule="exact"/>
              <w:rPr>
                <w:sz w:val="20"/>
                <w:szCs w:val="20"/>
                <w:color w:val="auto"/>
              </w:rPr>
            </w:pPr>
            <w:r>
              <w:rPr>
                <w:rFonts w:ascii="Arial" w:cs="Arial" w:eastAsia="Arial" w:hAnsi="Arial"/>
                <w:sz w:val="13"/>
                <w:szCs w:val="13"/>
                <w:color w:val="auto"/>
              </w:rPr>
              <w:t>FOREST HILLS (3)</w:t>
            </w:r>
          </w:p>
        </w:tc>
        <w:tc>
          <w:tcPr>
            <w:tcW w:w="280" w:type="dxa"/>
            <w:vAlign w:val="bottom"/>
          </w:tcPr>
          <w:p>
            <w:pPr>
              <w:ind w:left="40"/>
              <w:spacing w:after="0" w:line="146" w:lineRule="exact"/>
              <w:rPr>
                <w:sz w:val="20"/>
                <w:szCs w:val="20"/>
                <w:color w:val="auto"/>
              </w:rPr>
            </w:pPr>
            <w:r>
              <w:rPr>
                <w:rFonts w:ascii="Arial" w:cs="Arial" w:eastAsia="Arial" w:hAnsi="Arial"/>
                <w:sz w:val="13"/>
                <w:szCs w:val="13"/>
                <w:color w:val="auto"/>
              </w:rPr>
              <w:t>NY</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5,891</w:t>
            </w:r>
          </w:p>
        </w:tc>
        <w:tc>
          <w:tcPr>
            <w:tcW w:w="40" w:type="dxa"/>
            <w:vAlign w:val="bottom"/>
          </w:tcPr>
          <w:p>
            <w:pPr>
              <w:spacing w:after="0"/>
              <w:rPr>
                <w:sz w:val="12"/>
                <w:szCs w:val="12"/>
                <w:color w:val="auto"/>
              </w:rPr>
            </w:pPr>
          </w:p>
        </w:tc>
        <w:tc>
          <w:tcPr>
            <w:tcW w:w="8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6,051</w:t>
            </w:r>
          </w:p>
        </w:tc>
        <w:tc>
          <w:tcPr>
            <w:tcW w:w="9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12,113</w:t>
            </w:r>
          </w:p>
        </w:tc>
        <w:tc>
          <w:tcPr>
            <w:tcW w:w="8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6,197</w:t>
            </w:r>
          </w:p>
        </w:tc>
        <w:tc>
          <w:tcPr>
            <w:tcW w:w="12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17,858</w:t>
            </w:r>
          </w:p>
        </w:tc>
        <w:tc>
          <w:tcPr>
            <w:tcW w:w="6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24,055</w:t>
            </w:r>
          </w:p>
        </w:tc>
        <w:tc>
          <w:tcPr>
            <w:tcW w:w="1240" w:type="dxa"/>
            <w:vAlign w:val="bottom"/>
          </w:tcPr>
          <w:p>
            <w:pPr>
              <w:jc w:val="right"/>
              <w:spacing w:after="0" w:line="146" w:lineRule="exact"/>
              <w:rPr>
                <w:sz w:val="20"/>
                <w:szCs w:val="20"/>
                <w:color w:val="auto"/>
              </w:rPr>
            </w:pPr>
            <w:r>
              <w:rPr>
                <w:rFonts w:ascii="Arial" w:cs="Arial" w:eastAsia="Arial" w:hAnsi="Arial"/>
                <w:sz w:val="13"/>
                <w:szCs w:val="13"/>
                <w:color w:val="auto"/>
              </w:rPr>
              <w:t>4,509</w:t>
            </w:r>
          </w:p>
        </w:tc>
        <w:tc>
          <w:tcPr>
            <w:tcW w:w="80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0"/>
              </w:rPr>
              <w:t>1937-1987</w:t>
            </w:r>
          </w:p>
        </w:tc>
        <w:tc>
          <w:tcPr>
            <w:tcW w:w="78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0"/>
              </w:rPr>
              <w:t>12/16/97</w:t>
            </w: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FRESH MEADOWS</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(New York)</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NY</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24,625</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25,255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24,627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42,765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67,392</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13,389</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1946-1949</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12/05/97</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FRIENDSHIP CTR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60" w:type="dxa"/>
            <w:vAlign w:val="bottom"/>
          </w:tcPr>
          <w:p>
            <w:pPr>
              <w:ind w:left="220"/>
              <w:spacing w:after="0" w:line="146" w:lineRule="exact"/>
              <w:rPr>
                <w:sz w:val="20"/>
                <w:szCs w:val="20"/>
                <w:color w:val="auto"/>
              </w:rPr>
            </w:pPr>
            <w:r>
              <w:rPr>
                <w:rFonts w:ascii="Arial" w:cs="Arial" w:eastAsia="Arial" w:hAnsi="Arial"/>
                <w:sz w:val="13"/>
                <w:szCs w:val="13"/>
                <w:color w:val="auto"/>
              </w:rPr>
              <w:t>(District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Columbia)</w:t>
            </w:r>
          </w:p>
        </w:tc>
        <w:tc>
          <w:tcPr>
            <w:tcW w:w="280" w:type="dxa"/>
            <w:vAlign w:val="bottom"/>
          </w:tcPr>
          <w:p>
            <w:pPr>
              <w:ind w:left="40"/>
              <w:spacing w:after="0"/>
              <w:rPr>
                <w:sz w:val="20"/>
                <w:szCs w:val="20"/>
                <w:color w:val="auto"/>
              </w:rPr>
            </w:pPr>
            <w:r>
              <w:rPr>
                <w:rFonts w:ascii="Arial" w:cs="Arial" w:eastAsia="Arial" w:hAnsi="Arial"/>
                <w:sz w:val="13"/>
                <w:szCs w:val="13"/>
                <w:color w:val="auto"/>
              </w:rPr>
              <w:t>DC</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12,696</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20,803</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(190)</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12,696</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20,613</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33,309</w:t>
            </w:r>
          </w:p>
        </w:tc>
        <w:tc>
          <w:tcPr>
            <w:tcW w:w="1240" w:type="dxa"/>
            <w:vAlign w:val="bottom"/>
          </w:tcPr>
          <w:p>
            <w:pPr>
              <w:jc w:val="right"/>
              <w:spacing w:after="0"/>
              <w:rPr>
                <w:sz w:val="20"/>
                <w:szCs w:val="20"/>
                <w:color w:val="auto"/>
              </w:rPr>
            </w:pPr>
            <w:r>
              <w:rPr>
                <w:rFonts w:ascii="Arial" w:cs="Arial" w:eastAsia="Arial" w:hAnsi="Arial"/>
                <w:sz w:val="13"/>
                <w:szCs w:val="13"/>
                <w:color w:val="auto"/>
              </w:rPr>
              <w:t>3,158</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1998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09/21/01</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GAITHERSBURG</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SQUARE</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7,701</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5,271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12,573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5,973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17,844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23,817</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9,923</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1966</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04/22/93</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line="137" w:lineRule="exact"/>
              <w:rPr>
                <w:sz w:val="20"/>
                <w:szCs w:val="20"/>
                <w:color w:val="auto"/>
              </w:rPr>
            </w:pPr>
            <w:r>
              <w:rPr>
                <w:rFonts w:ascii="Arial" w:cs="Arial" w:eastAsia="Arial" w:hAnsi="Arial"/>
                <w:sz w:val="13"/>
                <w:szCs w:val="13"/>
                <w:color w:val="auto"/>
              </w:rPr>
              <w:t>GARDEN MARKET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tcPr>
          <w:p>
            <w:pPr>
              <w:ind w:left="220"/>
              <w:spacing w:after="0"/>
              <w:rPr>
                <w:sz w:val="20"/>
                <w:szCs w:val="20"/>
                <w:color w:val="auto"/>
              </w:rPr>
            </w:pPr>
            <w:r>
              <w:rPr>
                <w:rFonts w:ascii="Arial" w:cs="Arial" w:eastAsia="Arial" w:hAnsi="Arial"/>
                <w:sz w:val="13"/>
                <w:szCs w:val="13"/>
                <w:color w:val="auto"/>
              </w:rPr>
              <w:t>(Illinois)</w:t>
            </w:r>
          </w:p>
        </w:tc>
        <w:tc>
          <w:tcPr>
            <w:tcW w:w="280" w:type="dxa"/>
            <w:vAlign w:val="bottom"/>
          </w:tcPr>
          <w:p>
            <w:pPr>
              <w:ind w:left="40"/>
              <w:spacing w:after="0"/>
              <w:rPr>
                <w:sz w:val="20"/>
                <w:szCs w:val="20"/>
                <w:color w:val="auto"/>
              </w:rPr>
            </w:pPr>
            <w:r>
              <w:rPr>
                <w:rFonts w:ascii="Arial" w:cs="Arial" w:eastAsia="Arial" w:hAnsi="Arial"/>
                <w:sz w:val="13"/>
                <w:szCs w:val="13"/>
                <w:color w:val="auto"/>
              </w:rPr>
              <w:t>IL</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2,677</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4,829</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3,769</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2,677</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8,598</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11,275</w:t>
            </w:r>
          </w:p>
        </w:tc>
        <w:tc>
          <w:tcPr>
            <w:tcW w:w="1240" w:type="dxa"/>
            <w:vAlign w:val="bottom"/>
          </w:tcPr>
          <w:p>
            <w:pPr>
              <w:jc w:val="right"/>
              <w:spacing w:after="0"/>
              <w:rPr>
                <w:sz w:val="20"/>
                <w:szCs w:val="20"/>
                <w:color w:val="auto"/>
              </w:rPr>
            </w:pPr>
            <w:r>
              <w:rPr>
                <w:rFonts w:ascii="Arial" w:cs="Arial" w:eastAsia="Arial" w:hAnsi="Arial"/>
                <w:sz w:val="13"/>
                <w:szCs w:val="13"/>
                <w:color w:val="auto"/>
              </w:rPr>
              <w:t>3,285</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0"/>
              </w:rPr>
              <w:t>07/28/94</w:t>
            </w:r>
          </w:p>
        </w:tc>
        <w:tc>
          <w:tcPr>
            <w:tcW w:w="4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GOVERNOR PLAZA</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2,068</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14,373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19,278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21,346</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10,647</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10/01/85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40"/>
          </w:cols>
          <w:pgMar w:left="240" w:top="453" w:right="2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III</w:t>
      </w:r>
    </w:p>
    <w:p>
      <w:pPr>
        <w:jc w:val="center"/>
        <w:spacing w:after="0" w:line="236" w:lineRule="auto"/>
        <w:rPr>
          <w:sz w:val="20"/>
          <w:szCs w:val="20"/>
          <w:color w:val="auto"/>
        </w:rPr>
      </w:pPr>
      <w:r>
        <w:rPr>
          <w:rFonts w:ascii="Arial" w:cs="Arial" w:eastAsia="Arial" w:hAnsi="Arial"/>
          <w:sz w:val="21"/>
          <w:szCs w:val="21"/>
          <w:b w:val="1"/>
          <w:bCs w:val="1"/>
          <w:color w:val="auto"/>
        </w:rPr>
        <w:t>SUMMARY OF REAL ESTATE AND ACCUMULATED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DEPRECIATION—CONTINUED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20" w:type="dxa"/>
            <w:vAlign w:val="bottom"/>
          </w:tcPr>
          <w:p>
            <w:pPr>
              <w:spacing w:after="0"/>
              <w:rPr>
                <w:sz w:val="20"/>
                <w:szCs w:val="20"/>
                <w:color w:val="auto"/>
              </w:rPr>
            </w:pPr>
            <w:r>
              <w:rPr>
                <w:rFonts w:ascii="Arial" w:cs="Arial" w:eastAsia="Arial" w:hAnsi="Arial"/>
                <w:sz w:val="13"/>
                <w:szCs w:val="13"/>
                <w:b w:val="1"/>
                <w:bCs w:val="1"/>
                <w:color w:val="auto"/>
              </w:rPr>
              <w:t>COLUMN A</w:t>
            </w:r>
          </w:p>
        </w:tc>
        <w:tc>
          <w:tcPr>
            <w:tcW w:w="320" w:type="dxa"/>
            <w:vAlign w:val="bottom"/>
          </w:tcPr>
          <w:p>
            <w:pPr>
              <w:spacing w:after="0"/>
              <w:rPr>
                <w:sz w:val="13"/>
                <w:szCs w:val="13"/>
                <w:color w:val="auto"/>
              </w:rPr>
            </w:pPr>
          </w:p>
        </w:tc>
        <w:tc>
          <w:tcPr>
            <w:tcW w:w="1660" w:type="dxa"/>
            <w:vAlign w:val="bottom"/>
            <w:gridSpan w:val="4"/>
          </w:tcPr>
          <w:p>
            <w:pPr>
              <w:ind w:left="40"/>
              <w:spacing w:after="0"/>
              <w:rPr>
                <w:sz w:val="20"/>
                <w:szCs w:val="20"/>
                <w:color w:val="auto"/>
              </w:rPr>
            </w:pPr>
            <w:r>
              <w:rPr>
                <w:rFonts w:ascii="Arial" w:cs="Arial" w:eastAsia="Arial" w:hAnsi="Arial"/>
                <w:sz w:val="13"/>
                <w:szCs w:val="13"/>
                <w:b w:val="1"/>
                <w:bCs w:val="1"/>
                <w:color w:val="auto"/>
              </w:rPr>
              <w:t>COLUMN B  COLUMN C</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COLUMN D</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COLUMN E</w:t>
            </w: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COLUMN F</w:t>
            </w:r>
          </w:p>
        </w:tc>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COLUMN G COLUMN H</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6"/>
        </w:trPr>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Initial cost to company</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4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0"/>
              </w:rPr>
              <w:t>Gross amount at which carried at close of period</w:t>
            </w: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1"/>
              </w:rPr>
              <w:t>Life on which</w:t>
            </w:r>
          </w:p>
        </w:tc>
        <w:tc>
          <w:tcPr>
            <w:tcW w:w="0" w:type="dxa"/>
            <w:vAlign w:val="bottom"/>
          </w:tcPr>
          <w:p>
            <w:pPr>
              <w:spacing w:after="0"/>
              <w:rPr>
                <w:sz w:val="1"/>
                <w:szCs w:val="1"/>
                <w:color w:val="auto"/>
              </w:rPr>
            </w:pPr>
          </w:p>
        </w:tc>
      </w:tr>
      <w:tr>
        <w:trPr>
          <w:trHeight w:val="106"/>
        </w:trPr>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860" w:type="dxa"/>
            <w:vAlign w:val="bottom"/>
            <w:gridSpan w:val="2"/>
            <w:vMerge w:val="restart"/>
          </w:tcPr>
          <w:p>
            <w:pPr>
              <w:jc w:val="center"/>
              <w:ind w:right="40"/>
              <w:spacing w:after="0" w:line="146" w:lineRule="exact"/>
              <w:rPr>
                <w:sz w:val="20"/>
                <w:szCs w:val="20"/>
                <w:color w:val="auto"/>
              </w:rPr>
            </w:pPr>
            <w:r>
              <w:rPr>
                <w:rFonts w:ascii="Arial" w:cs="Arial" w:eastAsia="Arial" w:hAnsi="Arial"/>
                <w:sz w:val="13"/>
                <w:szCs w:val="13"/>
                <w:b w:val="1"/>
                <w:bCs w:val="1"/>
                <w:color w:val="auto"/>
                <w:w w:val="89"/>
              </w:rPr>
              <w:t>Cost</w:t>
            </w:r>
          </w:p>
        </w:tc>
        <w:tc>
          <w:tcPr>
            <w:tcW w:w="2840" w:type="dxa"/>
            <w:vAlign w:val="bottom"/>
            <w:gridSpan w:val="6"/>
            <w:vMerge w:val="continue"/>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3"/>
              </w:rPr>
              <w:t>Capitalized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3"/>
              </w:rPr>
              <w:t>Accumulated</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3"/>
              </w:rPr>
              <w:t>Building and</w:t>
            </w:r>
          </w:p>
        </w:tc>
        <w:tc>
          <w:tcPr>
            <w:tcW w:w="86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88"/>
              </w:rPr>
              <w:t>Subsequent to</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Building and</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0"/>
              </w:rPr>
              <w:t>Depreciation and</w:t>
            </w: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Date of</w:t>
            </w:r>
          </w:p>
        </w:tc>
        <w:tc>
          <w:tcPr>
            <w:tcW w:w="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20"/>
                <w:szCs w:val="20"/>
                <w:color w:val="auto"/>
              </w:rPr>
            </w:pPr>
            <w:r>
              <w:rPr>
                <w:rFonts w:ascii="Arial" w:cs="Arial" w:eastAsia="Arial" w:hAnsi="Arial"/>
                <w:sz w:val="13"/>
                <w:szCs w:val="13"/>
                <w:b w:val="1"/>
                <w:bCs w:val="1"/>
                <w:color w:val="auto"/>
              </w:rPr>
              <w:t>Descriptions</w:t>
            </w:r>
          </w:p>
        </w:tc>
        <w:tc>
          <w:tcPr>
            <w:tcW w:w="3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0"/>
              </w:rPr>
              <w:t>Encumbrance</w:t>
            </w: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Land</w:t>
            </w: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Improvements</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Acquisition</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Land</w:t>
            </w:r>
          </w:p>
        </w:tc>
        <w:tc>
          <w:tcPr>
            <w:tcW w:w="1240" w:type="dxa"/>
            <w:vAlign w:val="bottom"/>
          </w:tcPr>
          <w:p>
            <w:pPr>
              <w:jc w:val="right"/>
              <w:ind w:right="154"/>
              <w:spacing w:after="0"/>
              <w:rPr>
                <w:sz w:val="20"/>
                <w:szCs w:val="20"/>
                <w:color w:val="auto"/>
              </w:rPr>
            </w:pPr>
            <w:r>
              <w:rPr>
                <w:rFonts w:ascii="Arial" w:cs="Arial" w:eastAsia="Arial" w:hAnsi="Arial"/>
                <w:sz w:val="13"/>
                <w:szCs w:val="13"/>
                <w:b w:val="1"/>
                <w:bCs w:val="1"/>
                <w:color w:val="auto"/>
              </w:rPr>
              <w:t>Improvements</w:t>
            </w:r>
          </w:p>
        </w:tc>
        <w:tc>
          <w:tcPr>
            <w:tcW w:w="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Amortization</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Construction</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r>
        <w:trPr>
          <w:trHeight w:val="137"/>
        </w:trPr>
        <w:tc>
          <w:tcPr>
            <w:tcW w:w="112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3"/>
                <w:szCs w:val="13"/>
                <w:color w:val="auto"/>
              </w:rPr>
              <w:t>GRATIOT PLAZA</w:t>
            </w:r>
          </w:p>
        </w:tc>
        <w:tc>
          <w:tcPr>
            <w:tcW w:w="3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 xml:space="preserve">25 </w:t>
            </w:r>
            <w:r>
              <w:rPr>
                <w:rFonts w:ascii="Arial" w:cs="Arial" w:eastAsia="Arial" w:hAnsi="Arial"/>
                <w:sz w:val="22"/>
                <w:szCs w:val="22"/>
                <w:color w:val="auto"/>
                <w:w w:val="88"/>
                <w:vertAlign w:val="superscript"/>
              </w:rPr>
              <w:t>3</w:t>
            </w:r>
            <w:r>
              <w:rPr>
                <w:rFonts w:ascii="Arial" w:cs="Arial" w:eastAsia="Arial" w:hAnsi="Arial"/>
                <w:sz w:val="13"/>
                <w:szCs w:val="13"/>
                <w:color w:val="auto"/>
                <w:w w:val="88"/>
              </w:rPr>
              <w:t>/4 years</w:t>
            </w: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(Michigan)</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15,935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18,061</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8,303</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1964</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03/29/73</w:t>
            </w:r>
          </w:p>
        </w:tc>
        <w:tc>
          <w:tcPr>
            <w:tcW w:w="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GREENWICH</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jc w:val="center"/>
              <w:spacing w:after="0" w:line="137" w:lineRule="exact"/>
              <w:rPr>
                <w:sz w:val="20"/>
                <w:szCs w:val="20"/>
                <w:color w:val="auto"/>
              </w:rPr>
            </w:pPr>
            <w:r>
              <w:rPr>
                <w:rFonts w:ascii="Arial" w:cs="Arial" w:eastAsia="Arial" w:hAnsi="Arial"/>
                <w:sz w:val="13"/>
                <w:szCs w:val="13"/>
                <w:color w:val="auto"/>
                <w:w w:val="90"/>
              </w:rPr>
              <w:t>1994-</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AVENUE (2)</w:t>
            </w:r>
          </w:p>
        </w:tc>
        <w:tc>
          <w:tcPr>
            <w:tcW w:w="320" w:type="dxa"/>
            <w:vAlign w:val="bottom"/>
          </w:tcPr>
          <w:p>
            <w:pPr>
              <w:ind w:left="60"/>
              <w:spacing w:after="0"/>
              <w:rPr>
                <w:sz w:val="20"/>
                <w:szCs w:val="20"/>
                <w:color w:val="auto"/>
              </w:rPr>
            </w:pPr>
            <w:r>
              <w:rPr>
                <w:rFonts w:ascii="Arial" w:cs="Arial" w:eastAsia="Arial" w:hAnsi="Arial"/>
                <w:sz w:val="13"/>
                <w:szCs w:val="13"/>
                <w:color w:val="auto"/>
              </w:rPr>
              <w:t>CT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8,064</w:t>
            </w:r>
          </w:p>
        </w:tc>
        <w:tc>
          <w:tcPr>
            <w:tcW w:w="820" w:type="dxa"/>
            <w:vAlign w:val="bottom"/>
          </w:tcPr>
          <w:p>
            <w:pPr>
              <w:jc w:val="right"/>
              <w:spacing w:after="0"/>
              <w:rPr>
                <w:sz w:val="20"/>
                <w:szCs w:val="20"/>
                <w:color w:val="auto"/>
              </w:rPr>
            </w:pPr>
            <w:r>
              <w:rPr>
                <w:rFonts w:ascii="Arial" w:cs="Arial" w:eastAsia="Arial" w:hAnsi="Arial"/>
                <w:sz w:val="13"/>
                <w:szCs w:val="13"/>
                <w:color w:val="auto"/>
              </w:rPr>
              <w:t>6,866</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1,068</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8,064</w:t>
            </w:r>
          </w:p>
        </w:tc>
        <w:tc>
          <w:tcPr>
            <w:tcW w:w="1240" w:type="dxa"/>
            <w:vAlign w:val="bottom"/>
          </w:tcPr>
          <w:p>
            <w:pPr>
              <w:jc w:val="right"/>
              <w:spacing w:after="0"/>
              <w:rPr>
                <w:sz w:val="20"/>
                <w:szCs w:val="20"/>
                <w:color w:val="auto"/>
              </w:rPr>
            </w:pPr>
            <w:r>
              <w:rPr>
                <w:rFonts w:ascii="Arial" w:cs="Arial" w:eastAsia="Arial" w:hAnsi="Arial"/>
                <w:sz w:val="13"/>
                <w:szCs w:val="13"/>
                <w:color w:val="auto"/>
              </w:rPr>
              <w:t>7,934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15,998</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2,563</w:t>
            </w:r>
          </w:p>
        </w:tc>
        <w:tc>
          <w:tcPr>
            <w:tcW w:w="740" w:type="dxa"/>
            <w:vAlign w:val="bottom"/>
          </w:tcPr>
          <w:p>
            <w:pPr>
              <w:jc w:val="center"/>
              <w:spacing w:after="0"/>
              <w:rPr>
                <w:sz w:val="20"/>
                <w:szCs w:val="20"/>
                <w:color w:val="auto"/>
              </w:rPr>
            </w:pPr>
            <w:r>
              <w:rPr>
                <w:rFonts w:ascii="Arial" w:cs="Arial" w:eastAsia="Arial" w:hAnsi="Arial"/>
                <w:sz w:val="13"/>
                <w:szCs w:val="13"/>
                <w:color w:val="auto"/>
                <w:w w:val="93"/>
              </w:rPr>
              <w:t>1900-1991</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9"/>
              </w:rPr>
              <w:t>1996</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HAMILTON (New</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NJ</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4,201</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2,453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7,858</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5,001</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1961</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12/12/88</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HAUPPAUGE</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320" w:type="dxa"/>
            <w:vAlign w:val="bottom"/>
          </w:tcPr>
          <w:p>
            <w:pPr>
              <w:ind w:left="60"/>
              <w:spacing w:after="0"/>
              <w:rPr>
                <w:sz w:val="20"/>
                <w:szCs w:val="20"/>
                <w:color w:val="auto"/>
              </w:rPr>
            </w:pPr>
            <w:r>
              <w:rPr>
                <w:rFonts w:ascii="Arial" w:cs="Arial" w:eastAsia="Arial" w:hAnsi="Arial"/>
                <w:sz w:val="13"/>
                <w:szCs w:val="13"/>
                <w:color w:val="auto"/>
              </w:rPr>
              <w:t>NY</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16,064</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8,791</w:t>
            </w:r>
          </w:p>
        </w:tc>
        <w:tc>
          <w:tcPr>
            <w:tcW w:w="820" w:type="dxa"/>
            <w:vAlign w:val="bottom"/>
          </w:tcPr>
          <w:p>
            <w:pPr>
              <w:jc w:val="right"/>
              <w:spacing w:after="0"/>
              <w:rPr>
                <w:sz w:val="20"/>
                <w:szCs w:val="20"/>
                <w:color w:val="auto"/>
              </w:rPr>
            </w:pPr>
            <w:r>
              <w:rPr>
                <w:rFonts w:ascii="Arial" w:cs="Arial" w:eastAsia="Arial" w:hAnsi="Arial"/>
                <w:sz w:val="13"/>
                <w:szCs w:val="13"/>
                <w:color w:val="auto"/>
              </w:rPr>
              <w:t>15,262</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3,336</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8,791</w:t>
            </w:r>
          </w:p>
        </w:tc>
        <w:tc>
          <w:tcPr>
            <w:tcW w:w="1240" w:type="dxa"/>
            <w:vAlign w:val="bottom"/>
          </w:tcPr>
          <w:p>
            <w:pPr>
              <w:jc w:val="right"/>
              <w:spacing w:after="0"/>
              <w:rPr>
                <w:sz w:val="20"/>
                <w:szCs w:val="20"/>
                <w:color w:val="auto"/>
              </w:rPr>
            </w:pPr>
            <w:r>
              <w:rPr>
                <w:rFonts w:ascii="Arial" w:cs="Arial" w:eastAsia="Arial" w:hAnsi="Arial"/>
                <w:sz w:val="13"/>
                <w:szCs w:val="13"/>
                <w:color w:val="auto"/>
              </w:rPr>
              <w:t>18,598</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27,389</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4,476</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1963</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08/06/98</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HOUSTON</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STREET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1998-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(Texas) (9)</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TX</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14,680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45,816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14,778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62,472</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9,597</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var</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HUNTINGTON</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320" w:type="dxa"/>
            <w:vAlign w:val="bottom"/>
          </w:tcPr>
          <w:p>
            <w:pPr>
              <w:ind w:left="60"/>
              <w:spacing w:after="0"/>
              <w:rPr>
                <w:sz w:val="20"/>
                <w:szCs w:val="20"/>
                <w:color w:val="auto"/>
              </w:rPr>
            </w:pPr>
            <w:r>
              <w:rPr>
                <w:rFonts w:ascii="Arial" w:cs="Arial" w:eastAsia="Arial" w:hAnsi="Arial"/>
                <w:sz w:val="13"/>
                <w:szCs w:val="13"/>
                <w:color w:val="auto"/>
              </w:rPr>
              <w:t>NY</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12,434</w:t>
            </w: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16,008</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5,349</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21,357</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21,357</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13,279</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1962</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12/12/88</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IDYLWOOD</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PLAZA</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4,308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10,026</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4,308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15,006</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4,039</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1991</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04/15/94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KEY ROAD (New</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Hampshire)</w:t>
            </w:r>
          </w:p>
        </w:tc>
        <w:tc>
          <w:tcPr>
            <w:tcW w:w="320" w:type="dxa"/>
            <w:vAlign w:val="bottom"/>
          </w:tcPr>
          <w:p>
            <w:pPr>
              <w:ind w:left="60"/>
              <w:spacing w:after="0"/>
              <w:rPr>
                <w:sz w:val="20"/>
                <w:szCs w:val="20"/>
                <w:color w:val="auto"/>
              </w:rPr>
            </w:pPr>
            <w:r>
              <w:rPr>
                <w:rFonts w:ascii="Arial" w:cs="Arial" w:eastAsia="Arial" w:hAnsi="Arial"/>
                <w:sz w:val="13"/>
                <w:szCs w:val="13"/>
                <w:color w:val="auto"/>
              </w:rPr>
              <w:t>NH</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1,319</w:t>
            </w:r>
          </w:p>
        </w:tc>
        <w:tc>
          <w:tcPr>
            <w:tcW w:w="820" w:type="dxa"/>
            <w:vAlign w:val="bottom"/>
          </w:tcPr>
          <w:p>
            <w:pPr>
              <w:jc w:val="right"/>
              <w:spacing w:after="0"/>
              <w:rPr>
                <w:sz w:val="20"/>
                <w:szCs w:val="20"/>
                <w:color w:val="auto"/>
              </w:rPr>
            </w:pPr>
            <w:r>
              <w:rPr>
                <w:rFonts w:ascii="Arial" w:cs="Arial" w:eastAsia="Arial" w:hAnsi="Arial"/>
                <w:sz w:val="13"/>
                <w:szCs w:val="13"/>
                <w:color w:val="auto"/>
              </w:rPr>
              <w:t>13,331</w:t>
            </w:r>
          </w:p>
        </w:tc>
        <w:tc>
          <w:tcPr>
            <w:tcW w:w="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1,319</w:t>
            </w:r>
          </w:p>
        </w:tc>
        <w:tc>
          <w:tcPr>
            <w:tcW w:w="1240" w:type="dxa"/>
            <w:vAlign w:val="bottom"/>
          </w:tcPr>
          <w:p>
            <w:pPr>
              <w:jc w:val="right"/>
              <w:spacing w:after="0"/>
              <w:rPr>
                <w:sz w:val="20"/>
                <w:szCs w:val="20"/>
                <w:color w:val="auto"/>
              </w:rPr>
            </w:pPr>
            <w:r>
              <w:rPr>
                <w:rFonts w:ascii="Arial" w:cs="Arial" w:eastAsia="Arial" w:hAnsi="Arial"/>
                <w:sz w:val="13"/>
                <w:szCs w:val="13"/>
                <w:color w:val="auto"/>
              </w:rPr>
              <w:t>13,331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14,650</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127</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1968</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08/24/06</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KINGS COURT</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(California)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10,714</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808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11,522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3,771</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1960</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08/24/98</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26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LANCASTER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(Pennsylvania)</w:t>
            </w:r>
          </w:p>
        </w:tc>
        <w:tc>
          <w:tcPr>
            <w:tcW w:w="320" w:type="dxa"/>
            <w:vAlign w:val="bottom"/>
          </w:tcPr>
          <w:p>
            <w:pPr>
              <w:ind w:left="60"/>
              <w:spacing w:after="0"/>
              <w:rPr>
                <w:sz w:val="20"/>
                <w:szCs w:val="20"/>
                <w:color w:val="auto"/>
              </w:rPr>
            </w:pPr>
            <w:r>
              <w:rPr>
                <w:rFonts w:ascii="Arial" w:cs="Arial" w:eastAsia="Arial" w:hAnsi="Arial"/>
                <w:sz w:val="13"/>
                <w:szCs w:val="13"/>
                <w:color w:val="auto"/>
              </w:rPr>
              <w:t>PA</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4,907</w:t>
            </w: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2,103</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8,749</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10,852</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10,852</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5,340</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1958</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04/24/80</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22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LANGHORNE</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2,974</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14,455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18,149</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8,553</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1966</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01/31/85</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LAUREL</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(Maryland)</w:t>
            </w:r>
          </w:p>
        </w:tc>
        <w:tc>
          <w:tcPr>
            <w:tcW w:w="320" w:type="dxa"/>
            <w:vAlign w:val="bottom"/>
          </w:tcPr>
          <w:p>
            <w:pPr>
              <w:ind w:left="60"/>
              <w:spacing w:after="0"/>
              <w:rPr>
                <w:sz w:val="20"/>
                <w:szCs w:val="20"/>
                <w:color w:val="auto"/>
              </w:rPr>
            </w:pPr>
            <w:r>
              <w:rPr>
                <w:rFonts w:ascii="Arial" w:cs="Arial" w:eastAsia="Arial" w:hAnsi="Arial"/>
                <w:sz w:val="13"/>
                <w:szCs w:val="13"/>
                <w:color w:val="auto"/>
              </w:rPr>
              <w:t>MD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7,458</w:t>
            </w:r>
          </w:p>
        </w:tc>
        <w:tc>
          <w:tcPr>
            <w:tcW w:w="820" w:type="dxa"/>
            <w:vAlign w:val="bottom"/>
          </w:tcPr>
          <w:p>
            <w:pPr>
              <w:jc w:val="right"/>
              <w:spacing w:after="0"/>
              <w:rPr>
                <w:sz w:val="20"/>
                <w:szCs w:val="20"/>
                <w:color w:val="auto"/>
              </w:rPr>
            </w:pPr>
            <w:r>
              <w:rPr>
                <w:rFonts w:ascii="Arial" w:cs="Arial" w:eastAsia="Arial" w:hAnsi="Arial"/>
                <w:sz w:val="13"/>
                <w:szCs w:val="13"/>
                <w:color w:val="auto"/>
              </w:rPr>
              <w:t>22,525</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16,130</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7,459</w:t>
            </w:r>
          </w:p>
        </w:tc>
        <w:tc>
          <w:tcPr>
            <w:tcW w:w="1240" w:type="dxa"/>
            <w:vAlign w:val="bottom"/>
          </w:tcPr>
          <w:p>
            <w:pPr>
              <w:jc w:val="right"/>
              <w:spacing w:after="0"/>
              <w:rPr>
                <w:sz w:val="20"/>
                <w:szCs w:val="20"/>
                <w:color w:val="auto"/>
              </w:rPr>
            </w:pPr>
            <w:r>
              <w:rPr>
                <w:rFonts w:ascii="Arial" w:cs="Arial" w:eastAsia="Arial" w:hAnsi="Arial"/>
                <w:sz w:val="13"/>
                <w:szCs w:val="13"/>
                <w:color w:val="auto"/>
              </w:rPr>
              <w:t>38,654</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46,113</w:t>
            </w: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23,617</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1956</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08/15/86</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w w:val="97"/>
              </w:rPr>
              <w:t>LAWRENCE PARK</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30,205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5,723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7,160</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15,796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5,734</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28,679</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17,810</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1972</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07/23/80</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22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LEESBURG</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ind w:left="220"/>
              <w:spacing w:after="0" w:line="146" w:lineRule="exact"/>
              <w:rPr>
                <w:sz w:val="20"/>
                <w:szCs w:val="20"/>
                <w:color w:val="auto"/>
              </w:rPr>
            </w:pPr>
            <w:r>
              <w:rPr>
                <w:rFonts w:ascii="Arial" w:cs="Arial" w:eastAsia="Arial" w:hAnsi="Arial"/>
                <w:sz w:val="13"/>
                <w:szCs w:val="13"/>
                <w:color w:val="auto"/>
              </w:rPr>
              <w:t>PLAZA</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20" w:type="dxa"/>
            <w:vAlign w:val="bottom"/>
          </w:tcPr>
          <w:p>
            <w:pPr>
              <w:ind w:left="60"/>
              <w:spacing w:after="0"/>
              <w:rPr>
                <w:sz w:val="20"/>
                <w:szCs w:val="20"/>
                <w:color w:val="auto"/>
              </w:rPr>
            </w:pPr>
            <w:r>
              <w:rPr>
                <w:rFonts w:ascii="Arial" w:cs="Arial" w:eastAsia="Arial" w:hAnsi="Arial"/>
                <w:sz w:val="13"/>
                <w:szCs w:val="13"/>
                <w:color w:val="auto"/>
              </w:rPr>
              <w:t>VA</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9,760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8,184</w:t>
            </w:r>
          </w:p>
        </w:tc>
        <w:tc>
          <w:tcPr>
            <w:tcW w:w="820" w:type="dxa"/>
            <w:vAlign w:val="bottom"/>
          </w:tcPr>
          <w:p>
            <w:pPr>
              <w:jc w:val="right"/>
              <w:spacing w:after="0"/>
              <w:rPr>
                <w:sz w:val="20"/>
                <w:szCs w:val="20"/>
                <w:color w:val="auto"/>
              </w:rPr>
            </w:pPr>
            <w:r>
              <w:rPr>
                <w:rFonts w:ascii="Arial" w:cs="Arial" w:eastAsia="Arial" w:hAnsi="Arial"/>
                <w:sz w:val="13"/>
                <w:szCs w:val="13"/>
                <w:color w:val="auto"/>
              </w:rPr>
              <w:t>10,722</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11,792</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8,184</w:t>
            </w:r>
          </w:p>
        </w:tc>
        <w:tc>
          <w:tcPr>
            <w:tcW w:w="1240" w:type="dxa"/>
            <w:vAlign w:val="bottom"/>
          </w:tcPr>
          <w:p>
            <w:pPr>
              <w:jc w:val="right"/>
              <w:spacing w:after="0"/>
              <w:rPr>
                <w:sz w:val="20"/>
                <w:szCs w:val="20"/>
                <w:color w:val="auto"/>
              </w:rPr>
            </w:pPr>
            <w:r>
              <w:rPr>
                <w:rFonts w:ascii="Arial" w:cs="Arial" w:eastAsia="Arial" w:hAnsi="Arial"/>
                <w:sz w:val="13"/>
                <w:szCs w:val="13"/>
                <w:color w:val="auto"/>
              </w:rPr>
              <w:t>22,514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30,698</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3,386</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1967</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09/15/98</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LINDEN SQUARE</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2"/>
              </w:rPr>
              <w:t>(Massachusetts)</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79,382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19,247</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11,902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79,382</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31,149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110,531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146</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1950-1990</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08/24/06</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tcPr>
          <w:p>
            <w:pPr>
              <w:spacing w:after="0" w:line="137" w:lineRule="exact"/>
              <w:rPr>
                <w:sz w:val="20"/>
                <w:szCs w:val="20"/>
                <w:color w:val="auto"/>
              </w:rPr>
            </w:pPr>
            <w:r>
              <w:rPr>
                <w:rFonts w:ascii="Arial" w:cs="Arial" w:eastAsia="Arial" w:hAnsi="Arial"/>
                <w:sz w:val="13"/>
                <w:szCs w:val="13"/>
                <w:color w:val="auto"/>
              </w:rPr>
              <w:t>LOEHMANN'S</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ind w:left="220"/>
              <w:spacing w:after="0" w:line="146" w:lineRule="exact"/>
              <w:rPr>
                <w:sz w:val="20"/>
                <w:szCs w:val="20"/>
                <w:color w:val="auto"/>
              </w:rPr>
            </w:pPr>
            <w:r>
              <w:rPr>
                <w:rFonts w:ascii="Arial" w:cs="Arial" w:eastAsia="Arial" w:hAnsi="Arial"/>
                <w:sz w:val="13"/>
                <w:szCs w:val="13"/>
                <w:color w:val="auto"/>
              </w:rPr>
              <w:t>PLAZA</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20" w:type="dxa"/>
            <w:vAlign w:val="bottom"/>
          </w:tcPr>
          <w:p>
            <w:pPr>
              <w:ind w:left="60"/>
              <w:spacing w:after="0"/>
              <w:rPr>
                <w:sz w:val="20"/>
                <w:szCs w:val="20"/>
                <w:color w:val="auto"/>
              </w:rPr>
            </w:pPr>
            <w:r>
              <w:rPr>
                <w:rFonts w:ascii="Arial" w:cs="Arial" w:eastAsia="Arial" w:hAnsi="Arial"/>
                <w:sz w:val="13"/>
                <w:szCs w:val="13"/>
                <w:color w:val="auto"/>
              </w:rPr>
              <w:t>VA</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1,237</w:t>
            </w:r>
          </w:p>
        </w:tc>
        <w:tc>
          <w:tcPr>
            <w:tcW w:w="820" w:type="dxa"/>
            <w:vAlign w:val="bottom"/>
          </w:tcPr>
          <w:p>
            <w:pPr>
              <w:jc w:val="right"/>
              <w:spacing w:after="0"/>
              <w:rPr>
                <w:sz w:val="20"/>
                <w:szCs w:val="20"/>
                <w:color w:val="auto"/>
              </w:rPr>
            </w:pPr>
            <w:r>
              <w:rPr>
                <w:rFonts w:ascii="Arial" w:cs="Arial" w:eastAsia="Arial" w:hAnsi="Arial"/>
                <w:sz w:val="13"/>
                <w:szCs w:val="13"/>
                <w:color w:val="auto"/>
              </w:rPr>
              <w:t>15,096</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13,600</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1,248</w:t>
            </w:r>
          </w:p>
        </w:tc>
        <w:tc>
          <w:tcPr>
            <w:tcW w:w="1240" w:type="dxa"/>
            <w:vAlign w:val="bottom"/>
          </w:tcPr>
          <w:p>
            <w:pPr>
              <w:jc w:val="right"/>
              <w:spacing w:after="0"/>
              <w:rPr>
                <w:sz w:val="20"/>
                <w:szCs w:val="20"/>
                <w:color w:val="auto"/>
              </w:rPr>
            </w:pPr>
            <w:r>
              <w:rPr>
                <w:rFonts w:ascii="Arial" w:cs="Arial" w:eastAsia="Arial" w:hAnsi="Arial"/>
                <w:sz w:val="13"/>
                <w:szCs w:val="13"/>
                <w:color w:val="auto"/>
              </w:rPr>
              <w:t>28,685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29,933</w:t>
            </w:r>
          </w:p>
        </w:tc>
        <w:tc>
          <w:tcPr>
            <w:tcW w:w="6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15,998</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1971</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07/21/83</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MELVILLE MALL</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(New York)</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NY</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25,702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35,622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32,882</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35,622</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68,504</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235</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1974</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10/16/06</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453"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III</w:t>
      </w:r>
    </w:p>
    <w:p>
      <w:pPr>
        <w:jc w:val="center"/>
        <w:spacing w:after="0" w:line="236" w:lineRule="auto"/>
        <w:rPr>
          <w:sz w:val="20"/>
          <w:szCs w:val="20"/>
          <w:color w:val="auto"/>
        </w:rPr>
      </w:pPr>
      <w:r>
        <w:rPr>
          <w:rFonts w:ascii="Arial" w:cs="Arial" w:eastAsia="Arial" w:hAnsi="Arial"/>
          <w:sz w:val="21"/>
          <w:szCs w:val="21"/>
          <w:b w:val="1"/>
          <w:bCs w:val="1"/>
          <w:color w:val="auto"/>
        </w:rPr>
        <w:t>SUMMARY OF REAL ESTATE AND ACCUMULATED</w:t>
      </w:r>
    </w:p>
    <w:p>
      <w:pPr>
        <w:jc w:val="center"/>
        <w:spacing w:after="0" w:line="237" w:lineRule="auto"/>
        <w:rPr>
          <w:sz w:val="20"/>
          <w:szCs w:val="20"/>
          <w:color w:val="auto"/>
        </w:rPr>
      </w:pPr>
      <w:r>
        <w:rPr>
          <w:rFonts w:ascii="Arial" w:cs="Arial" w:eastAsia="Arial" w:hAnsi="Arial"/>
          <w:sz w:val="21"/>
          <w:szCs w:val="21"/>
          <w:b w:val="1"/>
          <w:bCs w:val="1"/>
          <w:color w:val="auto"/>
        </w:rPr>
        <w:t>DEPRECIATION—CONTINUED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December 31, 2006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20"/>
                <w:szCs w:val="20"/>
                <w:color w:val="auto"/>
              </w:rPr>
            </w:pPr>
            <w:r>
              <w:rPr>
                <w:rFonts w:ascii="Arial" w:cs="Arial" w:eastAsia="Arial" w:hAnsi="Arial"/>
                <w:sz w:val="13"/>
                <w:szCs w:val="13"/>
                <w:b w:val="1"/>
                <w:bCs w:val="1"/>
                <w:color w:val="auto"/>
              </w:rPr>
              <w:t>COLUMN A</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ind w:left="40"/>
              <w:spacing w:after="0"/>
              <w:rPr>
                <w:sz w:val="20"/>
                <w:szCs w:val="20"/>
                <w:color w:val="auto"/>
              </w:rPr>
            </w:pPr>
            <w:r>
              <w:rPr>
                <w:rFonts w:ascii="Arial" w:cs="Arial" w:eastAsia="Arial" w:hAnsi="Arial"/>
                <w:sz w:val="13"/>
                <w:szCs w:val="13"/>
                <w:b w:val="1"/>
                <w:bCs w:val="1"/>
                <w:color w:val="auto"/>
              </w:rPr>
              <w:t>COLUMN B  COLUMN C</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COLUMN D  COLUMN 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COLUMN F</w:t>
            </w:r>
          </w:p>
        </w:tc>
        <w:tc>
          <w:tcPr>
            <w:tcW w:w="60" w:type="dxa"/>
            <w:vAlign w:val="bottom"/>
          </w:tcPr>
          <w:p>
            <w:pPr>
              <w:spacing w:after="0"/>
              <w:rPr>
                <w:sz w:val="14"/>
                <w:szCs w:val="14"/>
                <w:color w:val="auto"/>
              </w:rPr>
            </w:pPr>
          </w:p>
        </w:tc>
        <w:tc>
          <w:tcPr>
            <w:tcW w:w="238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rPr>
              <w:t>COLUMN G COLUMN H  COLUMN I</w:t>
            </w:r>
          </w:p>
        </w:tc>
        <w:tc>
          <w:tcPr>
            <w:tcW w:w="0" w:type="dxa"/>
            <w:vAlign w:val="bottom"/>
          </w:tcPr>
          <w:p>
            <w:pPr>
              <w:spacing w:after="0"/>
              <w:rPr>
                <w:sz w:val="1"/>
                <w:szCs w:val="1"/>
                <w:color w:val="auto"/>
              </w:rPr>
            </w:pPr>
          </w:p>
        </w:tc>
      </w:tr>
      <w:tr>
        <w:trPr>
          <w:trHeight w:val="133"/>
        </w:trPr>
        <w:tc>
          <w:tcPr>
            <w:tcW w:w="13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3"/>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vMerge w:val="restart"/>
          </w:tcPr>
          <w:p>
            <w:pPr>
              <w:jc w:val="right"/>
              <w:ind w:right="160"/>
              <w:spacing w:after="0"/>
              <w:rPr>
                <w:sz w:val="20"/>
                <w:szCs w:val="20"/>
                <w:color w:val="auto"/>
              </w:rPr>
            </w:pPr>
            <w:r>
              <w:rPr>
                <w:rFonts w:ascii="Arial" w:cs="Arial" w:eastAsia="Arial" w:hAnsi="Arial"/>
                <w:sz w:val="13"/>
                <w:szCs w:val="13"/>
                <w:b w:val="1"/>
                <w:bCs w:val="1"/>
                <w:color w:val="auto"/>
                <w:w w:val="92"/>
              </w:rPr>
              <w:t>Gross amount at which carried at close of</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66"/>
        </w:trPr>
        <w:tc>
          <w:tcPr>
            <w:tcW w:w="1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gridSpan w:val="6"/>
            <w:vMerge w:val="continue"/>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Initial cost to company</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period</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880" w:type="dxa"/>
            <w:vAlign w:val="bottom"/>
            <w:gridSpan w:val="2"/>
            <w:vMerge w:val="restart"/>
          </w:tcPr>
          <w:p>
            <w:pPr>
              <w:jc w:val="center"/>
              <w:ind w:right="80"/>
              <w:spacing w:after="0" w:line="146" w:lineRule="exact"/>
              <w:rPr>
                <w:sz w:val="20"/>
                <w:szCs w:val="20"/>
                <w:color w:val="auto"/>
              </w:rPr>
            </w:pPr>
            <w:r>
              <w:rPr>
                <w:rFonts w:ascii="Arial" w:cs="Arial" w:eastAsia="Arial" w:hAnsi="Arial"/>
                <w:sz w:val="13"/>
                <w:szCs w:val="13"/>
                <w:b w:val="1"/>
                <w:bCs w:val="1"/>
                <w:color w:val="auto"/>
                <w:w w:val="82"/>
              </w:rPr>
              <w:t>Cost</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20"/>
              <w:spacing w:after="0" w:line="146" w:lineRule="exact"/>
              <w:rPr>
                <w:sz w:val="20"/>
                <w:szCs w:val="20"/>
                <w:color w:val="auto"/>
              </w:rPr>
            </w:pPr>
            <w:r>
              <w:rPr>
                <w:rFonts w:ascii="Arial" w:cs="Arial" w:eastAsia="Arial" w:hAnsi="Arial"/>
                <w:sz w:val="13"/>
                <w:szCs w:val="13"/>
                <w:b w:val="1"/>
                <w:bCs w:val="1"/>
                <w:color w:val="auto"/>
                <w:w w:val="89"/>
              </w:rPr>
              <w:t>in latest</w:t>
            </w: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3"/>
              </w:rPr>
              <w:t>Capitalized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3"/>
              </w:rPr>
              <w:t>Building and</w:t>
            </w:r>
          </w:p>
        </w:tc>
        <w:tc>
          <w:tcPr>
            <w:tcW w:w="88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88"/>
              </w:rPr>
              <w:t>Subsequent to</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260"/>
              <w:spacing w:after="0" w:line="146" w:lineRule="exact"/>
              <w:rPr>
                <w:sz w:val="20"/>
                <w:szCs w:val="20"/>
                <w:color w:val="auto"/>
              </w:rPr>
            </w:pPr>
            <w:r>
              <w:rPr>
                <w:rFonts w:ascii="Arial" w:cs="Arial" w:eastAsia="Arial" w:hAnsi="Arial"/>
                <w:sz w:val="13"/>
                <w:szCs w:val="13"/>
                <w:b w:val="1"/>
                <w:bCs w:val="1"/>
                <w:color w:val="auto"/>
              </w:rPr>
              <w:t>Building and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Depreciation and</w:t>
            </w:r>
          </w:p>
        </w:tc>
        <w:tc>
          <w:tcPr>
            <w:tcW w:w="6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Date of</w:t>
            </w:r>
          </w:p>
        </w:tc>
        <w:tc>
          <w:tcPr>
            <w:tcW w:w="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2"/>
                <w:szCs w:val="12"/>
                <w:color w:val="auto"/>
              </w:rPr>
            </w:pPr>
          </w:p>
        </w:tc>
        <w:tc>
          <w:tcPr>
            <w:tcW w:w="7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87"/>
              </w:rPr>
              <w:t>statements</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20"/>
                <w:szCs w:val="20"/>
                <w:color w:val="auto"/>
              </w:rPr>
            </w:pPr>
            <w:r>
              <w:rPr>
                <w:rFonts w:ascii="Arial" w:cs="Arial" w:eastAsia="Arial" w:hAnsi="Arial"/>
                <w:sz w:val="13"/>
                <w:szCs w:val="13"/>
                <w:b w:val="1"/>
                <w:bCs w:val="1"/>
                <w:color w:val="auto"/>
              </w:rPr>
              <w:t>Descriptions</w:t>
            </w:r>
          </w:p>
        </w:tc>
        <w:tc>
          <w:tcPr>
            <w:tcW w:w="3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Encumbrance</w:t>
            </w:r>
          </w:p>
        </w:tc>
        <w:tc>
          <w:tcPr>
            <w:tcW w:w="6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Land</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Improvements</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Acquisition</w:t>
            </w:r>
          </w:p>
        </w:tc>
        <w:tc>
          <w:tcPr>
            <w:tcW w:w="720" w:type="dxa"/>
            <w:vAlign w:val="bottom"/>
          </w:tcPr>
          <w:p>
            <w:pPr>
              <w:jc w:val="right"/>
              <w:ind w:right="154"/>
              <w:spacing w:after="0"/>
              <w:rPr>
                <w:sz w:val="20"/>
                <w:szCs w:val="20"/>
                <w:color w:val="auto"/>
              </w:rPr>
            </w:pPr>
            <w:r>
              <w:rPr>
                <w:rFonts w:ascii="Arial" w:cs="Arial" w:eastAsia="Arial" w:hAnsi="Arial"/>
                <w:sz w:val="13"/>
                <w:szCs w:val="13"/>
                <w:b w:val="1"/>
                <w:bCs w:val="1"/>
                <w:color w:val="auto"/>
              </w:rPr>
              <w:t>Land</w:t>
            </w:r>
          </w:p>
        </w:tc>
        <w:tc>
          <w:tcPr>
            <w:tcW w:w="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Improvements</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Construction</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8"/>
              </w:rPr>
              <w:t>is computed</w:t>
            </w:r>
          </w:p>
        </w:tc>
        <w:tc>
          <w:tcPr>
            <w:tcW w:w="0" w:type="dxa"/>
            <w:vAlign w:val="bottom"/>
          </w:tcPr>
          <w:p>
            <w:pPr>
              <w:spacing w:after="0"/>
              <w:rPr>
                <w:sz w:val="1"/>
                <w:szCs w:val="1"/>
                <w:color w:val="auto"/>
              </w:rPr>
            </w:pPr>
          </w:p>
        </w:tc>
      </w:tr>
      <w:tr>
        <w:trPr>
          <w:trHeight w:val="137"/>
        </w:trPr>
        <w:tc>
          <w:tcPr>
            <w:tcW w:w="138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3"/>
                <w:szCs w:val="13"/>
                <w:color w:val="auto"/>
              </w:rPr>
              <w:t>MERCER MALL (New</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NJ</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57,894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4,488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70,076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27,364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96,996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101,928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10,578</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1975</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10/14/03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25 - 35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MID PIKE PLAZA</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(Maryland)</w:t>
            </w:r>
          </w:p>
        </w:tc>
        <w:tc>
          <w:tcPr>
            <w:tcW w:w="320" w:type="dxa"/>
            <w:vAlign w:val="bottom"/>
          </w:tcPr>
          <w:p>
            <w:pPr>
              <w:ind w:left="60"/>
              <w:spacing w:after="0"/>
              <w:rPr>
                <w:sz w:val="20"/>
                <w:szCs w:val="20"/>
                <w:color w:val="auto"/>
              </w:rPr>
            </w:pPr>
            <w:r>
              <w:rPr>
                <w:rFonts w:ascii="Arial" w:cs="Arial" w:eastAsia="Arial" w:hAnsi="Arial"/>
                <w:sz w:val="13"/>
                <w:szCs w:val="13"/>
                <w:color w:val="auto"/>
              </w:rPr>
              <w:t>MD</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10,041</w:t>
            </w:r>
          </w:p>
        </w:tc>
        <w:tc>
          <w:tcPr>
            <w:tcW w:w="6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10,335</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7,510</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17,845</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17,845</w:t>
            </w:r>
          </w:p>
        </w:tc>
        <w:tc>
          <w:tcPr>
            <w:tcW w:w="1240" w:type="dxa"/>
            <w:vAlign w:val="bottom"/>
          </w:tcPr>
          <w:p>
            <w:pPr>
              <w:jc w:val="right"/>
              <w:spacing w:after="0"/>
              <w:rPr>
                <w:sz w:val="20"/>
                <w:szCs w:val="20"/>
                <w:color w:val="auto"/>
              </w:rPr>
            </w:pPr>
            <w:r>
              <w:rPr>
                <w:rFonts w:ascii="Arial" w:cs="Arial" w:eastAsia="Arial" w:hAnsi="Arial"/>
                <w:sz w:val="13"/>
                <w:szCs w:val="13"/>
                <w:color w:val="auto"/>
              </w:rPr>
              <w:t>9,247</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1963</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05/18/82</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50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MOUNT VERNON</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PLAZA (Virginia)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12,268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19,401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22,962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42,363</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42,363</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2003</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03/31/03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NORTH DARTMOUTH</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(Massachusetts)</w:t>
            </w:r>
          </w:p>
        </w:tc>
        <w:tc>
          <w:tcPr>
            <w:tcW w:w="320" w:type="dxa"/>
            <w:vAlign w:val="bottom"/>
          </w:tcPr>
          <w:p>
            <w:pPr>
              <w:ind w:left="60"/>
              <w:spacing w:after="0"/>
              <w:rPr>
                <w:sz w:val="20"/>
                <w:szCs w:val="20"/>
                <w:color w:val="auto"/>
              </w:rPr>
            </w:pPr>
            <w:r>
              <w:rPr>
                <w:rFonts w:ascii="Arial" w:cs="Arial" w:eastAsia="Arial" w:hAnsi="Arial"/>
                <w:sz w:val="13"/>
                <w:szCs w:val="13"/>
                <w:color w:val="auto"/>
              </w:rPr>
              <w:t>MA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27,214</w:t>
            </w:r>
          </w:p>
        </w:tc>
        <w:tc>
          <w:tcPr>
            <w:tcW w:w="9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27,214</w:t>
            </w:r>
          </w:p>
        </w:tc>
        <w:tc>
          <w:tcPr>
            <w:tcW w:w="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27,214</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2004</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08/24/06</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NORTHEAST</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1,152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10,596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10,433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21,028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22,181</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13,630</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1959</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08/30/83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NORTH LAKE</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tcPr>
          <w:p>
            <w:pPr>
              <w:ind w:left="220"/>
              <w:spacing w:after="0" w:line="146" w:lineRule="exact"/>
              <w:rPr>
                <w:sz w:val="20"/>
                <w:szCs w:val="20"/>
                <w:color w:val="auto"/>
              </w:rPr>
            </w:pPr>
            <w:r>
              <w:rPr>
                <w:rFonts w:ascii="Arial" w:cs="Arial" w:eastAsia="Arial" w:hAnsi="Arial"/>
                <w:sz w:val="13"/>
                <w:szCs w:val="13"/>
                <w:color w:val="auto"/>
              </w:rPr>
              <w:t>COMMONS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(Illinois)</w:t>
            </w:r>
          </w:p>
        </w:tc>
        <w:tc>
          <w:tcPr>
            <w:tcW w:w="320" w:type="dxa"/>
            <w:vAlign w:val="bottom"/>
          </w:tcPr>
          <w:p>
            <w:pPr>
              <w:ind w:left="60"/>
              <w:spacing w:after="0"/>
              <w:rPr>
                <w:sz w:val="20"/>
                <w:szCs w:val="20"/>
                <w:color w:val="auto"/>
              </w:rPr>
            </w:pPr>
            <w:r>
              <w:rPr>
                <w:rFonts w:ascii="Arial" w:cs="Arial" w:eastAsia="Arial" w:hAnsi="Arial"/>
                <w:sz w:val="13"/>
                <w:szCs w:val="13"/>
                <w:color w:val="auto"/>
              </w:rPr>
              <w:t>IL</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2,782</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8,604</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2,031</w:t>
            </w:r>
          </w:p>
        </w:tc>
        <w:tc>
          <w:tcPr>
            <w:tcW w:w="720" w:type="dxa"/>
            <w:vAlign w:val="bottom"/>
          </w:tcPr>
          <w:p>
            <w:pPr>
              <w:jc w:val="right"/>
              <w:spacing w:after="0"/>
              <w:rPr>
                <w:sz w:val="20"/>
                <w:szCs w:val="20"/>
                <w:color w:val="auto"/>
              </w:rPr>
            </w:pPr>
            <w:r>
              <w:rPr>
                <w:rFonts w:ascii="Arial" w:cs="Arial" w:eastAsia="Arial" w:hAnsi="Arial"/>
                <w:sz w:val="13"/>
                <w:szCs w:val="13"/>
                <w:color w:val="auto"/>
              </w:rPr>
              <w:t>2,628</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10,635</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13,263</w:t>
            </w:r>
          </w:p>
        </w:tc>
        <w:tc>
          <w:tcPr>
            <w:tcW w:w="1240" w:type="dxa"/>
            <w:vAlign w:val="bottom"/>
          </w:tcPr>
          <w:p>
            <w:pPr>
              <w:jc w:val="right"/>
              <w:spacing w:after="0"/>
              <w:rPr>
                <w:sz w:val="20"/>
                <w:szCs w:val="20"/>
                <w:color w:val="auto"/>
              </w:rPr>
            </w:pPr>
            <w:r>
              <w:rPr>
                <w:rFonts w:ascii="Arial" w:cs="Arial" w:eastAsia="Arial" w:hAnsi="Arial"/>
                <w:sz w:val="13"/>
                <w:szCs w:val="13"/>
                <w:color w:val="auto"/>
              </w:rPr>
              <w:t>3,929</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1989</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04/27/94</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 xml:space="preserve">33 </w:t>
            </w:r>
            <w:r>
              <w:rPr>
                <w:rFonts w:ascii="Arial" w:cs="Arial" w:eastAsia="Arial" w:hAnsi="Arial"/>
                <w:sz w:val="22"/>
                <w:szCs w:val="22"/>
                <w:color w:val="auto"/>
                <w:w w:val="88"/>
                <w:vertAlign w:val="superscript"/>
              </w:rPr>
              <w:t>1</w:t>
            </w:r>
            <w:r>
              <w:rPr>
                <w:rFonts w:ascii="Arial" w:cs="Arial" w:eastAsia="Arial" w:hAnsi="Arial"/>
                <w:sz w:val="13"/>
                <w:szCs w:val="13"/>
                <w:color w:val="auto"/>
                <w:w w:val="88"/>
              </w:rPr>
              <w:t>/3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998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4,753</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5,391</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4,171</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1968</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06/15/76</w:t>
            </w: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OLD TOWN CENTER</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(California)</w:t>
            </w:r>
          </w:p>
        </w:tc>
        <w:tc>
          <w:tcPr>
            <w:tcW w:w="320" w:type="dxa"/>
            <w:vAlign w:val="bottom"/>
          </w:tcPr>
          <w:p>
            <w:pPr>
              <w:ind w:left="60"/>
              <w:spacing w:after="0"/>
              <w:rPr>
                <w:sz w:val="20"/>
                <w:szCs w:val="20"/>
                <w:color w:val="auto"/>
              </w:rPr>
            </w:pPr>
            <w:r>
              <w:rPr>
                <w:rFonts w:ascii="Arial" w:cs="Arial" w:eastAsia="Arial" w:hAnsi="Arial"/>
                <w:sz w:val="13"/>
                <w:szCs w:val="13"/>
                <w:color w:val="auto"/>
              </w:rPr>
              <w:t>CA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3,420</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2,765</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27,191</w:t>
            </w:r>
          </w:p>
        </w:tc>
        <w:tc>
          <w:tcPr>
            <w:tcW w:w="720" w:type="dxa"/>
            <w:vAlign w:val="bottom"/>
          </w:tcPr>
          <w:p>
            <w:pPr>
              <w:jc w:val="right"/>
              <w:spacing w:after="0"/>
              <w:rPr>
                <w:sz w:val="20"/>
                <w:szCs w:val="20"/>
                <w:color w:val="auto"/>
              </w:rPr>
            </w:pPr>
            <w:r>
              <w:rPr>
                <w:rFonts w:ascii="Arial" w:cs="Arial" w:eastAsia="Arial" w:hAnsi="Arial"/>
                <w:sz w:val="13"/>
                <w:szCs w:val="13"/>
                <w:color w:val="auto"/>
              </w:rPr>
              <w:t>3,420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29,956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33,376</w:t>
            </w:r>
          </w:p>
        </w:tc>
        <w:tc>
          <w:tcPr>
            <w:tcW w:w="1240" w:type="dxa"/>
            <w:vAlign w:val="bottom"/>
          </w:tcPr>
          <w:p>
            <w:pPr>
              <w:jc w:val="right"/>
              <w:spacing w:after="0"/>
              <w:rPr>
                <w:sz w:val="20"/>
                <w:szCs w:val="20"/>
                <w:color w:val="auto"/>
              </w:rPr>
            </w:pPr>
            <w:r>
              <w:rPr>
                <w:rFonts w:ascii="Arial" w:cs="Arial" w:eastAsia="Arial" w:hAnsi="Arial"/>
                <w:sz w:val="13"/>
                <w:szCs w:val="13"/>
                <w:color w:val="auto"/>
              </w:rPr>
              <w:t>9,689</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0"/>
              </w:rPr>
              <w:t>1997-1998</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10/22/97</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(California) (5)</w:t>
            </w:r>
          </w:p>
        </w:tc>
        <w:tc>
          <w:tcPr>
            <w:tcW w:w="3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CA</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19,496</w:t>
            </w:r>
          </w:p>
        </w:tc>
        <w:tc>
          <w:tcPr>
            <w:tcW w:w="9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25,752</w:t>
            </w:r>
          </w:p>
        </w:tc>
        <w:tc>
          <w:tcPr>
            <w:tcW w:w="8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16,731</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14,678</w:t>
            </w:r>
          </w:p>
        </w:tc>
        <w:tc>
          <w:tcPr>
            <w:tcW w:w="11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42,483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57,161</w:t>
            </w:r>
          </w:p>
        </w:tc>
        <w:tc>
          <w:tcPr>
            <w:tcW w:w="1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7,568</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var</w:t>
            </w:r>
          </w:p>
        </w:tc>
        <w:tc>
          <w:tcPr>
            <w:tcW w:w="80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3"/>
              </w:rPr>
              <w:t>1996-1999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w w:val="84"/>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PAN AM SHOPPING</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CENTER (Virginia)</w:t>
            </w:r>
          </w:p>
        </w:tc>
        <w:tc>
          <w:tcPr>
            <w:tcW w:w="320" w:type="dxa"/>
            <w:vAlign w:val="bottom"/>
          </w:tcPr>
          <w:p>
            <w:pPr>
              <w:ind w:left="60"/>
              <w:spacing w:after="0"/>
              <w:rPr>
                <w:sz w:val="20"/>
                <w:szCs w:val="20"/>
                <w:color w:val="auto"/>
              </w:rPr>
            </w:pPr>
            <w:r>
              <w:rPr>
                <w:rFonts w:ascii="Arial" w:cs="Arial" w:eastAsia="Arial" w:hAnsi="Arial"/>
                <w:sz w:val="13"/>
                <w:szCs w:val="13"/>
                <w:color w:val="auto"/>
              </w:rPr>
              <w:t>VA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8,694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12,929</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5,969</w:t>
            </w:r>
          </w:p>
        </w:tc>
        <w:tc>
          <w:tcPr>
            <w:tcW w:w="720" w:type="dxa"/>
            <w:vAlign w:val="bottom"/>
          </w:tcPr>
          <w:p>
            <w:pPr>
              <w:jc w:val="right"/>
              <w:spacing w:after="0"/>
              <w:rPr>
                <w:sz w:val="20"/>
                <w:szCs w:val="20"/>
                <w:color w:val="auto"/>
              </w:rPr>
            </w:pPr>
            <w:r>
              <w:rPr>
                <w:rFonts w:ascii="Arial" w:cs="Arial" w:eastAsia="Arial" w:hAnsi="Arial"/>
                <w:sz w:val="13"/>
                <w:szCs w:val="13"/>
                <w:color w:val="auto"/>
              </w:rPr>
              <w:t>8,695</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18,897</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27,592</w:t>
            </w:r>
          </w:p>
        </w:tc>
        <w:tc>
          <w:tcPr>
            <w:tcW w:w="1240" w:type="dxa"/>
            <w:vAlign w:val="bottom"/>
          </w:tcPr>
          <w:p>
            <w:pPr>
              <w:jc w:val="right"/>
              <w:spacing w:after="0"/>
              <w:rPr>
                <w:sz w:val="20"/>
                <w:szCs w:val="20"/>
                <w:color w:val="auto"/>
              </w:rPr>
            </w:pPr>
            <w:r>
              <w:rPr>
                <w:rFonts w:ascii="Arial" w:cs="Arial" w:eastAsia="Arial" w:hAnsi="Arial"/>
                <w:sz w:val="13"/>
                <w:szCs w:val="13"/>
                <w:color w:val="auto"/>
              </w:rPr>
              <w:t>8,149</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1979</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02/05/93</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2,955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85,004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87,959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87,959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16,304</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1999-2002</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PERRING PLAZA</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(Maryland)</w:t>
            </w:r>
          </w:p>
        </w:tc>
        <w:tc>
          <w:tcPr>
            <w:tcW w:w="320" w:type="dxa"/>
            <w:vAlign w:val="bottom"/>
          </w:tcPr>
          <w:p>
            <w:pPr>
              <w:ind w:left="60"/>
              <w:spacing w:after="0"/>
              <w:rPr>
                <w:sz w:val="20"/>
                <w:szCs w:val="20"/>
                <w:color w:val="auto"/>
              </w:rPr>
            </w:pPr>
            <w:r>
              <w:rPr>
                <w:rFonts w:ascii="Arial" w:cs="Arial" w:eastAsia="Arial" w:hAnsi="Arial"/>
                <w:sz w:val="13"/>
                <w:szCs w:val="13"/>
                <w:color w:val="auto"/>
              </w:rPr>
              <w:t>MD</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2,800</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6,461</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17,060</w:t>
            </w:r>
          </w:p>
        </w:tc>
        <w:tc>
          <w:tcPr>
            <w:tcW w:w="720" w:type="dxa"/>
            <w:vAlign w:val="bottom"/>
          </w:tcPr>
          <w:p>
            <w:pPr>
              <w:jc w:val="right"/>
              <w:spacing w:after="0"/>
              <w:rPr>
                <w:sz w:val="20"/>
                <w:szCs w:val="20"/>
                <w:color w:val="auto"/>
              </w:rPr>
            </w:pPr>
            <w:r>
              <w:rPr>
                <w:rFonts w:ascii="Arial" w:cs="Arial" w:eastAsia="Arial" w:hAnsi="Arial"/>
                <w:sz w:val="13"/>
                <w:szCs w:val="13"/>
                <w:color w:val="auto"/>
              </w:rPr>
              <w:t>2,800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23,521</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26,321</w:t>
            </w:r>
          </w:p>
        </w:tc>
        <w:tc>
          <w:tcPr>
            <w:tcW w:w="1240" w:type="dxa"/>
            <w:vAlign w:val="bottom"/>
          </w:tcPr>
          <w:p>
            <w:pPr>
              <w:jc w:val="right"/>
              <w:spacing w:after="0"/>
              <w:rPr>
                <w:sz w:val="20"/>
                <w:szCs w:val="20"/>
                <w:color w:val="auto"/>
              </w:rPr>
            </w:pPr>
            <w:r>
              <w:rPr>
                <w:rFonts w:ascii="Arial" w:cs="Arial" w:eastAsia="Arial" w:hAnsi="Arial"/>
                <w:sz w:val="13"/>
                <w:szCs w:val="13"/>
                <w:color w:val="auto"/>
              </w:rPr>
              <w:t>13,978</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1963</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10/01/85</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PIKE 7</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9,709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22,799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1,324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24,123</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33,832</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1968</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03/31/97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QUEEN ANNE PLAZA</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(Massachusetts)</w:t>
            </w:r>
          </w:p>
        </w:tc>
        <w:tc>
          <w:tcPr>
            <w:tcW w:w="320" w:type="dxa"/>
            <w:vAlign w:val="bottom"/>
          </w:tcPr>
          <w:p>
            <w:pPr>
              <w:ind w:left="60"/>
              <w:spacing w:after="0"/>
              <w:rPr>
                <w:sz w:val="20"/>
                <w:szCs w:val="20"/>
                <w:color w:val="auto"/>
              </w:rPr>
            </w:pPr>
            <w:r>
              <w:rPr>
                <w:rFonts w:ascii="Arial" w:cs="Arial" w:eastAsia="Arial" w:hAnsi="Arial"/>
                <w:sz w:val="13"/>
                <w:szCs w:val="13"/>
                <w:color w:val="auto"/>
              </w:rPr>
              <w:t>MA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3,319</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8,457</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3,241</w:t>
            </w:r>
          </w:p>
        </w:tc>
        <w:tc>
          <w:tcPr>
            <w:tcW w:w="720" w:type="dxa"/>
            <w:vAlign w:val="bottom"/>
          </w:tcPr>
          <w:p>
            <w:pPr>
              <w:jc w:val="right"/>
              <w:spacing w:after="0"/>
              <w:rPr>
                <w:sz w:val="20"/>
                <w:szCs w:val="20"/>
                <w:color w:val="auto"/>
              </w:rPr>
            </w:pPr>
            <w:r>
              <w:rPr>
                <w:rFonts w:ascii="Arial" w:cs="Arial" w:eastAsia="Arial" w:hAnsi="Arial"/>
                <w:sz w:val="13"/>
                <w:szCs w:val="13"/>
                <w:color w:val="auto"/>
              </w:rPr>
              <w:t>3,319</w:t>
            </w:r>
          </w:p>
        </w:tc>
        <w:tc>
          <w:tcPr>
            <w:tcW w:w="1240" w:type="dxa"/>
            <w:vAlign w:val="bottom"/>
            <w:gridSpan w:val="3"/>
          </w:tcPr>
          <w:p>
            <w:pPr>
              <w:jc w:val="right"/>
              <w:ind w:right="80"/>
              <w:spacing w:after="0"/>
              <w:rPr>
                <w:sz w:val="20"/>
                <w:szCs w:val="20"/>
                <w:color w:val="auto"/>
              </w:rPr>
            </w:pPr>
            <w:r>
              <w:rPr>
                <w:rFonts w:ascii="Arial" w:cs="Arial" w:eastAsia="Arial" w:hAnsi="Arial"/>
                <w:sz w:val="13"/>
                <w:szCs w:val="13"/>
                <w:color w:val="auto"/>
              </w:rPr>
              <w:t>11,698</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15,017</w:t>
            </w:r>
          </w:p>
        </w:tc>
        <w:tc>
          <w:tcPr>
            <w:tcW w:w="1240" w:type="dxa"/>
            <w:vAlign w:val="bottom"/>
          </w:tcPr>
          <w:p>
            <w:pPr>
              <w:jc w:val="right"/>
              <w:spacing w:after="0"/>
              <w:rPr>
                <w:sz w:val="20"/>
                <w:szCs w:val="20"/>
                <w:color w:val="auto"/>
              </w:rPr>
            </w:pPr>
            <w:r>
              <w:rPr>
                <w:rFonts w:ascii="Arial" w:cs="Arial" w:eastAsia="Arial" w:hAnsi="Arial"/>
                <w:sz w:val="13"/>
                <w:szCs w:val="13"/>
                <w:color w:val="auto"/>
              </w:rPr>
              <w:t>5,328</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1967</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12/23/94</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PLAZA (Maryland)</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7,949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9,206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17,155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20,083</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8,999</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1975</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04/22/93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RIVERSIDE (New</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Hampshire)</w:t>
            </w:r>
          </w:p>
        </w:tc>
        <w:tc>
          <w:tcPr>
            <w:tcW w:w="320" w:type="dxa"/>
            <w:vAlign w:val="bottom"/>
          </w:tcPr>
          <w:p>
            <w:pPr>
              <w:ind w:left="60"/>
              <w:spacing w:after="0"/>
              <w:rPr>
                <w:sz w:val="20"/>
                <w:szCs w:val="20"/>
                <w:color w:val="auto"/>
              </w:rPr>
            </w:pPr>
            <w:r>
              <w:rPr>
                <w:rFonts w:ascii="Arial" w:cs="Arial" w:eastAsia="Arial" w:hAnsi="Arial"/>
                <w:sz w:val="13"/>
                <w:szCs w:val="13"/>
                <w:color w:val="auto"/>
              </w:rPr>
              <w:t>NH</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2,426</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26,456</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2,426</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26,456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28,882</w:t>
            </w:r>
          </w:p>
        </w:tc>
        <w:tc>
          <w:tcPr>
            <w:tcW w:w="1240" w:type="dxa"/>
            <w:vAlign w:val="bottom"/>
          </w:tcPr>
          <w:p>
            <w:pPr>
              <w:jc w:val="right"/>
              <w:spacing w:after="0"/>
              <w:rPr>
                <w:sz w:val="20"/>
                <w:szCs w:val="20"/>
                <w:color w:val="auto"/>
              </w:rPr>
            </w:pPr>
            <w:r>
              <w:rPr>
                <w:rFonts w:ascii="Arial" w:cs="Arial" w:eastAsia="Arial" w:hAnsi="Arial"/>
                <w:sz w:val="13"/>
                <w:szCs w:val="13"/>
                <w:color w:val="auto"/>
              </w:rPr>
              <w:t>242</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1966</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08/24/06</w:t>
            </w:r>
          </w:p>
        </w:tc>
        <w:tc>
          <w:tcPr>
            <w:tcW w:w="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ROCKVILLE TOWN</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9,030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14,285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14,285</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2005-2007</w:t>
            </w: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1"/>
              </w:rPr>
              <w:t>2006 -2007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53"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III</w:t>
      </w:r>
    </w:p>
    <w:p>
      <w:pPr>
        <w:jc w:val="center"/>
        <w:spacing w:after="0" w:line="236" w:lineRule="auto"/>
        <w:rPr>
          <w:sz w:val="20"/>
          <w:szCs w:val="20"/>
          <w:color w:val="auto"/>
        </w:rPr>
      </w:pPr>
      <w:r>
        <w:rPr>
          <w:rFonts w:ascii="Arial" w:cs="Arial" w:eastAsia="Arial" w:hAnsi="Arial"/>
          <w:sz w:val="21"/>
          <w:szCs w:val="21"/>
          <w:b w:val="1"/>
          <w:bCs w:val="1"/>
          <w:color w:val="auto"/>
        </w:rPr>
        <w:t>SUMMARY OF REAL ESTATE AND ACCUMULATED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DEPRECIATION—CONTINUED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20"/>
                <w:szCs w:val="20"/>
                <w:color w:val="auto"/>
              </w:rPr>
            </w:pPr>
            <w:r>
              <w:rPr>
                <w:rFonts w:ascii="Arial" w:cs="Arial" w:eastAsia="Arial" w:hAnsi="Arial"/>
                <w:sz w:val="13"/>
                <w:szCs w:val="13"/>
                <w:b w:val="1"/>
                <w:bCs w:val="1"/>
                <w:color w:val="auto"/>
              </w:rPr>
              <w:t>COLUMN A</w:t>
            </w:r>
          </w:p>
        </w:tc>
        <w:tc>
          <w:tcPr>
            <w:tcW w:w="340" w:type="dxa"/>
            <w:vAlign w:val="bottom"/>
          </w:tcPr>
          <w:p>
            <w:pPr>
              <w:spacing w:after="0"/>
              <w:rPr>
                <w:sz w:val="14"/>
                <w:szCs w:val="14"/>
                <w:color w:val="auto"/>
              </w:rPr>
            </w:pPr>
          </w:p>
        </w:tc>
        <w:tc>
          <w:tcPr>
            <w:tcW w:w="1620" w:type="dxa"/>
            <w:vAlign w:val="bottom"/>
            <w:gridSpan w:val="6"/>
          </w:tcPr>
          <w:p>
            <w:pPr>
              <w:ind w:left="20"/>
              <w:spacing w:after="0"/>
              <w:rPr>
                <w:sz w:val="20"/>
                <w:szCs w:val="20"/>
                <w:color w:val="auto"/>
              </w:rPr>
            </w:pPr>
            <w:r>
              <w:rPr>
                <w:rFonts w:ascii="Arial" w:cs="Arial" w:eastAsia="Arial" w:hAnsi="Arial"/>
                <w:sz w:val="13"/>
                <w:szCs w:val="13"/>
                <w:b w:val="1"/>
                <w:bCs w:val="1"/>
                <w:color w:val="auto"/>
              </w:rPr>
              <w:t>COLUMN B  COLUMN C</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20"/>
              <w:spacing w:after="0"/>
              <w:rPr>
                <w:sz w:val="20"/>
                <w:szCs w:val="20"/>
                <w:color w:val="auto"/>
              </w:rPr>
            </w:pPr>
            <w:r>
              <w:rPr>
                <w:rFonts w:ascii="Arial" w:cs="Arial" w:eastAsia="Arial" w:hAnsi="Arial"/>
                <w:sz w:val="13"/>
                <w:szCs w:val="13"/>
                <w:b w:val="1"/>
                <w:bCs w:val="1"/>
                <w:color w:val="auto"/>
              </w:rPr>
              <w:t>COLUMN D  COLUMN 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4"/>
              <w:spacing w:after="0"/>
              <w:rPr>
                <w:sz w:val="20"/>
                <w:szCs w:val="20"/>
                <w:color w:val="auto"/>
              </w:rPr>
            </w:pPr>
            <w:r>
              <w:rPr>
                <w:rFonts w:ascii="Arial" w:cs="Arial" w:eastAsia="Arial" w:hAnsi="Arial"/>
                <w:sz w:val="13"/>
                <w:szCs w:val="13"/>
                <w:b w:val="1"/>
                <w:bCs w:val="1"/>
                <w:color w:val="auto"/>
              </w:rPr>
              <w:t>COLUMN F</w:t>
            </w:r>
          </w:p>
        </w:tc>
        <w:tc>
          <w:tcPr>
            <w:tcW w:w="60" w:type="dxa"/>
            <w:vAlign w:val="bottom"/>
          </w:tcPr>
          <w:p>
            <w:pPr>
              <w:spacing w:after="0"/>
              <w:rPr>
                <w:sz w:val="14"/>
                <w:szCs w:val="14"/>
                <w:color w:val="auto"/>
              </w:rPr>
            </w:pPr>
          </w:p>
        </w:tc>
        <w:tc>
          <w:tcPr>
            <w:tcW w:w="2340" w:type="dxa"/>
            <w:vAlign w:val="bottom"/>
            <w:gridSpan w:val="5"/>
          </w:tcPr>
          <w:p>
            <w:pPr>
              <w:spacing w:after="0"/>
              <w:rPr>
                <w:sz w:val="20"/>
                <w:szCs w:val="20"/>
                <w:color w:val="auto"/>
              </w:rPr>
            </w:pPr>
            <w:r>
              <w:rPr>
                <w:rFonts w:ascii="Arial" w:cs="Arial" w:eastAsia="Arial" w:hAnsi="Arial"/>
                <w:sz w:val="13"/>
                <w:szCs w:val="13"/>
                <w:b w:val="1"/>
                <w:bCs w:val="1"/>
                <w:color w:val="auto"/>
              </w:rPr>
              <w:t>COLUMN G COLUMN H COLUMN I</w:t>
            </w:r>
          </w:p>
        </w:tc>
        <w:tc>
          <w:tcPr>
            <w:tcW w:w="0" w:type="dxa"/>
            <w:vAlign w:val="bottom"/>
          </w:tcPr>
          <w:p>
            <w:pPr>
              <w:spacing w:after="0"/>
              <w:rPr>
                <w:sz w:val="1"/>
                <w:szCs w:val="1"/>
                <w:color w:val="auto"/>
              </w:rPr>
            </w:pPr>
          </w:p>
        </w:tc>
      </w:tr>
      <w:tr>
        <w:trPr>
          <w:trHeight w:val="133"/>
        </w:trPr>
        <w:tc>
          <w:tcPr>
            <w:tcW w:w="1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7"/>
            <w:vMerge w:val="restart"/>
          </w:tcPr>
          <w:p>
            <w:pPr>
              <w:jc w:val="center"/>
              <w:ind w:right="140"/>
              <w:spacing w:after="0"/>
              <w:rPr>
                <w:sz w:val="20"/>
                <w:szCs w:val="20"/>
                <w:color w:val="auto"/>
              </w:rPr>
            </w:pPr>
            <w:r>
              <w:rPr>
                <w:rFonts w:ascii="Arial" w:cs="Arial" w:eastAsia="Arial" w:hAnsi="Arial"/>
                <w:sz w:val="13"/>
                <w:szCs w:val="13"/>
                <w:b w:val="1"/>
                <w:bCs w:val="1"/>
                <w:color w:val="auto"/>
                <w:w w:val="91"/>
              </w:rPr>
              <w:t>Gross amount at which carried at close of</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66"/>
        </w:trPr>
        <w:tc>
          <w:tcPr>
            <w:tcW w:w="1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4"/>
            <w:vMerge w:val="restart"/>
          </w:tcPr>
          <w:p>
            <w:pPr>
              <w:jc w:val="right"/>
              <w:ind w:right="125"/>
              <w:spacing w:after="0"/>
              <w:rPr>
                <w:sz w:val="20"/>
                <w:szCs w:val="20"/>
                <w:color w:val="auto"/>
              </w:rPr>
            </w:pPr>
            <w:r>
              <w:rPr>
                <w:rFonts w:ascii="Arial" w:cs="Arial" w:eastAsia="Arial" w:hAnsi="Arial"/>
                <w:sz w:val="13"/>
                <w:szCs w:val="13"/>
                <w:b w:val="1"/>
                <w:bCs w:val="1"/>
                <w:color w:val="auto"/>
                <w:w w:val="93"/>
              </w:rPr>
              <w:t>Initial cost to company</w:t>
            </w: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0"/>
              </w:rPr>
              <w:t>period</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ind w:right="80"/>
              <w:spacing w:after="0" w:line="146" w:lineRule="exact"/>
              <w:rPr>
                <w:sz w:val="20"/>
                <w:szCs w:val="20"/>
                <w:color w:val="auto"/>
              </w:rPr>
            </w:pPr>
            <w:r>
              <w:rPr>
                <w:rFonts w:ascii="Arial" w:cs="Arial" w:eastAsia="Arial" w:hAnsi="Arial"/>
                <w:sz w:val="13"/>
                <w:szCs w:val="13"/>
                <w:b w:val="1"/>
                <w:bCs w:val="1"/>
                <w:color w:val="auto"/>
                <w:w w:val="89"/>
              </w:rPr>
              <w:t>Cost</w:t>
            </w: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89"/>
              </w:rPr>
              <w:t>in latest</w:t>
            </w: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3"/>
              </w:rPr>
              <w:t>Capitalized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4"/>
              <w:spacing w:after="0" w:line="146" w:lineRule="exact"/>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9"/>
              </w:rPr>
              <w:t>Building and</w:t>
            </w:r>
          </w:p>
        </w:tc>
        <w:tc>
          <w:tcPr>
            <w:tcW w:w="80" w:type="dxa"/>
            <w:vAlign w:val="bottom"/>
          </w:tcPr>
          <w:p>
            <w:pPr>
              <w:spacing w:after="0"/>
              <w:rPr>
                <w:sz w:val="12"/>
                <w:szCs w:val="12"/>
                <w:color w:val="auto"/>
              </w:rPr>
            </w:pPr>
          </w:p>
        </w:tc>
        <w:tc>
          <w:tcPr>
            <w:tcW w:w="86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88"/>
              </w:rPr>
              <w:t>Subsequent to</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3"/>
              </w:rPr>
              <w:t>Building and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4"/>
              <w:spacing w:after="0" w:line="146" w:lineRule="exact"/>
              <w:rPr>
                <w:sz w:val="20"/>
                <w:szCs w:val="20"/>
                <w:color w:val="auto"/>
              </w:rPr>
            </w:pPr>
            <w:r>
              <w:rPr>
                <w:rFonts w:ascii="Arial" w:cs="Arial" w:eastAsia="Arial" w:hAnsi="Arial"/>
                <w:sz w:val="13"/>
                <w:szCs w:val="13"/>
                <w:b w:val="1"/>
                <w:bCs w:val="1"/>
                <w:color w:val="auto"/>
                <w:w w:val="92"/>
              </w:rPr>
              <w:t>Depreciation and</w:t>
            </w:r>
          </w:p>
        </w:tc>
        <w:tc>
          <w:tcPr>
            <w:tcW w:w="60" w:type="dxa"/>
            <w:vAlign w:val="bottom"/>
          </w:tcPr>
          <w:p>
            <w:pPr>
              <w:spacing w:after="0"/>
              <w:rPr>
                <w:sz w:val="12"/>
                <w:szCs w:val="12"/>
                <w:color w:val="auto"/>
              </w:rPr>
            </w:pPr>
          </w:p>
        </w:tc>
        <w:tc>
          <w:tcPr>
            <w:tcW w:w="76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Date of</w:t>
            </w:r>
          </w:p>
        </w:tc>
        <w:tc>
          <w:tcPr>
            <w:tcW w:w="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statements</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20"/>
                <w:szCs w:val="20"/>
                <w:color w:val="auto"/>
              </w:rPr>
            </w:pPr>
            <w:r>
              <w:rPr>
                <w:rFonts w:ascii="Arial" w:cs="Arial" w:eastAsia="Arial" w:hAnsi="Arial"/>
                <w:sz w:val="13"/>
                <w:szCs w:val="13"/>
                <w:b w:val="1"/>
                <w:bCs w:val="1"/>
                <w:color w:val="auto"/>
              </w:rPr>
              <w:t>Descriptions</w:t>
            </w: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8"/>
              </w:rPr>
              <w:t>Encumbrance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Land</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w w:val="92"/>
              </w:rPr>
              <w:t>Improvements</w:t>
            </w:r>
          </w:p>
        </w:tc>
        <w:tc>
          <w:tcPr>
            <w:tcW w:w="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Acquisition</w:t>
            </w:r>
          </w:p>
        </w:tc>
        <w:tc>
          <w:tcPr>
            <w:tcW w:w="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Improvements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160" w:type="dxa"/>
            <w:vAlign w:val="bottom"/>
          </w:tcPr>
          <w:p>
            <w:pPr>
              <w:jc w:val="center"/>
              <w:ind w:right="34"/>
              <w:spacing w:after="0"/>
              <w:rPr>
                <w:sz w:val="20"/>
                <w:szCs w:val="20"/>
                <w:color w:val="auto"/>
              </w:rPr>
            </w:pPr>
            <w:r>
              <w:rPr>
                <w:rFonts w:ascii="Arial" w:cs="Arial" w:eastAsia="Arial" w:hAnsi="Arial"/>
                <w:sz w:val="13"/>
                <w:szCs w:val="13"/>
                <w:b w:val="1"/>
                <w:bCs w:val="1"/>
                <w:color w:val="auto"/>
                <w:w w:val="93"/>
              </w:rPr>
              <w:t>Amortization</w:t>
            </w: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w w:val="91"/>
              </w:rPr>
              <w:t>Construction</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is computed</w:t>
            </w:r>
          </w:p>
        </w:tc>
        <w:tc>
          <w:tcPr>
            <w:tcW w:w="0" w:type="dxa"/>
            <w:vAlign w:val="bottom"/>
          </w:tcPr>
          <w:p>
            <w:pPr>
              <w:spacing w:after="0"/>
              <w:rPr>
                <w:sz w:val="1"/>
                <w:szCs w:val="1"/>
                <w:color w:val="auto"/>
              </w:rPr>
            </w:pPr>
          </w:p>
        </w:tc>
      </w:tr>
      <w:tr>
        <w:trPr>
          <w:trHeight w:val="137"/>
        </w:trPr>
        <w:tc>
          <w:tcPr>
            <w:tcW w:w="138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3"/>
                <w:szCs w:val="13"/>
                <w:color w:val="auto"/>
              </w:rPr>
              <w:t>ROLLINGWOOD</w:t>
            </w:r>
          </w:p>
        </w:tc>
        <w:tc>
          <w:tcPr>
            <w:tcW w:w="3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APTS. (Maryland)</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MD</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2,246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4,028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6,254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6,826</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1960</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01/15/71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25 years</w:t>
            </w:r>
          </w:p>
        </w:tc>
        <w:tc>
          <w:tcPr>
            <w:tcW w:w="0" w:type="dxa"/>
            <w:vAlign w:val="bottom"/>
          </w:tcPr>
          <w:p>
            <w:pPr>
              <w:spacing w:after="0"/>
              <w:rPr>
                <w:sz w:val="1"/>
                <w:szCs w:val="1"/>
                <w:color w:val="auto"/>
              </w:rPr>
            </w:pPr>
          </w:p>
        </w:tc>
      </w:tr>
      <w:tr>
        <w:trPr>
          <w:trHeight w:val="146"/>
        </w:trPr>
        <w:tc>
          <w:tcPr>
            <w:tcW w:w="1380" w:type="dxa"/>
            <w:vAlign w:val="bottom"/>
          </w:tcPr>
          <w:p>
            <w:pPr>
              <w:spacing w:after="0" w:line="146" w:lineRule="exact"/>
              <w:rPr>
                <w:sz w:val="20"/>
                <w:szCs w:val="20"/>
                <w:color w:val="auto"/>
              </w:rPr>
            </w:pPr>
            <w:r>
              <w:rPr>
                <w:rFonts w:ascii="Arial" w:cs="Arial" w:eastAsia="Arial" w:hAnsi="Arial"/>
                <w:sz w:val="13"/>
                <w:szCs w:val="13"/>
                <w:color w:val="auto"/>
                <w:w w:val="94"/>
              </w:rPr>
              <w:t>RUTGERS (New Jersey)</w:t>
            </w:r>
          </w:p>
        </w:tc>
        <w:tc>
          <w:tcPr>
            <w:tcW w:w="340" w:type="dxa"/>
            <w:vAlign w:val="bottom"/>
          </w:tcPr>
          <w:p>
            <w:pPr>
              <w:ind w:left="60"/>
              <w:spacing w:after="0" w:line="146" w:lineRule="exact"/>
              <w:rPr>
                <w:sz w:val="20"/>
                <w:szCs w:val="20"/>
                <w:color w:val="auto"/>
              </w:rPr>
            </w:pPr>
            <w:r>
              <w:rPr>
                <w:rFonts w:ascii="Arial" w:cs="Arial" w:eastAsia="Arial" w:hAnsi="Arial"/>
                <w:sz w:val="13"/>
                <w:szCs w:val="13"/>
                <w:color w:val="auto"/>
              </w:rPr>
              <w:t>NJ</w:t>
            </w:r>
          </w:p>
        </w:tc>
        <w:tc>
          <w:tcPr>
            <w:tcW w:w="20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11,217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14,429</w:t>
            </w:r>
          </w:p>
        </w:tc>
        <w:tc>
          <w:tcPr>
            <w:tcW w:w="94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2,995</w:t>
            </w:r>
          </w:p>
        </w:tc>
        <w:tc>
          <w:tcPr>
            <w:tcW w:w="80" w:type="dxa"/>
            <w:vAlign w:val="bottom"/>
          </w:tcPr>
          <w:p>
            <w:pPr>
              <w:spacing w:after="0"/>
              <w:rPr>
                <w:sz w:val="12"/>
                <w:szCs w:val="12"/>
                <w:color w:val="auto"/>
              </w:rPr>
            </w:pPr>
          </w:p>
        </w:tc>
        <w:tc>
          <w:tcPr>
            <w:tcW w:w="7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17,424</w:t>
            </w:r>
          </w:p>
        </w:tc>
        <w:tc>
          <w:tcPr>
            <w:tcW w:w="6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17,424</w:t>
            </w:r>
          </w:p>
        </w:tc>
        <w:tc>
          <w:tcPr>
            <w:tcW w:w="100" w:type="dxa"/>
            <w:vAlign w:val="bottom"/>
          </w:tcPr>
          <w:p>
            <w:pPr>
              <w:spacing w:after="0"/>
              <w:rPr>
                <w:sz w:val="12"/>
                <w:szCs w:val="12"/>
                <w:color w:val="auto"/>
              </w:rPr>
            </w:pPr>
          </w:p>
        </w:tc>
        <w:tc>
          <w:tcPr>
            <w:tcW w:w="1160" w:type="dxa"/>
            <w:vAlign w:val="bottom"/>
          </w:tcPr>
          <w:p>
            <w:pPr>
              <w:jc w:val="right"/>
              <w:spacing w:after="0" w:line="146" w:lineRule="exact"/>
              <w:rPr>
                <w:sz w:val="20"/>
                <w:szCs w:val="20"/>
                <w:color w:val="auto"/>
              </w:rPr>
            </w:pPr>
            <w:r>
              <w:rPr>
                <w:rFonts w:ascii="Arial" w:cs="Arial" w:eastAsia="Arial" w:hAnsi="Arial"/>
                <w:sz w:val="13"/>
                <w:szCs w:val="13"/>
                <w:color w:val="auto"/>
              </w:rPr>
              <w:t>8,628</w:t>
            </w:r>
          </w:p>
        </w:tc>
        <w:tc>
          <w:tcPr>
            <w:tcW w:w="82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89"/>
              </w:rPr>
              <w:t>1973</w:t>
            </w:r>
          </w:p>
        </w:tc>
        <w:tc>
          <w:tcPr>
            <w:tcW w:w="80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0"/>
              </w:rPr>
              <w:t>12/12/88</w:t>
            </w:r>
          </w:p>
        </w:tc>
        <w:tc>
          <w:tcPr>
            <w:tcW w:w="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SAM’S PARK &amp; SHOP</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(District of</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Columbia)</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DC</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6,319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1,047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7,366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12,206</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2,633</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1930</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12/01/95</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SANTANA ROW</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(California)-PIS</w:t>
            </w:r>
          </w:p>
        </w:tc>
        <w:tc>
          <w:tcPr>
            <w:tcW w:w="340" w:type="dxa"/>
            <w:vAlign w:val="bottom"/>
          </w:tcPr>
          <w:p>
            <w:pPr>
              <w:ind w:left="60"/>
              <w:spacing w:after="0"/>
              <w:rPr>
                <w:sz w:val="20"/>
                <w:szCs w:val="20"/>
                <w:color w:val="auto"/>
              </w:rPr>
            </w:pPr>
            <w:r>
              <w:rPr>
                <w:rFonts w:ascii="Arial" w:cs="Arial" w:eastAsia="Arial" w:hAnsi="Arial"/>
                <w:sz w:val="13"/>
                <w:szCs w:val="13"/>
                <w:color w:val="auto"/>
              </w:rPr>
              <w:t>CA</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41,969</w:t>
            </w:r>
          </w:p>
        </w:tc>
        <w:tc>
          <w:tcPr>
            <w:tcW w:w="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1,161</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419,912</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49,844</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413,198</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463,042</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36,291</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3"/>
              </w:rPr>
              <w:t>1999-2002</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03/05/97</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40 - 50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SAUGUS</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(Massachusetts)</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4,383</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8,291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923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1976</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10/01/96</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SHIRLINGTON</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40" w:type="dxa"/>
            <w:vAlign w:val="bottom"/>
          </w:tcPr>
          <w:p>
            <w:pPr>
              <w:ind w:left="60"/>
              <w:spacing w:after="0"/>
              <w:rPr>
                <w:sz w:val="20"/>
                <w:szCs w:val="20"/>
                <w:color w:val="auto"/>
              </w:rPr>
            </w:pPr>
            <w:r>
              <w:rPr>
                <w:rFonts w:ascii="Arial" w:cs="Arial" w:eastAsia="Arial" w:hAnsi="Arial"/>
                <w:sz w:val="13"/>
                <w:szCs w:val="13"/>
                <w:color w:val="auto"/>
              </w:rPr>
              <w:t>VA</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1,777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9,761</w:t>
            </w:r>
          </w:p>
        </w:tc>
        <w:tc>
          <w:tcPr>
            <w:tcW w:w="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14,808</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18,616</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5,798</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33,424</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39,222</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7,895</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1940</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12/21/95</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SOUTH VALLEY</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SHOPPING</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CENTER (Virginia)</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9,043</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5,082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8,052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9,043</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13,134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22,177</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2003</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6"/>
              </w:rPr>
              <w:t>3/21/03</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THIRD STREET</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PROMENADE (9)</w:t>
            </w:r>
          </w:p>
        </w:tc>
        <w:tc>
          <w:tcPr>
            <w:tcW w:w="340" w:type="dxa"/>
            <w:vAlign w:val="bottom"/>
          </w:tcPr>
          <w:p>
            <w:pPr>
              <w:ind w:left="100"/>
              <w:spacing w:after="0"/>
              <w:rPr>
                <w:sz w:val="20"/>
                <w:szCs w:val="20"/>
                <w:color w:val="auto"/>
              </w:rPr>
            </w:pPr>
            <w:r>
              <w:rPr>
                <w:rFonts w:ascii="Arial" w:cs="Arial" w:eastAsia="Arial" w:hAnsi="Arial"/>
                <w:sz w:val="13"/>
                <w:szCs w:val="13"/>
                <w:color w:val="auto"/>
              </w:rPr>
              <w:t>CA</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22,645</w:t>
            </w:r>
          </w:p>
        </w:tc>
        <w:tc>
          <w:tcPr>
            <w:tcW w:w="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12,709</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38,717</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22,644</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51,427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74,071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14,892</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3"/>
              </w:rPr>
              <w:t>1888-2000</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3"/>
              </w:rPr>
              <w:t>1996-2000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TOWER (Virginia)</w:t>
            </w:r>
          </w:p>
        </w:tc>
        <w:tc>
          <w:tcPr>
            <w:tcW w:w="340" w:type="dxa"/>
            <w:vAlign w:val="bottom"/>
            <w:shd w:val="clear" w:color="auto" w:fill="CCEEFF"/>
          </w:tcPr>
          <w:p>
            <w:pPr>
              <w:ind w:left="60"/>
              <w:spacing w:after="0" w:line="146" w:lineRule="exact"/>
              <w:rPr>
                <w:sz w:val="20"/>
                <w:szCs w:val="20"/>
                <w:color w:val="auto"/>
              </w:rPr>
            </w:pPr>
            <w:r>
              <w:rPr>
                <w:rFonts w:ascii="Arial" w:cs="Arial" w:eastAsia="Arial" w:hAnsi="Arial"/>
                <w:sz w:val="13"/>
                <w:szCs w:val="13"/>
                <w:color w:val="auto"/>
              </w:rPr>
              <w:t>VA</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7,170</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10,518</w:t>
            </w:r>
          </w:p>
        </w:tc>
        <w:tc>
          <w:tcPr>
            <w:tcW w:w="94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1,362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7,129</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11,880</w:t>
            </w:r>
          </w:p>
        </w:tc>
        <w:tc>
          <w:tcPr>
            <w:tcW w:w="6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19,009</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3,350</w:t>
            </w:r>
          </w:p>
        </w:tc>
        <w:tc>
          <w:tcPr>
            <w:tcW w:w="82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3"/>
              </w:rPr>
              <w:t>1953-1960</w:t>
            </w:r>
          </w:p>
        </w:tc>
        <w:tc>
          <w:tcPr>
            <w:tcW w:w="80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08/24/98</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TOWN CENTER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tcPr>
          <w:p>
            <w:pPr>
              <w:ind w:left="220"/>
              <w:spacing w:after="0" w:line="146" w:lineRule="exact"/>
              <w:rPr>
                <w:sz w:val="20"/>
                <w:szCs w:val="20"/>
                <w:color w:val="auto"/>
              </w:rPr>
            </w:pPr>
            <w:r>
              <w:rPr>
                <w:rFonts w:ascii="Arial" w:cs="Arial" w:eastAsia="Arial" w:hAnsi="Arial"/>
                <w:sz w:val="13"/>
                <w:szCs w:val="13"/>
                <w:color w:val="auto"/>
              </w:rPr>
              <w:t>NEW BRITAIN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(Pennsylvania)</w:t>
            </w:r>
          </w:p>
        </w:tc>
        <w:tc>
          <w:tcPr>
            <w:tcW w:w="340" w:type="dxa"/>
            <w:vAlign w:val="bottom"/>
          </w:tcPr>
          <w:p>
            <w:pPr>
              <w:ind w:left="60"/>
              <w:spacing w:after="0"/>
              <w:rPr>
                <w:sz w:val="20"/>
                <w:szCs w:val="20"/>
                <w:color w:val="auto"/>
              </w:rPr>
            </w:pPr>
            <w:r>
              <w:rPr>
                <w:rFonts w:ascii="Arial" w:cs="Arial" w:eastAsia="Arial" w:hAnsi="Arial"/>
                <w:sz w:val="13"/>
                <w:szCs w:val="13"/>
                <w:color w:val="auto"/>
              </w:rPr>
              <w:t>PA</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1,282</w:t>
            </w:r>
          </w:p>
        </w:tc>
        <w:tc>
          <w:tcPr>
            <w:tcW w:w="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12,285</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1,282</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12,541</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13,823</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179</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1969</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06/29/06</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TROY (New Jersey)</w:t>
            </w:r>
          </w:p>
        </w:tc>
        <w:tc>
          <w:tcPr>
            <w:tcW w:w="340" w:type="dxa"/>
            <w:vAlign w:val="bottom"/>
            <w:shd w:val="clear" w:color="auto" w:fill="CCEEFF"/>
          </w:tcPr>
          <w:p>
            <w:pPr>
              <w:ind w:left="60"/>
              <w:spacing w:after="0" w:line="146" w:lineRule="exact"/>
              <w:rPr>
                <w:sz w:val="20"/>
                <w:szCs w:val="20"/>
                <w:color w:val="auto"/>
              </w:rPr>
            </w:pPr>
            <w:r>
              <w:rPr>
                <w:rFonts w:ascii="Arial" w:cs="Arial" w:eastAsia="Arial" w:hAnsi="Arial"/>
                <w:sz w:val="13"/>
                <w:szCs w:val="13"/>
                <w:color w:val="auto"/>
              </w:rPr>
              <w:t>NJ</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3,126</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5,193</w:t>
            </w:r>
          </w:p>
        </w:tc>
        <w:tc>
          <w:tcPr>
            <w:tcW w:w="94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13,273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3,126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18,466</w:t>
            </w:r>
          </w:p>
        </w:tc>
        <w:tc>
          <w:tcPr>
            <w:tcW w:w="6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21,592</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13,408</w:t>
            </w:r>
          </w:p>
        </w:tc>
        <w:tc>
          <w:tcPr>
            <w:tcW w:w="82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89"/>
              </w:rPr>
              <w:t>1966</w:t>
            </w:r>
          </w:p>
        </w:tc>
        <w:tc>
          <w:tcPr>
            <w:tcW w:w="80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07/23/80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22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TYSONS STATION</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40" w:type="dxa"/>
            <w:vAlign w:val="bottom"/>
          </w:tcPr>
          <w:p>
            <w:pPr>
              <w:ind w:left="60"/>
              <w:spacing w:after="0"/>
              <w:rPr>
                <w:sz w:val="20"/>
                <w:szCs w:val="20"/>
                <w:color w:val="auto"/>
              </w:rPr>
            </w:pPr>
            <w:r>
              <w:rPr>
                <w:rFonts w:ascii="Arial" w:cs="Arial" w:eastAsia="Arial" w:hAnsi="Arial"/>
                <w:sz w:val="13"/>
                <w:szCs w:val="13"/>
                <w:color w:val="auto"/>
              </w:rPr>
              <w:t>VA</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6,366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388</w:t>
            </w:r>
          </w:p>
        </w:tc>
        <w:tc>
          <w:tcPr>
            <w:tcW w:w="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453</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2,612</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2,978</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3,453</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2,786</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1954</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01/17/78</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8"/>
              </w:rPr>
              <w:t>17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WESTGATE MALL</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(California)</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6,319</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107,284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1,949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6,319</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109,233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115,552</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7,365</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3"/>
              </w:rPr>
              <w:t>1960-1966</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03/31/04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WILDWOOD</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8"/>
              </w:rPr>
              <w:t xml:space="preserve">33 </w:t>
            </w:r>
            <w:r>
              <w:rPr>
                <w:rFonts w:ascii="Arial" w:cs="Arial" w:eastAsia="Arial" w:hAnsi="Arial"/>
                <w:sz w:val="22"/>
                <w:szCs w:val="22"/>
                <w:color w:val="auto"/>
                <w:w w:val="88"/>
                <w:vertAlign w:val="superscript"/>
              </w:rPr>
              <w:t>1</w:t>
            </w:r>
            <w:r>
              <w:rPr>
                <w:rFonts w:ascii="Arial" w:cs="Arial" w:eastAsia="Arial" w:hAnsi="Arial"/>
                <w:sz w:val="13"/>
                <w:szCs w:val="13"/>
                <w:color w:val="auto"/>
                <w:w w:val="88"/>
              </w:rPr>
              <w:t>/3 years</w:t>
            </w: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(Maryland)</w:t>
            </w:r>
          </w:p>
        </w:tc>
        <w:tc>
          <w:tcPr>
            <w:tcW w:w="340" w:type="dxa"/>
            <w:vAlign w:val="bottom"/>
          </w:tcPr>
          <w:p>
            <w:pPr>
              <w:ind w:left="60"/>
              <w:spacing w:after="0"/>
              <w:rPr>
                <w:sz w:val="20"/>
                <w:szCs w:val="20"/>
                <w:color w:val="auto"/>
              </w:rPr>
            </w:pPr>
            <w:r>
              <w:rPr>
                <w:rFonts w:ascii="Arial" w:cs="Arial" w:eastAsia="Arial" w:hAnsi="Arial"/>
                <w:sz w:val="13"/>
                <w:szCs w:val="13"/>
                <w:color w:val="auto"/>
              </w:rPr>
              <w:t>MD</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26,550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9,111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1,061</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7,384</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9,111</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8,445</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17,556</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6,890</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1958</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05/05/69</w:t>
            </w: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WILLOW GROVE</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6,643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18,537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25,180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26,679</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15,787</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1953</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11/20/84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3"/>
                <w:szCs w:val="13"/>
                <w:color w:val="auto"/>
              </w:rPr>
              <w:t>WILLOW LAWN</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40" w:type="dxa"/>
            <w:vAlign w:val="bottom"/>
          </w:tcPr>
          <w:p>
            <w:pPr>
              <w:ind w:left="60"/>
              <w:spacing w:after="0"/>
              <w:rPr>
                <w:sz w:val="20"/>
                <w:szCs w:val="20"/>
                <w:color w:val="auto"/>
              </w:rPr>
            </w:pPr>
            <w:r>
              <w:rPr>
                <w:rFonts w:ascii="Arial" w:cs="Arial" w:eastAsia="Arial" w:hAnsi="Arial"/>
                <w:sz w:val="13"/>
                <w:szCs w:val="13"/>
                <w:color w:val="auto"/>
              </w:rPr>
              <w:t>VA</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3,192</w:t>
            </w:r>
          </w:p>
        </w:tc>
        <w:tc>
          <w:tcPr>
            <w:tcW w:w="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7,723</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62,879</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7,790</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66,004</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73,794</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31,936</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1957</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0"/>
              </w:rPr>
              <w:t>12/05/83</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7"/>
        </w:trPr>
        <w:tc>
          <w:tcPr>
            <w:tcW w:w="13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WYNNEWOOD</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30,783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27,822</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35,877</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9,954</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1948</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10/29/96</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3"/>
                <w:szCs w:val="13"/>
                <w:color w:val="auto"/>
              </w:rPr>
              <w:t>TOTALS</w:t>
            </w: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460,434</w:t>
            </w:r>
          </w:p>
        </w:tc>
        <w:tc>
          <w:tcPr>
            <w:tcW w:w="6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606,518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w w:val="89"/>
              </w:rPr>
              <w:t>$1,124,977</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    1,487,251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609,294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2,594,964</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3,204,258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740,507</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53"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2006</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Total Cost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$ 2,470,150</w:t>
            </w:r>
          </w:p>
        </w:tc>
        <w:tc>
          <w:tcPr>
            <w:tcW w:w="80" w:type="dxa"/>
            <w:vAlign w:val="bottom"/>
            <w:shd w:val="clear" w:color="auto" w:fill="CCEEFF"/>
          </w:tcPr>
          <w:p>
            <w:pPr>
              <w:spacing w:after="0"/>
              <w:rPr>
                <w:sz w:val="18"/>
                <w:szCs w:val="18"/>
                <w:color w:val="auto"/>
              </w:rPr>
            </w:pPr>
          </w:p>
        </w:tc>
      </w:tr>
      <w:tr>
        <w:trPr>
          <w:trHeight w:val="212"/>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5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Acquisitions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118,066</w:t>
            </w:r>
          </w:p>
        </w:tc>
        <w:tc>
          <w:tcPr>
            <w:tcW w:w="80" w:type="dxa"/>
            <w:vAlign w:val="bottom"/>
            <w:shd w:val="clear" w:color="auto" w:fill="CCEEFF"/>
          </w:tcPr>
          <w:p>
            <w:pPr>
              <w:spacing w:after="0"/>
              <w:rPr>
                <w:sz w:val="18"/>
                <w:szCs w:val="18"/>
                <w:color w:val="auto"/>
              </w:rPr>
            </w:pPr>
          </w:p>
        </w:tc>
      </w:tr>
      <w:tr>
        <w:trPr>
          <w:trHeight w:val="212"/>
        </w:trPr>
        <w:tc>
          <w:tcPr>
            <w:tcW w:w="10500" w:type="dxa"/>
            <w:vAlign w:val="bottom"/>
            <w:gridSpan w:val="2"/>
          </w:tcPr>
          <w:p>
            <w:pPr>
              <w:ind w:left="860"/>
              <w:spacing w:after="0"/>
              <w:rPr>
                <w:sz w:val="20"/>
                <w:szCs w:val="20"/>
                <w:color w:val="auto"/>
              </w:rPr>
            </w:pPr>
            <w:r>
              <w:rPr>
                <w:rFonts w:ascii="Arial" w:cs="Arial" w:eastAsia="Arial" w:hAnsi="Arial"/>
                <w:sz w:val="17"/>
                <w:szCs w:val="17"/>
                <w:color w:val="auto"/>
              </w:rPr>
              <w:t>Improvements</w:t>
            </w:r>
          </w:p>
        </w:tc>
        <w:tc>
          <w:tcPr>
            <w:tcW w:w="840" w:type="dxa"/>
            <w:vAlign w:val="bottom"/>
          </w:tcPr>
          <w:p>
            <w:pPr>
              <w:jc w:val="right"/>
              <w:spacing w:after="0"/>
              <w:rPr>
                <w:sz w:val="20"/>
                <w:szCs w:val="20"/>
                <w:color w:val="auto"/>
              </w:rPr>
            </w:pPr>
            <w:r>
              <w:rPr>
                <w:rFonts w:ascii="Arial" w:cs="Arial" w:eastAsia="Arial" w:hAnsi="Arial"/>
                <w:sz w:val="17"/>
                <w:szCs w:val="17"/>
                <w:color w:val="auto"/>
              </w:rPr>
              <w:t>131,986</w:t>
            </w:r>
          </w:p>
        </w:tc>
        <w:tc>
          <w:tcPr>
            <w:tcW w:w="80" w:type="dxa"/>
            <w:vAlign w:val="bottom"/>
          </w:tcPr>
          <w:p>
            <w:pPr>
              <w:spacing w:after="0"/>
              <w:rPr>
                <w:sz w:val="18"/>
                <w:szCs w:val="18"/>
                <w:color w:val="auto"/>
              </w:rPr>
            </w:pPr>
          </w:p>
        </w:tc>
      </w:tr>
      <w:tr>
        <w:trPr>
          <w:trHeight w:val="212"/>
        </w:trPr>
        <w:tc>
          <w:tcPr>
            <w:tcW w:w="105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(53,926)</w:t>
            </w:r>
          </w:p>
        </w:tc>
      </w:tr>
      <w:tr>
        <w:trPr>
          <w:trHeight w:val="217"/>
        </w:trPr>
        <w:tc>
          <w:tcPr>
            <w:tcW w:w="10500" w:type="dxa"/>
            <w:vAlign w:val="bottom"/>
            <w:gridSpan w:val="2"/>
          </w:tcPr>
          <w:p>
            <w:pPr>
              <w:spacing w:after="0"/>
              <w:rPr>
                <w:sz w:val="20"/>
                <w:szCs w:val="20"/>
                <w:color w:val="auto"/>
              </w:rPr>
            </w:pPr>
            <w:r>
              <w:rPr>
                <w:rFonts w:ascii="Arial" w:cs="Arial" w:eastAsia="Arial" w:hAnsi="Arial"/>
                <w:sz w:val="17"/>
                <w:szCs w:val="17"/>
                <w:color w:val="auto"/>
              </w:rPr>
              <w:t>Balance, December 31, 2004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2,666,276</w:t>
            </w:r>
          </w:p>
        </w:tc>
        <w:tc>
          <w:tcPr>
            <w:tcW w:w="80" w:type="dxa"/>
            <w:vAlign w:val="bottom"/>
          </w:tcPr>
          <w:p>
            <w:pPr>
              <w:spacing w:after="0"/>
              <w:rPr>
                <w:sz w:val="18"/>
                <w:szCs w:val="18"/>
                <w:color w:val="auto"/>
              </w:rPr>
            </w:pPr>
          </w:p>
        </w:tc>
      </w:tr>
      <w:tr>
        <w:trPr>
          <w:trHeight w:val="213"/>
        </w:trPr>
        <w:tc>
          <w:tcPr>
            <w:tcW w:w="105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0500" w:type="dxa"/>
            <w:vAlign w:val="bottom"/>
            <w:gridSpan w:val="2"/>
          </w:tcPr>
          <w:p>
            <w:pPr>
              <w:ind w:left="860"/>
              <w:spacing w:after="0"/>
              <w:rPr>
                <w:sz w:val="20"/>
                <w:szCs w:val="20"/>
                <w:color w:val="auto"/>
              </w:rPr>
            </w:pPr>
            <w:r>
              <w:rPr>
                <w:rFonts w:ascii="Arial" w:cs="Arial" w:eastAsia="Arial" w:hAnsi="Arial"/>
                <w:sz w:val="17"/>
                <w:szCs w:val="17"/>
                <w:color w:val="auto"/>
              </w:rPr>
              <w:t>Acquisitions</w:t>
            </w:r>
          </w:p>
        </w:tc>
        <w:tc>
          <w:tcPr>
            <w:tcW w:w="840" w:type="dxa"/>
            <w:vAlign w:val="bottom"/>
          </w:tcPr>
          <w:p>
            <w:pPr>
              <w:jc w:val="right"/>
              <w:spacing w:after="0"/>
              <w:rPr>
                <w:sz w:val="20"/>
                <w:szCs w:val="20"/>
                <w:color w:val="auto"/>
              </w:rPr>
            </w:pPr>
            <w:r>
              <w:rPr>
                <w:rFonts w:ascii="Arial" w:cs="Arial" w:eastAsia="Arial" w:hAnsi="Arial"/>
                <w:sz w:val="17"/>
                <w:szCs w:val="17"/>
                <w:color w:val="auto"/>
              </w:rPr>
              <w:t>119,194</w:t>
            </w:r>
          </w:p>
        </w:tc>
        <w:tc>
          <w:tcPr>
            <w:tcW w:w="80" w:type="dxa"/>
            <w:vAlign w:val="bottom"/>
          </w:tcPr>
          <w:p>
            <w:pPr>
              <w:spacing w:after="0"/>
              <w:rPr>
                <w:sz w:val="18"/>
                <w:szCs w:val="18"/>
                <w:color w:val="auto"/>
              </w:rPr>
            </w:pPr>
          </w:p>
        </w:tc>
      </w:tr>
      <w:tr>
        <w:trPr>
          <w:trHeight w:val="212"/>
        </w:trPr>
        <w:tc>
          <w:tcPr>
            <w:tcW w:w="105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Improvements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157,104</w:t>
            </w:r>
          </w:p>
        </w:tc>
        <w:tc>
          <w:tcPr>
            <w:tcW w:w="80" w:type="dxa"/>
            <w:vAlign w:val="bottom"/>
            <w:shd w:val="clear" w:color="auto" w:fill="CCEEFF"/>
          </w:tcPr>
          <w:p>
            <w:pPr>
              <w:spacing w:after="0"/>
              <w:rPr>
                <w:sz w:val="18"/>
                <w:szCs w:val="18"/>
                <w:color w:val="auto"/>
              </w:rPr>
            </w:pPr>
          </w:p>
        </w:tc>
      </w:tr>
      <w:tr>
        <w:trPr>
          <w:trHeight w:val="218"/>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(113,253)</w:t>
            </w:r>
          </w:p>
        </w:tc>
      </w:tr>
      <w:tr>
        <w:trPr>
          <w:trHeight w:val="212"/>
        </w:trPr>
        <w:tc>
          <w:tcPr>
            <w:tcW w:w="10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2,829,321</w:t>
            </w:r>
          </w:p>
        </w:tc>
        <w:tc>
          <w:tcPr>
            <w:tcW w:w="80" w:type="dxa"/>
            <w:vAlign w:val="bottom"/>
            <w:shd w:val="clear" w:color="auto" w:fill="CCEEFF"/>
          </w:tcPr>
          <w:p>
            <w:pPr>
              <w:spacing w:after="0"/>
              <w:rPr>
                <w:sz w:val="18"/>
                <w:szCs w:val="18"/>
                <w:color w:val="auto"/>
              </w:rPr>
            </w:pPr>
          </w:p>
        </w:tc>
      </w:tr>
      <w:tr>
        <w:trPr>
          <w:trHeight w:val="212"/>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5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Acquisitions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317,287</w:t>
            </w:r>
          </w:p>
        </w:tc>
        <w:tc>
          <w:tcPr>
            <w:tcW w:w="80" w:type="dxa"/>
            <w:vAlign w:val="bottom"/>
            <w:shd w:val="clear" w:color="auto" w:fill="CCEEFF"/>
          </w:tcPr>
          <w:p>
            <w:pPr>
              <w:spacing w:after="0"/>
              <w:rPr>
                <w:sz w:val="18"/>
                <w:szCs w:val="18"/>
                <w:color w:val="auto"/>
              </w:rPr>
            </w:pPr>
          </w:p>
        </w:tc>
      </w:tr>
      <w:tr>
        <w:trPr>
          <w:trHeight w:val="212"/>
        </w:trPr>
        <w:tc>
          <w:tcPr>
            <w:tcW w:w="10500" w:type="dxa"/>
            <w:vAlign w:val="bottom"/>
            <w:gridSpan w:val="2"/>
          </w:tcPr>
          <w:p>
            <w:pPr>
              <w:ind w:left="860"/>
              <w:spacing w:after="0"/>
              <w:rPr>
                <w:sz w:val="20"/>
                <w:szCs w:val="20"/>
                <w:color w:val="auto"/>
              </w:rPr>
            </w:pPr>
            <w:r>
              <w:rPr>
                <w:rFonts w:ascii="Arial" w:cs="Arial" w:eastAsia="Arial" w:hAnsi="Arial"/>
                <w:sz w:val="17"/>
                <w:szCs w:val="17"/>
                <w:color w:val="auto"/>
              </w:rPr>
              <w:t>Improvements</w:t>
            </w:r>
          </w:p>
        </w:tc>
        <w:tc>
          <w:tcPr>
            <w:tcW w:w="840" w:type="dxa"/>
            <w:vAlign w:val="bottom"/>
          </w:tcPr>
          <w:p>
            <w:pPr>
              <w:jc w:val="right"/>
              <w:spacing w:after="0"/>
              <w:rPr>
                <w:sz w:val="20"/>
                <w:szCs w:val="20"/>
                <w:color w:val="auto"/>
              </w:rPr>
            </w:pPr>
            <w:r>
              <w:rPr>
                <w:rFonts w:ascii="Arial" w:cs="Arial" w:eastAsia="Arial" w:hAnsi="Arial"/>
                <w:sz w:val="17"/>
                <w:szCs w:val="17"/>
                <w:color w:val="auto"/>
              </w:rPr>
              <w:t>112,930</w:t>
            </w:r>
          </w:p>
        </w:tc>
        <w:tc>
          <w:tcPr>
            <w:tcW w:w="80" w:type="dxa"/>
            <w:vAlign w:val="bottom"/>
          </w:tcPr>
          <w:p>
            <w:pPr>
              <w:spacing w:after="0"/>
              <w:rPr>
                <w:sz w:val="18"/>
                <w:szCs w:val="18"/>
                <w:color w:val="auto"/>
              </w:rPr>
            </w:pPr>
          </w:p>
        </w:tc>
      </w:tr>
      <w:tr>
        <w:trPr>
          <w:trHeight w:val="212"/>
        </w:trPr>
        <w:tc>
          <w:tcPr>
            <w:tcW w:w="105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(55,280)</w:t>
            </w:r>
          </w:p>
        </w:tc>
      </w:tr>
      <w:tr>
        <w:trPr>
          <w:trHeight w:val="217"/>
        </w:trPr>
        <w:tc>
          <w:tcPr>
            <w:tcW w:w="10500" w:type="dxa"/>
            <w:vAlign w:val="bottom"/>
            <w:gridSpan w:val="2"/>
          </w:tcPr>
          <w:p>
            <w:pPr>
              <w:spacing w:after="0"/>
              <w:rPr>
                <w:sz w:val="20"/>
                <w:szCs w:val="20"/>
                <w:color w:val="auto"/>
              </w:rPr>
            </w:pPr>
            <w:r>
              <w:rPr>
                <w:rFonts w:ascii="Arial" w:cs="Arial" w:eastAsia="Arial" w:hAnsi="Arial"/>
                <w:sz w:val="17"/>
                <w:szCs w:val="17"/>
                <w:color w:val="auto"/>
              </w:rPr>
              <w:t>Balance, December 31, 2006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$ 3,204,258</w:t>
            </w:r>
          </w:p>
        </w:tc>
        <w:tc>
          <w:tcPr>
            <w:tcW w:w="8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(A)</w:t>
        <w:tab/>
        <w:t>For Federal tax purposes, the aggregate cost basis is approximately $2.8 billion as of December 31, 2006.</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53"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2006</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Accumulated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 and Amortization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2003</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6060" w:type="dxa"/>
            <w:vAlign w:val="bottom"/>
            <w:gridSpan w:val="2"/>
          </w:tcPr>
          <w:p>
            <w:pPr>
              <w:jc w:val="right"/>
              <w:spacing w:after="0"/>
              <w:rPr>
                <w:sz w:val="20"/>
                <w:szCs w:val="20"/>
                <w:color w:val="auto"/>
              </w:rPr>
            </w:pPr>
            <w:r>
              <w:rPr>
                <w:rFonts w:ascii="Arial" w:cs="Arial" w:eastAsia="Arial" w:hAnsi="Arial"/>
                <w:sz w:val="17"/>
                <w:szCs w:val="17"/>
                <w:color w:val="auto"/>
              </w:rPr>
              <w:t>82,551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Deductions during period—disposition and retirements of property</w:t>
            </w:r>
          </w:p>
        </w:tc>
        <w:tc>
          <w:tcPr>
            <w:tcW w:w="5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(1,390)</w:t>
            </w: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7"/>
                <w:szCs w:val="17"/>
                <w:color w:val="auto"/>
              </w:rPr>
              <w:t>Balance, December 31, 2004</w:t>
            </w:r>
          </w:p>
        </w:tc>
        <w:tc>
          <w:tcPr>
            <w:tcW w:w="54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420"/>
              <w:spacing w:after="0"/>
              <w:rPr>
                <w:sz w:val="20"/>
                <w:szCs w:val="20"/>
                <w:color w:val="auto"/>
              </w:rPr>
            </w:pPr>
            <w:r>
              <w:rPr>
                <w:rFonts w:ascii="Arial" w:cs="Arial" w:eastAsia="Arial" w:hAnsi="Arial"/>
                <w:sz w:val="17"/>
                <w:szCs w:val="17"/>
                <w:color w:val="auto"/>
                <w:w w:val="98"/>
              </w:rPr>
              <w:t>Deductions during period—disposition and retirements of property</w:t>
            </w:r>
          </w:p>
        </w:tc>
        <w:tc>
          <w:tcPr>
            <w:tcW w:w="5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(15,244)</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2005</w:t>
            </w:r>
          </w:p>
        </w:tc>
        <w:tc>
          <w:tcPr>
            <w:tcW w:w="5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6060" w:type="dxa"/>
            <w:vAlign w:val="bottom"/>
            <w:gridSpan w:val="2"/>
          </w:tcPr>
          <w:p>
            <w:pPr>
              <w:jc w:val="right"/>
              <w:spacing w:after="0"/>
              <w:rPr>
                <w:sz w:val="20"/>
                <w:szCs w:val="20"/>
                <w:color w:val="auto"/>
              </w:rPr>
            </w:pPr>
            <w:r>
              <w:rPr>
                <w:rFonts w:ascii="Arial" w:cs="Arial" w:eastAsia="Arial" w:hAnsi="Arial"/>
                <w:sz w:val="17"/>
                <w:szCs w:val="17"/>
                <w:color w:val="auto"/>
              </w:rPr>
              <w:t>89,564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Deductions during period—disposition and retirements of property</w:t>
            </w:r>
          </w:p>
        </w:tc>
        <w:tc>
          <w:tcPr>
            <w:tcW w:w="5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(12,807)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color w:val="auto"/>
              </w:rPr>
              <w:t>Balance, December 31, 2006</w:t>
            </w:r>
          </w:p>
        </w:tc>
        <w:tc>
          <w:tcPr>
            <w:tcW w:w="5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740,507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300" w:type="dxa"/>
            <w:vAlign w:val="bottom"/>
          </w:tcPr>
          <w:p>
            <w:pPr>
              <w:spacing w:after="0"/>
              <w:rPr>
                <w:sz w:val="24"/>
                <w:szCs w:val="24"/>
                <w:color w:val="auto"/>
              </w:rPr>
            </w:pPr>
          </w:p>
        </w:tc>
        <w:tc>
          <w:tcPr>
            <w:tcW w:w="6120" w:type="dxa"/>
            <w:vAlign w:val="bottom"/>
            <w:gridSpan w:val="3"/>
          </w:tcPr>
          <w:p>
            <w:pPr>
              <w:jc w:val="right"/>
              <w:ind w:right="5540"/>
              <w:spacing w:after="0"/>
              <w:rPr>
                <w:sz w:val="20"/>
                <w:szCs w:val="20"/>
                <w:color w:val="auto"/>
              </w:rPr>
            </w:pPr>
            <w:r>
              <w:rPr>
                <w:rFonts w:ascii="Arial" w:cs="Arial" w:eastAsia="Arial" w:hAnsi="Arial"/>
                <w:sz w:val="17"/>
                <w:szCs w:val="17"/>
                <w:color w:val="auto"/>
              </w:rPr>
              <w:t>F-39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MORTGAGE LOANS ON REAL ESTATE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gridSpan w:val="2"/>
          </w:tcPr>
          <w:p>
            <w:pPr>
              <w:ind w:left="920"/>
              <w:spacing w:after="0"/>
              <w:rPr>
                <w:sz w:val="20"/>
                <w:szCs w:val="20"/>
                <w:color w:val="auto"/>
              </w:rPr>
            </w:pPr>
            <w:r>
              <w:rPr>
                <w:rFonts w:ascii="Arial" w:cs="Arial" w:eastAsia="Arial" w:hAnsi="Arial"/>
                <w:sz w:val="13"/>
                <w:szCs w:val="13"/>
                <w:b w:val="1"/>
                <w:bCs w:val="1"/>
                <w:color w:val="auto"/>
              </w:rPr>
              <w:t>Column A</w:t>
            </w:r>
          </w:p>
        </w:tc>
        <w:tc>
          <w:tcPr>
            <w:tcW w:w="340" w:type="dxa"/>
            <w:vAlign w:val="bottom"/>
          </w:tcPr>
          <w:p>
            <w:pPr>
              <w:spacing w:after="0"/>
              <w:rPr>
                <w:sz w:val="14"/>
                <w:szCs w:val="14"/>
                <w:color w:val="auto"/>
              </w:rPr>
            </w:pPr>
          </w:p>
        </w:tc>
        <w:tc>
          <w:tcPr>
            <w:tcW w:w="1700" w:type="dxa"/>
            <w:vAlign w:val="bottom"/>
          </w:tcPr>
          <w:p>
            <w:pPr>
              <w:ind w:left="560"/>
              <w:spacing w:after="0"/>
              <w:rPr>
                <w:sz w:val="20"/>
                <w:szCs w:val="20"/>
                <w:color w:val="auto"/>
              </w:rPr>
            </w:pPr>
            <w:r>
              <w:rPr>
                <w:rFonts w:ascii="Arial" w:cs="Arial" w:eastAsia="Arial" w:hAnsi="Arial"/>
                <w:sz w:val="13"/>
                <w:szCs w:val="13"/>
                <w:b w:val="1"/>
                <w:bCs w:val="1"/>
                <w:color w:val="auto"/>
              </w:rPr>
              <w:t>Column B</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Column C</w:t>
            </w:r>
          </w:p>
        </w:tc>
        <w:tc>
          <w:tcPr>
            <w:tcW w:w="3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Column D</w:t>
            </w: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Column 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b w:val="1"/>
                <w:bCs w:val="1"/>
                <w:color w:val="auto"/>
                <w:w w:val="93"/>
              </w:rPr>
              <w:t>Column 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Column G</w:t>
            </w:r>
          </w:p>
        </w:tc>
        <w:tc>
          <w:tcPr>
            <w:tcW w:w="0" w:type="dxa"/>
            <w:vAlign w:val="bottom"/>
          </w:tcPr>
          <w:p>
            <w:pPr>
              <w:spacing w:after="0"/>
              <w:rPr>
                <w:sz w:val="1"/>
                <w:szCs w:val="1"/>
                <w:color w:val="auto"/>
              </w:rPr>
            </w:pPr>
          </w:p>
        </w:tc>
      </w:tr>
      <w:tr>
        <w:trPr>
          <w:trHeight w:val="133"/>
        </w:trPr>
        <w:tc>
          <w:tcPr>
            <w:tcW w:w="1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Periodic Payment</w:t>
            </w:r>
          </w:p>
        </w:tc>
        <w:tc>
          <w:tcPr>
            <w:tcW w:w="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
              <w:spacing w:after="0" w:line="133"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8"/>
              </w:rPr>
              <w:t>Prior</w:t>
            </w:r>
          </w:p>
        </w:tc>
        <w:tc>
          <w:tcPr>
            <w:tcW w:w="3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w w:val="89"/>
              </w:rPr>
              <w:t>Face Amount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Description of Lien</w:t>
            </w:r>
          </w:p>
        </w:tc>
        <w:tc>
          <w:tcPr>
            <w:tcW w:w="340" w:type="dxa"/>
            <w:vAlign w:val="bottom"/>
          </w:tcPr>
          <w:p>
            <w:pPr>
              <w:spacing w:after="0"/>
              <w:rPr>
                <w:sz w:val="14"/>
                <w:szCs w:val="14"/>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3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Terms</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Liens</w:t>
            </w:r>
          </w:p>
        </w:tc>
        <w:tc>
          <w:tcPr>
            <w:tcW w:w="32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of Mortgages</w:t>
            </w:r>
          </w:p>
        </w:tc>
        <w:tc>
          <w:tcPr>
            <w:tcW w:w="3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Mortgages (1)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Mortgage on Hotel in San Jose,</w:t>
            </w:r>
          </w:p>
        </w:tc>
        <w:tc>
          <w:tcPr>
            <w:tcW w:w="20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9%</w:t>
            </w: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0"/>
              </w:rPr>
              <w:t>August 2016</w:t>
            </w:r>
          </w:p>
        </w:tc>
        <w:tc>
          <w:tcPr>
            <w:tcW w:w="3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Principal and interest;</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12,451</w:t>
            </w:r>
          </w:p>
        </w:tc>
        <w:tc>
          <w:tcPr>
            <w:tcW w:w="0" w:type="dxa"/>
            <w:vAlign w:val="bottom"/>
          </w:tcPr>
          <w:p>
            <w:pPr>
              <w:spacing w:after="0"/>
              <w:rPr>
                <w:sz w:val="1"/>
                <w:szCs w:val="1"/>
                <w:color w:val="auto"/>
              </w:rPr>
            </w:pPr>
          </w:p>
        </w:tc>
      </w:tr>
      <w:tr>
        <w:trPr>
          <w:trHeight w:val="212"/>
        </w:trPr>
        <w:tc>
          <w:tcPr>
            <w:tcW w:w="2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balloon payment due at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maturity (2)</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2400" w:type="dxa"/>
            <w:vAlign w:val="bottom"/>
            <w:gridSpan w:val="2"/>
          </w:tcPr>
          <w:p>
            <w:pPr>
              <w:spacing w:after="0"/>
              <w:rPr>
                <w:sz w:val="20"/>
                <w:szCs w:val="20"/>
                <w:color w:val="auto"/>
              </w:rPr>
            </w:pPr>
            <w:r>
              <w:rPr>
                <w:rFonts w:ascii="Arial" w:cs="Arial" w:eastAsia="Arial" w:hAnsi="Arial"/>
                <w:sz w:val="17"/>
                <w:szCs w:val="17"/>
                <w:color w:val="auto"/>
              </w:rPr>
              <w:t>Mortgage on retail</w:t>
            </w:r>
          </w:p>
        </w:tc>
        <w:tc>
          <w:tcPr>
            <w:tcW w:w="3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Greater of prime</w:t>
            </w:r>
          </w:p>
        </w:tc>
        <w:tc>
          <w:tcPr>
            <w:tcW w:w="1220" w:type="dxa"/>
            <w:vAlign w:val="bottom"/>
            <w:gridSpan w:val="2"/>
          </w:tcPr>
          <w:p>
            <w:pPr>
              <w:ind w:left="340"/>
              <w:spacing w:after="0"/>
              <w:rPr>
                <w:sz w:val="20"/>
                <w:szCs w:val="20"/>
                <w:color w:val="auto"/>
              </w:rPr>
            </w:pPr>
            <w:r>
              <w:rPr>
                <w:rFonts w:ascii="Arial" w:cs="Arial" w:eastAsia="Arial" w:hAnsi="Arial"/>
                <w:sz w:val="17"/>
                <w:szCs w:val="17"/>
                <w:color w:val="auto"/>
              </w:rPr>
              <w:t>May 2021</w:t>
            </w:r>
          </w:p>
        </w:tc>
        <w:tc>
          <w:tcPr>
            <w:tcW w:w="3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Interest only</w:t>
            </w:r>
          </w:p>
        </w:tc>
        <w:tc>
          <w:tcPr>
            <w:tcW w:w="3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19,055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19,055(3)</w:t>
            </w:r>
          </w:p>
        </w:tc>
        <w:tc>
          <w:tcPr>
            <w:tcW w:w="0" w:type="dxa"/>
            <w:vAlign w:val="bottom"/>
          </w:tcPr>
          <w:p>
            <w:pPr>
              <w:spacing w:after="0"/>
              <w:rPr>
                <w:sz w:val="1"/>
                <w:szCs w:val="1"/>
                <w:color w:val="auto"/>
              </w:rPr>
            </w:pPr>
          </w:p>
        </w:tc>
      </w:tr>
      <w:tr>
        <w:trPr>
          <w:trHeight w:val="212"/>
        </w:trPr>
        <w:tc>
          <w:tcPr>
            <w:tcW w:w="2400" w:type="dxa"/>
            <w:vAlign w:val="bottom"/>
            <w:gridSpan w:val="2"/>
          </w:tcPr>
          <w:p>
            <w:pPr>
              <w:spacing w:after="0"/>
              <w:rPr>
                <w:sz w:val="20"/>
                <w:szCs w:val="20"/>
                <w:color w:val="auto"/>
              </w:rPr>
            </w:pPr>
            <w:r>
              <w:rPr>
                <w:rFonts w:ascii="Arial" w:cs="Arial" w:eastAsia="Arial" w:hAnsi="Arial"/>
                <w:sz w:val="17"/>
                <w:szCs w:val="17"/>
                <w:color w:val="auto"/>
              </w:rPr>
              <w:t>buildings in Philadelphia, PA</w:t>
            </w:r>
          </w:p>
        </w:tc>
        <w:tc>
          <w:tcPr>
            <w:tcW w:w="3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plus 2% or 10%</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monthly; balloon payment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plus participation</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due at maturity</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on retail</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10% plus participation</w:t>
            </w: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May 2021</w:t>
            </w:r>
          </w:p>
        </w:tc>
        <w:tc>
          <w:tcPr>
            <w:tcW w:w="3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Interest only;</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9,250</w:t>
            </w:r>
          </w:p>
        </w:tc>
        <w:tc>
          <w:tcPr>
            <w:tcW w:w="0" w:type="dxa"/>
            <w:vAlign w:val="bottom"/>
          </w:tcPr>
          <w:p>
            <w:pPr>
              <w:spacing w:after="0"/>
              <w:rPr>
                <w:sz w:val="1"/>
                <w:szCs w:val="1"/>
                <w:color w:val="auto"/>
              </w:rPr>
            </w:pPr>
          </w:p>
        </w:tc>
      </w:tr>
      <w:tr>
        <w:trPr>
          <w:trHeight w:val="212"/>
        </w:trPr>
        <w:tc>
          <w:tcPr>
            <w:tcW w:w="2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 in Philadelphia, PA</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balloon payment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due at maturity</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45,800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40,756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4"/>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For Federal tax purposes, the aggregate tax basis is approximately $45.8 million as of December 31, 2006. No payments are delinquent on these mortgages.</w:t>
      </w:r>
    </w:p>
    <w:p>
      <w:pPr>
        <w:spacing w:after="0" w:line="44" w:lineRule="exact"/>
        <w:rPr>
          <w:rFonts w:ascii="Arial" w:cs="Arial" w:eastAsia="Arial" w:hAnsi="Arial"/>
          <w:sz w:val="15"/>
          <w:szCs w:val="15"/>
          <w:color w:val="auto"/>
        </w:rPr>
      </w:pPr>
    </w:p>
    <w:p>
      <w:pPr>
        <w:ind w:left="460" w:right="100" w:hanging="454"/>
        <w:spacing w:after="0" w:line="260"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This note was amended on August 4, 2006. The amended note decreased the interest from 14% to 9% per annum, and requires monthly payments of principal and interest based on 15-year amortization schedule.</w:t>
      </w:r>
    </w:p>
    <w:p>
      <w:pPr>
        <w:ind w:left="460" w:hanging="454"/>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This mortgage is available for up to $25.0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420"/>
          </w:cols>
          <w:pgMar w:left="240" w:top="453"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rPr>
              <w:t>FEDERAL REALTY INVESTMENT TRUST</w:t>
            </w:r>
          </w:p>
        </w:tc>
      </w:tr>
      <w:tr>
        <w:trPr>
          <w:trHeight w:val="212"/>
        </w:trPr>
        <w:tc>
          <w:tcPr>
            <w:tcW w:w="340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rPr>
              <w:t>SCHEDULE IV</w:t>
            </w:r>
          </w:p>
        </w:tc>
      </w:tr>
      <w:tr>
        <w:trPr>
          <w:trHeight w:val="212"/>
        </w:trPr>
        <w:tc>
          <w:tcPr>
            <w:tcW w:w="340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rPr>
              <w:t>MORTGAGE LOANS ON REAL ESTATE—CONTINUED</w:t>
            </w:r>
          </w:p>
        </w:tc>
      </w:tr>
      <w:tr>
        <w:trPr>
          <w:trHeight w:val="223"/>
        </w:trPr>
        <w:tc>
          <w:tcPr>
            <w:tcW w:w="3400" w:type="dxa"/>
            <w:vAlign w:val="bottom"/>
          </w:tcPr>
          <w:p>
            <w:pPr>
              <w:spacing w:after="0"/>
              <w:rPr>
                <w:sz w:val="19"/>
                <w:szCs w:val="19"/>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w w:val="91"/>
              </w:rPr>
              <w:t>Three Years Ended December 31, 2006</w:t>
            </w:r>
          </w:p>
        </w:tc>
      </w:tr>
      <w:tr>
        <w:trPr>
          <w:trHeight w:val="280"/>
        </w:trPr>
        <w:tc>
          <w:tcPr>
            <w:tcW w:w="3400" w:type="dxa"/>
            <w:vAlign w:val="bottom"/>
          </w:tcPr>
          <w:p>
            <w:pPr>
              <w:spacing w:after="0"/>
              <w:rPr>
                <w:sz w:val="24"/>
                <w:szCs w:val="24"/>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w w:val="92"/>
              </w:rPr>
              <w:t>Reconciliation of Carrying Amount</w:t>
            </w:r>
          </w:p>
        </w:tc>
      </w:tr>
      <w:tr>
        <w:trPr>
          <w:trHeight w:val="223"/>
        </w:trPr>
        <w:tc>
          <w:tcPr>
            <w:tcW w:w="3400" w:type="dxa"/>
            <w:vAlign w:val="bottom"/>
          </w:tcPr>
          <w:p>
            <w:pPr>
              <w:spacing w:after="0"/>
              <w:rPr>
                <w:sz w:val="19"/>
                <w:szCs w:val="19"/>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w w:val="88"/>
              </w:rPr>
              <w:t>(in thousands)</w:t>
            </w:r>
          </w:p>
        </w:tc>
      </w:tr>
      <w:tr>
        <w:trPr>
          <w:trHeight w:val="202"/>
        </w:trPr>
        <w:tc>
          <w:tcPr>
            <w:tcW w:w="340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2003</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$41,500</w:t>
            </w:r>
          </w:p>
        </w:tc>
        <w:tc>
          <w:tcPr>
            <w:tcW w:w="60" w:type="dxa"/>
            <w:vAlign w:val="bottom"/>
            <w:shd w:val="clear" w:color="auto" w:fill="CCEEFF"/>
          </w:tcPr>
          <w:p>
            <w:pPr>
              <w:spacing w:after="0"/>
              <w:rPr>
                <w:sz w:val="18"/>
                <w:szCs w:val="18"/>
                <w:color w:val="auto"/>
              </w:rPr>
            </w:pPr>
          </w:p>
        </w:tc>
      </w:tr>
      <w:tr>
        <w:trPr>
          <w:trHeight w:val="212"/>
        </w:trPr>
        <w:tc>
          <w:tcPr>
            <w:tcW w:w="340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Issuance of loans</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6,153</w:t>
            </w:r>
          </w:p>
        </w:tc>
        <w:tc>
          <w:tcPr>
            <w:tcW w:w="60" w:type="dxa"/>
            <w:vAlign w:val="bottom"/>
            <w:shd w:val="clear" w:color="auto" w:fill="CCEEFF"/>
          </w:tcPr>
          <w:p>
            <w:pPr>
              <w:spacing w:after="0"/>
              <w:rPr>
                <w:sz w:val="18"/>
                <w:szCs w:val="18"/>
                <w:color w:val="auto"/>
              </w:rPr>
            </w:pPr>
          </w:p>
        </w:tc>
      </w:tr>
      <w:tr>
        <w:trPr>
          <w:trHeight w:val="212"/>
        </w:trPr>
        <w:tc>
          <w:tcPr>
            <w:tcW w:w="340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18"/>
        </w:trPr>
        <w:tc>
          <w:tcPr>
            <w:tcW w:w="3400" w:type="dxa"/>
            <w:vAlign w:val="bottom"/>
          </w:tcPr>
          <w:p>
            <w:pPr>
              <w:ind w:left="860"/>
              <w:spacing w:after="0"/>
              <w:rPr>
                <w:sz w:val="20"/>
                <w:szCs w:val="20"/>
                <w:color w:val="auto"/>
              </w:rPr>
            </w:pPr>
            <w:r>
              <w:rPr>
                <w:rFonts w:ascii="Arial" w:cs="Arial" w:eastAsia="Arial" w:hAnsi="Arial"/>
                <w:sz w:val="17"/>
                <w:szCs w:val="17"/>
                <w:color w:val="auto"/>
              </w:rPr>
              <w:t>Allowance for collectibility</w:t>
            </w:r>
          </w:p>
        </w:tc>
        <w:tc>
          <w:tcPr>
            <w:tcW w:w="7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(4,521)</w:t>
            </w:r>
          </w:p>
        </w:tc>
      </w:tr>
      <w:tr>
        <w:trPr>
          <w:trHeight w:val="212"/>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2004</w:t>
            </w:r>
          </w:p>
        </w:tc>
        <w:tc>
          <w:tcPr>
            <w:tcW w:w="7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42,909</w:t>
            </w:r>
          </w:p>
        </w:tc>
        <w:tc>
          <w:tcPr>
            <w:tcW w:w="60" w:type="dxa"/>
            <w:vAlign w:val="bottom"/>
            <w:shd w:val="clear" w:color="auto" w:fill="CCEEFF"/>
          </w:tcPr>
          <w:p>
            <w:pPr>
              <w:spacing w:after="0"/>
              <w:rPr>
                <w:sz w:val="18"/>
                <w:szCs w:val="18"/>
                <w:color w:val="auto"/>
              </w:rPr>
            </w:pPr>
          </w:p>
        </w:tc>
      </w:tr>
      <w:tr>
        <w:trPr>
          <w:trHeight w:val="212"/>
        </w:trPr>
        <w:tc>
          <w:tcPr>
            <w:tcW w:w="340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Issuance of loans</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4,974</w:t>
            </w:r>
          </w:p>
        </w:tc>
        <w:tc>
          <w:tcPr>
            <w:tcW w:w="60" w:type="dxa"/>
            <w:vAlign w:val="bottom"/>
            <w:shd w:val="clear" w:color="auto" w:fill="CCEEFF"/>
          </w:tcPr>
          <w:p>
            <w:pPr>
              <w:spacing w:after="0"/>
              <w:rPr>
                <w:sz w:val="18"/>
                <w:szCs w:val="18"/>
                <w:color w:val="auto"/>
              </w:rPr>
            </w:pPr>
          </w:p>
        </w:tc>
      </w:tr>
      <w:tr>
        <w:trPr>
          <w:trHeight w:val="212"/>
        </w:trPr>
        <w:tc>
          <w:tcPr>
            <w:tcW w:w="340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(6,871)</w:t>
            </w:r>
          </w:p>
        </w:tc>
      </w:tr>
      <w:tr>
        <w:trPr>
          <w:trHeight w:val="218"/>
        </w:trPr>
        <w:tc>
          <w:tcPr>
            <w:tcW w:w="3400" w:type="dxa"/>
            <w:vAlign w:val="bottom"/>
          </w:tcPr>
          <w:p>
            <w:pPr>
              <w:ind w:left="860"/>
              <w:spacing w:after="0"/>
              <w:rPr>
                <w:sz w:val="20"/>
                <w:szCs w:val="20"/>
                <w:color w:val="auto"/>
              </w:rPr>
            </w:pPr>
            <w:r>
              <w:rPr>
                <w:rFonts w:ascii="Arial" w:cs="Arial" w:eastAsia="Arial" w:hAnsi="Arial"/>
                <w:sz w:val="17"/>
                <w:szCs w:val="17"/>
                <w:color w:val="auto"/>
              </w:rPr>
              <w:t>Allowance for collectibility</w:t>
            </w:r>
          </w:p>
        </w:tc>
        <w:tc>
          <w:tcPr>
            <w:tcW w:w="7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(481)</w:t>
            </w:r>
          </w:p>
        </w:tc>
      </w:tr>
      <w:tr>
        <w:trPr>
          <w:trHeight w:val="212"/>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2005</w:t>
            </w:r>
          </w:p>
        </w:tc>
        <w:tc>
          <w:tcPr>
            <w:tcW w:w="7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40,531</w:t>
            </w:r>
          </w:p>
        </w:tc>
        <w:tc>
          <w:tcPr>
            <w:tcW w:w="60" w:type="dxa"/>
            <w:vAlign w:val="bottom"/>
            <w:shd w:val="clear" w:color="auto" w:fill="CCEEFF"/>
          </w:tcPr>
          <w:p>
            <w:pPr>
              <w:spacing w:after="0"/>
              <w:rPr>
                <w:sz w:val="18"/>
                <w:szCs w:val="18"/>
                <w:color w:val="auto"/>
              </w:rPr>
            </w:pPr>
          </w:p>
        </w:tc>
      </w:tr>
      <w:tr>
        <w:trPr>
          <w:trHeight w:val="212"/>
        </w:trPr>
        <w:tc>
          <w:tcPr>
            <w:tcW w:w="340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Issuance of loans</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60" w:type="dxa"/>
            <w:vAlign w:val="bottom"/>
            <w:shd w:val="clear" w:color="auto" w:fill="CCEEFF"/>
          </w:tcPr>
          <w:p>
            <w:pPr>
              <w:spacing w:after="0"/>
              <w:rPr>
                <w:sz w:val="18"/>
                <w:szCs w:val="18"/>
                <w:color w:val="auto"/>
              </w:rPr>
            </w:pPr>
          </w:p>
        </w:tc>
      </w:tr>
      <w:tr>
        <w:trPr>
          <w:trHeight w:val="212"/>
        </w:trPr>
        <w:tc>
          <w:tcPr>
            <w:tcW w:w="340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(4,055)</w:t>
            </w:r>
          </w:p>
        </w:tc>
      </w:tr>
      <w:tr>
        <w:trPr>
          <w:trHeight w:val="212"/>
        </w:trPr>
        <w:tc>
          <w:tcPr>
            <w:tcW w:w="3400" w:type="dxa"/>
            <w:vAlign w:val="bottom"/>
          </w:tcPr>
          <w:p>
            <w:pPr>
              <w:ind w:left="860"/>
              <w:spacing w:after="0"/>
              <w:rPr>
                <w:sz w:val="20"/>
                <w:szCs w:val="20"/>
                <w:color w:val="auto"/>
              </w:rPr>
            </w:pPr>
            <w:r>
              <w:rPr>
                <w:rFonts w:ascii="Arial" w:cs="Arial" w:eastAsia="Arial" w:hAnsi="Arial"/>
                <w:sz w:val="17"/>
                <w:szCs w:val="17"/>
                <w:color w:val="auto"/>
              </w:rPr>
              <w:t>Allowance for collectibility</w:t>
            </w:r>
          </w:p>
        </w:tc>
        <w:tc>
          <w:tcPr>
            <w:tcW w:w="8020" w:type="dxa"/>
            <w:vAlign w:val="bottom"/>
            <w:gridSpan w:val="3"/>
          </w:tcPr>
          <w:p>
            <w:pPr>
              <w:jc w:val="right"/>
              <w:spacing w:after="0"/>
              <w:rPr>
                <w:sz w:val="20"/>
                <w:szCs w:val="20"/>
                <w:color w:val="auto"/>
              </w:rPr>
            </w:pPr>
            <w:r>
              <w:rPr>
                <w:rFonts w:ascii="Arial" w:cs="Arial" w:eastAsia="Arial" w:hAnsi="Arial"/>
                <w:sz w:val="17"/>
                <w:szCs w:val="17"/>
                <w:color w:val="auto"/>
              </w:rPr>
              <w:t>(280)</w:t>
            </w:r>
          </w:p>
        </w:tc>
      </w:tr>
      <w:tr>
        <w:trPr>
          <w:trHeight w:val="212"/>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Amortization of discount</w:t>
            </w:r>
          </w:p>
        </w:tc>
        <w:tc>
          <w:tcPr>
            <w:tcW w:w="7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60" w:type="dxa"/>
            <w:vAlign w:val="bottom"/>
            <w:shd w:val="clear" w:color="auto" w:fill="CCEEFF"/>
          </w:tcPr>
          <w:p>
            <w:pPr>
              <w:spacing w:after="0"/>
              <w:rPr>
                <w:sz w:val="18"/>
                <w:szCs w:val="18"/>
                <w:color w:val="auto"/>
              </w:rPr>
            </w:pPr>
          </w:p>
        </w:tc>
      </w:tr>
      <w:tr>
        <w:trPr>
          <w:trHeight w:val="217"/>
        </w:trPr>
        <w:tc>
          <w:tcPr>
            <w:tcW w:w="3400" w:type="dxa"/>
            <w:vAlign w:val="bottom"/>
          </w:tcPr>
          <w:p>
            <w:pPr>
              <w:spacing w:after="0"/>
              <w:rPr>
                <w:sz w:val="20"/>
                <w:szCs w:val="20"/>
                <w:color w:val="auto"/>
              </w:rPr>
            </w:pPr>
            <w:r>
              <w:rPr>
                <w:rFonts w:ascii="Arial" w:cs="Arial" w:eastAsia="Arial" w:hAnsi="Arial"/>
                <w:sz w:val="17"/>
                <w:szCs w:val="17"/>
                <w:color w:val="auto"/>
              </w:rPr>
              <w:t>Balance, December 31, 2006</w:t>
            </w:r>
          </w:p>
        </w:tc>
        <w:tc>
          <w:tcPr>
            <w:tcW w:w="73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40,756</w:t>
            </w:r>
          </w:p>
        </w:tc>
        <w:tc>
          <w:tcPr>
            <w:tcW w:w="6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3400" w:type="dxa"/>
            <w:vAlign w:val="bottom"/>
          </w:tcPr>
          <w:p>
            <w:pPr>
              <w:spacing w:after="0"/>
              <w:rPr>
                <w:sz w:val="24"/>
                <w:szCs w:val="24"/>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color w:val="auto"/>
                <w:w w:val="91"/>
              </w:rPr>
              <w:t>F-41</w:t>
            </w:r>
          </w:p>
        </w:tc>
      </w:tr>
    </w:tbl>
    <w:p>
      <w:pPr>
        <w:sectPr>
          <w:pgSz w:w="11900" w:h="16838" w:orient="portrait"/>
          <w:cols w:equalWidth="0" w:num="1">
            <w:col w:w="11420"/>
          </w:cols>
          <w:pgMar w:left="240" w:top="453"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320" w:type="dxa"/>
            <w:vAlign w:val="bottom"/>
          </w:tcPr>
          <w:p>
            <w:pPr>
              <w:ind w:left="39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35"/>
        </w:trPr>
        <w:tc>
          <w:tcPr>
            <w:tcW w:w="11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w w:val="92"/>
              </w:rPr>
              <w:t>Exhibit</w:t>
            </w:r>
          </w:p>
        </w:tc>
        <w:tc>
          <w:tcPr>
            <w:tcW w:w="1032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5"/>
        </w:trPr>
        <w:tc>
          <w:tcPr>
            <w:tcW w:w="1100" w:type="dxa"/>
            <w:vAlign w:val="bottom"/>
            <w:gridSpan w:val="2"/>
          </w:tcPr>
          <w:p>
            <w:pPr>
              <w:jc w:val="right"/>
              <w:ind w:right="780"/>
              <w:spacing w:after="0" w:line="146" w:lineRule="exact"/>
              <w:rPr>
                <w:sz w:val="20"/>
                <w:szCs w:val="20"/>
                <w:color w:val="auto"/>
              </w:rPr>
            </w:pPr>
            <w:r>
              <w:rPr>
                <w:rFonts w:ascii="Arial" w:cs="Arial" w:eastAsia="Arial" w:hAnsi="Arial"/>
                <w:sz w:val="13"/>
                <w:szCs w:val="13"/>
                <w:b w:val="1"/>
                <w:bCs w:val="1"/>
                <w:color w:val="auto"/>
              </w:rPr>
              <w:t>No.</w:t>
            </w:r>
          </w:p>
        </w:tc>
        <w:tc>
          <w:tcPr>
            <w:tcW w:w="10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3.1</w:t>
            </w:r>
          </w:p>
        </w:tc>
        <w:tc>
          <w:tcPr>
            <w:tcW w:w="680" w:type="dxa"/>
            <w:vAlign w:val="bottom"/>
          </w:tcPr>
          <w:p>
            <w:pPr>
              <w:spacing w:after="0"/>
              <w:rPr>
                <w:sz w:val="16"/>
                <w:szCs w:val="16"/>
                <w:color w:val="auto"/>
              </w:rPr>
            </w:pPr>
          </w:p>
        </w:tc>
        <w:tc>
          <w:tcPr>
            <w:tcW w:w="10320" w:type="dxa"/>
            <w:vAlign w:val="bottom"/>
          </w:tcPr>
          <w:p>
            <w:pPr>
              <w:spacing w:after="0" w:line="190" w:lineRule="exact"/>
              <w:rPr>
                <w:sz w:val="20"/>
                <w:szCs w:val="20"/>
                <w:color w:val="auto"/>
              </w:rPr>
            </w:pPr>
            <w:r>
              <w:rPr>
                <w:rFonts w:ascii="Arial" w:cs="Arial" w:eastAsia="Arial" w:hAnsi="Arial"/>
                <w:sz w:val="17"/>
                <w:szCs w:val="17"/>
                <w:color w:val="auto"/>
                <w:w w:val="95"/>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2"/>
              </w:rPr>
              <w:t>Federal Realty Investment Trust dated May 6, 2004, as corrected by the Certificate of Correction of Articles of Amendment of Declaration of Trust of</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4"/>
              </w:rPr>
              <w:t>Federal Realty Investment Trust dated June 17, 2004 (previously filed as Exhibit 3.1 to the Trust’s Quarterly Report on Form 10-Q for the quarter</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ended June 30, 2005 (File No. 1-07533) (the “2005 2Q Form 10-Q”)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3.2</w:t>
            </w:r>
          </w:p>
        </w:tc>
        <w:tc>
          <w:tcPr>
            <w:tcW w:w="10320" w:type="dxa"/>
            <w:vAlign w:val="bottom"/>
          </w:tcPr>
          <w:p>
            <w:pPr>
              <w:spacing w:after="0"/>
              <w:rPr>
                <w:sz w:val="20"/>
                <w:szCs w:val="20"/>
                <w:color w:val="auto"/>
              </w:rPr>
            </w:pPr>
            <w:r>
              <w:rPr>
                <w:rFonts w:ascii="Arial" w:cs="Arial" w:eastAsia="Arial" w:hAnsi="Arial"/>
                <w:sz w:val="17"/>
                <w:szCs w:val="17"/>
                <w:color w:val="auto"/>
                <w:w w:val="96"/>
              </w:rPr>
              <w:t>Amended and Restated Bylaws of Federal Realty Investment Trust dated February 12, 2003, as amended October 29, 2003, May 5, 2004 and</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5"/>
              </w:rPr>
              <w:t>February 17, 2006 (previously filed as Exhibit 3.2 to the Trust’s Annual Report on Form 10-K for the year ended December 31, 2005 (File No. 1-</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07533) (the “2005 Form 10-K”)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4.1</w:t>
            </w:r>
          </w:p>
        </w:tc>
        <w:tc>
          <w:tcPr>
            <w:tcW w:w="10320" w:type="dxa"/>
            <w:vAlign w:val="bottom"/>
          </w:tcPr>
          <w:p>
            <w:pPr>
              <w:spacing w:after="0"/>
              <w:rPr>
                <w:sz w:val="20"/>
                <w:szCs w:val="20"/>
                <w:color w:val="auto"/>
              </w:rPr>
            </w:pPr>
            <w:r>
              <w:rPr>
                <w:rFonts w:ascii="Arial" w:cs="Arial" w:eastAsia="Arial" w:hAnsi="Arial"/>
                <w:sz w:val="17"/>
                <w:szCs w:val="17"/>
                <w:color w:val="auto"/>
                <w:w w:val="94"/>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1999 (File No. 1-07533) (the “1999 Form 10-K”)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4.2</w:t>
            </w:r>
          </w:p>
        </w:tc>
        <w:tc>
          <w:tcPr>
            <w:tcW w:w="10320" w:type="dxa"/>
            <w:vAlign w:val="bottom"/>
          </w:tcPr>
          <w:p>
            <w:pPr>
              <w:spacing w:after="0"/>
              <w:rPr>
                <w:sz w:val="20"/>
                <w:szCs w:val="20"/>
                <w:color w:val="auto"/>
              </w:rPr>
            </w:pPr>
            <w:r>
              <w:rPr>
                <w:rFonts w:ascii="Arial" w:cs="Arial" w:eastAsia="Arial" w:hAnsi="Arial"/>
                <w:sz w:val="17"/>
                <w:szCs w:val="17"/>
                <w:color w:val="auto"/>
                <w:w w:val="96"/>
              </w:rPr>
              <w:t xml:space="preserve">Articles Supplementary relating to the 8 </w:t>
            </w:r>
            <w:r>
              <w:rPr>
                <w:rFonts w:ascii="Arial" w:cs="Arial" w:eastAsia="Arial" w:hAnsi="Arial"/>
                <w:sz w:val="22"/>
                <w:szCs w:val="22"/>
                <w:color w:val="auto"/>
                <w:w w:val="96"/>
                <w:vertAlign w:val="superscript"/>
              </w:rPr>
              <w:t>1</w:t>
            </w:r>
            <w:r>
              <w:rPr>
                <w:rFonts w:ascii="Arial" w:cs="Arial" w:eastAsia="Arial" w:hAnsi="Arial"/>
                <w:sz w:val="17"/>
                <w:szCs w:val="17"/>
                <w:color w:val="auto"/>
                <w:w w:val="96"/>
              </w:rPr>
              <w:t>/</w:t>
            </w:r>
            <w:r>
              <w:rPr>
                <w:rFonts w:ascii="Arial" w:cs="Arial" w:eastAsia="Arial" w:hAnsi="Arial"/>
                <w:sz w:val="13"/>
                <w:szCs w:val="13"/>
                <w:color w:val="auto"/>
                <w:w w:val="96"/>
              </w:rPr>
              <w:t>2</w:t>
            </w:r>
            <w:r>
              <w:rPr>
                <w:rFonts w:ascii="Arial" w:cs="Arial" w:eastAsia="Arial" w:hAnsi="Arial"/>
                <w:sz w:val="17"/>
                <w:szCs w:val="17"/>
                <w:color w:val="auto"/>
                <w:w w:val="96"/>
              </w:rPr>
              <w:t>% Series B Cumulative Redeemable Preferred Shares (previously filed as Exhibit 4.1 to the Trust’s</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4"/>
              </w:rPr>
              <w:t>Registration Statement on Form 8-A filed on November 26, 2001 (File No. 1-07533) (the “2001 Form 8-A”)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4.3</w:t>
            </w:r>
          </w:p>
        </w:tc>
        <w:tc>
          <w:tcPr>
            <w:tcW w:w="10320" w:type="dxa"/>
            <w:vAlign w:val="bottom"/>
          </w:tcPr>
          <w:p>
            <w:pPr>
              <w:spacing w:after="0"/>
              <w:rPr>
                <w:sz w:val="20"/>
                <w:szCs w:val="20"/>
                <w:color w:val="auto"/>
              </w:rPr>
            </w:pPr>
            <w:r>
              <w:rPr>
                <w:rFonts w:ascii="Arial" w:cs="Arial" w:eastAsia="Arial" w:hAnsi="Arial"/>
                <w:sz w:val="17"/>
                <w:szCs w:val="17"/>
                <w:color w:val="auto"/>
                <w:w w:val="91"/>
              </w:rPr>
              <w:t xml:space="preserve">Specimen 8 </w:t>
            </w:r>
            <w:r>
              <w:rPr>
                <w:rFonts w:ascii="Arial" w:cs="Arial" w:eastAsia="Arial" w:hAnsi="Arial"/>
                <w:sz w:val="22"/>
                <w:szCs w:val="22"/>
                <w:color w:val="auto"/>
                <w:w w:val="91"/>
                <w:vertAlign w:val="superscript"/>
              </w:rPr>
              <w:t>1</w:t>
            </w:r>
            <w:r>
              <w:rPr>
                <w:rFonts w:ascii="Arial" w:cs="Arial" w:eastAsia="Arial" w:hAnsi="Arial"/>
                <w:sz w:val="17"/>
                <w:szCs w:val="17"/>
                <w:color w:val="auto"/>
                <w:w w:val="91"/>
              </w:rPr>
              <w:t>/</w:t>
            </w:r>
            <w:r>
              <w:rPr>
                <w:rFonts w:ascii="Arial" w:cs="Arial" w:eastAsia="Arial" w:hAnsi="Arial"/>
                <w:sz w:val="13"/>
                <w:szCs w:val="13"/>
                <w:color w:val="auto"/>
                <w:w w:val="91"/>
              </w:rPr>
              <w:t>2</w:t>
            </w:r>
            <w:r>
              <w:rPr>
                <w:rFonts w:ascii="Arial" w:cs="Arial" w:eastAsia="Arial" w:hAnsi="Arial"/>
                <w:sz w:val="17"/>
                <w:szCs w:val="17"/>
                <w:color w:val="auto"/>
                <w:w w:val="91"/>
              </w:rPr>
              <w:t>% Series B Cumulative Redeemable Preferred Share certificate (previously filed as Exhibit 4.2 to the 2001 Form 8-A and incorporated</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4.4</w:t>
            </w:r>
          </w:p>
        </w:tc>
        <w:tc>
          <w:tcPr>
            <w:tcW w:w="10320" w:type="dxa"/>
            <w:vAlign w:val="bottom"/>
          </w:tcPr>
          <w:p>
            <w:pPr>
              <w:spacing w:after="0"/>
              <w:rPr>
                <w:sz w:val="20"/>
                <w:szCs w:val="20"/>
                <w:color w:val="auto"/>
              </w:rPr>
            </w:pPr>
            <w:r>
              <w:rPr>
                <w:rFonts w:ascii="Arial" w:cs="Arial" w:eastAsia="Arial" w:hAnsi="Arial"/>
                <w:sz w:val="17"/>
                <w:szCs w:val="17"/>
                <w:color w:val="auto"/>
                <w:w w:val="94"/>
              </w:rPr>
              <w:t>Amended and Restated Rights Agreement, dated March 11, 1999, between the Trust and American Stock Transfer &amp; Trust Company (previously</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8"/>
              </w:rPr>
              <w:t>filed as Exhibit 1 to the Trust’s Registration Statement on Form 8-A/A filed on March 11, 1999 (File No. 1-07533) and incorporated herein by</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4.5</w:t>
            </w:r>
          </w:p>
        </w:tc>
        <w:tc>
          <w:tcPr>
            <w:tcW w:w="10320" w:type="dxa"/>
            <w:vAlign w:val="bottom"/>
          </w:tcPr>
          <w:p>
            <w:pPr>
              <w:spacing w:after="0"/>
              <w:rPr>
                <w:sz w:val="20"/>
                <w:szCs w:val="20"/>
                <w:color w:val="auto"/>
              </w:rPr>
            </w:pPr>
            <w:r>
              <w:rPr>
                <w:rFonts w:ascii="Arial" w:cs="Arial" w:eastAsia="Arial" w:hAnsi="Arial"/>
                <w:sz w:val="17"/>
                <w:szCs w:val="17"/>
                <w:color w:val="auto"/>
                <w:w w:val="94"/>
              </w:rPr>
              <w:t>First Amendment to Amended and Restated Rights Agreement, dated as of November , 2003, between the Trust and American Stock Transfer &amp;</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2"/>
              </w:rPr>
              <w:t>Trust Company (previously filed as Exhibit 4.5 to the Trust’s Annual Report on Form 10-K for the year ended December 31, 2003 (File No. 1-07533)</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4.6</w:t>
            </w:r>
          </w:p>
        </w:tc>
        <w:tc>
          <w:tcPr>
            <w:tcW w:w="10320" w:type="dxa"/>
            <w:vAlign w:val="bottom"/>
          </w:tcPr>
          <w:p>
            <w:pPr>
              <w:spacing w:after="0"/>
              <w:rPr>
                <w:sz w:val="20"/>
                <w:szCs w:val="20"/>
                <w:color w:val="auto"/>
              </w:rPr>
            </w:pPr>
            <w:r>
              <w:rPr>
                <w:rFonts w:ascii="Arial" w:cs="Arial" w:eastAsia="Arial" w:hAnsi="Arial"/>
                <w:sz w:val="17"/>
                <w:szCs w:val="17"/>
                <w:color w:val="auto"/>
                <w:w w:val="93"/>
              </w:rPr>
              <w:t>Indenture dated December 13, 1993 related to the Trust’s 7.48% Debentures due August 15, 2026; and 6.82% Medium Term Notes due August 1,</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2027 (previously filed as Exhibit 4(a) to the Trust’s Registration Statement on Form S-3 (File No. 33-51029), and amended on Form S-3</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(File No. 33-63687), filed on December 13, 1993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4.7</w:t>
            </w:r>
          </w:p>
        </w:tc>
        <w:tc>
          <w:tcPr>
            <w:tcW w:w="10320" w:type="dxa"/>
            <w:vAlign w:val="bottom"/>
          </w:tcPr>
          <w:p>
            <w:pPr>
              <w:spacing w:after="0"/>
              <w:rPr>
                <w:sz w:val="20"/>
                <w:szCs w:val="20"/>
                <w:color w:val="auto"/>
              </w:rPr>
            </w:pPr>
            <w:r>
              <w:rPr>
                <w:rFonts w:ascii="Arial" w:cs="Arial" w:eastAsia="Arial" w:hAnsi="Arial"/>
                <w:sz w:val="17"/>
                <w:szCs w:val="17"/>
                <w:color w:val="auto"/>
                <w:w w:val="92"/>
              </w:rPr>
              <w:t xml:space="preserve">Indenture dated September 1, 1998 related to the Trust’s 8.75% Notes due December 1, 2009; 6 </w:t>
            </w:r>
            <w:r>
              <w:rPr>
                <w:rFonts w:ascii="Arial" w:cs="Arial" w:eastAsia="Arial" w:hAnsi="Arial"/>
                <w:sz w:val="22"/>
                <w:szCs w:val="22"/>
                <w:color w:val="auto"/>
                <w:w w:val="92"/>
                <w:vertAlign w:val="superscript"/>
              </w:rPr>
              <w:t>1</w:t>
            </w:r>
            <w:r>
              <w:rPr>
                <w:rFonts w:ascii="Arial" w:cs="Arial" w:eastAsia="Arial" w:hAnsi="Arial"/>
                <w:sz w:val="17"/>
                <w:szCs w:val="17"/>
                <w:color w:val="auto"/>
                <w:w w:val="92"/>
              </w:rPr>
              <w:t>/</w:t>
            </w:r>
            <w:r>
              <w:rPr>
                <w:rFonts w:ascii="Arial" w:cs="Arial" w:eastAsia="Arial" w:hAnsi="Arial"/>
                <w:sz w:val="13"/>
                <w:szCs w:val="13"/>
                <w:color w:val="auto"/>
                <w:w w:val="92"/>
              </w:rPr>
              <w:t>8</w:t>
            </w:r>
            <w:r>
              <w:rPr>
                <w:rFonts w:ascii="Arial" w:cs="Arial" w:eastAsia="Arial" w:hAnsi="Arial"/>
                <w:sz w:val="17"/>
                <w:szCs w:val="17"/>
                <w:color w:val="auto"/>
                <w:w w:val="92"/>
              </w:rPr>
              <w:t>% Notes due November 15, 2007; 4.50% Notes</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2"/>
              </w:rPr>
              <w:t>due 2011; 5.65% Notes due 2016; 6.00% Notes due 2012; 6.20% Notes due 2017; and 5.40% Notes due 2013 (previously filed as Exhibit 4(a) to the</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4"/>
              </w:rPr>
              <w:t>Trust’s Registration Statement on Form S-3 (File No. 333-63619) filed on September 17, 1998, as incorporated by reference as Exhibit 4.7 to the</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Trust’s Registration Statement on Form S-3 (File No. 333-135159) filed on June 20, 2006,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4.8</w:t>
            </w:r>
          </w:p>
        </w:tc>
        <w:tc>
          <w:tcPr>
            <w:tcW w:w="10320" w:type="dxa"/>
            <w:vAlign w:val="bottom"/>
          </w:tcPr>
          <w:p>
            <w:pPr>
              <w:spacing w:after="0"/>
              <w:rPr>
                <w:sz w:val="20"/>
                <w:szCs w:val="20"/>
                <w:color w:val="auto"/>
              </w:rPr>
            </w:pPr>
            <w:r>
              <w:rPr>
                <w:rFonts w:ascii="Arial" w:cs="Arial" w:eastAsia="Arial" w:hAnsi="Arial"/>
                <w:sz w:val="17"/>
                <w:szCs w:val="17"/>
                <w:color w:val="auto"/>
                <w:w w:val="92"/>
              </w:rPr>
              <w:t>Pursuant to Regulation S-K Item 601(b)(4)(iii), the Trust by this filing agrees, upon request, to furnish to the Securities and Exchange Commission a</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copy of other instruments defining the rights of holders of long-term debt of the Trust</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80"/>
              <w:spacing w:after="0"/>
              <w:rPr>
                <w:sz w:val="20"/>
                <w:szCs w:val="20"/>
                <w:color w:val="auto"/>
              </w:rPr>
            </w:pPr>
            <w:r>
              <w:rPr>
                <w:rFonts w:ascii="Arial" w:cs="Arial" w:eastAsia="Arial" w:hAnsi="Arial"/>
                <w:sz w:val="17"/>
                <w:szCs w:val="17"/>
                <w:color w:val="auto"/>
              </w:rPr>
              <w:t>10.1</w:t>
            </w:r>
          </w:p>
        </w:tc>
        <w:tc>
          <w:tcPr>
            <w:tcW w:w="10320" w:type="dxa"/>
            <w:vAlign w:val="bottom"/>
          </w:tcPr>
          <w:p>
            <w:pPr>
              <w:spacing w:after="0"/>
              <w:rPr>
                <w:sz w:val="20"/>
                <w:szCs w:val="20"/>
                <w:color w:val="auto"/>
              </w:rPr>
            </w:pPr>
            <w:r>
              <w:rPr>
                <w:rFonts w:ascii="Arial" w:cs="Arial" w:eastAsia="Arial" w:hAnsi="Arial"/>
                <w:sz w:val="17"/>
                <w:szCs w:val="17"/>
                <w:color w:val="auto"/>
                <w:w w:val="93"/>
              </w:rPr>
              <w:t>Amended and Restated 1983 Stock Option Plan and 1985 Non-Qualified Stock Option Plan of Federal Realty Investment Trust (previously filed as</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6"/>
              </w:rPr>
              <w:t>exhibits to the Trust’s Registration Statement on Form S-8 (File No. 33-55111), filed on August 17, 1994 and incorporated herein by reference)</w:t>
            </w:r>
          </w:p>
        </w:tc>
        <w:tc>
          <w:tcPr>
            <w:tcW w:w="0" w:type="dxa"/>
            <w:vAlign w:val="bottom"/>
          </w:tcPr>
          <w:p>
            <w:pPr>
              <w:spacing w:after="0"/>
              <w:rPr>
                <w:sz w:val="1"/>
                <w:szCs w:val="1"/>
                <w:color w:val="auto"/>
              </w:rPr>
            </w:pPr>
          </w:p>
        </w:tc>
      </w:tr>
      <w:tr>
        <w:trPr>
          <w:trHeight w:val="358"/>
        </w:trPr>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320" w:type="dxa"/>
            <w:vAlign w:val="bottom"/>
          </w:tcPr>
          <w:p>
            <w:pPr>
              <w:ind w:left="45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35"/>
        </w:trPr>
        <w:tc>
          <w:tcPr>
            <w:tcW w:w="10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6"/>
              </w:rPr>
              <w:t>Exhibit</w:t>
            </w:r>
          </w:p>
        </w:tc>
        <w:tc>
          <w:tcPr>
            <w:tcW w:w="103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5"/>
        </w:trPr>
        <w:tc>
          <w:tcPr>
            <w:tcW w:w="1040" w:type="dxa"/>
            <w:vAlign w:val="bottom"/>
            <w:gridSpan w:val="2"/>
          </w:tcPr>
          <w:p>
            <w:pPr>
              <w:jc w:val="center"/>
              <w:ind w:right="560"/>
              <w:spacing w:after="0" w:line="146" w:lineRule="exact"/>
              <w:rPr>
                <w:sz w:val="20"/>
                <w:szCs w:val="20"/>
                <w:color w:val="auto"/>
              </w:rPr>
            </w:pPr>
            <w:r>
              <w:rPr>
                <w:rFonts w:ascii="Arial" w:cs="Arial" w:eastAsia="Arial" w:hAnsi="Arial"/>
                <w:sz w:val="13"/>
                <w:szCs w:val="13"/>
                <w:b w:val="1"/>
                <w:bCs w:val="1"/>
                <w:color w:val="auto"/>
                <w:w w:val="95"/>
              </w:rPr>
              <w:t>No.</w:t>
            </w: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10.2</w:t>
            </w:r>
          </w:p>
        </w:tc>
        <w:tc>
          <w:tcPr>
            <w:tcW w:w="580" w:type="dxa"/>
            <w:vAlign w:val="bottom"/>
          </w:tcPr>
          <w:p>
            <w:pPr>
              <w:spacing w:after="0"/>
              <w:rPr>
                <w:sz w:val="16"/>
                <w:szCs w:val="16"/>
                <w:color w:val="auto"/>
              </w:rPr>
            </w:pPr>
          </w:p>
        </w:tc>
        <w:tc>
          <w:tcPr>
            <w:tcW w:w="10380" w:type="dxa"/>
            <w:vAlign w:val="bottom"/>
          </w:tcPr>
          <w:p>
            <w:pPr>
              <w:spacing w:after="0" w:line="190" w:lineRule="exact"/>
              <w:rPr>
                <w:sz w:val="20"/>
                <w:szCs w:val="20"/>
                <w:color w:val="auto"/>
              </w:rPr>
            </w:pPr>
            <w:r>
              <w:rPr>
                <w:rFonts w:ascii="Arial" w:cs="Arial" w:eastAsia="Arial" w:hAnsi="Arial"/>
                <w:sz w:val="17"/>
                <w:szCs w:val="17"/>
                <w:color w:val="auto"/>
                <w:w w:val="96"/>
              </w:rPr>
              <w:t>1985 Non-Qualified Stock Option Plan (previously filed as a portion of Exhibit 10 to the Trust’s Annual Report on Form 10-K for the year ended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December 31, 1985 (File No. 1-07533)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10.3</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1991 Share Purchase Plan (previously filed as a portion of Exhibit 10 to the Trust’s Annual Report on Form 10-K for the year ended December 31,</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1990 (File No. 1-07533)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10.4</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Amended and Restated 1993 Long-Term Incentive Plan, as amended on October 6, 1997 and further amended on May 6, 1998 (previously filed as</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6"/>
              </w:rPr>
              <w:t>Exhibit 10.26 to the Trust’s Annual Report on Form 10-K for the year ended December 31, 1998 (File No. 1-07533) and incorporated herein by</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10.5</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Fiscal Agency Agreement dated as of October 28, 1993 between the Trust and Citibank, N.A. (previously filed as an exhibit to the Trust’s Quarterly</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Report on Form 10-Q for the quarter ended September 30, 1993 (File No. 1-07533)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10.6</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Form of Severance Agreement between the Trust and Certain of its Officers dated December 31, 1994 (previously filed as a portion of Exhibit 10 to</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the Trust’s Annual Report on Form 10-K for the year ended December 31, 1994 (File No. 1-07533)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10.7</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7"/>
              </w:rPr>
              <w:t>* Performance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Exhibit 10 to the 1999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10.8</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2"/>
              </w:rPr>
              <w:t>* Restricted Share Award Agreement dated as of February 9, 2000 between the Trust and Donald C. Wood (previously filed as a portion of Exhibit 10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to the 1999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10.9</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 Severance Agreement between the Trust and Donald C. Wood dated February 22, 1999 (previously filed as a portion of Exhibit 10 to the Trust’s</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6"/>
              </w:rPr>
              <w:t>Quarterly Report on Form 10-Q for the quarter ended March 31, 1999 (File No. 1-07533) (the “1999 1Q Form 10-Q”) and incorporated herein by</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10.10</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6"/>
              </w:rPr>
              <w:t>* 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Exhibit 10 to the 1999 1Q Form 10-Q and incorporated herein by reference)</w:t>
            </w:r>
          </w:p>
        </w:tc>
        <w:tc>
          <w:tcPr>
            <w:tcW w:w="0" w:type="dxa"/>
            <w:vAlign w:val="bottom"/>
          </w:tcPr>
          <w:p>
            <w:pPr>
              <w:spacing w:after="0"/>
              <w:rPr>
                <w:sz w:val="1"/>
                <w:szCs w:val="1"/>
                <w:color w:val="auto"/>
              </w:rPr>
            </w:pPr>
          </w:p>
        </w:tc>
      </w:tr>
      <w:tr>
        <w:trPr>
          <w:trHeight w:val="312"/>
        </w:trPr>
        <w:tc>
          <w:tcPr>
            <w:tcW w:w="1040" w:type="dxa"/>
            <w:vAlign w:val="bottom"/>
            <w:gridSpan w:val="2"/>
          </w:tcPr>
          <w:p>
            <w:pPr>
              <w:jc w:val="right"/>
              <w:ind w:right="580"/>
              <w:spacing w:after="0"/>
              <w:rPr>
                <w:sz w:val="20"/>
                <w:szCs w:val="20"/>
                <w:color w:val="auto"/>
              </w:rPr>
            </w:pPr>
            <w:r>
              <w:rPr>
                <w:rFonts w:ascii="Arial" w:cs="Arial" w:eastAsia="Arial" w:hAnsi="Arial"/>
                <w:sz w:val="17"/>
                <w:szCs w:val="17"/>
                <w:color w:val="auto"/>
              </w:rPr>
              <w:t>10.11</w:t>
            </w:r>
          </w:p>
        </w:tc>
        <w:tc>
          <w:tcPr>
            <w:tcW w:w="10380" w:type="dxa"/>
            <w:vAlign w:val="bottom"/>
          </w:tcPr>
          <w:p>
            <w:pPr>
              <w:spacing w:after="0"/>
              <w:rPr>
                <w:sz w:val="20"/>
                <w:szCs w:val="20"/>
                <w:color w:val="auto"/>
              </w:rPr>
            </w:pPr>
            <w:r>
              <w:rPr>
                <w:rFonts w:ascii="Arial" w:cs="Arial" w:eastAsia="Arial" w:hAnsi="Arial"/>
                <w:sz w:val="17"/>
                <w:szCs w:val="17"/>
                <w:color w:val="auto"/>
                <w:w w:val="93"/>
              </w:rPr>
              <w:t>* Amendment to Executive Agreement between Federal Realty Investment Trust and Donald C. Wood dated February 16, 2005 (previously filed as</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6"/>
              </w:rPr>
              <w:t>Exhibit 10.12 to the Trust’s Annual Report on Form 10-K for the year ended December 31, 2004 (File No. 1-07533) (the “2004 Form 10-K”) and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10.12</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2"/>
              </w:rPr>
              <w:t>* Amendment to Restricted Share Award Agreement dated December 8, 2000 between the Trust and Donald C. Wood (previously filed as a portion of</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8"/>
              </w:rPr>
              <w:t>Exhibit 10 to the Trust’s Annual Report on Form 10-K for the year ended December 31, 2000 (File No. 1-07533) (the “2000 Form 10-K”) and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10.13</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 Split Dollar Life Insurance Agreement dated August 12, 1998 between the Trust and Donald C. Wood (previously filed as a portion of Exhibit 10 to</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the 2000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10.14</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8"/>
              </w:rPr>
              <w:t>* Restricted Share Award Agreement dated as of February 15, 2000 between the Trust and Jeffrey S. Berkes (previously filed as a portion of</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8"/>
              </w:rPr>
              <w:t>Exhibit 10 to the Trust’s Annual Report on Form 10-K for the year ended December 31, 2001 (File No. 1-07533) (the “2001 Form 10-K”) and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tcPr>
          <w:p>
            <w:pPr>
              <w:jc w:val="center"/>
              <w:ind w:right="955"/>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35"/>
        </w:trPr>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6"/>
              </w:rPr>
              <w:t>Exhibit</w:t>
            </w:r>
          </w:p>
        </w:tc>
        <w:tc>
          <w:tcPr>
            <w:tcW w:w="580" w:type="dxa"/>
            <w:vAlign w:val="bottom"/>
          </w:tcPr>
          <w:p>
            <w:pPr>
              <w:spacing w:after="0"/>
              <w:rPr>
                <w:sz w:val="24"/>
                <w:szCs w:val="24"/>
                <w:color w:val="auto"/>
              </w:rPr>
            </w:pPr>
          </w:p>
        </w:tc>
        <w:tc>
          <w:tcPr>
            <w:tcW w:w="103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right"/>
              <w:ind w:right="36"/>
              <w:spacing w:after="0" w:line="146" w:lineRule="exact"/>
              <w:rPr>
                <w:sz w:val="20"/>
                <w:szCs w:val="20"/>
                <w:color w:val="auto"/>
              </w:rPr>
            </w:pPr>
            <w:r>
              <w:rPr>
                <w:rFonts w:ascii="Arial" w:cs="Arial" w:eastAsia="Arial" w:hAnsi="Arial"/>
                <w:sz w:val="13"/>
                <w:szCs w:val="13"/>
                <w:b w:val="1"/>
                <w:bCs w:val="1"/>
                <w:color w:val="auto"/>
              </w:rPr>
              <w:t>No.</w:t>
            </w:r>
          </w:p>
        </w:tc>
        <w:tc>
          <w:tcPr>
            <w:tcW w:w="58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 w:type="dxa"/>
            <w:vAlign w:val="bottom"/>
          </w:tcPr>
          <w:p>
            <w:pPr>
              <w:jc w:val="right"/>
              <w:spacing w:after="0" w:line="190" w:lineRule="exact"/>
              <w:rPr>
                <w:sz w:val="20"/>
                <w:szCs w:val="20"/>
                <w:color w:val="auto"/>
              </w:rPr>
            </w:pPr>
            <w:r>
              <w:rPr>
                <w:rFonts w:ascii="Arial" w:cs="Arial" w:eastAsia="Arial" w:hAnsi="Arial"/>
                <w:sz w:val="17"/>
                <w:szCs w:val="17"/>
                <w:color w:val="auto"/>
              </w:rPr>
              <w:t>10.15</w:t>
            </w:r>
          </w:p>
        </w:tc>
        <w:tc>
          <w:tcPr>
            <w:tcW w:w="580" w:type="dxa"/>
            <w:vAlign w:val="bottom"/>
          </w:tcPr>
          <w:p>
            <w:pPr>
              <w:spacing w:after="0"/>
              <w:rPr>
                <w:sz w:val="16"/>
                <w:szCs w:val="16"/>
                <w:color w:val="auto"/>
              </w:rPr>
            </w:pPr>
          </w:p>
        </w:tc>
        <w:tc>
          <w:tcPr>
            <w:tcW w:w="10380" w:type="dxa"/>
            <w:vAlign w:val="bottom"/>
          </w:tcPr>
          <w:p>
            <w:pPr>
              <w:spacing w:after="0" w:line="190" w:lineRule="exact"/>
              <w:rPr>
                <w:sz w:val="20"/>
                <w:szCs w:val="20"/>
                <w:color w:val="auto"/>
              </w:rPr>
            </w:pPr>
            <w:r>
              <w:rPr>
                <w:rFonts w:ascii="Arial" w:cs="Arial" w:eastAsia="Arial" w:hAnsi="Arial"/>
                <w:sz w:val="17"/>
                <w:szCs w:val="17"/>
                <w:color w:val="auto"/>
                <w:w w:val="98"/>
              </w:rPr>
              <w:t>* Severance Agreement between the Trust and Jeffrey S. Berkes dated March 1, 2000 (previously filed as a portion of Exhibit 10 to the 2001</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10.16</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2"/>
              </w:rPr>
              <w:t>* Amendment to Severance Agreement between Federal Realty Investment Trust and Jeffrey S. Berkes dated February 16, 2005 (previously filed as</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Exhibit 10.17 to the 2004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10.17</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8"/>
              </w:rPr>
              <w:t>* Severance Agreement dated March 1, 2002 between the Trust and Larry E. Finger (previously filed as a portion of Exhibit 10 to the Trust’s</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6"/>
              </w:rPr>
              <w:t>Quarterly Report on Form 10-Q for the quarter ended June 30, 2002 (File No. 1-07533) (the “2002 2Q Form 10-Q”) and incorporated herein by</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10.18</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 Amendment to Severance Agreement between Federal Realty Investment Trust and Larry E. Finger dated February 16, 2005 (previously filed as</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Exhibit 10.19 to the 2004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10.19</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 Combined Incentive and Non-Qualified Stock Option Agreement dated February 28, 2002 between the Trust and Larry E. Finger (previously filed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as a portion of Exhibit 10 to the 2002 2Q Form 10-Q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10.20</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 Performance Share Award Agreement between the Trust and Donald C. Wood dated February 28, 2002 (previously filed as a portion of Exhibit 10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to the 2002 2Q Form 10-Q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 Performance Share Award Agreement between the Trust and Jeffrey S. Berkes dated February 28, 2002 (previously filed as a portion of Exhibit 10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to the 2002 2Q Form 10-Q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10.22</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 Amendment to Stock Option Agreement dated August 15, 2002 between the Trust and Dawn M. Becker (previously filed as a portion of Exhibit 10</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8"/>
              </w:rPr>
              <w:t>to the Trust’s Quarterly Report on Form 10-Q for the quarter ended September 30, 2002 (File No. 1-075330 (the “2002 3Q Form 10-Q”) and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10.23</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2"/>
              </w:rPr>
              <w:t>* Amendment to Stock Option Agreement dated August 15, 2002 between Federal Realty Investment Trust and Jeffrey S. Berkes (previously filed as</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a portion of Exhibit 10 to the 2002 3Q Form 10-Q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10.24</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6"/>
              </w:rPr>
              <w:t>2001 Long-Term Incentive Plan (previously filed as Exhibit 99.1 to the Trust’s Registration Statement on Form S-8 (File No. 333-60364) filed on</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May 7, 2001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10.25</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2"/>
              </w:rPr>
              <w:t>* Health Coverage Continuation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as Exhibit 10.26 to the 2004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10.26</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 Severance Agreement between the Trust and Dawn M. Becker dated April 19, 2000 (previously filed as Exhibit 10.26 to the Trust’s 2005 2Q Form</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10-Q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10.27</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5"/>
              </w:rPr>
              <w:t>* Amendment to Severance Agreement between the Trust and Dawn M. Becker dated February 16, 2005 (previously filed as Exhibit 10.27 to the</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2004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10.28</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10960" w:type="dxa"/>
            <w:vAlign w:val="bottom"/>
            <w:gridSpan w:val="2"/>
          </w:tcPr>
          <w:p>
            <w:pPr>
              <w:jc w:val="right"/>
              <w:ind w:right="557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35"/>
        </w:trPr>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6"/>
              </w:rPr>
              <w:t>Exhibit</w:t>
            </w:r>
          </w:p>
        </w:tc>
        <w:tc>
          <w:tcPr>
            <w:tcW w:w="580" w:type="dxa"/>
            <w:vAlign w:val="bottom"/>
          </w:tcPr>
          <w:p>
            <w:pPr>
              <w:spacing w:after="0"/>
              <w:rPr>
                <w:sz w:val="24"/>
                <w:szCs w:val="24"/>
                <w:color w:val="auto"/>
              </w:rPr>
            </w:pPr>
          </w:p>
        </w:tc>
        <w:tc>
          <w:tcPr>
            <w:tcW w:w="103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right"/>
              <w:ind w:right="37"/>
              <w:spacing w:after="0" w:line="146" w:lineRule="exact"/>
              <w:rPr>
                <w:sz w:val="20"/>
                <w:szCs w:val="20"/>
                <w:color w:val="auto"/>
              </w:rPr>
            </w:pPr>
            <w:r>
              <w:rPr>
                <w:rFonts w:ascii="Arial" w:cs="Arial" w:eastAsia="Arial" w:hAnsi="Arial"/>
                <w:sz w:val="13"/>
                <w:szCs w:val="13"/>
                <w:b w:val="1"/>
                <w:bCs w:val="1"/>
                <w:color w:val="auto"/>
              </w:rPr>
              <w:t>No.</w:t>
            </w:r>
          </w:p>
        </w:tc>
        <w:tc>
          <w:tcPr>
            <w:tcW w:w="58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 w:type="dxa"/>
            <w:vAlign w:val="bottom"/>
          </w:tcPr>
          <w:p>
            <w:pPr>
              <w:jc w:val="right"/>
              <w:spacing w:after="0" w:line="190" w:lineRule="exact"/>
              <w:rPr>
                <w:sz w:val="20"/>
                <w:szCs w:val="20"/>
                <w:color w:val="auto"/>
              </w:rPr>
            </w:pPr>
            <w:r>
              <w:rPr>
                <w:rFonts w:ascii="Arial" w:cs="Arial" w:eastAsia="Arial" w:hAnsi="Arial"/>
                <w:sz w:val="17"/>
                <w:szCs w:val="17"/>
                <w:color w:val="auto"/>
              </w:rPr>
              <w:t>10.29</w:t>
            </w:r>
          </w:p>
        </w:tc>
        <w:tc>
          <w:tcPr>
            <w:tcW w:w="580" w:type="dxa"/>
            <w:vAlign w:val="bottom"/>
          </w:tcPr>
          <w:p>
            <w:pPr>
              <w:spacing w:after="0"/>
              <w:rPr>
                <w:sz w:val="16"/>
                <w:szCs w:val="16"/>
                <w:color w:val="auto"/>
              </w:rPr>
            </w:pPr>
          </w:p>
        </w:tc>
        <w:tc>
          <w:tcPr>
            <w:tcW w:w="10380" w:type="dxa"/>
            <w:vAlign w:val="bottom"/>
          </w:tcPr>
          <w:p>
            <w:pPr>
              <w:spacing w:after="0" w:line="190" w:lineRule="exact"/>
              <w:rPr>
                <w:sz w:val="20"/>
                <w:szCs w:val="20"/>
                <w:color w:val="auto"/>
              </w:rPr>
            </w:pPr>
            <w:r>
              <w:rPr>
                <w:rFonts w:ascii="Arial" w:cs="Arial" w:eastAsia="Arial" w:hAnsi="Arial"/>
                <w:sz w:val="17"/>
                <w:szCs w:val="17"/>
                <w:color w:val="auto"/>
                <w:w w:val="92"/>
              </w:rPr>
              <w:t>Form of Restricted Share Award Agreement for awards made under the Trust’s Annual Incentive Bonus Program for shares issued out of 2001 Long-</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10.30</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3"/>
              </w:rPr>
              <w:t>Form of Option Award Agreement for options awarded under 2001 Long-Term Incentive Plan (previously filed as Exhibit 10.30 to the 2004 Form 10-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10.31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10.32</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12"/>
        </w:trPr>
        <w:tc>
          <w:tcPr>
            <w:tcW w:w="460" w:type="dxa"/>
            <w:vAlign w:val="bottom"/>
          </w:tcPr>
          <w:p>
            <w:pPr>
              <w:jc w:val="right"/>
              <w:spacing w:after="0"/>
              <w:rPr>
                <w:sz w:val="20"/>
                <w:szCs w:val="20"/>
                <w:color w:val="auto"/>
              </w:rPr>
            </w:pPr>
            <w:r>
              <w:rPr>
                <w:rFonts w:ascii="Arial" w:cs="Arial" w:eastAsia="Arial" w:hAnsi="Arial"/>
                <w:sz w:val="17"/>
                <w:szCs w:val="17"/>
                <w:color w:val="auto"/>
              </w:rPr>
              <w:t>10.33</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4"/>
              </w:rPr>
              <w:t>Credit Agreement dated as of July 28, 2006, by and between the Trust, Wachovia Capital Markets LLC, Wachovia Bank, National Association and</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w w:val="95"/>
              </w:rPr>
              <w:t>various other financial institutions (previously filed as Exhibit 10.1) to the Trust’s Current Report on Form 8-K (File No. 1-07533), filed on July 31,</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2006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21.1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Subsidiaries of Federal Realty Investment Trust (filed herewith)</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23.1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Consent of Grant Thornton LLP (filed herewith)</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24.1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31.1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Rule 13a-14(a) Certification of Chief Executive Officer (filed herewith)</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31.2</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Rule 13a-14(a) Certification of Chief Financial Officer (filed herewith)</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32.1</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Section 1350 Certification of Chief Executive Officer (filed herewith)</w:t>
            </w: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7"/>
                <w:szCs w:val="17"/>
                <w:color w:val="auto"/>
              </w:rPr>
              <w:t>32.2</w:t>
            </w:r>
          </w:p>
        </w:tc>
        <w:tc>
          <w:tcPr>
            <w:tcW w:w="58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397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00" w:lineRule="exact"/>
        <w:rPr>
          <w:sz w:val="20"/>
          <w:szCs w:val="20"/>
          <w:color w:val="auto"/>
        </w:rPr>
      </w:pPr>
    </w:p>
    <w:p>
      <w:pPr>
        <w:ind w:left="5680" w:right="5160" w:hanging="5674"/>
        <w:spacing w:after="0" w:line="510" w:lineRule="auto"/>
        <w:tabs>
          <w:tab w:leader="none" w:pos="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Management contract or compensatory plan to be filed under Item 15(b) of Form 10-K. 4</w:t>
      </w:r>
    </w:p>
    <w:p>
      <w:pPr>
        <w:sectPr>
          <w:pgSz w:w="11900" w:h="16838" w:orient="portrait"/>
          <w:cols w:equalWidth="0" w:num="1">
            <w:col w:w="11420"/>
          </w:cols>
          <w:pgMar w:left="240" w:top="45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21.1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 AND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jc w:val="center"/>
              <w:spacing w:after="0"/>
              <w:rPr>
                <w:sz w:val="20"/>
                <w:szCs w:val="20"/>
                <w:color w:val="auto"/>
              </w:rPr>
            </w:pPr>
            <w:r>
              <w:rPr>
                <w:rFonts w:ascii="Arial" w:cs="Arial" w:eastAsia="Arial" w:hAnsi="Arial"/>
                <w:sz w:val="17"/>
                <w:szCs w:val="17"/>
                <w:color w:val="auto"/>
              </w:rPr>
              <w:t>NAME OF</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7"/>
                <w:szCs w:val="17"/>
                <w:color w:val="auto"/>
                <w:w w:val="94"/>
              </w:rPr>
              <w:t>STATE OF INCORPORATION OF</w:t>
            </w:r>
          </w:p>
        </w:tc>
      </w:tr>
      <w:tr>
        <w:trPr>
          <w:trHeight w:val="227"/>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SUBSIDIARY</w:t>
            </w:r>
          </w:p>
        </w:tc>
        <w:tc>
          <w:tcPr>
            <w:tcW w:w="240" w:type="dxa"/>
            <w:vAlign w:val="bottom"/>
          </w:tcPr>
          <w:p>
            <w:pPr>
              <w:spacing w:after="0"/>
              <w:rPr>
                <w:sz w:val="19"/>
                <w:szCs w:val="19"/>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ORGANIZATION</w:t>
            </w:r>
          </w:p>
        </w:tc>
      </w:tr>
      <w:tr>
        <w:trPr>
          <w:trHeight w:val="203"/>
        </w:trPr>
        <w:tc>
          <w:tcPr>
            <w:tcW w:w="5720" w:type="dxa"/>
            <w:vAlign w:val="bottom"/>
          </w:tcPr>
          <w:p>
            <w:pPr>
              <w:jc w:val="center"/>
              <w:spacing w:after="0"/>
              <w:rPr>
                <w:sz w:val="20"/>
                <w:szCs w:val="20"/>
                <w:color w:val="auto"/>
              </w:rPr>
            </w:pPr>
            <w:r>
              <w:rPr>
                <w:rFonts w:ascii="Arial" w:cs="Arial" w:eastAsia="Arial" w:hAnsi="Arial"/>
                <w:sz w:val="17"/>
                <w:szCs w:val="17"/>
                <w:color w:val="auto"/>
                <w:w w:val="92"/>
              </w:rPr>
              <w:t>Street Retail, Inc</w:t>
            </w:r>
          </w:p>
        </w:tc>
        <w:tc>
          <w:tcPr>
            <w:tcW w:w="24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7"/>
                <w:szCs w:val="17"/>
                <w:color w:val="auto"/>
                <w:w w:val="94"/>
              </w:rPr>
              <w:t>Maryland</w:t>
            </w:r>
          </w:p>
        </w:tc>
      </w:tr>
      <w:tr>
        <w:trPr>
          <w:trHeight w:val="212"/>
        </w:trPr>
        <w:tc>
          <w:tcPr>
            <w:tcW w:w="5720" w:type="dxa"/>
            <w:vAlign w:val="bottom"/>
          </w:tcPr>
          <w:p>
            <w:pPr>
              <w:jc w:val="center"/>
              <w:spacing w:after="0"/>
              <w:rPr>
                <w:sz w:val="20"/>
                <w:szCs w:val="20"/>
                <w:color w:val="auto"/>
              </w:rPr>
            </w:pPr>
            <w:r>
              <w:rPr>
                <w:rFonts w:ascii="Arial" w:cs="Arial" w:eastAsia="Arial" w:hAnsi="Arial"/>
                <w:sz w:val="17"/>
                <w:szCs w:val="17"/>
                <w:color w:val="auto"/>
                <w:w w:val="90"/>
              </w:rPr>
              <w:t>FRIT San Jose Town and</w:t>
            </w:r>
          </w:p>
        </w:tc>
        <w:tc>
          <w:tcPr>
            <w:tcW w:w="2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1"/>
        </w:trPr>
        <w:tc>
          <w:tcPr>
            <w:tcW w:w="5720" w:type="dxa"/>
            <w:vAlign w:val="bottom"/>
          </w:tcPr>
          <w:p>
            <w:pPr>
              <w:jc w:val="center"/>
              <w:spacing w:after="0"/>
              <w:rPr>
                <w:sz w:val="20"/>
                <w:szCs w:val="20"/>
                <w:color w:val="auto"/>
              </w:rPr>
            </w:pPr>
            <w:r>
              <w:rPr>
                <w:rFonts w:ascii="Arial" w:cs="Arial" w:eastAsia="Arial" w:hAnsi="Arial"/>
                <w:sz w:val="17"/>
                <w:szCs w:val="17"/>
                <w:color w:val="auto"/>
                <w:w w:val="97"/>
              </w:rPr>
              <w:t>Country Village, LLC</w:t>
            </w:r>
          </w:p>
        </w:tc>
        <w:tc>
          <w:tcPr>
            <w:tcW w:w="2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7"/>
                <w:szCs w:val="17"/>
                <w:color w:val="auto"/>
                <w:w w:val="97"/>
              </w:rPr>
              <w:t>California</w:t>
            </w:r>
          </w:p>
        </w:tc>
      </w:tr>
    </w:tbl>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We have issued our reports dated February 26, 2007, accompanying the consolidated financial statements and schedules, and management’s assessment of the effectiveness of internal control over financial reporting, included in the Annual Report of Federal Realty Investment Trust on Form 10-K for the year ended December 31, 2006. We hereby consent to the incorporation by reference of said reports in the Registration Statements of Federal Realty Investment Trust on Form S-3 (File No. 333-100819, File No. 333-84210, File No. 333-97945, File No. 333-63619, File No. 33-63687, File No. 33-63955, File No. 33-15264, File No. 33-55111, File No. 333-120498, File No. 333-124195, File No. 333-125467 and File No. 333-135159).</w:t>
      </w:r>
    </w:p>
    <w:p>
      <w:pPr>
        <w:spacing w:after="0" w:line="1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GRANT THORNTON LLP</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26, 2007</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Donald C. Wood, certify that:</w:t>
      </w:r>
    </w:p>
    <w:p>
      <w:pPr>
        <w:spacing w:after="0" w:line="96" w:lineRule="exact"/>
        <w:rPr>
          <w:sz w:val="20"/>
          <w:szCs w:val="20"/>
          <w:color w:val="auto"/>
        </w:rPr>
      </w:pPr>
    </w:p>
    <w:p>
      <w:pPr>
        <w:ind w:left="900" w:hanging="444"/>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5" w:lineRule="exact"/>
        <w:rPr>
          <w:rFonts w:ascii="Arial" w:cs="Arial" w:eastAsia="Arial" w:hAnsi="Arial"/>
          <w:sz w:val="17"/>
          <w:szCs w:val="17"/>
          <w:color w:val="auto"/>
        </w:rPr>
      </w:pPr>
    </w:p>
    <w:p>
      <w:pPr>
        <w:ind w:left="900" w:right="20" w:hanging="444"/>
        <w:spacing w:after="0" w:line="350"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right="460" w:hanging="444"/>
        <w:spacing w:after="0" w:line="320"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6"/>
          <w:szCs w:val="16"/>
          <w:color w:val="auto"/>
        </w:rPr>
      </w:pPr>
    </w:p>
    <w:p>
      <w:pPr>
        <w:ind w:left="900" w:right="100" w:hanging="444"/>
        <w:spacing w:after="0" w:line="273"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7"/>
          <w:szCs w:val="17"/>
          <w:color w:val="auto"/>
        </w:rPr>
      </w:pPr>
    </w:p>
    <w:p>
      <w:pPr>
        <w:jc w:val="both"/>
        <w:ind w:left="1480" w:right="220" w:hanging="573"/>
        <w:spacing w:after="0" w:line="273"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7"/>
          <w:szCs w:val="17"/>
          <w:color w:val="auto"/>
        </w:rPr>
      </w:pPr>
    </w:p>
    <w:p>
      <w:pPr>
        <w:ind w:left="1480" w:right="480" w:hanging="573"/>
        <w:spacing w:after="0" w:line="273"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8" w:lineRule="exact"/>
        <w:rPr>
          <w:rFonts w:ascii="Arial" w:cs="Arial" w:eastAsia="Arial" w:hAnsi="Arial"/>
          <w:sz w:val="17"/>
          <w:szCs w:val="17"/>
          <w:color w:val="auto"/>
        </w:rPr>
      </w:pPr>
    </w:p>
    <w:p>
      <w:pPr>
        <w:jc w:val="both"/>
        <w:ind w:left="1480" w:right="640" w:hanging="573"/>
        <w:spacing w:after="0" w:line="350" w:lineRule="auto"/>
        <w:tabs>
          <w:tab w:leader="none" w:pos="1480" w:val="left"/>
        </w:tabs>
        <w:numPr>
          <w:ilvl w:val="1"/>
          <w:numId w:val="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0" w:hanging="573"/>
        <w:spacing w:after="0" w:line="273"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Arial" w:cs="Arial" w:eastAsia="Arial" w:hAnsi="Arial"/>
          <w:sz w:val="17"/>
          <w:szCs w:val="17"/>
          <w:color w:val="auto"/>
        </w:rPr>
      </w:pPr>
    </w:p>
    <w:p>
      <w:pPr>
        <w:ind w:left="900" w:right="380" w:hanging="444"/>
        <w:spacing w:after="0" w:line="320"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2" w:lineRule="exact"/>
        <w:rPr>
          <w:rFonts w:ascii="Arial" w:cs="Arial" w:eastAsia="Arial" w:hAnsi="Arial"/>
          <w:sz w:val="16"/>
          <w:szCs w:val="16"/>
          <w:color w:val="auto"/>
        </w:rPr>
      </w:pPr>
    </w:p>
    <w:p>
      <w:pPr>
        <w:ind w:left="1480" w:right="120" w:hanging="573"/>
        <w:spacing w:after="0" w:line="287"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7"/>
          <w:szCs w:val="17"/>
          <w:color w:val="auto"/>
        </w:rPr>
      </w:pPr>
    </w:p>
    <w:p>
      <w:pPr>
        <w:ind w:left="1480" w:right="100" w:hanging="573"/>
        <w:spacing w:after="0" w:line="287"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13"/>
        </w:trPr>
        <w:tc>
          <w:tcPr>
            <w:tcW w:w="3440" w:type="dxa"/>
            <w:vAlign w:val="bottom"/>
          </w:tcPr>
          <w:p>
            <w:pPr>
              <w:spacing w:after="0"/>
              <w:rPr>
                <w:sz w:val="20"/>
                <w:szCs w:val="20"/>
                <w:color w:val="auto"/>
              </w:rPr>
            </w:pPr>
            <w:r>
              <w:rPr>
                <w:rFonts w:ascii="Arial" w:cs="Arial" w:eastAsia="Arial" w:hAnsi="Arial"/>
                <w:sz w:val="17"/>
                <w:szCs w:val="17"/>
                <w:color w:val="auto"/>
              </w:rPr>
              <w:t>February 27, 2007</w:t>
            </w:r>
          </w:p>
        </w:tc>
        <w:tc>
          <w:tcPr>
            <w:tcW w:w="3080" w:type="dxa"/>
            <w:vAlign w:val="bottom"/>
          </w:tcPr>
          <w:p>
            <w:pPr>
              <w:ind w:left="2160"/>
              <w:spacing w:after="0"/>
              <w:rPr>
                <w:sz w:val="20"/>
                <w:szCs w:val="20"/>
                <w:color w:val="auto"/>
              </w:rPr>
            </w:pPr>
            <w:r>
              <w:rPr>
                <w:rFonts w:ascii="Arial" w:cs="Arial" w:eastAsia="Arial" w:hAnsi="Arial"/>
                <w:sz w:val="17"/>
                <w:szCs w:val="17"/>
                <w:color w:val="auto"/>
              </w:rPr>
              <w:t>NAME:</w:t>
            </w:r>
          </w:p>
        </w:tc>
        <w:tc>
          <w:tcPr>
            <w:tcW w:w="490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12"/>
        </w:trPr>
        <w:tc>
          <w:tcPr>
            <w:tcW w:w="3440" w:type="dxa"/>
            <w:vAlign w:val="bottom"/>
          </w:tcPr>
          <w:p>
            <w:pPr>
              <w:spacing w:after="0"/>
              <w:rPr>
                <w:sz w:val="18"/>
                <w:szCs w:val="18"/>
                <w:color w:val="auto"/>
              </w:rPr>
            </w:pPr>
          </w:p>
        </w:tc>
        <w:tc>
          <w:tcPr>
            <w:tcW w:w="3080" w:type="dxa"/>
            <w:vAlign w:val="bottom"/>
          </w:tcPr>
          <w:p>
            <w:pPr>
              <w:ind w:left="2160"/>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w w:val="96"/>
              </w:rPr>
              <w:t>President, Chief Executive Officer and Trustee (Principal Executive</w:t>
            </w:r>
          </w:p>
        </w:tc>
      </w:tr>
      <w:tr>
        <w:trPr>
          <w:trHeight w:val="217"/>
        </w:trPr>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Officer)</w:t>
            </w:r>
          </w:p>
        </w:tc>
      </w:tr>
    </w:tbl>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Larry E. Finger, certify that:</w:t>
      </w:r>
    </w:p>
    <w:p>
      <w:pPr>
        <w:spacing w:after="0" w:line="96" w:lineRule="exact"/>
        <w:rPr>
          <w:sz w:val="20"/>
          <w:szCs w:val="20"/>
          <w:color w:val="auto"/>
        </w:rPr>
      </w:pPr>
    </w:p>
    <w:p>
      <w:pPr>
        <w:ind w:left="900" w:hanging="444"/>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5" w:lineRule="exact"/>
        <w:rPr>
          <w:rFonts w:ascii="Arial" w:cs="Arial" w:eastAsia="Arial" w:hAnsi="Arial"/>
          <w:sz w:val="17"/>
          <w:szCs w:val="17"/>
          <w:color w:val="auto"/>
        </w:rPr>
      </w:pPr>
    </w:p>
    <w:p>
      <w:pPr>
        <w:ind w:left="900" w:right="20" w:hanging="444"/>
        <w:spacing w:after="0" w:line="350" w:lineRule="auto"/>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right="460" w:hanging="444"/>
        <w:spacing w:after="0" w:line="320"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6"/>
          <w:szCs w:val="16"/>
          <w:color w:val="auto"/>
        </w:rPr>
      </w:pPr>
    </w:p>
    <w:p>
      <w:pPr>
        <w:ind w:left="900" w:right="100" w:hanging="444"/>
        <w:spacing w:after="0" w:line="273"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7"/>
          <w:szCs w:val="17"/>
          <w:color w:val="auto"/>
        </w:rPr>
      </w:pPr>
    </w:p>
    <w:p>
      <w:pPr>
        <w:jc w:val="both"/>
        <w:ind w:left="1480" w:right="220" w:hanging="573"/>
        <w:spacing w:after="0" w:line="273"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7"/>
          <w:szCs w:val="17"/>
          <w:color w:val="auto"/>
        </w:rPr>
      </w:pPr>
    </w:p>
    <w:p>
      <w:pPr>
        <w:ind w:left="1480" w:right="480" w:hanging="573"/>
        <w:spacing w:after="0" w:line="273"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8" w:lineRule="exact"/>
        <w:rPr>
          <w:rFonts w:ascii="Arial" w:cs="Arial" w:eastAsia="Arial" w:hAnsi="Arial"/>
          <w:sz w:val="17"/>
          <w:szCs w:val="17"/>
          <w:color w:val="auto"/>
        </w:rPr>
      </w:pPr>
    </w:p>
    <w:p>
      <w:pPr>
        <w:jc w:val="both"/>
        <w:ind w:left="1480" w:right="640" w:hanging="573"/>
        <w:spacing w:after="0" w:line="350" w:lineRule="auto"/>
        <w:tabs>
          <w:tab w:leader="none" w:pos="14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0" w:hanging="573"/>
        <w:spacing w:after="0" w:line="273"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Arial" w:cs="Arial" w:eastAsia="Arial" w:hAnsi="Arial"/>
          <w:sz w:val="17"/>
          <w:szCs w:val="17"/>
          <w:color w:val="auto"/>
        </w:rPr>
      </w:pPr>
    </w:p>
    <w:p>
      <w:pPr>
        <w:ind w:left="900" w:right="380" w:hanging="444"/>
        <w:spacing w:after="0" w:line="320"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2" w:lineRule="exact"/>
        <w:rPr>
          <w:rFonts w:ascii="Arial" w:cs="Arial" w:eastAsia="Arial" w:hAnsi="Arial"/>
          <w:sz w:val="16"/>
          <w:szCs w:val="16"/>
          <w:color w:val="auto"/>
        </w:rPr>
      </w:pPr>
    </w:p>
    <w:p>
      <w:pPr>
        <w:ind w:left="1480" w:right="120" w:hanging="573"/>
        <w:spacing w:after="0" w:line="287"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7"/>
          <w:szCs w:val="17"/>
          <w:color w:val="auto"/>
        </w:rPr>
      </w:pPr>
    </w:p>
    <w:p>
      <w:pPr>
        <w:ind w:left="1480" w:right="100" w:hanging="573"/>
        <w:spacing w:after="0" w:line="287"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Larry E. Finger</w:t>
            </w:r>
          </w:p>
        </w:tc>
      </w:tr>
      <w:tr>
        <w:trPr>
          <w:trHeight w:val="213"/>
        </w:trPr>
        <w:tc>
          <w:tcPr>
            <w:tcW w:w="3320" w:type="dxa"/>
            <w:vAlign w:val="bottom"/>
          </w:tcPr>
          <w:p>
            <w:pPr>
              <w:spacing w:after="0"/>
              <w:rPr>
                <w:sz w:val="20"/>
                <w:szCs w:val="20"/>
                <w:color w:val="auto"/>
              </w:rPr>
            </w:pPr>
            <w:r>
              <w:rPr>
                <w:rFonts w:ascii="Arial" w:cs="Arial" w:eastAsia="Arial" w:hAnsi="Arial"/>
                <w:sz w:val="17"/>
                <w:szCs w:val="17"/>
                <w:color w:val="auto"/>
              </w:rPr>
              <w:t>February 27, 2007</w:t>
            </w:r>
          </w:p>
        </w:tc>
        <w:tc>
          <w:tcPr>
            <w:tcW w:w="2980" w:type="dxa"/>
            <w:vAlign w:val="bottom"/>
          </w:tcPr>
          <w:p>
            <w:pPr>
              <w:ind w:left="2060"/>
              <w:spacing w:after="0"/>
              <w:rPr>
                <w:sz w:val="20"/>
                <w:szCs w:val="20"/>
                <w:color w:val="auto"/>
              </w:rPr>
            </w:pPr>
            <w:r>
              <w:rPr>
                <w:rFonts w:ascii="Arial" w:cs="Arial" w:eastAsia="Arial" w:hAnsi="Arial"/>
                <w:sz w:val="17"/>
                <w:szCs w:val="17"/>
                <w:color w:val="auto"/>
              </w:rPr>
              <w:t>NAME:</w:t>
            </w:r>
          </w:p>
        </w:tc>
        <w:tc>
          <w:tcPr>
            <w:tcW w:w="5120" w:type="dxa"/>
            <w:vAlign w:val="bottom"/>
          </w:tcPr>
          <w:p>
            <w:pPr>
              <w:spacing w:after="0"/>
              <w:rPr>
                <w:sz w:val="20"/>
                <w:szCs w:val="20"/>
                <w:color w:val="auto"/>
              </w:rPr>
            </w:pPr>
            <w:r>
              <w:rPr>
                <w:rFonts w:ascii="Arial" w:cs="Arial" w:eastAsia="Arial" w:hAnsi="Arial"/>
                <w:sz w:val="17"/>
                <w:szCs w:val="17"/>
                <w:color w:val="auto"/>
              </w:rPr>
              <w:t>Larry E. Finger</w:t>
            </w:r>
          </w:p>
        </w:tc>
      </w:tr>
      <w:tr>
        <w:trPr>
          <w:trHeight w:val="212"/>
        </w:trPr>
        <w:tc>
          <w:tcPr>
            <w:tcW w:w="3320" w:type="dxa"/>
            <w:vAlign w:val="bottom"/>
          </w:tcPr>
          <w:p>
            <w:pPr>
              <w:spacing w:after="0"/>
              <w:rPr>
                <w:sz w:val="18"/>
                <w:szCs w:val="18"/>
                <w:color w:val="auto"/>
              </w:rPr>
            </w:pPr>
          </w:p>
        </w:tc>
        <w:tc>
          <w:tcPr>
            <w:tcW w:w="2980" w:type="dxa"/>
            <w:vAlign w:val="bottom"/>
          </w:tcPr>
          <w:p>
            <w:pPr>
              <w:ind w:left="2060"/>
              <w:spacing w:after="0"/>
              <w:rPr>
                <w:sz w:val="20"/>
                <w:szCs w:val="20"/>
                <w:color w:val="auto"/>
              </w:rPr>
            </w:pPr>
            <w:r>
              <w:rPr>
                <w:rFonts w:ascii="Arial" w:cs="Arial" w:eastAsia="Arial" w:hAnsi="Arial"/>
                <w:sz w:val="17"/>
                <w:szCs w:val="17"/>
                <w:color w:val="auto"/>
              </w:rPr>
              <w:t>TITLE:</w:t>
            </w:r>
          </w:p>
        </w:tc>
        <w:tc>
          <w:tcPr>
            <w:tcW w:w="5120" w:type="dxa"/>
            <w:vAlign w:val="bottom"/>
          </w:tcPr>
          <w:p>
            <w:pPr>
              <w:spacing w:after="0"/>
              <w:rPr>
                <w:sz w:val="20"/>
                <w:szCs w:val="20"/>
                <w:color w:val="auto"/>
              </w:rPr>
            </w:pPr>
            <w:r>
              <w:rPr>
                <w:rFonts w:ascii="Arial" w:cs="Arial" w:eastAsia="Arial" w:hAnsi="Arial"/>
                <w:sz w:val="17"/>
                <w:szCs w:val="17"/>
                <w:color w:val="auto"/>
              </w:rPr>
              <w:t>Executive Vice President and Chief Financial Officer (Principal</w:t>
            </w:r>
          </w:p>
        </w:tc>
      </w:tr>
      <w:tr>
        <w:trPr>
          <w:trHeight w:val="217"/>
        </w:trPr>
        <w:tc>
          <w:tcPr>
            <w:tcW w:w="3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7"/>
                <w:szCs w:val="17"/>
                <w:color w:val="auto"/>
              </w:rPr>
              <w:t>Accounting Officer)</w:t>
            </w:r>
          </w:p>
        </w:tc>
      </w:tr>
    </w:tbl>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32.1</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75"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0" w:lineRule="exact"/>
        <w:rPr>
          <w:sz w:val="20"/>
          <w:szCs w:val="20"/>
          <w:color w:val="auto"/>
        </w:rPr>
      </w:pPr>
    </w:p>
    <w:p>
      <w:pPr>
        <w:ind w:right="540" w:firstLine="456"/>
        <w:spacing w:after="0" w:line="273" w:lineRule="auto"/>
        <w:rPr>
          <w:sz w:val="20"/>
          <w:szCs w:val="20"/>
          <w:color w:val="auto"/>
        </w:rPr>
      </w:pPr>
      <w:r>
        <w:rPr>
          <w:rFonts w:ascii="Arial" w:cs="Arial" w:eastAsia="Arial" w:hAnsi="Arial"/>
          <w:sz w:val="17"/>
          <w:szCs w:val="17"/>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2006 (the “Report”). The undersigned hereby certifies that:</w:t>
      </w:r>
    </w:p>
    <w:p>
      <w:pPr>
        <w:spacing w:after="0" w:line="48" w:lineRule="exact"/>
        <w:rPr>
          <w:sz w:val="20"/>
          <w:szCs w:val="20"/>
          <w:color w:val="auto"/>
        </w:rPr>
      </w:pPr>
    </w:p>
    <w:p>
      <w:pPr>
        <w:ind w:left="900" w:hanging="444"/>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5" w:lineRule="exact"/>
        <w:rPr>
          <w:rFonts w:ascii="Arial" w:cs="Arial" w:eastAsia="Arial" w:hAnsi="Arial"/>
          <w:sz w:val="17"/>
          <w:szCs w:val="17"/>
          <w:color w:val="auto"/>
        </w:rPr>
      </w:pPr>
    </w:p>
    <w:p>
      <w:pPr>
        <w:ind w:left="900" w:hanging="444"/>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13"/>
        </w:trPr>
        <w:tc>
          <w:tcPr>
            <w:tcW w:w="3440" w:type="dxa"/>
            <w:vAlign w:val="bottom"/>
          </w:tcPr>
          <w:p>
            <w:pPr>
              <w:spacing w:after="0"/>
              <w:rPr>
                <w:sz w:val="20"/>
                <w:szCs w:val="20"/>
                <w:color w:val="auto"/>
              </w:rPr>
            </w:pPr>
            <w:r>
              <w:rPr>
                <w:rFonts w:ascii="Arial" w:cs="Arial" w:eastAsia="Arial" w:hAnsi="Arial"/>
                <w:sz w:val="17"/>
                <w:szCs w:val="17"/>
                <w:color w:val="auto"/>
              </w:rPr>
              <w:t>February 27, 2007</w:t>
            </w:r>
          </w:p>
        </w:tc>
        <w:tc>
          <w:tcPr>
            <w:tcW w:w="3080" w:type="dxa"/>
            <w:vAlign w:val="bottom"/>
          </w:tcPr>
          <w:p>
            <w:pPr>
              <w:ind w:left="2160"/>
              <w:spacing w:after="0"/>
              <w:rPr>
                <w:sz w:val="20"/>
                <w:szCs w:val="20"/>
                <w:color w:val="auto"/>
              </w:rPr>
            </w:pPr>
            <w:r>
              <w:rPr>
                <w:rFonts w:ascii="Arial" w:cs="Arial" w:eastAsia="Arial" w:hAnsi="Arial"/>
                <w:sz w:val="17"/>
                <w:szCs w:val="17"/>
                <w:color w:val="auto"/>
              </w:rPr>
              <w:t>NAME:</w:t>
            </w:r>
          </w:p>
        </w:tc>
        <w:tc>
          <w:tcPr>
            <w:tcW w:w="490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12"/>
        </w:trPr>
        <w:tc>
          <w:tcPr>
            <w:tcW w:w="3440" w:type="dxa"/>
            <w:vAlign w:val="bottom"/>
          </w:tcPr>
          <w:p>
            <w:pPr>
              <w:spacing w:after="0"/>
              <w:rPr>
                <w:sz w:val="18"/>
                <w:szCs w:val="18"/>
                <w:color w:val="auto"/>
              </w:rPr>
            </w:pPr>
          </w:p>
        </w:tc>
        <w:tc>
          <w:tcPr>
            <w:tcW w:w="3080" w:type="dxa"/>
            <w:vAlign w:val="bottom"/>
          </w:tcPr>
          <w:p>
            <w:pPr>
              <w:ind w:left="2160"/>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rPr>
              <w:t>President, Chief Executive Officer and Trustee</w:t>
            </w:r>
          </w:p>
        </w:tc>
      </w:tr>
      <w:tr>
        <w:trPr>
          <w:trHeight w:val="217"/>
        </w:trPr>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32.2</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75"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Annual Report on Form 10-K for the period ended December 31, 2006 (the “Report”). The undersigned hereby certifies that:</w:t>
      </w:r>
    </w:p>
    <w:p>
      <w:pPr>
        <w:spacing w:after="0" w:line="48" w:lineRule="exact"/>
        <w:rPr>
          <w:sz w:val="20"/>
          <w:szCs w:val="20"/>
          <w:color w:val="auto"/>
        </w:rPr>
      </w:pPr>
    </w:p>
    <w:p>
      <w:pPr>
        <w:ind w:left="900" w:hanging="444"/>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5" w:lineRule="exact"/>
        <w:rPr>
          <w:rFonts w:ascii="Arial" w:cs="Arial" w:eastAsia="Arial" w:hAnsi="Arial"/>
          <w:sz w:val="17"/>
          <w:szCs w:val="17"/>
          <w:color w:val="auto"/>
        </w:rPr>
      </w:pPr>
    </w:p>
    <w:p>
      <w:pPr>
        <w:ind w:left="900" w:hanging="444"/>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Larry E. Finger</w:t>
            </w:r>
          </w:p>
        </w:tc>
      </w:tr>
      <w:tr>
        <w:trPr>
          <w:trHeight w:val="213"/>
        </w:trPr>
        <w:tc>
          <w:tcPr>
            <w:tcW w:w="3440" w:type="dxa"/>
            <w:vAlign w:val="bottom"/>
          </w:tcPr>
          <w:p>
            <w:pPr>
              <w:spacing w:after="0"/>
              <w:rPr>
                <w:sz w:val="20"/>
                <w:szCs w:val="20"/>
                <w:color w:val="auto"/>
              </w:rPr>
            </w:pPr>
            <w:r>
              <w:rPr>
                <w:rFonts w:ascii="Arial" w:cs="Arial" w:eastAsia="Arial" w:hAnsi="Arial"/>
                <w:sz w:val="17"/>
                <w:szCs w:val="17"/>
                <w:color w:val="auto"/>
              </w:rPr>
              <w:t>February 27, 2007</w:t>
            </w:r>
          </w:p>
        </w:tc>
        <w:tc>
          <w:tcPr>
            <w:tcW w:w="3180" w:type="dxa"/>
            <w:vAlign w:val="bottom"/>
          </w:tcPr>
          <w:p>
            <w:pPr>
              <w:ind w:left="2160"/>
              <w:spacing w:after="0"/>
              <w:rPr>
                <w:sz w:val="20"/>
                <w:szCs w:val="20"/>
                <w:color w:val="auto"/>
              </w:rPr>
            </w:pPr>
            <w:r>
              <w:rPr>
                <w:rFonts w:ascii="Arial" w:cs="Arial" w:eastAsia="Arial" w:hAnsi="Arial"/>
                <w:sz w:val="17"/>
                <w:szCs w:val="17"/>
                <w:color w:val="auto"/>
              </w:rPr>
              <w:t>NAME:</w:t>
            </w:r>
          </w:p>
        </w:tc>
        <w:tc>
          <w:tcPr>
            <w:tcW w:w="4800" w:type="dxa"/>
            <w:vAlign w:val="bottom"/>
          </w:tcPr>
          <w:p>
            <w:pPr>
              <w:spacing w:after="0"/>
              <w:rPr>
                <w:sz w:val="20"/>
                <w:szCs w:val="20"/>
                <w:color w:val="auto"/>
              </w:rPr>
            </w:pPr>
            <w:r>
              <w:rPr>
                <w:rFonts w:ascii="Arial" w:cs="Arial" w:eastAsia="Arial" w:hAnsi="Arial"/>
                <w:sz w:val="17"/>
                <w:szCs w:val="17"/>
                <w:color w:val="auto"/>
              </w:rPr>
              <w:t>Larry E. Finger</w:t>
            </w:r>
          </w:p>
        </w:tc>
      </w:tr>
      <w:tr>
        <w:trPr>
          <w:trHeight w:val="212"/>
        </w:trPr>
        <w:tc>
          <w:tcPr>
            <w:tcW w:w="3440" w:type="dxa"/>
            <w:vAlign w:val="bottom"/>
          </w:tcPr>
          <w:p>
            <w:pPr>
              <w:spacing w:after="0"/>
              <w:rPr>
                <w:sz w:val="18"/>
                <w:szCs w:val="18"/>
                <w:color w:val="auto"/>
              </w:rPr>
            </w:pPr>
          </w:p>
        </w:tc>
        <w:tc>
          <w:tcPr>
            <w:tcW w:w="3180" w:type="dxa"/>
            <w:vAlign w:val="bottom"/>
          </w:tcPr>
          <w:p>
            <w:pPr>
              <w:ind w:left="2160"/>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Executive Vice President and Chief Financial Officer (Principal</w:t>
            </w:r>
          </w:p>
        </w:tc>
      </w:tr>
      <w:tr>
        <w:trPr>
          <w:trHeight w:val="217"/>
        </w:trPr>
        <w:tc>
          <w:tcPr>
            <w:tcW w:w="3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lvl w:ilvl="1">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4"/>
    </w:lvl>
  </w:abstractNum>
  <w:abstractNum w:abstractNumId="27">
    <w:nsid w:val="70C6A529"/>
    <w:multiLevelType w:val="hybridMultilevel"/>
    <w:lvl w:ilvl="0">
      <w:lvlJc w:val="left"/>
      <w:lvlText w:val="(%1)"/>
      <w:numFmt w:val="decimal"/>
      <w:start w:val="6"/>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5"/>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4"/>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lowerLetter"/>
      <w:start w:val="2"/>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2"/>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2019-12-13T00:51:54Z</dcterms:created>
  <dcterms:modified xsi:type="dcterms:W3CDTF">2019-12-13T00:51:54Z</dcterms:modified>
</cp:coreProperties>
</file>